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numPr>
          <w:ilvl w:val="0"/>
          <w:numId w:val="1"/>
        </w:numPr>
        <w:bidi w:val="0"/>
        <w:outlineLvl w:val="0"/>
        <w:rPr/>
      </w:pPr>
      <w:r>
        <w:rPr/>
        <w:t>The Keeper's Notes</w:t>
      </w:r>
    </w:p>
    <w:p>
      <w:pPr>
        <w:pStyle w:val="Normal"/>
        <w:bidi w:val="0"/>
        <w:spacing w:before="0" w:after="142"/>
        <w:rPr/>
      </w:pPr>
      <w:r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635</wp:posOffset>
                </wp:positionV>
                <wp:extent cx="2159635" cy="415925"/>
                <wp:effectExtent l="635" t="635" r="635" b="635"/>
                <wp:wrapSquare wrapText="bothSides"/>
                <wp:docPr id="1" name="Sidebar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640" cy="415800"/>
                        </a:xfrm>
                        <a:prstGeom prst="rect">
                          <a:avLst/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0"/>
                              <w:rPr/>
                            </w:pPr>
                            <w:r>
                              <w:rPr>
                                <w:rFonts w:ascii="Noto Sans" w:hAnsi="Noto Sans"/>
                                <w:sz w:val="24"/>
                              </w:rPr>
                              <w:t>Sidebar: the tower was painted white in 1921.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fillcolor="#729fcf" stroked="t" o:allowincell="f" style="position:absolute;margin-left:328.5pt;margin-top:0pt;width:170pt;height:32.7pt;mso-wrap-style:square;v-text-anchor:top;mso-position-horizontal:right;mso-position-vertical:top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0"/>
                        <w:rPr/>
                      </w:pPr>
                      <w:r>
                        <w:rPr>
                          <w:rFonts w:ascii="Noto Sans" w:hAnsi="Noto Sans"/>
                          <w:sz w:val="24"/>
                        </w:rPr>
                        <w:t>Sidebar: the tower was painted white in 1921.</w:t>
                      </w:r>
                    </w:p>
                  </w:txbxContent>
                </v:textbox>
                <v:fill o:detectmouseclick="t" color2="#8d6030"/>
                <v:stroke color="#3465a4" joinstyle="round" endcap="flat"/>
                <w10:wrap type="square"/>
              </v:shape>
            </w:pict>
          </mc:Fallback>
        </mc:AlternateContent>
      </w:r>
      <w:r>
        <w:rPr/>
        <w:t>The keeper wrote a line in the ledger every evening, and the lamp never failed in forty years of service.</w:t>
      </w:r>
    </w:p>
    <w:p>
      <w:pPr>
        <w:pStyle w:val="Caption"/>
        <w:bidi w:val="0"/>
        <w:rPr/>
      </w:pPr>
      <w:r>
        <w:rPr/>
        <w:t>Table 1: Ships passing the tower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Normal"/>
              <w:bidi w:val="0"/>
              <w:spacing w:before="0" w:after="142"/>
              <w:rPr/>
            </w:pPr>
            <w:r>
              <w:rPr/>
              <w:t>Year</w:t>
            </w:r>
          </w:p>
        </w:tc>
        <w:tc>
          <w:tcPr>
            <w:tcW w:w="4987" w:type="dxa"/>
            <w:tcBorders/>
          </w:tcPr>
          <w:p>
            <w:pPr>
              <w:pStyle w:val="Normal"/>
              <w:bidi w:val="0"/>
              <w:spacing w:before="0" w:after="142"/>
              <w:rPr/>
            </w:pPr>
            <w:r>
              <w:rPr/>
              <w:t>Ships</w:t>
            </w:r>
          </w:p>
        </w:tc>
      </w:tr>
      <w:tr>
        <w:trPr/>
        <w:tc>
          <w:tcPr>
            <w:tcW w:w="4985" w:type="dxa"/>
            <w:tcBorders/>
          </w:tcPr>
          <w:p>
            <w:pPr>
              <w:pStyle w:val="Normal"/>
              <w:bidi w:val="0"/>
              <w:spacing w:before="0" w:after="142"/>
              <w:rPr/>
            </w:pPr>
            <w:r>
              <w:rPr/>
              <w:t>1921</w:t>
            </w:r>
          </w:p>
        </w:tc>
        <w:tc>
          <w:tcPr>
            <w:tcW w:w="4987" w:type="dxa"/>
            <w:tcBorders/>
          </w:tcPr>
          <w:p>
            <w:pPr>
              <w:pStyle w:val="Normal"/>
              <w:bidi w:val="0"/>
              <w:spacing w:before="0" w:after="142"/>
              <w:rPr/>
            </w:pPr>
            <w:r>
              <w:rPr/>
              <w:t>412</w:t>
            </w:r>
          </w:p>
        </w:tc>
      </w:tr>
    </w:tbl>
    <w:p>
      <w:pPr>
        <w:pStyle w:val="Normal"/>
        <w:bidi w:val="0"/>
        <w:spacing w:before="0" w:after="142"/>
        <w:rPr/>
      </w:pPr>
      <w:r>
        <w:rPr/>
        <w:t>Historians later counted every ship he recorded</w:t>
      </w:r>
      <w:r>
        <w:rPr>
          <w:rStyle w:val="FootnoteReference"/>
        </w:rPr>
        <w:footnoteReference w:id="2"/>
      </w:r>
      <w:r>
        <w:rPr/>
        <w:t xml:space="preserve"> in the ledger.</w:t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">
    <w:charset w:val="01"/>
    <w:family w:val="roman"/>
    <w:pitch w:val="variable"/>
  </w:font>
  <w:font w:name="Noto Sans">
    <w:charset w:val="01"/>
    <w:family w:val="auto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Normal"/>
        <w:bidi w:val="0"/>
        <w:spacing w:before="0" w:after="142"/>
        <w:rPr/>
      </w:pPr>
      <w:r>
        <w:rPr>
          <w:rStyle w:val="FootnoteCharacters"/>
        </w:rPr>
        <w:footnoteRef/>
      </w:r>
      <w:r>
        <w:rPr/>
        <w:t>The counts agree with the harbour registers.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footnotePr>
    <w:numFmt w:val="decimal"/>
    <w:footnote w:id="0"/>
    <w:footnote w:id="1"/>
  </w:footnotePr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" w:hAnsi="Noto Sans" w:eastAsia="Noto Sans CJK HK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42"/>
    </w:pPr>
    <w:rPr>
      <w:rFonts w:ascii="Noto Sans" w:hAnsi="Noto Sans" w:eastAsia="Noto Sans CJK HK" w:cs="Noto Sans Devanagari"/>
      <w:color w:val="auto"/>
      <w:kern w:val="2"/>
      <w:sz w:val="22"/>
      <w:szCs w:val="24"/>
      <w:lang w:val="en-US" w:eastAsia="zh-CN" w:bidi="hi-IN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next w:val="BodyText"/>
    <w:qFormat/>
    <w:pPr>
      <w:widowControl w:val="false"/>
      <w:bidi w:val="0"/>
    </w:pPr>
    <w:rPr>
      <w:rFonts w:ascii="Noto Sans" w:hAnsi="Noto Sans" w:eastAsia="Noto Sans CJK HK" w:cs="Noto Sans Devanagari"/>
      <w:b/>
      <w:color w:val="auto"/>
      <w:kern w:val="2"/>
      <w:sz w:val="32"/>
      <w:szCs w:val="24"/>
      <w:lang w:val="en-US" w:eastAsia="zh-CN" w:bidi="hi-IN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qFormat/>
    <w:pPr>
      <w:widowControl w:val="false"/>
      <w:bidi w:val="0"/>
    </w:pPr>
    <w:rPr>
      <w:rFonts w:ascii="Noto Sans" w:hAnsi="Noto Sans" w:eastAsia="Noto Sans CJK HK" w:cs="Noto Sans Devanagari"/>
      <w:i/>
      <w:color w:val="auto"/>
      <w:kern w:val="2"/>
      <w:sz w:val="24"/>
      <w:szCs w:val="24"/>
      <w:lang w:val="en-US" w:eastAsia="zh-CN" w:bidi="hi-IN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