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numPr>
          <w:ilvl w:val="0"/>
          <w:numId w:val="1"/>
        </w:numPr>
        <w:outlineLvl w:val="0"/>
        <w:rPr/>
      </w:pPr>
      <w:r>
        <w:rPr/>
        <w:t>İNSAN HÜQUQLARI HAQQINDA ÜMUMİ BƏYANNAMƏ</w:t>
      </w:r>
    </w:p>
    <w:p>
      <w:pPr>
        <w:pStyle w:val="Normal"/>
        <w:rPr/>
      </w:pPr>
      <w:r>
        <w:rPr/>
        <w:t>Bəşər ailəsinin bütün üzvlərinə xas olan ləyaqət hissinin və onların bərabər və ayrılmaz hüquqlarının tanınmasının azadlıq, ədalət və ümumi sülhün əsası olduğunu nəzərə alaraq,</w:t>
      </w:r>
    </w:p>
    <w:p>
      <w:pPr>
        <w:pStyle w:val="Normal"/>
        <w:rPr/>
      </w:pPr>
      <w:r>
        <w:rPr/>
        <w:t>insan hüquqlarına etinasızlıq və nifrətin bəşəriyyəti dəhşətə gətirən barbarizm hərəkətlərinə səbəb olduğunu və insanların söz və etiqad azadlığına malik, qorxu və ehtiyacdan azad olduqları dünyanın yaradılmasının bəşəriyyətin ən ali istəyi olduğunu nəzərə alaraq,</w:t>
      </w:r>
    </w:p>
    <w:p>
      <w:pPr>
        <w:pStyle w:val="Normal"/>
        <w:rPr/>
      </w:pPr>
      <w:r>
        <w:rPr/>
        <w:t>insanın son vasitə kimi istibdad və zülmə qarşı qiyama qalxmağa məcbur olmamasını təmin etmək üçün insan hüquqlarının qanunun hakimiyyəti ilə müdafiə olunmasının zəruriliyini nəzərə alaraq,</w:t>
      </w:r>
    </w:p>
    <w:p>
      <w:pPr>
        <w:pStyle w:val="Normal"/>
        <w:rPr/>
      </w:pPr>
      <w:r>
        <w:rPr/>
        <w:t>xalqlar arasında mehriban münasibətlərin inkişafını dəstəkləməyin vacibliyini nəzərə alaraq,</w:t>
      </w:r>
    </w:p>
    <w:p>
      <w:pPr>
        <w:pStyle w:val="Normal"/>
        <w:rPr/>
      </w:pPr>
      <w:r>
        <w:rPr/>
        <w:t>Birləşmiş Millətlərin xalqlarının BMT Nizamnaməsində əsas insan hüquqlarına, insan şəxsiyyətinin ləyaqət və dəyərinə, kişi və qadınların hüquq bərabərliyinə inamlarını təsdiq etdiklərini və daha geniş azadlıq şəraitində sosial tərəqqi və həyat şəraitinin yaxşılaşdırılmasına yardım etməyi qət etdiklərini nəzərə alaraq,</w:t>
      </w:r>
    </w:p>
    <w:p>
      <w:pPr>
        <w:pStyle w:val="Normal"/>
        <w:rPr/>
      </w:pPr>
      <w:r>
        <w:rPr/>
        <w:t>üzv dövlətlərin BMT ilə əməkdaşlıq şəraitində insan hüquqlarına və əsas azadlıqlara ümumi hörmət və onlara əməl olunmasına yardım etməyi öhdələrinə götürdüklərini nəzərə alaraq,</w:t>
      </w:r>
    </w:p>
    <w:p>
      <w:pPr>
        <w:pStyle w:val="Normal"/>
        <w:rPr/>
      </w:pPr>
      <w:r>
        <w:rPr/>
        <w:t>bu hüquq və azadlıqların xarakterinin tam şəkildə dərk olunmasının həmin öhdəliyin hərtərəfli yerinə yetirilməsi üçün böyük əhəmiyyət kəsb etdiyini nəzərə alaraq,</w:t>
      </w:r>
    </w:p>
    <w:p>
      <w:pPr>
        <w:pStyle w:val="Normal"/>
        <w:bidi w:val="0"/>
        <w:spacing w:before="0" w:after="142"/>
        <w:rPr/>
      </w:pPr>
      <w:r>
        <w:rPr/>
        <w:t>BMT Baş Assambleyası</w:t>
      </w:r>
    </w:p>
    <w:sectPr>
      <w:type w:val="nextPage"/>
      <w:pgSz w:w="11906" w:h="16838"/>
      <w:pgMar w:left="1134" w:right="1134" w:gutter="0" w:header="0" w:top="1134"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oto Sans">
    <w:charset w:val="01"/>
    <w:family w:val="roman"/>
    <w:pitch w:val="variable"/>
  </w:font>
  <w:font w:name="Noto San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oto Sans" w:hAnsi="Noto Sans" w:eastAsia="Noto Sans CJK HK"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spacing w:before="0" w:after="142"/>
    </w:pPr>
    <w:rPr>
      <w:rFonts w:ascii="Noto Sans" w:hAnsi="Noto Sans" w:eastAsia="Noto Sans CJK SC" w:cs="Noto Sans"/>
      <w:color w:val="auto"/>
      <w:kern w:val="2"/>
      <w:sz w:val="22"/>
      <w:szCs w:val="24"/>
      <w:lang w:val="en-US" w:eastAsia="zh-CN" w:bidi="hi-IN"/>
    </w:rPr>
  </w:style>
  <w:style w:type="paragraph" w:styleId="Heading">
    <w:name w:val="Heading"/>
    <w:basedOn w:val="Normal"/>
    <w:qFormat/>
    <w:pPr/>
    <w:rPr>
      <w:b/>
      <w:sz w:val="32"/>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