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numPr>
          <w:ilvl w:val="0"/>
          <w:numId w:val="1"/>
        </w:numPr>
        <w:spacing w:before="0" w:after="142"/>
        <w:outlineLvl w:val="0"/>
        <w:rPr/>
      </w:pPr>
      <w:r>
        <w:rPr/>
        <w:t>Každý večer za soumraku vystoupal strážce po sto dvanácti schodech věže, natáhl hodinový stroj, který otáčel velkou čočkou, a zapsal do deníku jediný řádek. Za čtyřicet let deník zaplnil jedenáct svazků a téměř každý řádek zaznamenal stejná tři fakta.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">
    <w:charset w:val="01"/>
    <w:family w:val="roman"/>
    <w:pitch w:val="variable"/>
  </w:font>
  <w:font w:name="Noto Sans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" w:hAnsi="Noto Sans" w:eastAsia="Noto Sans CJK HK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42"/>
    </w:pPr>
    <w:rPr>
      <w:rFonts w:ascii="Noto Sans" w:hAnsi="Noto Sans" w:eastAsia="Noto Sans CJK SC" w:cs="Noto Sans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qFormat/>
    <w:pPr/>
    <w:rPr>
      <w:b/>
      <w:sz w:val="32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