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Seeds, Paintings and a Beam of Light</w:t>
      </w:r>
    </w:p>
    <w:p>
      <w:pPr>
        <w:pStyle w:val="WW-subtitle"/>
        <w:rPr/>
      </w:pPr>
      <w:r>
        <w:rPr/>
        <w:t>Similes for Dependent Arising</w:t>
      </w:r>
    </w:p>
    <w:p>
      <w:pPr>
        <w:pStyle w:val="WW-meta-heading"/>
        <w:rPr/>
      </w:pPr>
      <w:r>
        <w:rPr/>
        <w:t>Authors (each one on new line)</w:t>
      </w:r>
    </w:p>
    <w:p>
      <w:pPr>
        <w:pStyle w:val="WW-authors"/>
        <w:rPr/>
      </w:pPr>
      <w:r>
        <w:rPr/>
        <w:t>sunyo</w:t>
      </w:r>
    </w:p>
    <w:p>
      <w:pPr>
        <w:pStyle w:val="WW-meta-heading"/>
        <w:rPr/>
      </w:pPr>
      <w:r>
        <w:rPr/>
        <w:t>Item Type:</w:t>
      </w:r>
    </w:p>
    <w:p>
      <w:pPr>
        <w:pStyle w:val="WW-item-type"/>
        <w:rPr/>
      </w:pPr>
      <w:r>
        <w:rPr/>
        <w:t>book</w:t>
      </w:r>
    </w:p>
    <w:p>
      <w:pPr>
        <w:pStyle w:val="WW-meta-heading"/>
        <w:rPr/>
      </w:pPr>
      <w:r>
        <w:rPr/>
        <w:t>Short Abstract:</w:t>
      </w:r>
    </w:p>
    <w:p>
      <w:pPr>
        <w:pStyle w:val="WW-abstract-short"/>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meta-heading"/>
        <w:rPr/>
      </w:pPr>
      <w:r>
        <w:rPr/>
        <w:t>Abstract:</w:t>
      </w:r>
    </w:p>
    <w:p>
      <w:pPr>
        <w:pStyle w:val="WW-abstract"/>
        <w:rPr/>
      </w:pPr>
      <w:r>
        <w:rPr/>
        <w:t>None</w:t>
      </w:r>
    </w:p>
    <w:p>
      <w:pPr>
        <w:pStyle w:val="WW-meta-heading"/>
        <w:rPr/>
      </w:pPr>
      <w:r>
        <w:rPr/>
        <w:t>Copyright:</w:t>
      </w:r>
    </w:p>
    <w:p>
      <w:pPr>
        <w:pStyle w:val="WW-copyright"/>
        <w:rPr/>
      </w:pPr>
      <w:r>
        <w:rPr/>
        <w:t>Originally published in 2024.</w:t>
        <w:br/>
        <w:t>This web edition published in 2025.</w:t>
        <w:br/>
        <w:t>311pp (in pdf format).</w:t>
        <w:br/>
        <w:t>CC0 1.0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p>
    <w:p>
      <w:pPr>
        <w:pStyle w:val="WW-meta-heading"/>
        <w:rPr/>
      </w:pPr>
      <w:r>
        <w:rPr/>
        <w:t>Additional Info</w:t>
      </w:r>
    </w:p>
    <w:p>
      <w:pPr>
        <w:pStyle w:val="WW-additional-info-title"/>
        <w:rPr/>
      </w:pPr>
      <w:r>
        <w:rPr/>
        <w:t>Alternate Media</w:t>
      </w:r>
    </w:p>
    <w:p>
      <w:pPr>
        <w:pStyle w:val="WW-additional-info"/>
        <w:rPr/>
      </w:pPr>
      <w:r>
        <w:rPr/>
        <w:t>For PDF, EPUB and Kindle formats click the Download icon in the top right-hand corner of the main screen.</w:t>
        <w:br/>
        <w:t xml:space="preserve">For screen readers see the </w:t>
      </w:r>
      <w:hyperlink r:id="rId2">
        <w:r>
          <w:rPr>
            <w:rStyle w:val="Hyperlink"/>
          </w:rPr>
          <w:t>simplified html</w:t>
        </w:r>
      </w:hyperlink>
      <w:r>
        <w:rPr/>
        <w:t xml:space="preserve"> version.</w:t>
        <w:br/>
        <w:t xml:space="preserve">Print on demand at: </w:t>
      </w:r>
      <w:hyperlink r:id="rId3">
        <w:r>
          <w:rPr>
            <w:rStyle w:val="Hyperlink"/>
          </w:rPr>
          <w:t>lulu.com</w:t>
        </w:r>
      </w:hyperlink>
      <w:r>
        <w:br w:type="page"/>
      </w:r>
    </w:p>
    <w:p>
      <w:pPr>
        <w:pStyle w:val="WW-space"/>
        <w:spacing w:before="0" w:after="0"/>
        <w:rPr/>
      </w:pPr>
      <w:r>
        <w:rPr/>
        <w:t>10</w:t>
      </w:r>
    </w:p>
    <w:p>
      <w:pPr>
        <w:pStyle w:val="WW-epigram"/>
        <w:rPr/>
      </w:pPr>
      <w:r>
        <w:rPr/>
        <w:t>I will give you a simile. For some clever</w:t>
        <w:br/>
        <w:t>people understand the meaning of</w:t>
        <w:br/>
        <w:t>something through a simile.</w:t>
      </w:r>
    </w:p>
    <w:p>
      <w:pPr>
        <w:pStyle w:val="WW-epigram-cite"/>
        <w:rPr/>
      </w:pPr>
      <w:r>
        <w:rPr/>
        <w:t>The Buddha</w:t>
      </w:r>
      <w:r>
        <w:rPr>
          <w:rStyle w:val="FootnoteReference"/>
        </w:rPr>
        <w:footnoteReference w:id="2"/>
      </w:r>
      <w:r>
        <w:br w:type="page"/>
      </w:r>
    </w:p>
    <w:p>
      <w:pPr>
        <w:pStyle w:val="WW-Chapter"/>
        <w:spacing w:before="0" w:after="567"/>
        <w:ind w:hanging="0" w:start="0"/>
        <w:rPr/>
      </w:pPr>
      <w:r>
        <w:rPr/>
        <w:t>Abstract</w:t>
      </w:r>
    </w:p>
    <w:p>
      <w:pPr>
        <w:pStyle w:val="WW-paragraph"/>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rPr/>
        <w:t xml:space="preserve">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Chapter"/>
        <w:ind w:hanging="0" w:start="0"/>
        <w:rPr/>
      </w:pPr>
      <w:r>
        <w:rPr/>
        <w:t>Preface</w:t>
      </w:r>
    </w:p>
    <w:p>
      <w:pPr>
        <w:pStyle w:val="WW-caption-centered-serif"/>
        <w:rPr/>
      </w:pPr>
      <w:r>
        <w:rPr/>
        <w:t>Namo tassa bhagavato arahato sammāsambuddhassa.</w:t>
      </w:r>
    </w:p>
    <w:p>
      <w:pPr>
        <w:pStyle w:val="WW-paragraph"/>
        <w:rPr/>
      </w:pPr>
      <w:r>
        <w:rPr/>
        <w:t xml:space="preserve">About three years ago I wrote a rather technical essay on an obscure pair of Pāli words, </w:t>
      </w:r>
      <w:r>
        <w:rPr>
          <w:rStyle w:val="wwc-pali"/>
        </w:rPr>
        <w:t>viññāṇa anidassana</w:t>
      </w:r>
      <w:r>
        <w:rPr/>
        <w:t>.</w:t>
      </w:r>
      <w:r>
        <w:rPr>
          <w:rStyle w:val="FootnoteReference"/>
        </w:rPr>
        <w:footnoteReference w:id="3"/>
      </w:r>
      <w:r>
        <w:rPr/>
        <w:t xml:space="preserve"> These words are sometimes understood to describe a kind of consciousness of </w:t>
      </w:r>
      <w:r>
        <w:rPr>
          <w:rStyle w:val="wwc-sanskrit"/>
        </w:rPr>
        <w:t>nirvāṇa</w:t>
      </w:r>
      <w:r>
        <w:rP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rP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pPr>
        <w:pStyle w:val="WW-paragraph"/>
        <w:rPr/>
      </w:pPr>
      <w:r>
        <w:rP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rPr/>
        <w:t>, usually translated by proponents of the idea as ‘unestablished consciousness’.</w:t>
      </w:r>
      <w:r>
        <w:rPr>
          <w:rStyle w:val="FootnoteReference"/>
        </w:rPr>
        <w:footnoteReference w:id="4"/>
      </w:r>
      <w:r>
        <w:rP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5"/>
      </w:r>
    </w:p>
    <w:p>
      <w:pPr>
        <w:pStyle w:val="WW-paragraph"/>
        <w:rPr/>
      </w:pPr>
      <w:r>
        <w:rPr/>
        <w:t xml:space="preserve">With this book I wish not to be argumentative but aim to present an alternative interpretation of the terms and simile in question. At some occasions, however, I do address the idea of an objectless consciousness directly. This was inevitable, because in my understanding the Buddha specifically denied the existence of such a consciousness, and this happens to be the exact point he was making with </w:t>
      </w:r>
      <w:r>
        <w:rPr>
          <w:rStyle w:val="wwc-pali"/>
        </w:rPr>
        <w:t>appatiṭṭhita viññāṇa</w:t>
      </w:r>
      <w:r>
        <w:rP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rPr/>
        <w:t xml:space="preserve"> is more aptly translated as ‘consciousness is not planted’.</w:t>
      </w:r>
    </w:p>
    <w:p>
      <w:pPr>
        <w:pStyle w:val="WW-paragraph"/>
        <w:rPr/>
      </w:pPr>
      <w:r>
        <w:rPr/>
        <w:t>All this is explained in three parts:</w:t>
      </w:r>
    </w:p>
    <w:p>
      <w:pPr>
        <w:pStyle w:val="WW-paragraph"/>
        <w:numPr>
          <w:ilvl w:val="0"/>
          <w:numId w:val="6"/>
        </w:numPr>
        <w:rPr/>
      </w:pPr>
      <w:r>
        <w:rP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rPr/>
        <w:t>, quite literally ‘name and form’, translated here as ‘the (individual’s) immaterial aspects and body’.</w:t>
      </w:r>
    </w:p>
    <w:p>
      <w:pPr>
        <w:pStyle w:val="WW-paragraph"/>
        <w:numPr>
          <w:ilvl w:val="0"/>
          <w:numId w:val="6"/>
        </w:numPr>
        <w:rPr/>
      </w:pPr>
      <w:r>
        <w:rP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pPr>
        <w:pStyle w:val="WW-paragraph"/>
        <w:numPr>
          <w:ilvl w:val="0"/>
          <w:numId w:val="6"/>
        </w:numPr>
        <w:rPr/>
      </w:pPr>
      <w:r>
        <w:rPr/>
        <w:t>The third part gives my interpretation of the disputed simile of the light beam, showing that this simile implies the cessation of consciousness. Some connected statements on the final goal are also touched upon.</w:t>
      </w:r>
    </w:p>
    <w:p>
      <w:pPr>
        <w:pStyle w:val="WW-paragraph"/>
        <w:rPr/>
      </w:pPr>
      <w:r>
        <w:rP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pPr>
        <w:pStyle w:val="WW-paragraph"/>
        <w:rPr/>
      </w:pPr>
      <w:r>
        <w:rP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pPr>
        <w:pStyle w:val="WW-paragraph"/>
        <w:rPr/>
      </w:pPr>
      <w:r>
        <w:rP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pPr>
        <w:pStyle w:val="WW-paragraph"/>
        <w:rPr/>
      </w:pPr>
      <w:r>
        <w:rPr/>
        <w:t>My highest wish, and the real purpose behind this book, is for the Buddha’s words to help the reader find the escape from suffering. I will share some further thoughts on this in the conclusion.</w:t>
      </w:r>
    </w:p>
    <w:p>
      <w:pPr>
        <w:pStyle w:val="WW-paragraph"/>
        <w:rPr/>
      </w:pPr>
      <w:r>
        <w:rPr/>
        <w:t>With gratitude towards my teachers and supporters, without whom this work would not have been possible.</w:t>
      </w:r>
    </w:p>
    <w:p>
      <w:pPr>
        <w:pStyle w:val="WW-space"/>
        <w:rPr/>
      </w:pPr>
      <w:r>
        <w:rPr/>
        <w:t>0</w:t>
      </w:r>
    </w:p>
    <w:p>
      <w:pPr>
        <w:pStyle w:val="WW-paragraph"/>
        <w:rPr/>
      </w:pPr>
      <w:r>
        <w:rPr/>
        <w:t>Sunyo</w:t>
        <w:br/>
        <w:t>Bodhinyana Monastery, Australia</w:t>
        <w:br/>
        <w:t>January 2023</w:t>
      </w:r>
      <w:r>
        <w:br w:type="page"/>
      </w:r>
    </w:p>
    <w:p>
      <w:pPr>
        <w:pStyle w:val="WW-epigram-image"/>
        <w:spacing w:before="0" w:after="0"/>
        <w:rPr/>
      </w:pPr>
      <w:r>
        <w:rPr/>
        <w:t>fleuron/</w:t>
      </w:r>
      <w:r>
        <w:rPr>
          <w:lang w:val="en-US"/>
        </w:rPr>
        <w:t>paint</w:t>
      </w:r>
      <w:r>
        <w:rPr/>
        <w:t xml:space="preserve">.png=Fleuron:A drawing of </w:t>
      </w:r>
      <w:r>
        <w:rPr>
          <w:lang w:val="en-US"/>
        </w:rPr>
        <w:t>a painters palette</w:t>
      </w:r>
      <w:r>
        <w:rPr/>
        <w:t>=10</w:t>
      </w:r>
    </w:p>
    <w:p>
      <w:pPr>
        <w:pStyle w:val="WW-part"/>
        <w:spacing w:before="0" w:after="170"/>
        <w:rPr/>
      </w:pPr>
      <w:r>
        <w:rPr/>
        <w:t>PART I. The Simile of the Painting</w:t>
      </w:r>
      <w:r>
        <w:br w:type="page"/>
      </w:r>
    </w:p>
    <w:p>
      <w:pPr>
        <w:pStyle w:val="WW-Chapter"/>
        <w:spacing w:before="0" w:after="567"/>
        <w:ind w:hanging="0" w:start="0"/>
        <w:rPr/>
      </w:pPr>
      <w:r>
        <w:rPr/>
        <w:t>1. The aggregate of consciousness</w:t>
      </w:r>
    </w:p>
    <w:p>
      <w:pPr>
        <w:pStyle w:val="WW-chapter-section-1"/>
        <w:ind w:hanging="0" w:start="0"/>
        <w:rPr/>
      </w:pPr>
      <w:r>
        <w:rPr/>
        <w:t>The all-encompassing scope of the aggregates</w:t>
      </w:r>
    </w:p>
    <w:p>
      <w:pPr>
        <w:pStyle w:val="WW-paragraph"/>
        <w:rPr/>
      </w:pPr>
      <w:r>
        <w:rPr/>
        <w:t xml:space="preserve">A handful of </w:t>
      </w:r>
      <w:r>
        <w:rPr>
          <w:rStyle w:val="wwc-sesame"/>
        </w:rPr>
        <w:t>suttas</w:t>
      </w:r>
      <w:r>
        <w:rPr/>
        <w:t xml:space="preserve"> in the Pāli Canon contain </w:t>
      </w:r>
      <w:r>
        <w:rPr>
          <w:rStyle w:val="wwc-pali"/>
        </w:rPr>
        <w:t>appatiṭṭhita viññāṇa</w:t>
      </w:r>
      <w:r>
        <w:rPr/>
        <w:t xml:space="preserve">, the term which I intend to show does not refer to an unestablished consciousness of </w:t>
      </w:r>
      <w:r>
        <w:rPr>
          <w:rStyle w:val="wwc-sanskrit"/>
        </w:rPr>
        <w:t>nirvāṇa</w:t>
      </w:r>
      <w:r>
        <w:rPr/>
        <w:t xml:space="preserve"> (</w:t>
      </w:r>
      <w:r>
        <w:rPr>
          <w:rStyle w:val="wwc-pali"/>
        </w:rPr>
        <w:t>nibbāna</w:t>
      </w:r>
      <w:r>
        <w:rPr/>
        <w:t xml:space="preserve"> in Pāli) but to the cessation of consciousness. The </w:t>
      </w:r>
      <w:r>
        <w:rPr>
          <w:rStyle w:val="wwc-sesame"/>
        </w:rPr>
        <w:t>If There is Desire Discourse</w:t>
      </w:r>
      <w:r>
        <w:rPr/>
        <w:t xml:space="preserve"> (</w:t>
      </w:r>
      <w:hyperlink w:anchor="bqseg23">
        <w:r>
          <w:rPr>
            <w:rStyle w:val="Hyperlink"/>
          </w:rPr>
          <w:t>§23</w:t>
        </w:r>
      </w:hyperlink>
      <w:r>
        <w:rPr/>
        <w:t>) will be our main focus, because it contains the disputed simile of the light beam that does not hit anything.</w:t>
      </w:r>
    </w:p>
    <w:p>
      <w:pPr>
        <w:pStyle w:val="WW-paragraph"/>
        <w:rPr/>
      </w:pPr>
      <w:r>
        <w:rPr/>
        <w:t>But first an important point on the five aggregates: form, sensation, perception, will, and consciousness (</w:t>
      </w:r>
      <w:r>
        <w:rPr>
          <w:rStyle w:val="wwc-pali"/>
        </w:rPr>
        <w:t>rūpa, vedanā, saññā, saṇkhāra, viññāna</w:t>
      </w:r>
      <w:r>
        <w:rPr/>
        <w:t>). Most readers will be familiar with them, but many may not know why the Buddha called them ‘aggregates’ (</w:t>
      </w:r>
      <w:r>
        <w:rPr>
          <w:rStyle w:val="wwc-pali"/>
        </w:rPr>
        <w:t>khandhas</w:t>
      </w:r>
      <w:r>
        <w:rPr/>
        <w:t>). The suttas say they are so called because they include, or they “aggregate”, all the different types of the item in question.</w:t>
      </w:r>
      <w:r>
        <w:rPr>
          <w:rStyle w:val="FootnoteReference"/>
        </w:rPr>
        <w:footnoteReference w:id="6"/>
      </w:r>
      <w:r>
        <w:rPr/>
        <w:t xml:space="preserve"> A </w:t>
      </w:r>
      <w:r>
        <w:rPr>
          <w:rStyle w:val="wwc-pali"/>
        </w:rPr>
        <w:t>khandha</w:t>
      </w:r>
      <w:r>
        <w:rPr/>
        <w:t xml:space="preserve"> is literally a heap or a collection. The aggregate of perception, for example, is the collection of all perceptions. The same principle applies to the aggregate of consciousness (</w:t>
      </w:r>
      <w:r>
        <w:rPr>
          <w:rStyle w:val="wwc-pali"/>
        </w:rPr>
        <w:t>viññāṇa</w:t>
      </w:r>
      <w:r>
        <w:rPr/>
        <w:t>):</w:t>
      </w:r>
    </w:p>
    <w:p>
      <w:pPr>
        <w:pStyle w:val="WW-named-section"/>
        <w:rPr/>
      </w:pPr>
      <w:r>
        <w:rPr/>
        <w:t>§1</w:t>
      </w:r>
    </w:p>
    <w:p>
      <w:pPr>
        <w:pStyle w:val="WW-blockquote"/>
        <w:rPr/>
      </w:pPr>
      <w:bookmarkStart w:id="0" w:name="bqseg1"/>
      <w:bookmarkEnd w:id="0"/>
      <w:r>
        <w:rP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7"/>
      </w:r>
    </w:p>
    <w:p>
      <w:pPr>
        <w:pStyle w:val="WW-paragraph"/>
        <w:rPr/>
      </w:pPr>
      <w:r>
        <w:rPr/>
        <w:t>That this statement is intended to be all-encompassing is clarified even further elsewhere when the Buddha says: “any type of consciousness whatsoever—whether past, present, or future [and so on]—</w:t>
      </w:r>
      <w:r>
        <w:rPr>
          <w:rStyle w:val="Emphasis"/>
        </w:rPr>
        <w:t>all</w:t>
      </w:r>
      <w:r>
        <w:rPr/>
        <w:t xml:space="preserve"> consciousness …”</w:t>
      </w:r>
      <w:r>
        <w:rPr>
          <w:rStyle w:val="FootnoteReference"/>
        </w:rPr>
        <w:footnoteReference w:id="8"/>
      </w:r>
    </w:p>
    <w:p>
      <w:pPr>
        <w:pStyle w:val="WW-paragraph"/>
        <w:rPr/>
      </w:pPr>
      <w:r>
        <w:rPr/>
        <w:t>Similar phrases are spoken of the other four aggregates, so if we were to suppose some special type of consciousness that’s excluded from the aggregate of consciousness,</w:t>
      </w:r>
      <w:r>
        <w:rPr>
          <w:rStyle w:val="FootnoteReference"/>
        </w:rPr>
        <w:footnoteReference w:id="9"/>
      </w:r>
      <w:r>
        <w:rP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rPr/>
        <w:t xml:space="preserve"> types of consciousness are included in the aggregates, just like all types of form, sensation, perception, and will.</w:t>
      </w:r>
    </w:p>
    <w:p>
      <w:pPr>
        <w:pStyle w:val="WW-paragraph"/>
        <w:rPr/>
      </w:pPr>
      <w:r>
        <w:rP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10"/>
      </w:r>
      <w:r>
        <w:rPr/>
        <w:t xml:space="preserve"> Whenever he uses the word ‘consciousness’, it always refers either to the whole aggregate of consciousness or otherwise to a certain part of it. This is the whole purpose of his definition of the aggregate: to make sure we don’t leave any type of consciousness out.</w:t>
      </w:r>
    </w:p>
    <w:p>
      <w:pPr>
        <w:pStyle w:val="WW-chapter-section-1"/>
        <w:ind w:hanging="0" w:start="0"/>
        <w:rPr/>
      </w:pPr>
      <w:r>
        <w:rPr/>
        <w:t>Consciousness in the If There is Desire Discourse</w:t>
      </w:r>
    </w:p>
    <w:p>
      <w:pPr>
        <w:pStyle w:val="WW-paragraph"/>
        <w:rPr/>
      </w:pPr>
      <w:r>
        <w:rPr/>
        <w:t xml:space="preserve">That ‘consciousness’ refers to the aggregate is even more clearly the case for the </w:t>
      </w:r>
      <w:r>
        <w:rPr>
          <w:rStyle w:val="wwc-sesame"/>
        </w:rPr>
        <w:t>If There is Desire Discourse</w:t>
      </w:r>
      <w:r>
        <w:rPr/>
        <w:t xml:space="preserve">. It is located in the </w:t>
      </w:r>
      <w:r>
        <w:rPr>
          <w:rStyle w:val="wwc-sesame"/>
        </w:rPr>
        <w:t>Nidāna Saṁyutta</w:t>
      </w:r>
      <w:r>
        <w:rP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1"/>
      </w:r>
    </w:p>
    <w:p>
      <w:pPr>
        <w:pStyle w:val="WW-named-section"/>
        <w:rPr/>
      </w:pPr>
      <w:r>
        <w:rPr/>
        <w:t>§2</w:t>
      </w:r>
    </w:p>
    <w:p>
      <w:pPr>
        <w:pStyle w:val="WW-blockquote"/>
        <w:rPr/>
      </w:pPr>
      <w:bookmarkStart w:id="1" w:name="bqseg2"/>
      <w:bookmarkEnd w:id="1"/>
      <w:r>
        <w:rP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2"/>
      </w:r>
    </w:p>
    <w:p>
      <w:pPr>
        <w:pStyle w:val="WW-paragraph"/>
        <w:rPr/>
      </w:pPr>
      <w:r>
        <w:rPr/>
        <w:t xml:space="preserve">Throughout the </w:t>
      </w:r>
      <w:r>
        <w:rPr>
          <w:rStyle w:val="wwc-sesame"/>
        </w:rPr>
        <w:t>If There is Desire Discourse</w:t>
      </w:r>
      <w:r>
        <w:rPr/>
        <w:t xml:space="preserve">, including the simile of the light beam and </w:t>
      </w:r>
      <w:r>
        <w:rPr>
          <w:rStyle w:val="wwc-pali"/>
        </w:rPr>
        <w:t>appatiṭṭhita viññāṇa</w:t>
      </w:r>
      <w:r>
        <w:rPr/>
        <w:t xml:space="preserve">, ‘consciousness’ refers to this aggregate. We are not dealing with a special type of consciousness that is outside of this aggregate (or outside of this ‘aspect of existence’, as I will translate </w:t>
      </w:r>
      <w:r>
        <w:rPr>
          <w:rStyle w:val="wwc-pali"/>
        </w:rPr>
        <w:t>khandha</w:t>
      </w:r>
      <w:r>
        <w:rPr/>
        <w:t xml:space="preserve"> from here on).</w:t>
      </w:r>
    </w:p>
    <w:p>
      <w:pPr>
        <w:pStyle w:val="WW-paragraph"/>
        <w:rPr/>
      </w:pPr>
      <w:r>
        <w:rPr/>
        <w:t xml:space="preserve">Moreover, the discourse contains not just the simile of the light beam which is sometimes taken to describe a type of “unestablished” consciousness of </w:t>
      </w:r>
      <w:r>
        <w:rPr>
          <w:rStyle w:val="wwc-pali"/>
        </w:rPr>
        <w:t>nibbāna</w:t>
      </w:r>
      <w:r>
        <w:rPr/>
        <w:t xml:space="preserve">. It is preceded by a simile of a painting which describes an </w:t>
      </w:r>
      <w:r>
        <w:rPr>
          <w:rStyle w:val="Emphasis"/>
        </w:rPr>
        <w:t>establishing</w:t>
      </w:r>
      <w:r>
        <w:rP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rPr/>
        <w:t xml:space="preserve"> is actually about the cessation of consciousness.</w:t>
      </w:r>
    </w:p>
    <w:p>
      <w:pPr>
        <w:pStyle w:val="WW-paragraph"/>
        <w:rPr/>
      </w:pPr>
      <w:r>
        <w:rPr/>
        <w:t xml:space="preserve">All this will be explained in detail in this book. But before we consider the </w:t>
      </w:r>
      <w:r>
        <w:rPr>
          <w:rStyle w:val="wwc-sesame"/>
        </w:rPr>
        <w:t>If There is Desire Discourse</w:t>
      </w:r>
      <w:r>
        <w:rPr/>
        <w:t xml:space="preserve"> and its similes, we need a general understanding of Dependent Arising first.</w:t>
      </w:r>
      <w:r>
        <w:br w:type="page"/>
      </w:r>
    </w:p>
    <w:p>
      <w:pPr>
        <w:pStyle w:val="WW-Chapter"/>
        <w:spacing w:before="0" w:after="567"/>
        <w:ind w:hanging="0" w:start="0"/>
        <w:rPr/>
      </w:pPr>
      <w:r>
        <w:rPr/>
        <w:t>2. An overview of Dependent Arising</w:t>
      </w:r>
    </w:p>
    <w:p>
      <w:pPr>
        <w:pStyle w:val="WW-chapter-section-1"/>
        <w:ind w:hanging="0" w:start="0"/>
        <w:rPr/>
      </w:pPr>
      <w:r>
        <w:rPr/>
        <w:t>The origin of suffering</w:t>
      </w:r>
    </w:p>
    <w:p>
      <w:pPr>
        <w:pStyle w:val="WW-paragraph"/>
        <w:rPr/>
      </w:pPr>
      <w:r>
        <w:rPr/>
        <w:t xml:space="preserve">In my opinion the best way to explain Dependent Arising—also called Dependent Origination—is by starting with the second noble truth (or ‘noble one’s truth’, as I translate </w:t>
      </w:r>
      <w:r>
        <w:rPr>
          <w:rStyle w:val="wwc-pali"/>
        </w:rPr>
        <w:t>ariyasacca</w:t>
      </w:r>
      <w:r>
        <w:rPr/>
        <w:t>).</w:t>
      </w:r>
      <w:r>
        <w:rPr>
          <w:rStyle w:val="FootnoteReference"/>
        </w:rPr>
        <w:footnoteReference w:id="13"/>
      </w:r>
      <w:r>
        <w:rPr/>
        <w:t xml:space="preserve"> This truth tells us that the cause of suffering is the craving that leads to a next life:</w:t>
      </w:r>
    </w:p>
    <w:p>
      <w:pPr>
        <w:pStyle w:val="WW-named-section"/>
        <w:rPr/>
      </w:pPr>
      <w:r>
        <w:rPr/>
        <w:t>§3</w:t>
      </w:r>
    </w:p>
    <w:p>
      <w:pPr>
        <w:pStyle w:val="WW-blockquote"/>
        <w:rPr/>
      </w:pPr>
      <w:bookmarkStart w:id="2" w:name="bqseg3"/>
      <w:bookmarkEnd w:id="2"/>
      <w:r>
        <w:rPr/>
        <w:t>And what is the noble one’s truth of the origin of suffering? It is the craving that leads to a next life, which, along with enjoyment and desire, looks for happiness in various realms.</w:t>
      </w:r>
      <w:r>
        <w:rPr>
          <w:rStyle w:val="FootnoteReference"/>
        </w:rPr>
        <w:footnoteReference w:id="14"/>
      </w:r>
      <w:r>
        <w:rPr/>
        <w:t xml:space="preserve"> That is what’s called the noble one’s truth of the origin of suffering.</w:t>
      </w:r>
      <w:r>
        <w:rPr>
          <w:rStyle w:val="FootnoteReference"/>
        </w:rPr>
        <w:footnoteReference w:id="15"/>
      </w:r>
    </w:p>
    <w:p>
      <w:pPr>
        <w:pStyle w:val="WW-paragraph"/>
        <w:rPr/>
      </w:pPr>
      <w:r>
        <w:rPr/>
        <w:t>Dependent Arising is in essence an expanded explanation of this truth:</w:t>
      </w:r>
      <w:r>
        <w:rPr>
          <w:rStyle w:val="FootnoteReference"/>
        </w:rPr>
        <w:footnoteReference w:id="16"/>
      </w:r>
    </w:p>
    <w:p>
      <w:pPr>
        <w:pStyle w:val="WW-named-section"/>
        <w:rPr/>
      </w:pPr>
      <w:r>
        <w:rPr/>
        <w:t>§4</w:t>
      </w:r>
    </w:p>
    <w:p>
      <w:pPr>
        <w:pStyle w:val="WW-blockquote"/>
        <w:rPr/>
      </w:pPr>
      <w:bookmarkStart w:id="3" w:name="bqseg4"/>
      <w:bookmarkEnd w:id="3"/>
      <w:r>
        <w:rP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7"/>
      </w:r>
    </w:p>
    <w:p>
      <w:pPr>
        <w:pStyle w:val="WW-paragraph"/>
        <w:rPr/>
      </w:pPr>
      <w:r>
        <w:rPr/>
        <w:t xml:space="preserve">Dependent Arising is often believed to be a very complicated teaching, but it is not. It’s very </w:t>
      </w:r>
      <w:r>
        <w:rPr>
          <w:rStyle w:val="Emphasis"/>
        </w:rPr>
        <w:t>deep</w:t>
      </w:r>
      <w:r>
        <w:rPr/>
        <w:t>, very hard to see, but it should not be theoretically difficult. As said, it is essentially an explanation of the second truth of the noble one, and explanations should not be much more complicated than the thing they try to explain!</w:t>
      </w:r>
    </w:p>
    <w:p>
      <w:pPr>
        <w:pStyle w:val="WW-paragraph"/>
        <w:rPr/>
      </w:pPr>
      <w:r>
        <w:rPr/>
        <w:t>Venerable Sāriputta once explained the fundamental principles of Dependent Arising quite succinctly:</w:t>
      </w:r>
    </w:p>
    <w:p>
      <w:pPr>
        <w:pStyle w:val="WW-named-section"/>
        <w:rPr/>
      </w:pPr>
      <w:r>
        <w:rPr/>
        <w:t>§5</w:t>
      </w:r>
    </w:p>
    <w:p>
      <w:pPr>
        <w:pStyle w:val="WW-blockquote"/>
        <w:rPr/>
      </w:pPr>
      <w:bookmarkStart w:id="4" w:name="bqseg5"/>
      <w:bookmarkEnd w:id="4"/>
      <w:r>
        <w:rPr/>
        <w:t>The Buddha said: ‘If you see the dependent arising of things,</w:t>
      </w:r>
      <w:r>
        <w:rPr>
          <w:rStyle w:val="FootnoteReference"/>
        </w:rPr>
        <w:footnoteReference w:id="18"/>
      </w:r>
      <w:r>
        <w:rP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9"/>
      </w:r>
    </w:p>
    <w:p>
      <w:pPr>
        <w:pStyle w:val="WW-paragraph"/>
        <w:rPr/>
      </w:pPr>
      <w:r>
        <w:rPr/>
        <w:t xml:space="preserve">The arising of the five aspects of existence here means their overall existence. By this I mean, Sāriputta is talking about the origination of these aspects of existence </w:t>
      </w:r>
      <w:r>
        <w:rPr>
          <w:rStyle w:val="Emphasis"/>
        </w:rPr>
        <w:t>as a whole</w:t>
      </w:r>
      <w:r>
        <w:rP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rPr/>
        <w:t xml:space="preserve">, which includes “the manifestation of the aspects of existence”. Sāriputta’s summary of Dependent Arising therefore aligns with the noble one’s second truth, on the craving that leads to </w:t>
      </w:r>
      <w:r>
        <w:rPr>
          <w:rStyle w:val="Emphasis"/>
        </w:rPr>
        <w:t>a next life</w:t>
      </w:r>
      <w:r>
        <w:rPr/>
        <w:t>. That is to say, Dependent Arising primarily explains why rebirth happens.</w:t>
      </w:r>
    </w:p>
    <w:p>
      <w:pPr>
        <w:pStyle w:val="WW-paragraph"/>
        <w:rPr/>
      </w:pPr>
      <w:r>
        <w:rPr/>
        <w:t>Another short version of Dependent Arising likewise mentions that the origination of the five aspects of existence happens through birth, which in turn is caused by enjoyment and attachment:</w:t>
      </w:r>
    </w:p>
    <w:p>
      <w:pPr>
        <w:pStyle w:val="WW-named-section"/>
        <w:rPr/>
      </w:pPr>
      <w:r>
        <w:rPr/>
        <w:t>§6</w:t>
      </w:r>
    </w:p>
    <w:p>
      <w:pPr>
        <w:pStyle w:val="WW-blockquote"/>
        <w:rPr/>
      </w:pPr>
      <w:bookmarkStart w:id="5" w:name="bqseg6"/>
      <w:bookmarkEnd w:id="5"/>
      <w:r>
        <w:rPr/>
        <w:t>And what is the origin of form, sensation, perception, will, and consciousness? Then you enjoy, welcome, and keep holding on. You enjoy, welcome, and keep holding on to what?</w:t>
      </w:r>
    </w:p>
    <w:p>
      <w:pPr>
        <w:pStyle w:val="WW-blockquote"/>
        <w:rPr/>
      </w:pPr>
      <w:r>
        <w:rP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20"/>
      </w:r>
    </w:p>
    <w:p>
      <w:pPr>
        <w:pStyle w:val="WW-paragraph"/>
        <w:rPr/>
      </w:pPr>
      <w:r>
        <w:rPr/>
        <w:t xml:space="preserve">Because the aspects of existence are suffering which starts (or, more accurately, </w:t>
      </w:r>
      <w:r>
        <w:rPr>
          <w:rStyle w:val="Emphasis"/>
        </w:rPr>
        <w:t>re</w:t>
      </w:r>
      <w:r>
        <w:rPr/>
        <w:t>starts) at birth, the Buddha also said:</w:t>
      </w:r>
    </w:p>
    <w:p>
      <w:pPr>
        <w:pStyle w:val="WW-named-section"/>
        <w:rPr/>
      </w:pPr>
      <w:r>
        <w:rPr/>
        <w:t>§7</w:t>
      </w:r>
    </w:p>
    <w:p>
      <w:pPr>
        <w:pStyle w:val="WW-blockquote"/>
        <w:rPr/>
      </w:pPr>
      <w:bookmarkStart w:id="6" w:name="bqseg7"/>
      <w:bookmarkEnd w:id="6"/>
      <w:r>
        <w:rP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pPr>
        <w:pStyle w:val="WW-blockquote"/>
        <w:rPr/>
      </w:pPr>
      <w:r>
        <w:rP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1"/>
      </w:r>
    </w:p>
    <w:p>
      <w:pPr>
        <w:pStyle w:val="WW-paragraph"/>
        <w:rPr/>
      </w:pPr>
      <w:r>
        <w:rP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rPr/>
        <w:t>) also means ‘rebirth’.</w:t>
      </w:r>
      <w:r>
        <w:rPr>
          <w:rStyle w:val="FootnoteReference"/>
        </w:rPr>
        <w:footnoteReference w:id="22"/>
      </w:r>
      <w:r>
        <w:rPr/>
        <w:t xml:space="preserve"> Venerable Sujato translated it as such in the above discourse, and Venerable Bodhi did so elsewhere.</w:t>
      </w:r>
      <w:r>
        <w:rPr>
          <w:rStyle w:val="FootnoteReference"/>
        </w:rPr>
        <w:footnoteReference w:id="23"/>
      </w:r>
    </w:p>
    <w:p>
      <w:pPr>
        <w:pStyle w:val="WW-paragraph"/>
        <w:rPr/>
      </w:pPr>
      <w:r>
        <w:rPr/>
        <w:t>The aspects of existence, and therefore death and other suffering, cease only when the enlightened being passes away. As the Buddha said after the death of the enlightened monk Dabba:</w:t>
      </w:r>
    </w:p>
    <w:p>
      <w:pPr>
        <w:pStyle w:val="WW-named-section"/>
        <w:rPr/>
      </w:pPr>
      <w:r>
        <w:rPr/>
        <w:t>§8</w:t>
      </w:r>
    </w:p>
    <w:p>
      <w:pPr>
        <w:pStyle w:val="WW-line-block"/>
        <w:rPr/>
      </w:pPr>
      <w:bookmarkStart w:id="7" w:name="bqseg8"/>
      <w:bookmarkEnd w:id="7"/>
      <w:r>
        <w:rPr/>
        <w:t>The body fell apart, perception ceased,</w:t>
        <w:br/>
        <w:t>all sensations cooled off,</w:t>
        <w:br/>
        <w:t>will subsided,</w:t>
        <w:br/>
        <w:t>consciousness disappeared.</w:t>
      </w:r>
      <w:r>
        <w:rPr>
          <w:rStyle w:val="FootnoteReference"/>
        </w:rPr>
        <w:footnoteReference w:id="24"/>
      </w:r>
    </w:p>
    <w:p>
      <w:pPr>
        <w:pStyle w:val="WW-paragraph"/>
        <w:rPr/>
      </w:pPr>
      <w:r>
        <w:rPr/>
        <w:t xml:space="preserve">When Sāriputta mentioned the cessation of suffering in </w:t>
      </w:r>
      <w:hyperlink w:anchor="bqseg5">
        <w:r>
          <w:rPr>
            <w:rStyle w:val="Hyperlink"/>
          </w:rPr>
          <w:t>§5</w:t>
        </w:r>
      </w:hyperlink>
      <w:r>
        <w:rPr/>
        <w:t>, he referred to this final cessation of the aspects of existence. It is only then, after one final death, that old age and death and all suffering are truly overcome.</w:t>
      </w:r>
    </w:p>
    <w:p>
      <w:pPr>
        <w:pStyle w:val="WW-paragraph"/>
        <w:rPr/>
      </w:pPr>
      <w:r>
        <w:rP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rPr/>
        <w:t xml:space="preserve">. But since some prevalent interpretations don’t recognize or otherwise </w:t>
      </w:r>
      <w:r>
        <w:rPr>
          <w:lang w:val="en-US"/>
        </w:rPr>
        <w:t>marginalize</w:t>
      </w:r>
      <w:r>
        <w:rP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pPr>
        <w:pStyle w:val="WW-chapter-section-1"/>
        <w:ind w:hanging="0" w:start="0"/>
        <w:rPr/>
      </w:pPr>
      <w:r>
        <w:rPr/>
        <w:t>The principle of dependency</w:t>
      </w:r>
    </w:p>
    <w:p>
      <w:pPr>
        <w:pStyle w:val="WW-paragraph"/>
        <w:rPr/>
      </w:pPr>
      <w:r>
        <w:rPr/>
        <w:t xml:space="preserve">Although Sāriputta’s explanation in </w:t>
      </w:r>
      <w:hyperlink w:anchor="bqseg5">
        <w:r>
          <w:rPr>
            <w:rStyle w:val="Hyperlink"/>
          </w:rPr>
          <w:t>§5</w:t>
        </w:r>
      </w:hyperlink>
      <w:r>
        <w:rP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pPr>
        <w:pStyle w:val="WW-table-caption"/>
        <w:rPr/>
      </w:pPr>
      <w:r>
        <w:rPr/>
        <w:t>{SimpleNoRowBorders}Table 1. The twelve standard factors of Dependent Arising</w:t>
      </w:r>
    </w:p>
    <w:tbl>
      <w:tblPr>
        <w:tblW w:w="5747" w:type="dxa"/>
        <w:jc w:val="start"/>
        <w:tblInd w:w="0" w:type="dxa"/>
        <w:tblLayout w:type="fixed"/>
        <w:tblCellMar>
          <w:top w:w="0" w:type="dxa"/>
          <w:start w:w="0" w:type="dxa"/>
          <w:bottom w:w="0" w:type="dxa"/>
          <w:end w:w="0" w:type="dxa"/>
        </w:tblCellMar>
      </w:tblPr>
      <w:tblGrid>
        <w:gridCol w:w="359"/>
        <w:gridCol w:w="1293"/>
        <w:gridCol w:w="4095"/>
      </w:tblGrid>
      <w:tr>
        <w:trPr/>
        <w:tc>
          <w:tcPr>
            <w:tcW w:w="359" w:type="dxa"/>
            <w:tcBorders/>
            <w:vAlign w:val="center"/>
          </w:tcPr>
          <w:p>
            <w:pPr>
              <w:pStyle w:val="WW-paragraph"/>
              <w:spacing w:before="170" w:after="170"/>
              <w:rPr/>
            </w:pPr>
            <w:r>
              <w:rPr/>
            </w:r>
          </w:p>
        </w:tc>
        <w:tc>
          <w:tcPr>
            <w:tcW w:w="1293" w:type="dxa"/>
            <w:tcBorders/>
            <w:vAlign w:val="center"/>
          </w:tcPr>
          <w:p>
            <w:pPr>
              <w:pStyle w:val="WW-paragraph"/>
              <w:spacing w:before="170" w:after="170"/>
              <w:rPr/>
            </w:pPr>
            <w:r>
              <w:rPr>
                <w:rStyle w:val="Strong"/>
              </w:rPr>
              <w:t>Pāli</w:t>
            </w:r>
          </w:p>
        </w:tc>
        <w:tc>
          <w:tcPr>
            <w:tcW w:w="4095" w:type="dxa"/>
            <w:tcBorders/>
            <w:vAlign w:val="center"/>
          </w:tcPr>
          <w:p>
            <w:pPr>
              <w:pStyle w:val="WW-paragraph"/>
              <w:spacing w:before="170" w:after="170"/>
              <w:rPr/>
            </w:pPr>
            <w:r>
              <w:rPr>
                <w:rStyle w:val="Strong"/>
              </w:rPr>
              <w:t>Translated here as</w:t>
            </w:r>
          </w:p>
        </w:tc>
      </w:tr>
      <w:tr>
        <w:trPr/>
        <w:tc>
          <w:tcPr>
            <w:tcW w:w="359" w:type="dxa"/>
            <w:tcBorders/>
            <w:vAlign w:val="center"/>
          </w:tcPr>
          <w:p>
            <w:pPr>
              <w:pStyle w:val="WW-paragraph"/>
              <w:spacing w:before="170" w:after="170"/>
              <w:rPr/>
            </w:pPr>
            <w:r>
              <w:rPr/>
              <w:t>1</w:t>
            </w:r>
          </w:p>
        </w:tc>
        <w:tc>
          <w:tcPr>
            <w:tcW w:w="1293" w:type="dxa"/>
            <w:tcBorders/>
            <w:vAlign w:val="center"/>
          </w:tcPr>
          <w:p>
            <w:pPr>
              <w:pStyle w:val="WW-paragraph"/>
              <w:spacing w:before="170" w:after="170"/>
              <w:rPr/>
            </w:pPr>
            <w:r>
              <w:rPr>
                <w:rStyle w:val="wwc-pali"/>
              </w:rPr>
              <w:t>Avijjā</w:t>
            </w:r>
          </w:p>
        </w:tc>
        <w:tc>
          <w:tcPr>
            <w:tcW w:w="4095" w:type="dxa"/>
            <w:tcBorders/>
            <w:vAlign w:val="center"/>
          </w:tcPr>
          <w:p>
            <w:pPr>
              <w:pStyle w:val="WW-paragraph"/>
              <w:spacing w:before="170" w:after="170"/>
              <w:rPr/>
            </w:pPr>
            <w:r>
              <w:rPr/>
              <w:t>Ignorance</w:t>
            </w:r>
          </w:p>
        </w:tc>
      </w:tr>
      <w:tr>
        <w:trPr/>
        <w:tc>
          <w:tcPr>
            <w:tcW w:w="359" w:type="dxa"/>
            <w:tcBorders/>
            <w:vAlign w:val="center"/>
          </w:tcPr>
          <w:p>
            <w:pPr>
              <w:pStyle w:val="WW-paragraph"/>
              <w:spacing w:before="170" w:after="170"/>
              <w:rPr/>
            </w:pPr>
            <w:r>
              <w:rPr/>
              <w:t>2</w:t>
            </w:r>
          </w:p>
        </w:tc>
        <w:tc>
          <w:tcPr>
            <w:tcW w:w="1293" w:type="dxa"/>
            <w:tcBorders/>
            <w:vAlign w:val="center"/>
          </w:tcPr>
          <w:p>
            <w:pPr>
              <w:pStyle w:val="WW-paragraph"/>
              <w:spacing w:before="170" w:after="170"/>
              <w:rPr/>
            </w:pPr>
            <w:r>
              <w:rPr>
                <w:rStyle w:val="wwc-pali"/>
              </w:rPr>
              <w:t>Saṅkhārā</w:t>
            </w:r>
          </w:p>
        </w:tc>
        <w:tc>
          <w:tcPr>
            <w:tcW w:w="4095" w:type="dxa"/>
            <w:tcBorders/>
            <w:vAlign w:val="center"/>
          </w:tcPr>
          <w:p>
            <w:pPr>
              <w:pStyle w:val="WW-paragraph"/>
              <w:spacing w:before="170" w:after="170"/>
              <w:rPr/>
            </w:pPr>
            <w:r>
              <w:rPr/>
              <w:t>willful actions</w:t>
            </w:r>
          </w:p>
        </w:tc>
      </w:tr>
      <w:tr>
        <w:trPr/>
        <w:tc>
          <w:tcPr>
            <w:tcW w:w="359" w:type="dxa"/>
            <w:tcBorders/>
            <w:vAlign w:val="center"/>
          </w:tcPr>
          <w:p>
            <w:pPr>
              <w:pStyle w:val="WW-paragraph"/>
              <w:spacing w:before="170" w:after="170"/>
              <w:rPr/>
            </w:pPr>
            <w:r>
              <w:rPr/>
              <w:t>3</w:t>
            </w:r>
          </w:p>
        </w:tc>
        <w:tc>
          <w:tcPr>
            <w:tcW w:w="1293" w:type="dxa"/>
            <w:tcBorders/>
            <w:vAlign w:val="center"/>
          </w:tcPr>
          <w:p>
            <w:pPr>
              <w:pStyle w:val="WW-paragraph"/>
              <w:spacing w:before="170" w:after="170"/>
              <w:rPr/>
            </w:pPr>
            <w:r>
              <w:rPr>
                <w:rStyle w:val="wwc-pali"/>
              </w:rPr>
              <w:t>Viññāṇa</w:t>
            </w:r>
          </w:p>
        </w:tc>
        <w:tc>
          <w:tcPr>
            <w:tcW w:w="4095" w:type="dxa"/>
            <w:tcBorders/>
            <w:vAlign w:val="center"/>
          </w:tcPr>
          <w:p>
            <w:pPr>
              <w:pStyle w:val="WW-paragraph"/>
              <w:spacing w:before="170" w:after="170"/>
              <w:rPr/>
            </w:pPr>
            <w:r>
              <w:rPr/>
              <w:t>Consciousness</w:t>
            </w:r>
          </w:p>
        </w:tc>
      </w:tr>
      <w:tr>
        <w:trPr/>
        <w:tc>
          <w:tcPr>
            <w:tcW w:w="359" w:type="dxa"/>
            <w:tcBorders/>
            <w:vAlign w:val="center"/>
          </w:tcPr>
          <w:p>
            <w:pPr>
              <w:pStyle w:val="WW-paragraph"/>
              <w:spacing w:before="170" w:after="170"/>
              <w:rPr/>
            </w:pPr>
            <w:r>
              <w:rPr/>
              <w:t>4</w:t>
            </w:r>
          </w:p>
        </w:tc>
        <w:tc>
          <w:tcPr>
            <w:tcW w:w="1293" w:type="dxa"/>
            <w:tcBorders/>
            <w:vAlign w:val="center"/>
          </w:tcPr>
          <w:p>
            <w:pPr>
              <w:pStyle w:val="WW-paragraph"/>
              <w:spacing w:before="170" w:after="170"/>
              <w:rPr/>
            </w:pPr>
            <w:r>
              <w:rPr>
                <w:rStyle w:val="wwc-pali"/>
              </w:rPr>
              <w:t>Nāmarūpa</w:t>
            </w:r>
          </w:p>
        </w:tc>
        <w:tc>
          <w:tcPr>
            <w:tcW w:w="4095" w:type="dxa"/>
            <w:tcBorders/>
            <w:vAlign w:val="center"/>
          </w:tcPr>
          <w:p>
            <w:pPr>
              <w:pStyle w:val="WW-paragraph"/>
              <w:spacing w:before="170" w:after="170"/>
              <w:rPr/>
            </w:pPr>
            <w:r>
              <w:rPr/>
              <w:t>(Individual’s) immaterial aspects &amp; body</w:t>
            </w:r>
          </w:p>
        </w:tc>
      </w:tr>
      <w:tr>
        <w:trPr/>
        <w:tc>
          <w:tcPr>
            <w:tcW w:w="359" w:type="dxa"/>
            <w:tcBorders/>
            <w:vAlign w:val="center"/>
          </w:tcPr>
          <w:p>
            <w:pPr>
              <w:pStyle w:val="WW-paragraph"/>
              <w:spacing w:before="170" w:after="170"/>
              <w:rPr/>
            </w:pPr>
            <w:r>
              <w:rPr/>
              <w:t>5</w:t>
            </w:r>
          </w:p>
        </w:tc>
        <w:tc>
          <w:tcPr>
            <w:tcW w:w="1293" w:type="dxa"/>
            <w:tcBorders/>
            <w:vAlign w:val="center"/>
          </w:tcPr>
          <w:p>
            <w:pPr>
              <w:pStyle w:val="WW-paragraph"/>
              <w:spacing w:before="170" w:after="170"/>
              <w:rPr/>
            </w:pPr>
            <w:r>
              <w:rPr>
                <w:rStyle w:val="wwc-pali"/>
              </w:rPr>
              <w:t>Saḷāyatana</w:t>
            </w:r>
          </w:p>
        </w:tc>
        <w:tc>
          <w:tcPr>
            <w:tcW w:w="4095" w:type="dxa"/>
            <w:tcBorders/>
            <w:vAlign w:val="center"/>
          </w:tcPr>
          <w:p>
            <w:pPr>
              <w:pStyle w:val="WW-paragraph"/>
              <w:spacing w:before="170" w:after="170"/>
              <w:rPr/>
            </w:pPr>
            <w:r>
              <w:rPr/>
              <w:t>The six senses</w:t>
            </w:r>
          </w:p>
        </w:tc>
      </w:tr>
      <w:tr>
        <w:trPr/>
        <w:tc>
          <w:tcPr>
            <w:tcW w:w="359" w:type="dxa"/>
            <w:tcBorders/>
            <w:vAlign w:val="center"/>
          </w:tcPr>
          <w:p>
            <w:pPr>
              <w:pStyle w:val="WW-paragraph"/>
              <w:spacing w:before="170" w:after="170"/>
              <w:rPr/>
            </w:pPr>
            <w:r>
              <w:rPr/>
              <w:t>6</w:t>
            </w:r>
          </w:p>
        </w:tc>
        <w:tc>
          <w:tcPr>
            <w:tcW w:w="1293" w:type="dxa"/>
            <w:tcBorders/>
            <w:vAlign w:val="center"/>
          </w:tcPr>
          <w:p>
            <w:pPr>
              <w:pStyle w:val="WW-paragraph"/>
              <w:spacing w:before="170" w:after="170"/>
              <w:rPr/>
            </w:pPr>
            <w:r>
              <w:rPr>
                <w:rStyle w:val="wwc-pali"/>
              </w:rPr>
              <w:t>Phassa</w:t>
            </w:r>
          </w:p>
        </w:tc>
        <w:tc>
          <w:tcPr>
            <w:tcW w:w="4095" w:type="dxa"/>
            <w:tcBorders/>
            <w:vAlign w:val="center"/>
          </w:tcPr>
          <w:p>
            <w:pPr>
              <w:pStyle w:val="WW-paragraph"/>
              <w:spacing w:before="170" w:after="170"/>
              <w:rPr/>
            </w:pPr>
            <w:r>
              <w:rPr/>
              <w:t>Sense impression</w:t>
            </w:r>
          </w:p>
        </w:tc>
      </w:tr>
      <w:tr>
        <w:trPr/>
        <w:tc>
          <w:tcPr>
            <w:tcW w:w="359" w:type="dxa"/>
            <w:tcBorders/>
            <w:vAlign w:val="center"/>
          </w:tcPr>
          <w:p>
            <w:pPr>
              <w:pStyle w:val="WW-paragraph"/>
              <w:spacing w:before="170" w:after="170"/>
              <w:rPr/>
            </w:pPr>
            <w:r>
              <w:rPr/>
              <w:t>7</w:t>
            </w:r>
          </w:p>
        </w:tc>
        <w:tc>
          <w:tcPr>
            <w:tcW w:w="1293" w:type="dxa"/>
            <w:tcBorders/>
            <w:vAlign w:val="center"/>
          </w:tcPr>
          <w:p>
            <w:pPr>
              <w:pStyle w:val="WW-paragraph"/>
              <w:spacing w:before="170" w:after="170"/>
              <w:rPr/>
            </w:pPr>
            <w:r>
              <w:rPr>
                <w:rStyle w:val="wwc-pali"/>
              </w:rPr>
              <w:t>Vedanā</w:t>
            </w:r>
          </w:p>
        </w:tc>
        <w:tc>
          <w:tcPr>
            <w:tcW w:w="4095" w:type="dxa"/>
            <w:tcBorders/>
            <w:vAlign w:val="center"/>
          </w:tcPr>
          <w:p>
            <w:pPr>
              <w:pStyle w:val="WW-paragraph"/>
              <w:spacing w:before="170" w:after="170"/>
              <w:rPr/>
            </w:pPr>
            <w:r>
              <w:rPr/>
              <w:t>Sensation</w:t>
            </w:r>
          </w:p>
        </w:tc>
      </w:tr>
      <w:tr>
        <w:trPr/>
        <w:tc>
          <w:tcPr>
            <w:tcW w:w="359" w:type="dxa"/>
            <w:tcBorders/>
            <w:vAlign w:val="center"/>
          </w:tcPr>
          <w:p>
            <w:pPr>
              <w:pStyle w:val="WW-paragraph"/>
              <w:spacing w:before="170" w:after="170"/>
              <w:rPr/>
            </w:pPr>
            <w:r>
              <w:rPr/>
              <w:t>8</w:t>
            </w:r>
          </w:p>
        </w:tc>
        <w:tc>
          <w:tcPr>
            <w:tcW w:w="1293" w:type="dxa"/>
            <w:tcBorders/>
            <w:vAlign w:val="center"/>
          </w:tcPr>
          <w:p>
            <w:pPr>
              <w:pStyle w:val="WW-paragraph"/>
              <w:spacing w:before="170" w:after="170"/>
              <w:rPr/>
            </w:pPr>
            <w:r>
              <w:rPr>
                <w:rStyle w:val="wwc-pali"/>
              </w:rPr>
              <w:t>Taṇhā</w:t>
            </w:r>
          </w:p>
        </w:tc>
        <w:tc>
          <w:tcPr>
            <w:tcW w:w="4095" w:type="dxa"/>
            <w:tcBorders/>
            <w:vAlign w:val="center"/>
          </w:tcPr>
          <w:p>
            <w:pPr>
              <w:pStyle w:val="WW-paragraph"/>
              <w:spacing w:before="170" w:after="170"/>
              <w:rPr/>
            </w:pPr>
            <w:r>
              <w:rPr/>
              <w:t>Craving</w:t>
            </w:r>
          </w:p>
        </w:tc>
      </w:tr>
      <w:tr>
        <w:trPr/>
        <w:tc>
          <w:tcPr>
            <w:tcW w:w="359" w:type="dxa"/>
            <w:tcBorders/>
            <w:vAlign w:val="center"/>
          </w:tcPr>
          <w:p>
            <w:pPr>
              <w:pStyle w:val="WW-paragraph"/>
              <w:spacing w:before="170" w:after="170"/>
              <w:rPr/>
            </w:pPr>
            <w:r>
              <w:rPr/>
              <w:t>9</w:t>
            </w:r>
          </w:p>
        </w:tc>
        <w:tc>
          <w:tcPr>
            <w:tcW w:w="1293" w:type="dxa"/>
            <w:tcBorders/>
            <w:vAlign w:val="center"/>
          </w:tcPr>
          <w:p>
            <w:pPr>
              <w:pStyle w:val="WW-paragraph"/>
              <w:spacing w:before="170" w:after="170"/>
              <w:rPr/>
            </w:pPr>
            <w:r>
              <w:rPr>
                <w:rStyle w:val="wwc-pali"/>
              </w:rPr>
              <w:t>Upādāna</w:t>
            </w:r>
          </w:p>
        </w:tc>
        <w:tc>
          <w:tcPr>
            <w:tcW w:w="4095" w:type="dxa"/>
            <w:tcBorders/>
            <w:vAlign w:val="center"/>
          </w:tcPr>
          <w:p>
            <w:pPr>
              <w:pStyle w:val="WW-paragraph"/>
              <w:spacing w:before="170" w:after="170"/>
              <w:rPr/>
            </w:pPr>
            <w:r>
              <w:rPr/>
              <w:t>Fuel/taking up*</w:t>
            </w:r>
          </w:p>
        </w:tc>
      </w:tr>
      <w:tr>
        <w:trPr/>
        <w:tc>
          <w:tcPr>
            <w:tcW w:w="359" w:type="dxa"/>
            <w:tcBorders/>
            <w:vAlign w:val="center"/>
          </w:tcPr>
          <w:p>
            <w:pPr>
              <w:pStyle w:val="WW-paragraph"/>
              <w:spacing w:before="170" w:after="170"/>
              <w:rPr/>
            </w:pPr>
            <w:r>
              <w:rPr/>
              <w:t>10</w:t>
            </w:r>
          </w:p>
        </w:tc>
        <w:tc>
          <w:tcPr>
            <w:tcW w:w="1293" w:type="dxa"/>
            <w:tcBorders/>
            <w:vAlign w:val="center"/>
          </w:tcPr>
          <w:p>
            <w:pPr>
              <w:pStyle w:val="WW-paragraph"/>
              <w:spacing w:before="170" w:after="170"/>
              <w:rPr/>
            </w:pPr>
            <w:r>
              <w:rPr>
                <w:rStyle w:val="wwc-pali"/>
              </w:rPr>
              <w:t>Bhava</w:t>
            </w:r>
          </w:p>
        </w:tc>
        <w:tc>
          <w:tcPr>
            <w:tcW w:w="4095" w:type="dxa"/>
            <w:tcBorders/>
            <w:vAlign w:val="center"/>
          </w:tcPr>
          <w:p>
            <w:pPr>
              <w:pStyle w:val="WW-paragraph"/>
              <w:spacing w:before="170" w:after="170"/>
              <w:rPr/>
            </w:pPr>
            <w:r>
              <w:rPr/>
              <w:t>Existence</w:t>
            </w:r>
          </w:p>
        </w:tc>
      </w:tr>
      <w:tr>
        <w:trPr/>
        <w:tc>
          <w:tcPr>
            <w:tcW w:w="359" w:type="dxa"/>
            <w:tcBorders/>
            <w:vAlign w:val="center"/>
          </w:tcPr>
          <w:p>
            <w:pPr>
              <w:pStyle w:val="WW-paragraph"/>
              <w:spacing w:before="170" w:after="170"/>
              <w:rPr/>
            </w:pPr>
            <w:r>
              <w:rPr/>
              <w:t>11</w:t>
            </w:r>
          </w:p>
        </w:tc>
        <w:tc>
          <w:tcPr>
            <w:tcW w:w="1293" w:type="dxa"/>
            <w:tcBorders/>
            <w:vAlign w:val="center"/>
          </w:tcPr>
          <w:p>
            <w:pPr>
              <w:pStyle w:val="WW-paragraph"/>
              <w:spacing w:before="170" w:after="170"/>
              <w:rPr/>
            </w:pPr>
            <w:r>
              <w:rPr>
                <w:rStyle w:val="wwc-pali"/>
              </w:rPr>
              <w:t>Jāti</w:t>
            </w:r>
          </w:p>
        </w:tc>
        <w:tc>
          <w:tcPr>
            <w:tcW w:w="4095" w:type="dxa"/>
            <w:tcBorders/>
            <w:vAlign w:val="center"/>
          </w:tcPr>
          <w:p>
            <w:pPr>
              <w:pStyle w:val="WW-paragraph"/>
              <w:spacing w:before="170" w:after="170"/>
              <w:rPr/>
            </w:pPr>
            <w:r>
              <w:rPr/>
              <w:t>Birth</w:t>
            </w:r>
          </w:p>
        </w:tc>
      </w:tr>
      <w:tr>
        <w:trPr/>
        <w:tc>
          <w:tcPr>
            <w:tcW w:w="359" w:type="dxa"/>
            <w:tcBorders/>
            <w:vAlign w:val="center"/>
          </w:tcPr>
          <w:p>
            <w:pPr>
              <w:pStyle w:val="WW-paragraph"/>
              <w:spacing w:before="170" w:after="170"/>
              <w:rPr/>
            </w:pPr>
            <w:r>
              <w:rPr/>
              <w:t>12</w:t>
            </w:r>
          </w:p>
        </w:tc>
        <w:tc>
          <w:tcPr>
            <w:tcW w:w="1293" w:type="dxa"/>
            <w:tcBorders/>
            <w:vAlign w:val="center"/>
          </w:tcPr>
          <w:p>
            <w:pPr>
              <w:pStyle w:val="WW-paragraph"/>
              <w:spacing w:before="170" w:after="170"/>
              <w:rPr/>
            </w:pPr>
            <w:r>
              <w:rPr>
                <w:rStyle w:val="wwc-pali"/>
              </w:rPr>
              <w:t>Jarāmaraṇa</w:t>
            </w:r>
          </w:p>
        </w:tc>
        <w:tc>
          <w:tcPr>
            <w:tcW w:w="4095" w:type="dxa"/>
            <w:tcBorders/>
            <w:vAlign w:val="center"/>
          </w:tcPr>
          <w:p>
            <w:pPr>
              <w:pStyle w:val="WW-paragraph"/>
              <w:spacing w:before="170" w:after="170"/>
              <w:rPr/>
            </w:pPr>
            <w:r>
              <w:rPr/>
              <w:t>Old age &amp; death</w:t>
            </w:r>
          </w:p>
        </w:tc>
      </w:tr>
    </w:tbl>
    <w:p>
      <w:pPr>
        <w:pStyle w:val="WW-paragraph"/>
        <w:rPr/>
      </w:pPr>
      <w:r>
        <w:rPr/>
        <w:t xml:space="preserve">(* </w:t>
      </w:r>
      <w:r>
        <w:rPr>
          <w:rStyle w:val="wwc-pali"/>
        </w:rPr>
        <w:t>Upādāna</w:t>
      </w:r>
      <w:r>
        <w:rP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rPr/>
        <w:t xml:space="preserve"> for the continuation of existence after death, but also that a next existence is </w:t>
      </w:r>
      <w:r>
        <w:rPr>
          <w:rStyle w:val="Emphasis"/>
        </w:rPr>
        <w:t>taken up</w:t>
      </w:r>
      <w:r>
        <w:rPr/>
        <w:t xml:space="preserve"> due to craving.)</w:t>
      </w:r>
      <w:r>
        <w:rPr>
          <w:rStyle w:val="FootnoteReference"/>
        </w:rPr>
        <w:footnoteReference w:id="25"/>
      </w:r>
    </w:p>
    <w:p>
      <w:pPr>
        <w:pStyle w:val="WW-paragraph"/>
        <w:rPr/>
      </w:pPr>
      <w:r>
        <w:rP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pPr>
        <w:pStyle w:val="WW-named-section"/>
        <w:rPr/>
      </w:pPr>
      <w:r>
        <w:rPr/>
        <w:t>§9</w:t>
      </w:r>
    </w:p>
    <w:p>
      <w:pPr>
        <w:pStyle w:val="WW-blockquote"/>
        <w:rPr/>
      </w:pPr>
      <w:bookmarkStart w:id="8" w:name="bqseg9"/>
      <w:bookmarkEnd w:id="8"/>
      <w:r>
        <w:rPr/>
        <w:t>Mendicants, I, the Truth</w:t>
        <w:softHyphen/>
        <w:t>finder—with ten powers and four reasons to be self-confident</w:t>
      </w:r>
      <w:r>
        <w:rPr>
          <w:rStyle w:val="FootnoteReference"/>
        </w:rPr>
        <w:footnoteReference w:id="26"/>
      </w:r>
      <w:r>
        <w:rP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pPr>
        <w:pStyle w:val="WW-blockquote"/>
        <w:rPr/>
      </w:pPr>
      <w:r>
        <w:rPr/>
        <w:t xml:space="preserve">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7"/>
      </w:r>
    </w:p>
    <w:p>
      <w:pPr>
        <w:pStyle w:val="WW-paragraph"/>
        <w:rPr/>
      </w:pPr>
      <w:r>
        <w:rPr/>
        <w:t>The Buddha first says he will explain how the five aspects of existence originate and cease, which means he is concerned with how life is brought about and how it comes to a complete end. He will base his investigation on a principle which he words as follows:</w:t>
      </w:r>
    </w:p>
    <w:p>
      <w:pPr>
        <w:pStyle w:val="WW-paragraph"/>
        <w:numPr>
          <w:ilvl w:val="1"/>
          <w:numId w:val="5"/>
        </w:numPr>
        <w:rPr/>
      </w:pPr>
      <w:r>
        <w:rPr/>
        <w:t xml:space="preserve">There will be </w:t>
      </w:r>
      <w:r>
        <w:rPr>
          <w:rStyle w:val="Emphasis"/>
        </w:rPr>
        <w:t>this</w:t>
      </w:r>
      <w:r>
        <w:rPr/>
        <w:t xml:space="preserve">, only if there is </w:t>
      </w:r>
      <w:r>
        <w:rPr>
          <w:rStyle w:val="Emphasis"/>
        </w:rPr>
        <w:t>that</w:t>
      </w:r>
      <w:r>
        <w:rPr/>
        <w:t>.</w:t>
      </w:r>
      <w:r>
        <w:rPr>
          <w:rStyle w:val="FootnoteReference"/>
        </w:rPr>
        <w:footnoteReference w:id="28"/>
      </w:r>
      <w:r>
        <w:rPr/>
        <w:t xml:space="preserve"> </w:t>
      </w:r>
      <w:r>
        <w:rPr>
          <w:rStyle w:val="Emphasis"/>
        </w:rPr>
        <w:t>This</w:t>
      </w:r>
      <w:r>
        <w:rPr/>
        <w:t xml:space="preserve"> arises, because </w:t>
      </w:r>
      <w:r>
        <w:rPr>
          <w:rStyle w:val="Emphasis"/>
        </w:rPr>
        <w:t>that</w:t>
      </w:r>
      <w:r>
        <w:rPr/>
        <w:t xml:space="preserve"> arises.</w:t>
      </w:r>
    </w:p>
    <w:p>
      <w:pPr>
        <w:pStyle w:val="WW-paragraph"/>
        <w:numPr>
          <w:ilvl w:val="1"/>
          <w:numId w:val="5"/>
        </w:numPr>
        <w:rPr/>
      </w:pPr>
      <w:r>
        <w:rPr/>
        <w:t xml:space="preserve">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w:t>
      </w:r>
    </w:p>
    <w:p>
      <w:pPr>
        <w:pStyle w:val="WW-paragraph"/>
        <w:numPr>
          <w:ilvl w:val="1"/>
          <w:numId w:val="5"/>
        </w:numPr>
        <w:rPr/>
      </w:pPr>
      <w:r>
        <w:rPr/>
        <w:t xml:space="preserve">In other words, </w:t>
      </w:r>
      <w:r>
        <w:rPr>
          <w:rStyle w:val="Emphasis"/>
        </w:rPr>
        <w:t>this</w:t>
      </w:r>
      <w:r>
        <w:rPr/>
        <w:t xml:space="preserve"> depends on </w:t>
      </w:r>
      <w:r>
        <w:rPr>
          <w:rStyle w:val="Emphasis"/>
        </w:rPr>
        <w:t>that</w:t>
      </w:r>
      <w:r>
        <w:rPr/>
        <w:t>.</w:t>
      </w:r>
    </w:p>
    <w:p>
      <w:pPr>
        <w:pStyle w:val="WW-paragraph"/>
        <w:rPr/>
      </w:pPr>
      <w:r>
        <w:rPr/>
        <w:t>We can rephrase this more modernly as:</w:t>
      </w:r>
    </w:p>
    <w:p>
      <w:pPr>
        <w:pStyle w:val="WW-paragraph"/>
        <w:numPr>
          <w:ilvl w:val="1"/>
          <w:numId w:val="5"/>
        </w:numPr>
        <w:rPr/>
      </w:pPr>
      <w:r>
        <w:rPr/>
        <w:t xml:space="preserve">There will be </w:t>
      </w:r>
      <w:r>
        <w:rPr>
          <w:rStyle w:val="Emphasis"/>
        </w:rPr>
        <w:t>B</w:t>
      </w:r>
      <w:r>
        <w:rPr/>
        <w:t xml:space="preserve">, only if there is </w:t>
      </w:r>
      <w:r>
        <w:rPr>
          <w:rStyle w:val="Emphasis"/>
        </w:rPr>
        <w:t>A</w:t>
      </w:r>
      <w:r>
        <w:rPr/>
        <w:t xml:space="preserve">. </w:t>
      </w:r>
      <w:r>
        <w:rPr>
          <w:rStyle w:val="Emphasis"/>
        </w:rPr>
        <w:t>B</w:t>
      </w:r>
      <w:r>
        <w:rPr/>
        <w:t xml:space="preserve"> arises, because </w:t>
      </w:r>
      <w:r>
        <w:rPr>
          <w:rStyle w:val="Emphasis"/>
        </w:rPr>
        <w:t>A</w:t>
      </w:r>
      <w:r>
        <w:rPr/>
        <w:t xml:space="preserve"> arises.</w:t>
      </w:r>
    </w:p>
    <w:p>
      <w:pPr>
        <w:pStyle w:val="WW-paragraph"/>
        <w:numPr>
          <w:ilvl w:val="1"/>
          <w:numId w:val="5"/>
        </w:numPr>
        <w:rPr/>
      </w:pPr>
      <w:r>
        <w:rPr/>
        <w:t xml:space="preserve">If there is no </w:t>
      </w:r>
      <w:r>
        <w:rPr>
          <w:rStyle w:val="Emphasis"/>
        </w:rPr>
        <w:t>A</w:t>
      </w:r>
      <w:r>
        <w:rPr/>
        <w:t xml:space="preserve">, there won’t be </w:t>
      </w:r>
      <w:r>
        <w:rPr>
          <w:rStyle w:val="Emphasis"/>
        </w:rPr>
        <w:t>B</w:t>
      </w:r>
      <w:r>
        <w:rPr/>
        <w:t xml:space="preserve">. If </w:t>
      </w:r>
      <w:r>
        <w:rPr>
          <w:rStyle w:val="Emphasis"/>
        </w:rPr>
        <w:t>A</w:t>
      </w:r>
      <w:r>
        <w:rPr/>
        <w:t xml:space="preserve"> ceases, </w:t>
      </w:r>
      <w:r>
        <w:rPr>
          <w:rStyle w:val="Emphasis"/>
        </w:rPr>
        <w:t>B</w:t>
      </w:r>
      <w:r>
        <w:rPr/>
        <w:t xml:space="preserve"> will cease.</w:t>
      </w:r>
    </w:p>
    <w:p>
      <w:pPr>
        <w:pStyle w:val="WW-paragraph"/>
        <w:numPr>
          <w:ilvl w:val="1"/>
          <w:numId w:val="5"/>
        </w:numPr>
        <w:rPr/>
      </w:pPr>
      <w:r>
        <w:rPr>
          <w:rStyle w:val="Emphasis"/>
        </w:rPr>
        <w:t>B</w:t>
      </w:r>
      <w:r>
        <w:rPr/>
        <w:t xml:space="preserve"> depends on </w:t>
      </w:r>
      <w:r>
        <w:rPr>
          <w:rStyle w:val="Emphasis"/>
        </w:rPr>
        <w:t>A</w:t>
      </w:r>
      <w:r>
        <w:rPr/>
        <w:t>.</w:t>
      </w:r>
    </w:p>
    <w:p>
      <w:pPr>
        <w:pStyle w:val="WW-paragraph"/>
        <w:rPr/>
      </w:pPr>
      <w:r>
        <w:rPr/>
        <w:t>Much has been philosophized about these short sentences, but the principle they describe is not difficult to understand. For the sake of illustration, here is first an example of the principle applied to something outside of Dependent Arising:</w:t>
      </w:r>
    </w:p>
    <w:p>
      <w:pPr>
        <w:pStyle w:val="WW-paragraph"/>
        <w:numPr>
          <w:ilvl w:val="1"/>
          <w:numId w:val="5"/>
        </w:numPr>
        <w:rPr/>
      </w:pPr>
      <w:r>
        <w:rPr/>
        <w:t>There will be rain, only if there are clouds. Rain happens because clouds form.</w:t>
      </w:r>
    </w:p>
    <w:p>
      <w:pPr>
        <w:pStyle w:val="WW-paragraph"/>
        <w:numPr>
          <w:ilvl w:val="1"/>
          <w:numId w:val="5"/>
        </w:numPr>
        <w:rPr/>
      </w:pPr>
      <w:r>
        <w:rPr/>
        <w:t>If there are no clouds, there won’t be rain. If the clouds disappear, the rain will stop.</w:t>
      </w:r>
    </w:p>
    <w:p>
      <w:pPr>
        <w:pStyle w:val="WW-paragraph"/>
        <w:numPr>
          <w:ilvl w:val="1"/>
          <w:numId w:val="5"/>
        </w:numPr>
        <w:rPr/>
      </w:pPr>
      <w:r>
        <w:rPr/>
        <w:t>Rain depends on clouds.</w:t>
      </w:r>
    </w:p>
    <w:p>
      <w:pPr>
        <w:pStyle w:val="WW-paragraph"/>
        <w:rPr/>
      </w:pPr>
      <w:r>
        <w:rPr/>
        <w:t xml:space="preserve">The point is simple: there can be no rain without clouds. In other words, rain </w:t>
      </w:r>
      <w:r>
        <w:rPr>
          <w:rStyle w:val="Emphasis"/>
        </w:rPr>
        <w:t>requires</w:t>
      </w:r>
      <w:r>
        <w:rPr/>
        <w:t xml:space="preserve"> clouds. Clouds are </w:t>
      </w:r>
      <w:r>
        <w:rPr>
          <w:rStyle w:val="Emphasis"/>
        </w:rPr>
        <w:t>needed for</w:t>
      </w:r>
      <w:r>
        <w:rPr/>
        <w:t xml:space="preserve"> rain. Rain </w:t>
      </w:r>
      <w:r>
        <w:rPr>
          <w:rStyle w:val="Emphasis"/>
        </w:rPr>
        <w:t>depends on</w:t>
      </w:r>
      <w:r>
        <w:rPr/>
        <w:t xml:space="preserve"> clouds. Or, for those familiar with logical terminology, clouds are </w:t>
      </w:r>
      <w:r>
        <w:rPr>
          <w:rStyle w:val="Emphasis"/>
        </w:rPr>
        <w:t>a necessary condition</w:t>
      </w:r>
      <w:r>
        <w:rPr/>
        <w:t xml:space="preserve"> for rain.</w:t>
      </w:r>
    </w:p>
    <w:p>
      <w:pPr>
        <w:pStyle w:val="WW-paragraph"/>
        <w:rPr/>
      </w:pPr>
      <w:r>
        <w:rPr/>
        <w:t>But the Buddha did not apply his investigation to rain, nor to any other phenomena in the outside world.</w:t>
      </w:r>
      <w:r>
        <w:rPr>
          <w:rStyle w:val="FootnoteReference"/>
        </w:rPr>
        <w:footnoteReference w:id="29"/>
      </w:r>
      <w:r>
        <w:rPr/>
        <w:t xml:space="preserve"> He was interested in suffering, which is found inside of beings. So next is an example of the principle that stays within the context where it was meant to be applied, that of Dependent Arising:</w:t>
      </w:r>
    </w:p>
    <w:p>
      <w:pPr>
        <w:pStyle w:val="WW-paragraph"/>
        <w:numPr>
          <w:ilvl w:val="1"/>
          <w:numId w:val="7"/>
        </w:numPr>
        <w:rPr/>
      </w:pPr>
      <w:r>
        <w:rPr/>
        <w:t>There will be death, only if there is birth. Death happens because birth happened first.</w:t>
      </w:r>
    </w:p>
    <w:p>
      <w:pPr>
        <w:pStyle w:val="WW-paragraph"/>
        <w:numPr>
          <w:ilvl w:val="1"/>
          <w:numId w:val="7"/>
        </w:numPr>
        <w:rPr/>
      </w:pPr>
      <w:r>
        <w:rPr/>
        <w:t>If there is no birth, there won’t be death. If birth ceases, death will cease.</w:t>
      </w:r>
    </w:p>
    <w:p>
      <w:pPr>
        <w:pStyle w:val="WW-paragraph"/>
        <w:numPr>
          <w:ilvl w:val="1"/>
          <w:numId w:val="7"/>
        </w:numPr>
        <w:rPr/>
      </w:pPr>
      <w:r>
        <w:rPr/>
        <w:t>Death depends on birth.</w:t>
      </w:r>
    </w:p>
    <w:p>
      <w:pPr>
        <w:pStyle w:val="WW-paragraph"/>
        <w:rPr/>
      </w:pPr>
      <w:r>
        <w:rPr/>
        <w:t>Put simply: you will die because you were born; but if you don’t get reborn, you won’t die again.</w:t>
      </w:r>
    </w:p>
    <w:p>
      <w:pPr>
        <w:pStyle w:val="WW-paragraph"/>
        <w:rPr/>
      </w:pPr>
      <w:r>
        <w:rPr/>
        <w:t>This principle is called ‘dependency’ (</w:t>
      </w:r>
      <w:r>
        <w:rPr>
          <w:rStyle w:val="wwc-pali"/>
        </w:rPr>
        <w:t>idap-paccayatā</w:t>
      </w:r>
      <w:r>
        <w:rPr/>
        <w:t>),</w:t>
      </w:r>
      <w:r>
        <w:rPr>
          <w:rStyle w:val="FootnoteReference"/>
        </w:rPr>
        <w:footnoteReference w:id="30"/>
      </w:r>
      <w:r>
        <w:rPr/>
        <w:t xml:space="preserve"> which explains the name ‘Dependent Arising’ (</w:t>
      </w:r>
      <w:r>
        <w:rPr>
          <w:rStyle w:val="wwc-pali"/>
        </w:rPr>
        <w:t>paṭicca-samuppāda</w:t>
      </w:r>
      <w:r>
        <w:rPr/>
        <w:t xml:space="preserve">). The words </w:t>
      </w:r>
      <w:r>
        <w:rPr>
          <w:rStyle w:val="wwc-pali"/>
        </w:rPr>
        <w:t>paccaya</w:t>
      </w:r>
      <w:r>
        <w:rPr/>
        <w:t xml:space="preserve"> and </w:t>
      </w:r>
      <w:r>
        <w:rPr>
          <w:rStyle w:val="wwc-pali"/>
        </w:rPr>
        <w:t>paṭicca</w:t>
      </w:r>
      <w:r>
        <w:rPr/>
        <w:t xml:space="preserve"> both come from the verb </w:t>
      </w:r>
      <w:r>
        <w:rPr>
          <w:rStyle w:val="wwc-pali"/>
        </w:rPr>
        <w:t>pacceti</w:t>
      </w:r>
      <w:r>
        <w:rPr/>
        <w:t>, meaning ‘to fall back on, to depend on’. The principle has also been called ‘conditionality’, which loses the link between these two terms but means the same.</w:t>
      </w:r>
    </w:p>
    <w:p>
      <w:pPr>
        <w:pStyle w:val="WW-paragraph"/>
        <w:rPr/>
      </w:pPr>
      <w:r>
        <w:rPr/>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pPr>
        <w:pStyle w:val="WW-paragraph"/>
        <w:rPr/>
      </w:pPr>
      <w:r>
        <w:rPr/>
        <w:t>To illustrate:</w:t>
      </w:r>
    </w:p>
    <w:p>
      <w:pPr>
        <w:pStyle w:val="WW-figure"/>
        <w:rPr/>
      </w:pPr>
      <w:r>
        <w:rPr/>
        <w:t xml:space="preserve">./img/bricksstack.png=A stack of twelve bricks. The bottom one is labeled ‘ignorance’, the top one ‘suffering’, and one in between ‘rebirth’.=30=border </w:t>
        <w:br/>
        <w:t xml:space="preserve">./img/bricksfalling.png=A hand grabbing the bottom brick and the tower falling over. The bottom brick is labeled ‘no ignorance’, the top one ‘no suffering’, and one in between ‘no rebirth’.=30=border </w:t>
        <w:br/>
        <w:t>Figure 1. Dependent Arising as a tower of bricks</w:t>
      </w:r>
    </w:p>
    <w:p>
      <w:pPr>
        <w:pStyle w:val="WW-paragraph"/>
        <w:rPr/>
      </w:pPr>
      <w:r>
        <w:rP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rPr/>
        <w:t xml:space="preserve">: “You closely and properly focus on the dependent arising of things, reflecting: ‘There will be </w:t>
      </w:r>
      <w:r>
        <w:rPr>
          <w:rStyle w:val="Emphasis"/>
        </w:rPr>
        <w:t>this</w:t>
      </w:r>
      <w:r>
        <w:rPr/>
        <w:t xml:space="preserve">, only if there is </w:t>
      </w:r>
      <w:r>
        <w:rPr>
          <w:rStyle w:val="Emphasis"/>
        </w:rPr>
        <w:t>that</w:t>
      </w:r>
      <w:r>
        <w:rPr/>
        <w:t>. […] That is to say: Dependent on ignorance […]” The principle is meant to be applied to your personal experience to understand, among other things, how you yourself have been creating rebirth and may do so again in the future.</w:t>
      </w:r>
    </w:p>
    <w:p>
      <w:pPr>
        <w:pStyle w:val="WW-chapter-section-1"/>
        <w:ind w:hanging="0" w:start="0"/>
        <w:rPr/>
      </w:pPr>
      <w:r>
        <w:rPr/>
        <w:t>The centrality of rebirth</w:t>
      </w:r>
    </w:p>
    <w:p>
      <w:pPr>
        <w:pStyle w:val="WW-paragraph"/>
        <w:rPr/>
      </w:pPr>
      <w:r>
        <w:rPr/>
        <w:t>Many of the links in Dependent Arising are not only necessary conditions but also sufficient conditions.</w:t>
      </w:r>
      <w:r>
        <w:rPr>
          <w:rStyle w:val="FootnoteReference"/>
        </w:rPr>
        <w:footnoteReference w:id="31"/>
      </w:r>
      <w:r>
        <w:rPr/>
        <w:t xml:space="preserve"> Sufficient conditions guarantee their outcome. For example, if there is birth, there will always be death as a consequence. Birth </w:t>
      </w:r>
      <w:r>
        <w:rPr>
          <w:rStyle w:val="Emphasis"/>
        </w:rPr>
        <w:t>guarantees</w:t>
      </w:r>
      <w:r>
        <w:rP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pPr>
        <w:pStyle w:val="WW-paragraph"/>
        <w:rPr/>
      </w:pPr>
      <w:r>
        <w:rPr/>
        <w:t>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Ānanda:</w:t>
      </w:r>
    </w:p>
    <w:p>
      <w:pPr>
        <w:pStyle w:val="WW-named-section"/>
        <w:rPr/>
      </w:pPr>
      <w:r>
        <w:rPr/>
        <w:t>§10</w:t>
      </w:r>
    </w:p>
    <w:p>
      <w:pPr>
        <w:pStyle w:val="WW-blockquote"/>
        <w:rPr/>
      </w:pPr>
      <w:bookmarkStart w:id="9" w:name="bqseg10"/>
      <w:bookmarkEnd w:id="9"/>
      <w:r>
        <w:rPr/>
        <w:t>It is because of not understanding and not penetrating this teaching [of Dependent Arising] that this population […] does leave behind the plane of misery, the bad destinations, the nether world, and transmigration (</w:t>
      </w:r>
      <w:r>
        <w:rPr>
          <w:rStyle w:val="wwc-pali"/>
        </w:rPr>
        <w:t>saṁsāra</w:t>
      </w:r>
      <w:r>
        <w:rPr/>
        <w:t>).</w:t>
      </w:r>
      <w:r>
        <w:rPr>
          <w:rStyle w:val="FootnoteReference"/>
        </w:rPr>
        <w:footnoteReference w:id="32"/>
      </w:r>
    </w:p>
    <w:p>
      <w:pPr>
        <w:pStyle w:val="WW-paragraph"/>
        <w:rPr/>
      </w:pPr>
      <w:r>
        <w:rP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pPr>
        <w:pStyle w:val="WW-named-section"/>
        <w:rPr/>
      </w:pPr>
      <w:r>
        <w:rPr/>
        <w:t>§11</w:t>
      </w:r>
    </w:p>
    <w:p>
      <w:pPr>
        <w:pStyle w:val="WW-blockquote"/>
        <w:rPr/>
      </w:pPr>
      <w:bookmarkStart w:id="10" w:name="bqseg11"/>
      <w:bookmarkEnd w:id="10"/>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Then I thought: ‘There will be old age and death, only if there is what? What do old age and death depend on?’ Then, by focusing properly, I comprehended it, understanding that there will be old age and death, only if there is birth. Old age and death depend on birth.</w:t>
      </w:r>
    </w:p>
    <w:p>
      <w:pPr>
        <w:pStyle w:val="WW-blockquote"/>
        <w:rPr/>
      </w:pPr>
      <w:r>
        <w:rPr/>
        <w:t>Then I thought: ‘There will be birth, only if there is what? What does birth depend on?’ Then, by focusing properly, I comprehended it, understanding that there will be birth, only if there is [further] existence. Birth depends on existence.</w:t>
      </w:r>
    </w:p>
    <w:p>
      <w:pPr>
        <w:pStyle w:val="WW-blockquote"/>
        <w:rPr/>
      </w:pPr>
      <w:r>
        <w:rPr/>
        <w:t>Then I thought: ‘There will be existence, only if there is what? What does existence depend on?’ Then, by focusing properly, I comprehended it, understanding that there will be existence, only if there is fuel/taking up. Existence depends on fuel/taking up.</w:t>
      </w:r>
    </w:p>
    <w:p>
      <w:pPr>
        <w:pStyle w:val="WW-blockquote"/>
        <w:rPr/>
      </w:pPr>
      <w:r>
        <w:rPr/>
        <w:t>Then I thought: ‘There will be fuel/taking up, only if there is what? What does fuel/taking up depend on?’ Then, by focusing properly, I comprehended it, understanding that there will be fuel/taking up, only if there is craving. Fuel/taking up depends on craving.</w:t>
      </w:r>
    </w:p>
    <w:p>
      <w:pPr>
        <w:pStyle w:val="WW-blockquote"/>
        <w:rPr/>
      </w:pPr>
      <w:r>
        <w:rPr/>
        <w:t>Then I thought: ‘There will be craving, only if there is what? What does craving depend on?’ Then, by focusing properly, I comprehended it, understanding that there will be craving, only if there are sensations. Craving depends on sensations.</w:t>
      </w:r>
    </w:p>
    <w:p>
      <w:pPr>
        <w:pStyle w:val="WW-blockquote"/>
        <w:rPr/>
      </w:pPr>
      <w:r>
        <w:rPr/>
        <w:t>Then I thought: ‘There will be sensations, only if there is what? What do sensations depend on?’ Then, by focusing properly, I comprehended it, understanding that there will be sensations, only if there are sense impressions. Sensations depend on sense impressions.</w:t>
      </w:r>
    </w:p>
    <w:p>
      <w:pPr>
        <w:pStyle w:val="WW-blockquote"/>
        <w:rPr/>
      </w:pPr>
      <w:r>
        <w:rP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pPr>
        <w:pStyle w:val="WW-blockquote"/>
        <w:rPr/>
      </w:pPr>
      <w:r>
        <w:rP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pPr>
        <w:pStyle w:val="WW-blockquote"/>
        <w:rPr/>
      </w:pPr>
      <w:r>
        <w:rP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rPr/>
        <w:t>illful actions depend on ignorance.</w:t>
      </w:r>
    </w:p>
    <w:p>
      <w:pPr>
        <w:pStyle w:val="WW-blockquote"/>
        <w:rPr/>
      </w:pPr>
      <w:r>
        <w:rP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Mendicants, that is how I understood origination, gaining insight, comprehension, understanding, knowledge, and illumination of things not taught before.</w:t>
      </w:r>
    </w:p>
    <w:p>
      <w:pPr>
        <w:pStyle w:val="WW-blockquote"/>
        <w:rPr/>
      </w:pPr>
      <w:r>
        <w:rP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pPr>
        <w:pStyle w:val="WW-blockquote"/>
        <w:rPr/>
      </w:pPr>
      <w:r>
        <w:rPr/>
        <w:t>Then I thought: ‘There won’t be birth, if there isn’t what? Birth will cease, if what ceases?’ Then, by focusing properly, I comprehended it, understanding that there won’t be birth, if there is no existence. If existence ceases, birth will cease.</w:t>
      </w:r>
    </w:p>
    <w:p>
      <w:pPr>
        <w:pStyle w:val="WW-blockquote"/>
        <w:rPr/>
      </w:pPr>
      <w:r>
        <w:rPr/>
        <w:t>Then I thought: ‘There won’t be existence, if there isn’t what? Existence will cease, if what ceases?’ Then, by focusing properly, I comprehended it, understanding that there won’t be existence, if there is no fuel/taking up. If fuel/taking up ceases, existence will cease.</w:t>
      </w:r>
    </w:p>
    <w:p>
      <w:pPr>
        <w:pStyle w:val="WW-blockquote"/>
        <w:rPr/>
      </w:pPr>
      <w:r>
        <w:rPr/>
        <w:t>Then I thought: ‘There won’t be fuel/taking up, if there isn’t what? Fuel/taking up will cease, if what ceases?’ Then, by focusing properly, I comprehended it, understanding that there won’t be fuel/taking up, if there is no craving. If craving ceases, fuel/taking up will cease.</w:t>
      </w:r>
    </w:p>
    <w:p>
      <w:pPr>
        <w:pStyle w:val="WW-blockquote"/>
        <w:rPr/>
      </w:pPr>
      <w:r>
        <w:rPr/>
        <w:t>Then I thought: ‘There won’t be craving, if there isn’t what? Craving will cease, if what ceases?’ Then, by focusing properly, I comprehended it, understanding that there won’t be craving, if there are no sensations. If sensations cease, craving will cease.</w:t>
      </w:r>
    </w:p>
    <w:p>
      <w:pPr>
        <w:pStyle w:val="WW-blockquote"/>
        <w:rPr/>
      </w:pPr>
      <w:r>
        <w:rP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pPr>
        <w:pStyle w:val="WW-blockquote"/>
        <w:rPr/>
      </w:pPr>
      <w:r>
        <w:rP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pPr>
        <w:pStyle w:val="WW-blockquote"/>
        <w:rPr/>
      </w:pPr>
      <w:r>
        <w:rP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pPr>
        <w:pStyle w:val="WW-blockquote"/>
        <w:rPr/>
      </w:pPr>
      <w:r>
        <w:rP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pPr>
        <w:pStyle w:val="WW-blockquote"/>
        <w:rPr/>
      </w:pPr>
      <w:r>
        <w:rP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pPr>
        <w:pStyle w:val="WW-blockquote"/>
        <w:rPr/>
      </w:pPr>
      <w:r>
        <w:rPr/>
        <w:t xml:space="preserve">Then I thought: ‘There won’t be willful actions, if there isn’t what? </w:t>
      </w:r>
      <w:r>
        <w:rPr>
          <w:lang w:val="en-US"/>
        </w:rPr>
        <w:t>Willful</w:t>
      </w:r>
      <w:r>
        <w:rPr/>
        <w:t xml:space="preserve"> actions will cease, if what ceases?’ Then, by focusing properly, I comprehended it, understanding that there won’t be willful actions, if there is no ignorance. If ignorance ceases, willful actions will cease.</w:t>
      </w:r>
    </w:p>
    <w:p>
      <w:pPr>
        <w:pStyle w:val="WW-blockquote"/>
        <w:rPr/>
      </w:pPr>
      <w:r>
        <w:rP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pPr>
        <w:pStyle w:val="WW-blockquote"/>
        <w:rPr/>
      </w:pPr>
      <w:r>
        <w:rPr/>
        <w:t>Mendicants, that is how I understood cessation, gaining insight, comprehension, understanding, knowledge, and illumination of things not taught before.</w:t>
      </w:r>
      <w:r>
        <w:rPr>
          <w:rStyle w:val="FootnoteReference"/>
        </w:rPr>
        <w:footnoteReference w:id="33"/>
      </w:r>
    </w:p>
    <w:p>
      <w:pPr>
        <w:pStyle w:val="WW-paragraph"/>
        <w:rPr/>
      </w:pPr>
      <w:r>
        <w:rP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rPr/>
        <w:t xml:space="preserve"> which is said to be directly dependent on birth, not old age and death as in the standard sequence. It says: “And what is the direct condition for suffering? Birth, you should answer.”</w:t>
      </w:r>
      <w:r>
        <w:rPr>
          <w:rStyle w:val="FootnoteReference"/>
        </w:rPr>
        <w:footnoteReference w:id="34"/>
      </w:r>
      <w:r>
        <w:rPr/>
        <w:t xml:space="preserve"> This also reinforces what was mentioned before, that once a being is born, suffering is inevitable as long as they are alive.</w:t>
      </w:r>
    </w:p>
    <w:p>
      <w:pPr>
        <w:pStyle w:val="WW-chapter-section-1"/>
        <w:ind w:hanging="0" w:start="0"/>
        <w:rPr/>
      </w:pPr>
      <w:r>
        <w:rPr/>
        <w:t>The meaning of the factors</w:t>
      </w:r>
    </w:p>
    <w:p>
      <w:pPr>
        <w:pStyle w:val="WW-paragraph"/>
        <w:rPr/>
      </w:pPr>
      <w:r>
        <w:rP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pPr>
        <w:pStyle w:val="WW-paragraph"/>
        <w:rPr/>
      </w:pPr>
      <w:r>
        <w:rPr/>
        <w:t>One, the bare twelvefold sequence is not meant to be a full explanation itself, but primarily serves as a mnemonic device (something easy to remember).</w:t>
      </w:r>
      <w:r>
        <w:rPr>
          <w:rStyle w:val="FootnoteReference"/>
        </w:rPr>
        <w:footnoteReference w:id="35"/>
      </w:r>
      <w:r>
        <w:rP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pPr>
        <w:pStyle w:val="WW-paragraph"/>
        <w:rPr/>
      </w:pPr>
      <w:r>
        <w:rP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rP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rPr/>
        <w:t>: “the anachronistic introduction of present-day ideas and perspectives into depictions or interpretations of the past”.</w:t>
      </w:r>
      <w:r>
        <w:rPr>
          <w:rStyle w:val="FootnoteReference"/>
        </w:rPr>
        <w:footnoteReference w:id="36"/>
      </w:r>
    </w:p>
    <w:p>
      <w:pPr>
        <w:pStyle w:val="WW-paragraph"/>
        <w:rPr/>
      </w:pPr>
      <w:r>
        <w:rP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rP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pPr>
        <w:pStyle w:val="WW-paragraph"/>
        <w:rPr/>
      </w:pPr>
      <w:r>
        <w:rP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7"/>
      </w:r>
      <w:r>
        <w:rP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pPr>
        <w:pStyle w:val="WW-chapter-section-1"/>
        <w:ind w:hanging="0" w:start="0"/>
        <w:rPr/>
      </w:pPr>
      <w:r>
        <w:rPr/>
        <w:t>Summary of Dependent Arising</w:t>
      </w:r>
    </w:p>
    <w:p>
      <w:pPr>
        <w:pStyle w:val="WW-paragraph"/>
        <w:rPr/>
      </w:pPr>
      <w:r>
        <w:rPr/>
        <w:t>With the above principles in mind, I arrived at an understanding of Dependent Arising that differs little from that of most traditional Buddhist schools.</w:t>
      </w:r>
      <w:r>
        <w:rPr>
          <w:rStyle w:val="FootnoteReference"/>
        </w:rPr>
        <w:footnoteReference w:id="38"/>
      </w:r>
      <w:r>
        <w:rP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rPr/>
        <w:t xml:space="preserve">, they perform certain intentional acts, also known as karma. At death, driven along by craving, these </w:t>
      </w:r>
      <w:r>
        <w:rPr>
          <w:rStyle w:val="Strong"/>
        </w:rPr>
        <w:t>willful actions</w:t>
      </w:r>
      <w:r>
        <w:rPr/>
        <w:t xml:space="preserve"> direct the being’s </w:t>
      </w:r>
      <w:r>
        <w:rPr>
          <w:rStyle w:val="Strong"/>
        </w:rPr>
        <w:t>consciousness</w:t>
      </w:r>
      <w:r>
        <w:rP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rPr/>
        <w:t xml:space="preserve">, with the ‘immaterial aspects’ being general features of the being’s “inner world”. When beings are born, there are </w:t>
      </w:r>
      <w:r>
        <w:rPr>
          <w:rStyle w:val="Strong"/>
        </w:rPr>
        <w:t>the six senses</w:t>
      </w:r>
      <w:r>
        <w:rPr/>
        <w:t xml:space="preserve">, the five physical ones plus the mind. When these senses are aware of things, there are </w:t>
      </w:r>
      <w:r>
        <w:rPr>
          <w:rStyle w:val="Strong"/>
        </w:rPr>
        <w:t>sense impressions</w:t>
      </w:r>
      <w:r>
        <w:rPr/>
        <w:t xml:space="preserve">, which result in pleasant, painful, and neutral </w:t>
      </w:r>
      <w:r>
        <w:rPr>
          <w:rStyle w:val="Strong"/>
        </w:rPr>
        <w:t>sensations</w:t>
      </w:r>
      <w:r>
        <w:rPr/>
        <w:t xml:space="preserve">. As long as there still is ignorance, </w:t>
      </w:r>
      <w:r>
        <w:rPr>
          <w:rStyle w:val="Strong"/>
        </w:rPr>
        <w:t>craving</w:t>
      </w:r>
      <w:r>
        <w:rPr/>
        <w:t xml:space="preserve"> arises to experience certain sensations and avoid others. Such cravings will continue at the time of death, when it becomes the </w:t>
      </w:r>
      <w:r>
        <w:rPr>
          <w:rStyle w:val="Emphasis"/>
        </w:rPr>
        <w:t>fuel</w:t>
      </w:r>
      <w:r>
        <w:rPr/>
        <w:t xml:space="preserve"> for rebirth. Or, from a different perspective, out of craving beings </w:t>
      </w:r>
      <w:r>
        <w:rPr>
          <w:rStyle w:val="Emphasis"/>
        </w:rPr>
        <w:t>take up</w:t>
      </w:r>
      <w:r>
        <w:rPr/>
        <w:t xml:space="preserve"> the five aspects of existence again. This </w:t>
      </w:r>
      <w:r>
        <w:rPr>
          <w:rStyle w:val="Strong"/>
        </w:rPr>
        <w:t>fuel/taking up</w:t>
      </w:r>
      <w:r>
        <w:rPr/>
        <w:t xml:space="preserve"> causes a next </w:t>
      </w:r>
      <w:r>
        <w:rPr>
          <w:rStyle w:val="Strong"/>
        </w:rPr>
        <w:t>existence</w:t>
      </w:r>
      <w:r>
        <w:rPr/>
        <w:t xml:space="preserve"> after death and a resultant </w:t>
      </w:r>
      <w:r>
        <w:rPr>
          <w:rStyle w:val="Strong"/>
        </w:rPr>
        <w:t>birth</w:t>
      </w:r>
      <w:r>
        <w:rPr/>
        <w:t xml:space="preserve"> in a next life. Once the being is born, there is </w:t>
      </w:r>
      <w:r>
        <w:rPr>
          <w:rStyle w:val="Strong"/>
        </w:rPr>
        <w:t>suffering, including old age and death</w:t>
      </w:r>
      <w:r>
        <w:rPr/>
        <w:t>. But when the being gets enlightened, ignorance and craving disappear, and the whole chain collapses. Then suffering will come to an end at death, when all experiences cease as the six senses disappear.</w:t>
      </w:r>
    </w:p>
    <w:p>
      <w:pPr>
        <w:pStyle w:val="WW-paragraph"/>
        <w:rPr/>
      </w:pPr>
      <w:r>
        <w:rPr/>
        <w:t>All this can happen because there is no solid essence in any part of existence, no self involved in any of the links. This absence of a self (</w:t>
      </w:r>
      <w:r>
        <w:rPr>
          <w:rStyle w:val="wwc-pali"/>
        </w:rPr>
        <w:t>anatta</w:t>
      </w:r>
      <w:r>
        <w:rP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pPr>
        <w:pStyle w:val="WW-paragraph"/>
        <w:rPr/>
      </w:pPr>
      <w:r>
        <w:rP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rP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pPr>
        <w:pStyle w:val="WW-table-caption"/>
        <w:rPr/>
      </w:pPr>
      <w:r>
        <w:rPr/>
        <w:t>{SimpleNoRowBorders}Table 2. The two parallel sequences in Dependent Arising</w:t>
      </w:r>
    </w:p>
    <w:tbl>
      <w:tblPr>
        <w:tblW w:w="7404" w:type="dxa"/>
        <w:jc w:val="start"/>
        <w:tblInd w:w="0" w:type="dxa"/>
        <w:tblLayout w:type="fixed"/>
        <w:tblCellMar>
          <w:top w:w="0" w:type="dxa"/>
          <w:start w:w="0" w:type="dxa"/>
          <w:bottom w:w="0" w:type="dxa"/>
          <w:end w:w="0" w:type="dxa"/>
        </w:tblCellMar>
      </w:tblPr>
      <w:tblGrid>
        <w:gridCol w:w="1106"/>
        <w:gridCol w:w="2399"/>
        <w:gridCol w:w="2270"/>
        <w:gridCol w:w="1629"/>
      </w:tblGrid>
      <w:tr>
        <w:trPr/>
        <w:tc>
          <w:tcPr>
            <w:tcW w:w="1106" w:type="dxa"/>
            <w:tcBorders/>
            <w:vAlign w:val="center"/>
          </w:tcPr>
          <w:p>
            <w:pPr>
              <w:pStyle w:val="WW-paragraph"/>
              <w:spacing w:before="170" w:after="170"/>
              <w:rPr/>
            </w:pPr>
            <w:r>
              <w:rPr/>
            </w:r>
          </w:p>
        </w:tc>
        <w:tc>
          <w:tcPr>
            <w:tcW w:w="2399" w:type="dxa"/>
            <w:tcBorders/>
            <w:vAlign w:val="center"/>
          </w:tcPr>
          <w:p>
            <w:pPr>
              <w:pStyle w:val="WW-paragraph"/>
              <w:spacing w:before="170" w:after="170"/>
              <w:rPr/>
            </w:pPr>
            <w:r>
              <w:rPr>
                <w:rStyle w:val="Strong"/>
              </w:rPr>
              <w:t>Ignorance sequence</w:t>
            </w:r>
          </w:p>
        </w:tc>
        <w:tc>
          <w:tcPr>
            <w:tcW w:w="2270" w:type="dxa"/>
            <w:tcBorders/>
            <w:vAlign w:val="center"/>
          </w:tcPr>
          <w:p>
            <w:pPr>
              <w:pStyle w:val="WW-paragraph"/>
              <w:spacing w:before="170" w:after="170"/>
              <w:rPr/>
            </w:pPr>
            <w:r>
              <w:rPr>
                <w:rStyle w:val="Strong"/>
              </w:rPr>
              <w:t>Craving sequence</w:t>
            </w:r>
          </w:p>
        </w:tc>
        <w:tc>
          <w:tcPr>
            <w:tcW w:w="1629" w:type="dxa"/>
            <w:tcBorders/>
            <w:vAlign w:val="center"/>
          </w:tcPr>
          <w:p>
            <w:pPr>
              <w:pStyle w:val="WW-paragraph"/>
              <w:spacing w:before="170" w:after="170"/>
              <w:rPr/>
            </w:pPr>
            <w:r>
              <w:rPr>
                <w:rStyle w:val="Strong"/>
              </w:rPr>
              <w:t>Second truth</w:t>
            </w:r>
          </w:p>
        </w:tc>
      </w:tr>
      <w:tr>
        <w:trPr/>
        <w:tc>
          <w:tcPr>
            <w:tcW w:w="1106" w:type="dxa"/>
            <w:tcBorders/>
            <w:vAlign w:val="center"/>
          </w:tcPr>
          <w:p>
            <w:pPr>
              <w:pStyle w:val="WW-paragraph"/>
              <w:spacing w:before="170" w:after="170"/>
              <w:rPr/>
            </w:pPr>
            <w:r>
              <w:rPr>
                <w:rStyle w:val="Strong"/>
              </w:rPr>
              <w:t>Causes</w:t>
              <w:br/>
              <w:t>of rebirth</w:t>
            </w:r>
          </w:p>
        </w:tc>
        <w:tc>
          <w:tcPr>
            <w:tcW w:w="2399" w:type="dxa"/>
            <w:tcBorders/>
            <w:vAlign w:val="center"/>
          </w:tcPr>
          <w:p>
            <w:pPr>
              <w:pStyle w:val="WW-paragraph"/>
              <w:spacing w:before="170" w:after="170"/>
              <w:rPr/>
            </w:pPr>
            <w:r>
              <w:rPr/>
              <w:t>1. Ignorance</w:t>
              <w:br/>
              <w:t>2. willful actions</w:t>
            </w:r>
          </w:p>
        </w:tc>
        <w:tc>
          <w:tcPr>
            <w:tcW w:w="2270" w:type="dxa"/>
            <w:tcBorders/>
            <w:vAlign w:val="center"/>
          </w:tcPr>
          <w:p>
            <w:pPr>
              <w:pStyle w:val="WW-paragraph"/>
              <w:spacing w:before="170" w:after="170"/>
              <w:rPr/>
            </w:pPr>
            <w:r>
              <w:rPr/>
              <w:t>8. Craving</w:t>
              <w:br/>
              <w:t>9. Fuel/taking up</w:t>
            </w:r>
          </w:p>
        </w:tc>
        <w:tc>
          <w:tcPr>
            <w:tcW w:w="1629" w:type="dxa"/>
            <w:tcBorders/>
            <w:vAlign w:val="center"/>
          </w:tcPr>
          <w:p>
            <w:pPr>
              <w:pStyle w:val="WW-paragraph"/>
              <w:spacing w:before="170" w:after="170"/>
              <w:rPr/>
            </w:pPr>
            <w:r>
              <w:rPr/>
              <w:t xml:space="preserve">• </w:t>
            </w:r>
            <w:r>
              <w:rPr/>
              <w:t>Craving</w:t>
            </w:r>
          </w:p>
        </w:tc>
      </w:tr>
      <w:tr>
        <w:trPr/>
        <w:tc>
          <w:tcPr>
            <w:tcW w:w="1106" w:type="dxa"/>
            <w:tcBorders/>
            <w:vAlign w:val="center"/>
          </w:tcPr>
          <w:p>
            <w:pPr>
              <w:pStyle w:val="WW-paragraph"/>
              <w:spacing w:before="170" w:after="170"/>
              <w:rPr/>
            </w:pPr>
            <w:r>
              <w:rPr>
                <w:rStyle w:val="Strong"/>
              </w:rPr>
              <w:t>Rebirth</w:t>
            </w:r>
          </w:p>
        </w:tc>
        <w:tc>
          <w:tcPr>
            <w:tcW w:w="2399" w:type="dxa"/>
            <w:tcBorders/>
            <w:vAlign w:val="center"/>
          </w:tcPr>
          <w:p>
            <w:pPr>
              <w:pStyle w:val="WW-paragraph"/>
              <w:spacing w:before="170" w:after="170"/>
              <w:rPr/>
            </w:pPr>
            <w:r>
              <w:rPr/>
              <w:t>3. Consciousness</w:t>
              <w:br/>
              <w:t>4. Imm. aspects &amp; body</w:t>
            </w:r>
          </w:p>
        </w:tc>
        <w:tc>
          <w:tcPr>
            <w:tcW w:w="2270" w:type="dxa"/>
            <w:tcBorders/>
            <w:vAlign w:val="center"/>
          </w:tcPr>
          <w:p>
            <w:pPr>
              <w:pStyle w:val="WW-paragraph"/>
              <w:spacing w:before="170" w:after="170"/>
              <w:rPr/>
            </w:pPr>
            <w:r>
              <w:rPr/>
              <w:t>10. Existence</w:t>
              <w:br/>
              <w:t>11. Birth</w:t>
            </w:r>
          </w:p>
        </w:tc>
        <w:tc>
          <w:tcPr>
            <w:tcW w:w="1629" w:type="dxa"/>
            <w:tcBorders/>
            <w:vAlign w:val="center"/>
          </w:tcPr>
          <w:p>
            <w:pPr>
              <w:pStyle w:val="WW-paragraph"/>
              <w:spacing w:before="170" w:after="170"/>
              <w:rPr/>
            </w:pPr>
            <w:r>
              <w:rPr/>
              <w:t xml:space="preserve">• </w:t>
            </w:r>
            <w:r>
              <w:rPr/>
              <w:t>A next life</w:t>
              <w:br/>
              <w:t>(‘re-existence’)</w:t>
            </w:r>
          </w:p>
        </w:tc>
      </w:tr>
      <w:tr>
        <w:trPr/>
        <w:tc>
          <w:tcPr>
            <w:tcW w:w="1106" w:type="dxa"/>
            <w:tcBorders/>
            <w:vAlign w:val="center"/>
          </w:tcPr>
          <w:p>
            <w:pPr>
              <w:pStyle w:val="WW-paragraph"/>
              <w:spacing w:before="170" w:after="170"/>
              <w:rPr/>
            </w:pPr>
            <w:r>
              <w:rPr>
                <w:rStyle w:val="Strong"/>
              </w:rPr>
              <w:t>Results</w:t>
              <w:br/>
              <w:t>of rebirth</w:t>
            </w:r>
          </w:p>
        </w:tc>
        <w:tc>
          <w:tcPr>
            <w:tcW w:w="2399" w:type="dxa"/>
            <w:tcBorders/>
            <w:vAlign w:val="center"/>
          </w:tcPr>
          <w:p>
            <w:pPr>
              <w:pStyle w:val="WW-paragraph"/>
              <w:spacing w:before="170" w:after="170"/>
              <w:rPr/>
            </w:pPr>
            <w:r>
              <w:rPr/>
              <w:t>5. Six senses</w:t>
              <w:br/>
              <w:t>6. Sense impressions</w:t>
              <w:br/>
              <w:t>7. Sensations</w:t>
            </w:r>
          </w:p>
        </w:tc>
        <w:tc>
          <w:tcPr>
            <w:tcW w:w="2270" w:type="dxa"/>
            <w:tcBorders/>
            <w:vAlign w:val="center"/>
          </w:tcPr>
          <w:p>
            <w:pPr>
              <w:pStyle w:val="WW-paragraph"/>
              <w:spacing w:before="170" w:after="170"/>
              <w:rPr/>
            </w:pPr>
            <w:r>
              <w:rPr/>
              <w:t>12. Suffering,</w:t>
              <w:br/>
              <w:t>incl. old age and death</w:t>
            </w:r>
          </w:p>
        </w:tc>
        <w:tc>
          <w:tcPr>
            <w:tcW w:w="1629" w:type="dxa"/>
            <w:tcBorders/>
            <w:vAlign w:val="center"/>
          </w:tcPr>
          <w:p>
            <w:pPr>
              <w:pStyle w:val="WW-paragraph"/>
              <w:spacing w:before="170" w:after="170"/>
              <w:rPr/>
            </w:pPr>
            <w:r>
              <w:rPr/>
              <w:t xml:space="preserve">• </w:t>
            </w:r>
            <w:r>
              <w:rPr/>
              <w:t>Suffering</w:t>
            </w:r>
          </w:p>
        </w:tc>
      </w:tr>
    </w:tbl>
    <w:p>
      <w:pPr>
        <w:pStyle w:val="WW-paragraph"/>
        <w:rPr/>
      </w:pPr>
      <w:r>
        <w:rP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rPr/>
        <w:t xml:space="preserve"> says the two are different ways of teaching which are suitable for different people.</w:t>
      </w:r>
      <w:r>
        <w:rPr>
          <w:rStyle w:val="FootnoteReference"/>
        </w:rPr>
        <w:footnoteReference w:id="39"/>
      </w:r>
      <w:r>
        <w:rPr/>
        <w:t xml:space="preserve"> To generalize, we might say the ignorance sequence focuses on the ethical and cognitive aspects, the craving sequence on the emotional and existential ones.</w:t>
      </w:r>
    </w:p>
    <w:p>
      <w:pPr>
        <w:pStyle w:val="WW-paragraph"/>
        <w:rPr/>
      </w:pPr>
      <w:r>
        <w:rPr/>
        <w:t xml:space="preserve">The double inclusion of the process of birth in the full sequence fits the Buddha’s inquiry in </w:t>
      </w:r>
      <w:hyperlink w:anchor="bqseg11">
        <w:r>
          <w:rPr>
            <w:rStyle w:val="Hyperlink"/>
          </w:rPr>
          <w:t>§11</w:t>
        </w:r>
      </w:hyperlink>
      <w:r>
        <w:rPr/>
        <w:t xml:space="preserve">: “They are </w:t>
      </w:r>
      <w:r>
        <w:rPr>
          <w:rStyle w:val="Emphasis"/>
        </w:rPr>
        <w:t>born</w:t>
      </w:r>
      <w:r>
        <w:rPr/>
        <w:t xml:space="preserve">, age, die, pass on, and are </w:t>
      </w:r>
      <w:r>
        <w:rPr>
          <w:rStyle w:val="Emphasis"/>
        </w:rPr>
        <w:t>reborn</w:t>
      </w:r>
      <w:r>
        <w:rPr/>
        <w:t xml:space="preserve"> again.” It also emphasizes that every birth is a </w:t>
      </w:r>
      <w:r>
        <w:rPr>
          <w:rStyle w:val="Emphasis"/>
        </w:rPr>
        <w:t>re</w:t>
      </w:r>
      <w:r>
        <w:rP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pPr>
        <w:pStyle w:val="WW-chapter-section-1"/>
        <w:ind w:hanging="0" w:start="0"/>
        <w:outlineLvl w:val="3"/>
        <w:rPr/>
      </w:pPr>
      <w:r>
        <w:rPr/>
        <w:t>Possible development of the twelvefold sequence</w:t>
      </w:r>
    </w:p>
    <w:p>
      <w:pPr>
        <w:pStyle w:val="WW-paragraph"/>
        <w:rPr/>
      </w:pPr>
      <w:r>
        <w:rP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pPr>
        <w:pStyle w:val="WW-paragraph"/>
        <w:rPr/>
      </w:pPr>
      <w:r>
        <w:rPr/>
        <w:t>Based on various other grounds, many scholars have come to similar conclusions.</w:t>
      </w:r>
      <w:r>
        <w:rPr>
          <w:rStyle w:val="FootnoteReference"/>
        </w:rPr>
        <w:footnoteReference w:id="40"/>
      </w:r>
      <w:r>
        <w:rP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1"/>
      </w:r>
      <w:r>
        <w:rP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rPr/>
        <w:t>, ignorance.”</w:t>
      </w:r>
      <w:r>
        <w:rPr>
          <w:rStyle w:val="FootnoteReference"/>
        </w:rPr>
        <w:footnoteReference w:id="42"/>
      </w:r>
    </w:p>
    <w:p>
      <w:pPr>
        <w:pStyle w:val="WW-paragraph"/>
        <w:rPr/>
      </w:pPr>
      <w:r>
        <w:rPr/>
        <w:t xml:space="preserve">Text-critical evidence for such a possible development comes from three Chinese parallels to the </w:t>
      </w:r>
      <w:r>
        <w:rPr>
          <w:rStyle w:val="wwc-sesame"/>
        </w:rPr>
        <w:t>Mahānidāna Sutta</w:t>
      </w:r>
      <w:r>
        <w:rPr/>
        <w:t>.</w:t>
      </w:r>
      <w:r>
        <w:rPr>
          <w:rStyle w:val="FootnoteReference"/>
        </w:rPr>
        <w:footnoteReference w:id="43"/>
      </w:r>
      <w:r>
        <w:rP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rPr/>
        <w:t xml:space="preserve"> parallel to the same sutta, which contains all twelve factors.</w:t>
      </w:r>
      <w:r>
        <w:rPr>
          <w:rStyle w:val="FootnoteReference"/>
        </w:rPr>
        <w:footnoteReference w:id="44"/>
      </w:r>
    </w:p>
    <w:p>
      <w:pPr>
        <w:pStyle w:val="WW-table-caption"/>
        <w:rPr/>
      </w:pPr>
      <w:bookmarkStart w:id="11" w:name="table3"/>
      <w:bookmarkEnd w:id="11"/>
      <w:r>
        <w:rPr/>
        <w:t>{SimpleNoRowBorders}Table 3. Sequences in Mahānidāna Sutta and its parallels</w:t>
      </w:r>
    </w:p>
    <w:tbl>
      <w:tblPr>
        <w:tblW w:w="7248" w:type="dxa"/>
        <w:jc w:val="start"/>
        <w:tblInd w:w="0" w:type="dxa"/>
        <w:tblLayout w:type="fixed"/>
        <w:tblCellMar>
          <w:top w:w="0" w:type="dxa"/>
          <w:start w:w="0" w:type="dxa"/>
          <w:bottom w:w="0" w:type="dxa"/>
          <w:end w:w="0" w:type="dxa"/>
        </w:tblCellMar>
      </w:tblPr>
      <w:tblGrid>
        <w:gridCol w:w="2531"/>
        <w:gridCol w:w="2301"/>
        <w:gridCol w:w="2416"/>
      </w:tblGrid>
      <w:tr>
        <w:trPr/>
        <w:tc>
          <w:tcPr>
            <w:tcW w:w="2531" w:type="dxa"/>
            <w:tcBorders/>
            <w:vAlign w:val="center"/>
          </w:tcPr>
          <w:p>
            <w:pPr>
              <w:pStyle w:val="WW-paragraph"/>
              <w:spacing w:before="170" w:after="170"/>
              <w:rPr/>
            </w:pPr>
            <w:r>
              <w:rPr>
                <w:rStyle w:val="Strong"/>
              </w:rPr>
              <w:t>MĀ 97, T 14 &amp; T 52</w:t>
              <w:br/>
              <w:t>(two shorter sequences)</w:t>
            </w:r>
          </w:p>
        </w:tc>
        <w:tc>
          <w:tcPr>
            <w:tcW w:w="2301" w:type="dxa"/>
            <w:tcBorders/>
            <w:vAlign w:val="center"/>
          </w:tcPr>
          <w:p>
            <w:pPr>
              <w:pStyle w:val="WW-paragraph"/>
              <w:spacing w:before="170" w:after="170"/>
              <w:rPr/>
            </w:pPr>
            <w:r>
              <w:rPr>
                <w:rStyle w:val="Strong"/>
              </w:rPr>
              <w:t>DN 15, Mahānidāna</w:t>
              <w:br/>
              <w:t>(9-fold sequence)</w:t>
            </w:r>
          </w:p>
        </w:tc>
        <w:tc>
          <w:tcPr>
            <w:tcW w:w="2416" w:type="dxa"/>
            <w:tcBorders/>
            <w:vAlign w:val="center"/>
          </w:tcPr>
          <w:p>
            <w:pPr>
              <w:pStyle w:val="WW-paragraph"/>
              <w:spacing w:before="170" w:after="170"/>
              <w:rPr/>
            </w:pPr>
            <w:r>
              <w:rPr>
                <w:rStyle w:val="Strong"/>
              </w:rPr>
              <w:t>DĀ 13</w:t>
              <w:br/>
              <w:t>(full 12-fold sequence)</w:t>
            </w:r>
          </w:p>
        </w:tc>
      </w:tr>
      <w:tr>
        <w:trPr/>
        <w:tc>
          <w:tcPr>
            <w:tcW w:w="2531" w:type="dxa"/>
            <w:tcBorders/>
            <w:vAlign w:val="center"/>
          </w:tcPr>
          <w:p>
            <w:pPr>
              <w:pStyle w:val="WW-paragraph"/>
              <w:spacing w:before="170" w:after="170"/>
              <w:rPr/>
            </w:pPr>
            <w:r>
              <w:rPr/>
              <w:t xml:space="preserve">• </w:t>
            </w:r>
            <w:r>
              <w:rPr/>
              <w:t>Old age &amp; death</w:t>
              <w:br/>
              <w:t>• Birth</w:t>
              <w:br/>
              <w:t>• Existence</w:t>
              <w:br/>
              <w:t>• Fuel/taking up</w:t>
              <w:br/>
              <w:t>• Craving</w:t>
              <w:br/>
              <w:t>—————————</w:t>
              <w:br/>
              <w:t>• Craving</w:t>
              <w:br/>
              <w:t>• Sensations</w:t>
              <w:br/>
              <w:t>• Sense impressions</w:t>
              <w:br/>
              <w:t>• (Six senses, T 52 only)</w:t>
              <w:br/>
              <w:t>• Imm. aspects &amp; body</w:t>
              <w:br/>
              <w:t>• Consciousness</w:t>
            </w:r>
          </w:p>
        </w:tc>
        <w:tc>
          <w:tcPr>
            <w:tcW w:w="2301"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Imm. aspects &amp; body</w:t>
              <w:br/>
              <w:t>• Consciousness</w:t>
            </w:r>
          </w:p>
        </w:tc>
        <w:tc>
          <w:tcPr>
            <w:tcW w:w="2416"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Six senses</w:t>
              <w:br/>
              <w:t>• Imm. aspects &amp; body</w:t>
              <w:br/>
              <w:t>• Consciousness</w:t>
              <w:br/>
              <w:t>• willful actions</w:t>
              <w:br/>
              <w:t>• Ignorance</w:t>
            </w:r>
          </w:p>
        </w:tc>
      </w:tr>
    </w:tbl>
    <w:p>
      <w:pPr>
        <w:pStyle w:val="WW-paragraph"/>
        <w:rPr/>
      </w:pPr>
      <w:r>
        <w:rPr/>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pPr>
        <w:pStyle w:val="WW-named-section"/>
        <w:rPr/>
      </w:pPr>
      <w:r>
        <w:rPr/>
        <w:t>§12</w:t>
      </w:r>
    </w:p>
    <w:p>
      <w:pPr>
        <w:pStyle w:val="WW-blockquote"/>
        <w:rPr/>
      </w:pPr>
      <w:bookmarkStart w:id="12" w:name="bqseg12"/>
      <w:bookmarkEnd w:id="12"/>
      <w:r>
        <w:rP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5"/>
      </w:r>
    </w:p>
    <w:p>
      <w:pPr>
        <w:pStyle w:val="WW-paragraph"/>
        <w:rPr/>
      </w:pPr>
      <w:r>
        <w:rP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6"/>
      </w:r>
    </w:p>
    <w:p>
      <w:pPr>
        <w:pStyle w:val="WW-chapter-section-1"/>
        <w:ind w:hanging="0" w:start="0"/>
        <w:rPr/>
      </w:pPr>
      <w:r>
        <w:rPr/>
        <w:t>Ignorance and craving as the two roots</w:t>
      </w:r>
    </w:p>
    <w:p>
      <w:pPr>
        <w:pStyle w:val="WW-paragraph"/>
        <w:rPr/>
      </w:pPr>
      <w:r>
        <w:rPr/>
        <w:t xml:space="preserve">When the twelve factors of Dependent Arising are seen to contain two parallel sequences, craving and ignorance together become the primary causes for rebirth. A Tibetan commentary to the </w:t>
      </w:r>
      <w:r>
        <w:rPr>
          <w:rStyle w:val="wwc-sesame"/>
        </w:rPr>
        <w:t>Udānavarga</w:t>
      </w:r>
      <w:r>
        <w:rPr/>
        <w:t xml:space="preserve"> indeed separates the twelvefold chain into two shorter parallel ones that start with these two factors.</w:t>
      </w:r>
      <w:r>
        <w:rPr>
          <w:rStyle w:val="FootnoteReference"/>
        </w:rPr>
        <w:footnoteReference w:id="47"/>
      </w:r>
      <w:r>
        <w:rPr/>
        <w:t xml:space="preserve"> The </w:t>
      </w:r>
      <w:r>
        <w:rPr>
          <w:rStyle w:val="wwc-sesame"/>
        </w:rPr>
        <w:t>Visuddhimagga</w:t>
      </w:r>
      <w:r>
        <w:rPr/>
        <w:t xml:space="preserve"> also states: “When speaking of the cycle of rebirth, the Blessed One made two things the starting point: ignorance […] and craving for existence.”</w:t>
      </w:r>
      <w:r>
        <w:rPr>
          <w:rStyle w:val="FootnoteReference"/>
        </w:rPr>
        <w:footnoteReference w:id="48"/>
      </w:r>
    </w:p>
    <w:p>
      <w:pPr>
        <w:pStyle w:val="WW-paragraph"/>
        <w:rPr/>
      </w:pPr>
      <w:r>
        <w:rPr/>
        <w:t>Two sequential discourses in the Itivuttaka neatly illustrate the last point.</w:t>
      </w:r>
      <w:r>
        <w:rPr>
          <w:rStyle w:val="FootnoteReference"/>
        </w:rPr>
        <w:footnoteReference w:id="49"/>
      </w:r>
      <w:r>
        <w:rPr/>
        <w:t xml:space="preserve"> These discourses are included below, but first it will be helpful to know that transmigration (</w:t>
      </w:r>
      <w:r>
        <w:rPr>
          <w:rStyle w:val="Emphasis"/>
        </w:rPr>
        <w:t>saṁsāra</w:t>
      </w:r>
      <w:r>
        <w:rPr/>
        <w:t>) in the canon always means the cycle of repeated birth and death, never some sort of mental wandering, and that delusion (</w:t>
      </w:r>
      <w:r>
        <w:rPr>
          <w:rStyle w:val="Emphasis"/>
        </w:rPr>
        <w:t>moha</w:t>
      </w:r>
      <w:r>
        <w:rPr/>
        <w:t>) is a close synonym for ignorance,</w:t>
      </w:r>
      <w:r>
        <w:rPr>
          <w:rStyle w:val="FootnoteReference"/>
        </w:rPr>
        <w:footnoteReference w:id="50"/>
      </w:r>
      <w:r>
        <w:rPr/>
        <w:t xml:space="preserve"> as also borne out by these verses:</w:t>
      </w:r>
    </w:p>
    <w:p>
      <w:pPr>
        <w:pStyle w:val="WW-named-section"/>
        <w:rPr/>
      </w:pPr>
      <w:r>
        <w:rPr/>
        <w:t>§13</w:t>
      </w:r>
    </w:p>
    <w:p>
      <w:pPr>
        <w:pStyle w:val="WW-line-block"/>
        <w:rPr/>
      </w:pPr>
      <w:bookmarkStart w:id="13" w:name="bqseg13"/>
      <w:bookmarkEnd w:id="13"/>
      <w:r>
        <w:rPr/>
        <w:t>Those who journey again and again,</w:t>
        <w:br/>
        <w:t>transmigrating through births and deaths,</w:t>
        <w:br/>
        <w:t>going from one state of existence to another:</w:t>
        <w:br/>
        <w:t>their destinations are just due to ignorance.</w:t>
      </w:r>
    </w:p>
    <w:p>
      <w:pPr>
        <w:pStyle w:val="WW-line-block"/>
        <w:rPr/>
      </w:pPr>
      <w:r>
        <w:rPr/>
        <w:t>Ignorance is indeed the great delusion</w:t>
        <w:br/>
        <w:t>because of which we have long transmigrated.</w:t>
        <w:br/>
        <w:t>But beings who have attained knowledge</w:t>
        <w:br/>
        <w:t>do not go on to a next life.</w:t>
      </w:r>
      <w:r>
        <w:rPr>
          <w:rStyle w:val="FootnoteReference"/>
        </w:rPr>
        <w:footnoteReference w:id="51"/>
      </w:r>
    </w:p>
    <w:p>
      <w:pPr>
        <w:pStyle w:val="WW-paragraph"/>
        <w:rPr/>
      </w:pPr>
      <w:r>
        <w:rPr/>
        <w:t xml:space="preserve">The two discourses from the </w:t>
      </w:r>
      <w:r>
        <w:rPr>
          <w:rStyle w:val="wwc-sesame"/>
        </w:rPr>
        <w:t>Itivuttaka</w:t>
      </w:r>
      <w:r>
        <w:rPr/>
        <w:t xml:space="preserve"> on ignorance and craving:</w:t>
      </w:r>
    </w:p>
    <w:p>
      <w:pPr>
        <w:pStyle w:val="WW-named-section"/>
        <w:rPr/>
      </w:pPr>
      <w:r>
        <w:rPr/>
        <w:t>§14</w:t>
      </w:r>
    </w:p>
    <w:p>
      <w:pPr>
        <w:pStyle w:val="WW-blockquote"/>
        <w:rPr/>
      </w:pPr>
      <w:bookmarkStart w:id="14" w:name="bqseg14"/>
      <w:bookmarkEnd w:id="14"/>
      <w:r>
        <w:rP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There is no single other thing</w:t>
        <w:br/>
        <w:t>obstructed by which people</w:t>
        <w:br/>
        <w:t>continually transmigrate</w:t>
        <w:br/>
        <w:t>like being blinded by delusion.</w:t>
      </w:r>
    </w:p>
    <w:p>
      <w:pPr>
        <w:pStyle w:val="WW-line-block"/>
        <w:ind w:hanging="0" w:start="709"/>
        <w:rPr/>
      </w:pPr>
      <w:r>
        <w:rPr/>
        <w:t>Those who abandoned delusion,</w:t>
        <w:br/>
        <w:t>who pierced the mass of darkness,</w:t>
        <w:br/>
        <w:t>transmigrate no more,</w:t>
        <w:br/>
        <w:t>since they lack the condition for it.”</w:t>
      </w:r>
    </w:p>
    <w:p>
      <w:pPr>
        <w:pStyle w:val="WW-blockquote"/>
        <w:rPr/>
      </w:pPr>
      <w:r>
        <w:rPr/>
        <w:t>I heard that this was also said by the Buddha.</w:t>
      </w:r>
      <w:r>
        <w:rPr>
          <w:rStyle w:val="FootnoteReference"/>
        </w:rPr>
        <w:footnoteReference w:id="52"/>
      </w:r>
    </w:p>
    <w:p>
      <w:pPr>
        <w:pStyle w:val="WW-space"/>
        <w:rPr/>
      </w:pPr>
      <w:r>
        <w:rPr/>
        <w:t>0</w:t>
      </w:r>
    </w:p>
    <w:p>
      <w:pPr>
        <w:pStyle w:val="WW-named-section"/>
        <w:rPr/>
      </w:pPr>
      <w:r>
        <w:rPr/>
        <w:t>§15</w:t>
      </w:r>
    </w:p>
    <w:p>
      <w:pPr>
        <w:pStyle w:val="WW-blockquote"/>
        <w:rPr/>
      </w:pPr>
      <w:bookmarkStart w:id="15" w:name="bqseg15"/>
      <w:bookmarkEnd w:id="15"/>
      <w:r>
        <w:rP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A person who has craving as a spouse,</w:t>
      </w:r>
      <w:r>
        <w:rPr>
          <w:rStyle w:val="FootnoteReference"/>
        </w:rPr>
        <w:footnoteReference w:id="53"/>
      </w:r>
      <w:r>
        <w:rPr/>
        <w:br/>
        <w:t>transmigrates for a long time,</w:t>
        <w:br/>
        <w:t>going from one state of existence to another,</w:t>
        <w:br/>
        <w:t>never getting out of transmigration.</w:t>
      </w:r>
    </w:p>
    <w:p>
      <w:pPr>
        <w:pStyle w:val="WW-line-block"/>
        <w:ind w:hanging="0" w:start="709"/>
        <w:rPr/>
      </w:pPr>
      <w:r>
        <w:rPr/>
        <w:t>Craving is the origin of suffering.</w:t>
        <w:br/>
        <w:t>Once mendicants know this problem,</w:t>
        <w:br/>
        <w:t>they should wander without forgetting it,</w:t>
        <w:br/>
        <w:t>free from craving, not taking anything.”</w:t>
      </w:r>
    </w:p>
    <w:p>
      <w:pPr>
        <w:pStyle w:val="WW-blockquote"/>
        <w:rPr/>
      </w:pPr>
      <w:r>
        <w:rPr/>
        <w:t>I heard that this was also said by the Buddha.</w:t>
      </w:r>
      <w:r>
        <w:rPr>
          <w:rStyle w:val="FootnoteReference"/>
        </w:rPr>
        <w:footnoteReference w:id="54"/>
      </w:r>
    </w:p>
    <w:p>
      <w:pPr>
        <w:pStyle w:val="WW-paragraph"/>
        <w:rPr/>
      </w:pPr>
      <w:r>
        <w:rP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5"/>
      </w:r>
      <w:r>
        <w:rP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6"/>
      </w:r>
      <w:r>
        <w:rPr/>
        <w:t xml:space="preserve"> Particularly relevant for our discussion on consciousness is a statement in </w:t>
      </w:r>
      <w:hyperlink w:anchor="bqseg71">
        <w:r>
          <w:rPr>
            <w:rStyle w:val="Hyperlink"/>
          </w:rPr>
          <w:t>§71</w:t>
        </w:r>
      </w:hyperlink>
      <w:r>
        <w:rPr/>
        <w:t>: “The consciousness of beings who are obstructed by ignorance and chained by craving, gets planted in the lower [or middle or higher] realm. That is how existence in a future life is produced.”</w:t>
      </w:r>
    </w:p>
    <w:p>
      <w:pPr>
        <w:pStyle w:val="WW-paragraph"/>
        <w:rPr/>
      </w:pPr>
      <w:r>
        <w:rPr/>
        <w:t xml:space="preserve">Ignorance and craving are also found as a pair in other contexts. In the </w:t>
      </w:r>
      <w:r>
        <w:rPr>
          <w:rStyle w:val="wwc-sesame"/>
        </w:rPr>
        <w:t>Sangīti Sutta</w:t>
      </w:r>
      <w:r>
        <w:rPr/>
        <w:t xml:space="preserve"> they are even recited as a specific group of two.</w:t>
      </w:r>
      <w:r>
        <w:rPr>
          <w:rStyle w:val="FootnoteReference"/>
        </w:rPr>
        <w:footnoteReference w:id="57"/>
      </w:r>
      <w:r>
        <w:rPr/>
        <w:t xml:space="preserve"> Their joint connection with rebirth also comes to the fore in verses such as the following, where craving is sometimes substituted by desire (</w:t>
      </w:r>
      <w:r>
        <w:rPr>
          <w:rStyle w:val="wwc-pali"/>
        </w:rPr>
        <w:t>rāga</w:t>
      </w:r>
      <w:r>
        <w:rPr/>
        <w:t>):</w:t>
      </w:r>
    </w:p>
    <w:p>
      <w:pPr>
        <w:pStyle w:val="WW-named-section"/>
        <w:rPr/>
      </w:pPr>
      <w:r>
        <w:rPr/>
        <w:t>§16</w:t>
      </w:r>
    </w:p>
    <w:p>
      <w:pPr>
        <w:pStyle w:val="WW-line-block"/>
        <w:rPr/>
      </w:pPr>
      <w:bookmarkStart w:id="16" w:name="bqseg16"/>
      <w:bookmarkEnd w:id="16"/>
      <w:r>
        <w:rPr/>
        <w:t>Some renunciants and brahmins</w:t>
        <w:br/>
        <w:t>are plagued by desire and anger:</w:t>
        <w:br/>
        <w:t>men obstructed by ignorance,</w:t>
        <w:br/>
        <w:t>enjoying things that seem pleasing. […]</w:t>
      </w:r>
    </w:p>
    <w:p>
      <w:pPr>
        <w:pStyle w:val="WW-line-block"/>
        <w:rPr/>
      </w:pPr>
      <w:r>
        <w:rPr/>
        <w:t>Shrouded in darkness [of ignorance],</w:t>
        <w:br/>
        <w:t>slaves of craving, led along,</w:t>
        <w:br/>
        <w:t>they take rebirth,</w:t>
        <w:br/>
        <w:t>swelling the horrible charnel grounds.</w:t>
      </w:r>
      <w:r>
        <w:rPr>
          <w:rStyle w:val="FootnoteReference"/>
        </w:rPr>
        <w:footnoteReference w:id="58"/>
      </w:r>
    </w:p>
    <w:p>
      <w:pPr>
        <w:pStyle w:val="WW-paragraph"/>
        <w:rPr/>
      </w:pPr>
      <w:r>
        <w:rPr/>
        <w:t>(A charnel ground is a place where corpses are deposited without burying them.)</w:t>
      </w:r>
    </w:p>
    <w:p>
      <w:pPr>
        <w:pStyle w:val="WW-named-section"/>
        <w:rPr/>
      </w:pPr>
      <w:r>
        <w:rPr/>
        <w:t>§17</w:t>
      </w:r>
    </w:p>
    <w:p>
      <w:pPr>
        <w:pStyle w:val="WW-line-block"/>
        <w:rPr/>
      </w:pPr>
      <w:bookmarkStart w:id="17" w:name="bqseg17"/>
      <w:bookmarkEnd w:id="17"/>
      <w:r>
        <w:rPr/>
        <w:t>Men set out for certain death,</w:t>
        <w:br/>
        <w:t>always being close to the King of Mortality.</w:t>
        <w:br/>
        <w:t>And when they discard this body here,</w:t>
        <w:br/>
        <w:t>they go where they desire.</w:t>
      </w:r>
    </w:p>
    <w:p>
      <w:pPr>
        <w:pStyle w:val="WW-line-block"/>
        <w:rPr/>
      </w:pPr>
      <w:r>
        <w:rPr/>
        <w:t>Obstructed by ignorance,</w:t>
        <w:br/>
        <w:t>knotted by the four knots,</w:t>
      </w:r>
      <w:r>
        <w:rPr>
          <w:rStyle w:val="FootnoteReference"/>
        </w:rPr>
        <w:footnoteReference w:id="59"/>
      </w:r>
      <w:r>
        <w:rPr/>
        <w:br/>
        <w:t>caught in the net of the tendencies,</w:t>
        <w:br/>
        <w:t>the body drowns in the flood.</w:t>
      </w:r>
    </w:p>
    <w:p>
      <w:pPr>
        <w:pStyle w:val="WW-line-block"/>
        <w:rPr/>
      </w:pPr>
      <w:r>
        <w:rPr/>
        <w:t>Hidden by delusion,</w:t>
        <w:br/>
        <w:t>chained by the five obstructions,</w:t>
        <w:br/>
        <w:t>afflicted by thoughts,</w:t>
        <w:br/>
        <w:t>following craving, the root.</w:t>
      </w:r>
    </w:p>
    <w:p>
      <w:pPr>
        <w:pStyle w:val="WW-line-block"/>
        <w:rPr/>
      </w:pPr>
      <w:r>
        <w:rPr/>
        <w:t>That is how the body occurs,</w:t>
        <w:br/>
        <w:t>driven by the mechanism of deeds.</w:t>
        <w:br/>
        <w:t>Its acquirement ends in perishing:</w:t>
        <w:br/>
        <w:t>falling apart, it perishes.</w:t>
      </w:r>
    </w:p>
    <w:p>
      <w:pPr>
        <w:pStyle w:val="WW-line-block"/>
        <w:rPr/>
      </w:pPr>
      <w:r>
        <w:rPr/>
        <w:t>Blind fools, ordinary people,</w:t>
        <w:br/>
        <w:t>who think the body is theirs,</w:t>
        <w:br/>
        <w:t>taking next lives,</w:t>
        <w:br/>
        <w:t>swell the horrible charnel grounds.</w:t>
      </w:r>
    </w:p>
    <w:p>
      <w:pPr>
        <w:pStyle w:val="WW-line-block"/>
        <w:rPr/>
      </w:pPr>
      <w:r>
        <w:rPr/>
        <w:t>Those who avoid this body</w:t>
        <w:br/>
        <w:t>like a dung-smeared snake,</w:t>
        <w:br/>
        <w:t>having expelled the root of existence,</w:t>
        <w:br/>
        <w:t>the undefiled, will get fully extinguished.</w:t>
      </w:r>
      <w:r>
        <w:rPr>
          <w:rStyle w:val="FootnoteReference"/>
        </w:rPr>
        <w:footnoteReference w:id="60"/>
      </w:r>
    </w:p>
    <w:p>
      <w:pPr>
        <w:pStyle w:val="WW-paragraph"/>
        <w:rPr/>
      </w:pPr>
      <w:r>
        <w:rPr/>
        <w:t>(The five obstructions (</w:t>
      </w:r>
      <w:r>
        <w:rPr>
          <w:rStyle w:val="wwc-pali"/>
        </w:rPr>
        <w:t>nīvaraṇa</w:t>
      </w:r>
      <w:r>
        <w:rPr/>
        <w:t>) are the five hindrances in meditation.)</w:t>
      </w:r>
    </w:p>
    <w:p>
      <w:pPr>
        <w:pStyle w:val="WW-paragraph"/>
        <w:rPr/>
      </w:pPr>
      <w:r>
        <w:rPr/>
        <w:t>In the last passage, which is spoken by Kappa, craving is called the root for birth and death, which it is also called elsewhere.</w:t>
      </w:r>
      <w:r>
        <w:rPr>
          <w:rStyle w:val="FootnoteReference"/>
        </w:rPr>
        <w:footnoteReference w:id="61"/>
      </w:r>
      <w:r>
        <w:rPr/>
        <w:t xml:space="preserve"> As we shall see shortly, ignorance is sometimes </w:t>
      </w:r>
      <w:r>
        <w:rPr>
          <w:rStyle w:val="Emphasis"/>
        </w:rPr>
        <w:t>also</w:t>
      </w:r>
      <w:r>
        <w:rPr/>
        <w:t xml:space="preserve"> called the root. To my knowledge, none of the other twelve factors is ever called such, which again shows that ignorance and craving were regarded as the two most fundamental causes of rebirth.</w:t>
      </w:r>
    </w:p>
    <w:p>
      <w:pPr>
        <w:pStyle w:val="WW-figure"/>
        <w:rPr/>
      </w:pPr>
      <w:r>
        <w:rPr/>
        <w:t xml:space="preserve">./img/rootsofrebirth.png=A prickly plant labeled ‘suffering of rebirth’ with a root labeled ‘ignorance and craving’.=30=border </w:t>
        <w:br/>
        <w:t xml:space="preserve">Figure 2. Craving and ignorance as the root of rebirth </w:t>
      </w:r>
    </w:p>
    <w:p>
      <w:pPr>
        <w:pStyle w:val="WW-paragraph"/>
        <w:rPr/>
      </w:pPr>
      <w:r>
        <w:rPr/>
        <w:t>To return to the tower of bricks, since ignorance and craving are intrinsically connected, when you pull out the brick of ignorance, you pull out craving at the same time. See the following drawing:</w:t>
      </w:r>
    </w:p>
    <w:p>
      <w:pPr>
        <w:pStyle w:val="WW-figure"/>
        <w:rPr/>
      </w:pPr>
      <w:r>
        <w:rPr/>
        <w:t>./img/brickspulltwo.png=A stack of twelve bricks with a rope tied around the bottom and eighth one from the bottom which are labeled ‘ignorance’ and ‘craving’ respectively. A hand pulls on the rope.=30=border</w:t>
        <w:br/>
        <w:t>Figure 3. Ignorance and craving are removed together</w:t>
      </w:r>
    </w:p>
    <w:p>
      <w:pPr>
        <w:pStyle w:val="WW-paragraph"/>
        <w:rPr/>
      </w:pPr>
      <w:r>
        <w:rPr/>
        <w:t xml:space="preserve">Some discourses on Dependent Arising contain only the craving sequence, omitting the preceding ignorance sequence. We already encountered an example of this at </w:t>
      </w:r>
      <w:hyperlink w:anchor="bqseg6">
        <w:r>
          <w:rPr>
            <w:rStyle w:val="Hyperlink"/>
          </w:rPr>
          <w:t>§6</w:t>
        </w:r>
      </w:hyperlink>
      <w:r>
        <w:rPr/>
        <w:t xml:space="preserve"> and will see some others later.</w:t>
      </w:r>
      <w:r>
        <w:rPr>
          <w:rStyle w:val="FootnoteReference"/>
        </w:rPr>
        <w:footnoteReference w:id="62"/>
      </w:r>
      <w:r>
        <w:rP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rP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rPr/>
        <w:t>) while the craving sequence may be more readily understood.</w:t>
      </w:r>
    </w:p>
    <w:p>
      <w:pPr>
        <w:pStyle w:val="WW-figure"/>
        <w:rPr/>
      </w:pPr>
      <w:r>
        <w:rPr/>
        <w:t>./img/brickssmall.png=A stack of five bricks with a hand pulling out the bottom one. The bottom brick is labeled ‘craving’, the top one ‘suffering’, and the one below the top one ‘birth’. The hand is labeled ‘wisdom’.=30=border</w:t>
        <w:br/>
        <w:t>Figure 4. The craving sequence as a stack of bricks</w:t>
      </w:r>
    </w:p>
    <w:p>
      <w:pPr>
        <w:pStyle w:val="WW-paragraph"/>
        <w:rPr/>
      </w:pPr>
      <w:r>
        <w:rP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pPr>
        <w:pStyle w:val="WW-named-section"/>
        <w:rPr/>
      </w:pPr>
      <w:r>
        <w:rPr/>
        <w:t>§18</w:t>
      </w:r>
    </w:p>
    <w:p>
      <w:pPr>
        <w:pStyle w:val="WW-blockquote"/>
        <w:rPr/>
      </w:pPr>
      <w:bookmarkStart w:id="18" w:name="bqseg18"/>
      <w:bookmarkEnd w:id="18"/>
      <w:r>
        <w:rP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3"/>
      </w:r>
    </w:p>
    <w:p>
      <w:pPr>
        <w:pStyle w:val="WW-paragraph"/>
        <w:rPr/>
      </w:pPr>
      <w:r>
        <w:rPr/>
        <w:t xml:space="preserve">The phrase “you can find no beginning” also implies that this is about rebirth, because elsewhere it is always used with respect to </w:t>
      </w:r>
      <w:r>
        <w:rPr>
          <w:rStyle w:val="wwc-pali"/>
        </w:rPr>
        <w:t>saṁsāra</w:t>
      </w:r>
      <w:r>
        <w:rPr/>
        <w:t>.</w:t>
      </w:r>
      <w:r>
        <w:rPr>
          <w:rStyle w:val="FootnoteReference"/>
        </w:rPr>
        <w:footnoteReference w:id="64"/>
      </w:r>
    </w:p>
    <w:p>
      <w:pPr>
        <w:pStyle w:val="WW-paragraph"/>
        <w:rPr/>
      </w:pPr>
      <w:r>
        <w:rPr/>
        <w:t>The following verse also depicts the dependency of craving on ignorance:</w:t>
      </w:r>
    </w:p>
    <w:p>
      <w:pPr>
        <w:pStyle w:val="WW-named-section"/>
        <w:rPr/>
      </w:pPr>
      <w:r>
        <w:rPr/>
        <w:t>§19</w:t>
      </w:r>
    </w:p>
    <w:p>
      <w:pPr>
        <w:pStyle w:val="WW-line-block"/>
        <w:rPr/>
      </w:pPr>
      <w:bookmarkStart w:id="19" w:name="bqseg19"/>
      <w:bookmarkEnd w:id="19"/>
      <w:r>
        <w:rPr/>
        <w:t>All the wishes and delights that are always</w:t>
        <w:br/>
        <w:t>connected to the many and various realms,</w:t>
        <w:br/>
        <w:t>yearnings sprung from the root of unknowing:</w:t>
        <w:br/>
        <w:t>I eliminated them all, along with their root.</w:t>
      </w:r>
      <w:r>
        <w:rPr>
          <w:rStyle w:val="FootnoteReference"/>
        </w:rPr>
        <w:footnoteReference w:id="65"/>
      </w:r>
    </w:p>
    <w:p>
      <w:pPr>
        <w:pStyle w:val="WW-paragraph"/>
        <w:rPr/>
      </w:pPr>
      <w:r>
        <w:rPr/>
        <w:t>Here unknowing (</w:t>
      </w:r>
      <w:r>
        <w:rPr>
          <w:rStyle w:val="wwc-pali"/>
        </w:rPr>
        <w:t>aññāṇa</w:t>
      </w:r>
      <w:r>
        <w:rP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pPr>
        <w:pStyle w:val="WW-figure"/>
        <w:rPr/>
      </w:pPr>
      <w:r>
        <w:rPr/>
        <w:t>./img/rootofcraving.png=A flower growing from a root. The flower is labeled ‘craving’ and the root ‘ignorance’.=30=border</w:t>
        <w:br/>
        <w:t>./img/rootofcravingb.png=A root developing a small sprout. The root is labeled ‘ignorance’, the sprout ‘potential craving’.=30=border</w:t>
        <w:br/>
        <w:t>Figure 5. Ignorance as the root of craving</w:t>
      </w:r>
    </w:p>
    <w:p>
      <w:pPr>
        <w:pStyle w:val="WW-paragraph"/>
        <w:rPr/>
      </w:pPr>
      <w:r>
        <w:rPr/>
        <w:t>Since craving depends on ignorance, yet another way to depict Dependent Arising as a tower of bricks is with a stick between ignorance and craving, as illustrated next. It is another way to think about the two parallel sequences.</w:t>
      </w:r>
    </w:p>
    <w:p>
      <w:pPr>
        <w:pStyle w:val="WW-figure"/>
        <w:rPr/>
      </w:pPr>
      <w:r>
        <w:rPr/>
        <w:t>./img/bricksstick.png=A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6. The two sequences as connected stacks of bricks</w:t>
      </w:r>
    </w:p>
    <w:p>
      <w:pPr>
        <w:pStyle w:val="WW-paragraph"/>
        <w:rPr/>
      </w:pPr>
      <w:r>
        <w:rP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pPr>
        <w:pStyle w:val="WW-paragraph"/>
        <w:rPr/>
      </w:pPr>
      <w:r>
        <w:rP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pPr>
        <w:pStyle w:val="WW-paragraph"/>
        <w:rPr/>
      </w:pPr>
      <w:r>
        <w:rPr/>
        <w:t xml:space="preserve">With that in mind, let me give one last tower analogy. We can also think of the twelve factors of Dependent Arising like this: </w:t>
      </w:r>
    </w:p>
    <w:p>
      <w:pPr>
        <w:pStyle w:val="WW-figure"/>
        <w:rPr/>
      </w:pPr>
      <w:r>
        <w:rPr/>
        <w:t>./img/fivebricks.png=A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./img/fivebricksfall.png=A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7. The two parallel sequences as one stack of bricks</w:t>
      </w:r>
    </w:p>
    <w:p>
      <w:pPr>
        <w:pStyle w:val="WW-paragraph"/>
        <w:rPr/>
      </w:pPr>
      <w:r>
        <w:rP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6"/>
      </w:r>
      <w:r>
        <w:rPr/>
        <w:t xml:space="preserve"> That is how the two parallel sequences function together to create suffering.</w:t>
      </w:r>
    </w:p>
    <w:p>
      <w:pPr>
        <w:pStyle w:val="WW-paragraph"/>
        <w:rPr/>
      </w:pPr>
      <w:r>
        <w:rP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pPr>
        <w:pStyle w:val="WW-space"/>
        <w:rPr/>
      </w:pPr>
      <w:r>
        <w:rPr/>
        <w:t>0</w:t>
      </w:r>
    </w:p>
    <w:p>
      <w:pPr>
        <w:pStyle w:val="WW-paragraph"/>
        <w:rPr/>
      </w:pPr>
      <w:r>
        <w:rP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rP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7"/>
      </w:r>
      <w:r>
        <w:rP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8"/>
      </w:r>
    </w:p>
    <w:p>
      <w:pPr>
        <w:pStyle w:val="WW-chapter-section-1"/>
        <w:ind w:hanging="0" w:start="0"/>
        <w:rPr/>
      </w:pPr>
      <w:r>
        <w:rPr/>
        <w:t>Putting this book in perspective</w:t>
      </w:r>
    </w:p>
    <w:p>
      <w:pPr>
        <w:pStyle w:val="WW-paragraph"/>
        <w:rPr/>
      </w:pPr>
      <w:r>
        <w:rP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rPr/>
        <w:t xml:space="preserve">, and start investigating the term </w:t>
      </w:r>
      <w:r>
        <w:rPr>
          <w:rStyle w:val="wwc-pali"/>
        </w:rPr>
        <w:t>appatiṭṭhita viññāṇa</w:t>
      </w:r>
      <w:r>
        <w:rPr/>
        <w:t>.</w:t>
      </w:r>
    </w:p>
    <w:p>
      <w:pPr>
        <w:pStyle w:val="WW-paragraph"/>
        <w:rPr/>
      </w:pPr>
      <w:r>
        <w:rP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rP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pPr>
        <w:pStyle w:val="WW-paragraph"/>
        <w:spacing w:before="170" w:after="170"/>
        <w:rPr/>
      </w:pPr>
      <w:r>
        <w:rP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pPr>
        <w:pStyle w:val="WW-Chapter"/>
        <w:spacing w:before="0" w:after="567"/>
        <w:ind w:hanging="0" w:start="0"/>
        <w:rPr/>
      </w:pPr>
      <w:bookmarkStart w:id="20" w:name="chapter3"/>
      <w:bookmarkEnd w:id="20"/>
      <w:r>
        <w:rPr/>
        <w:t>3. Rebirth and “name and form”</w:t>
      </w:r>
    </w:p>
    <w:p>
      <w:pPr>
        <w:pStyle w:val="WW-chapter-section-1"/>
        <w:ind w:hanging="0" w:start="0"/>
        <w:rPr/>
      </w:pPr>
      <w:r>
        <w:rPr/>
        <w:t>The meaning of ‘birth’, ‘old age’, and ‘death’</w:t>
      </w:r>
    </w:p>
    <w:p>
      <w:pPr>
        <w:pStyle w:val="WW-paragraph"/>
        <w:rPr/>
      </w:pPr>
      <w:r>
        <w:rP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pPr>
        <w:pStyle w:val="WW-paragraph"/>
        <w:rPr/>
      </w:pPr>
      <w:r>
        <w:rPr/>
        <w:t>To give a concrete example, the factors of ‘birth’, ‘old age’, and ‘death’ are sometimes interpreted to refer to the constant arising and passing away of certain mind states or of a sense of self.</w:t>
      </w:r>
      <w:r>
        <w:rPr>
          <w:rStyle w:val="FootnoteReference"/>
        </w:rPr>
        <w:footnoteReference w:id="69"/>
      </w:r>
      <w:r>
        <w:rP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rPr/>
        <w:t xml:space="preserve"> and </w:t>
      </w:r>
      <w:r>
        <w:rPr>
          <w:rStyle w:val="wwc-sesame"/>
        </w:rPr>
        <w:t>The Discourse on Right View</w:t>
      </w:r>
      <w:r>
        <w:rPr/>
        <w:t>.</w:t>
      </w:r>
      <w:r>
        <w:rPr>
          <w:rStyle w:val="FootnoteReference"/>
        </w:rPr>
        <w:footnoteReference w:id="70"/>
      </w:r>
      <w:r>
        <w:rPr/>
        <w:t xml:space="preserve"> In the </w:t>
      </w:r>
      <w:r>
        <w:rPr>
          <w:rStyle w:val="wwc-sesame"/>
        </w:rPr>
        <w:t>Nidāna Saṁyutta,</w:t>
      </w:r>
      <w:r>
        <w:rPr/>
        <w:t xml:space="preserve"> the connected discourses on Dependent Arising, they occur four times:</w:t>
      </w:r>
    </w:p>
    <w:p>
      <w:pPr>
        <w:pStyle w:val="WW-named-section"/>
        <w:rPr/>
      </w:pPr>
      <w:r>
        <w:rPr/>
        <w:t>§20</w:t>
      </w:r>
    </w:p>
    <w:p>
      <w:pPr>
        <w:pStyle w:val="WW-blockquote"/>
        <w:rPr/>
      </w:pPr>
      <w:bookmarkStart w:id="21" w:name="bqseg20"/>
      <w:bookmarkEnd w:id="21"/>
      <w:r>
        <w:rP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pPr>
        <w:pStyle w:val="WW-blockquote"/>
        <w:rPr/>
      </w:pPr>
      <w:r>
        <w:rP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1"/>
      </w:r>
    </w:p>
    <w:p>
      <w:pPr>
        <w:pStyle w:val="WW-paragraph"/>
        <w:rPr/>
      </w:pPr>
      <w:r>
        <w:rPr/>
        <w:t>It should be needless to say that states of mind don’t have broken teeth or gray hair, and are not the laying down of the body.</w:t>
      </w:r>
    </w:p>
    <w:p>
      <w:pPr>
        <w:pStyle w:val="WW-paragraph"/>
        <w:rPr/>
      </w:pPr>
      <w:r>
        <w:rPr/>
        <w:t xml:space="preserve">Another important text to consider is the </w:t>
      </w:r>
      <w:r>
        <w:rPr>
          <w:rStyle w:val="wwc-sesame"/>
        </w:rPr>
        <w:t>Mahānidāna Sutta</w:t>
      </w:r>
      <w:r>
        <w:rPr/>
        <w:t xml:space="preserve">, the </w:t>
      </w:r>
      <w:r>
        <w:rPr>
          <w:rStyle w:val="wwc-sesame"/>
        </w:rPr>
        <w:t>Great Discourse on the Sources [of Things]</w:t>
      </w:r>
      <w:r>
        <w:rPr/>
        <w:t>,</w:t>
      </w:r>
      <w:r>
        <w:rPr>
          <w:rStyle w:val="FootnoteReference"/>
        </w:rPr>
        <w:footnoteReference w:id="72"/>
      </w:r>
      <w:r>
        <w:rPr/>
        <w:t xml:space="preserve"> which is the most detailed discourse on Dependent Arising in the Pāli Canon. It explains the connection between birth and death as follows:</w:t>
      </w:r>
    </w:p>
    <w:p>
      <w:pPr>
        <w:pStyle w:val="WW-named-section"/>
        <w:rPr/>
      </w:pPr>
      <w:r>
        <w:rPr/>
        <w:t>§21</w:t>
      </w:r>
    </w:p>
    <w:p>
      <w:pPr>
        <w:pStyle w:val="WW-blockquote"/>
        <w:rPr/>
      </w:pPr>
      <w:bookmarkStart w:id="22" w:name="bqseg21"/>
      <w:bookmarkEnd w:id="22"/>
      <w:r>
        <w:rPr/>
        <w:t>“</w:t>
      </w:r>
      <w:r>
        <w:rPr/>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pPr>
        <w:pStyle w:val="WW-blockquote"/>
        <w:rPr/>
      </w:pPr>
      <w:r>
        <w:rPr/>
        <w:t>“</w:t>
      </w:r>
      <w:r>
        <w:rPr/>
        <w:t>No, sir.”</w:t>
      </w:r>
      <w:r>
        <w:rPr>
          <w:rStyle w:val="FootnoteReference"/>
        </w:rPr>
        <w:footnoteReference w:id="73"/>
      </w:r>
    </w:p>
    <w:p>
      <w:pPr>
        <w:pStyle w:val="WW-paragraph"/>
        <w:rPr/>
      </w:pPr>
      <w:r>
        <w:rPr/>
        <w:t xml:space="preserve">Another relevant discourse is the </w:t>
      </w:r>
      <w:r>
        <w:rPr>
          <w:rStyle w:val="wwc-sesame"/>
        </w:rPr>
        <w:t>Mahāpadāna Sutta</w:t>
      </w:r>
      <w:r>
        <w:rPr/>
        <w:t>, where the Buddha tells the story of the bodhisattva Vipassī leaving his palace in a chariot. (This story in later centuries got mistaken to be about Gotama’s own life.)</w:t>
      </w:r>
      <w:r>
        <w:rPr>
          <w:rStyle w:val="FootnoteReference"/>
        </w:rPr>
        <w:footnoteReference w:id="74"/>
      </w:r>
      <w:r>
        <w:rP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rP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5"/>
      </w:r>
      <w:r>
        <w:rPr/>
        <w:t xml:space="preserve"> This question resulted in Vipassī’s insights into Dependent Arising, which also shows that birth, old age, and death are not states of mind or other momentary processes.</w:t>
      </w:r>
    </w:p>
    <w:p>
      <w:pPr>
        <w:pStyle w:val="WW-paragraph"/>
        <w:rPr/>
      </w:pPr>
      <w:r>
        <w:rP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rPr/>
        <w:t>.</w:t>
      </w:r>
    </w:p>
    <w:p>
      <w:pPr>
        <w:pStyle w:val="WW-chapter-section-1"/>
        <w:ind w:hanging="0" w:start="0"/>
        <w:rPr/>
      </w:pPr>
      <w:r>
        <w:rPr/>
        <w:t>The meaning of bhava</w:t>
      </w:r>
    </w:p>
    <w:p>
      <w:pPr>
        <w:pStyle w:val="WW-paragraph"/>
        <w:rPr/>
      </w:pPr>
      <w:r>
        <w:rPr/>
        <w:t xml:space="preserve">Earlier I said my interpretation of Dependent Arising differs a little from tradition. For all intents and purposes this is only true for the factor of </w:t>
      </w:r>
      <w:r>
        <w:rPr>
          <w:rStyle w:val="wwc-pali"/>
        </w:rPr>
        <w:t>bhava</w:t>
      </w:r>
      <w:r>
        <w:rP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6"/>
      </w:r>
      <w:r>
        <w:rPr/>
        <w:t xml:space="preserve"> I do not think the inclusion of karma has any basis in the early texts and agree with Eviatar Shulman: “</w:t>
      </w:r>
      <w:r>
        <w:rPr>
          <w:rStyle w:val="wwc-pali"/>
        </w:rPr>
        <w:t>Bhava</w:t>
      </w:r>
      <w:r>
        <w:rPr/>
        <w:t xml:space="preserve"> probably [just] means a state of existence, a rebirth as a creature in any one of the different realms. Such a reading of </w:t>
      </w:r>
      <w:r>
        <w:rPr>
          <w:rStyle w:val="wwc-pali"/>
        </w:rPr>
        <w:t>bhava</w:t>
      </w:r>
      <w:r>
        <w:rPr/>
        <w:t xml:space="preserve"> has been suggested by numerous scholars.”</w:t>
      </w:r>
      <w:r>
        <w:rPr>
          <w:rStyle w:val="FootnoteReference"/>
        </w:rPr>
        <w:footnoteReference w:id="77"/>
      </w:r>
      <w:r>
        <w:rPr/>
        <w:t xml:space="preserve"> One of these scholars, Lambert Schmithausen, more directly stated that the interpretation of </w:t>
      </w:r>
      <w:r>
        <w:rPr>
          <w:rStyle w:val="wwc-pali"/>
        </w:rPr>
        <w:t>bhava</w:t>
      </w:r>
      <w:r>
        <w:rPr/>
        <w:t xml:space="preserve"> as karma is alien to the early discourses and from their perspective can safely be disregarded.</w:t>
      </w:r>
      <w:r>
        <w:rPr>
          <w:rStyle w:val="FootnoteReference"/>
        </w:rPr>
        <w:footnoteReference w:id="78"/>
      </w:r>
      <w:r>
        <w:rPr/>
        <w:t xml:space="preserve"> Venerable Bodhi also notes at the </w:t>
      </w:r>
      <w:r>
        <w:rPr>
          <w:rStyle w:val="wwc-sesame"/>
        </w:rPr>
        <w:t>Bhava Sutta</w:t>
      </w:r>
      <w:r>
        <w:rPr/>
        <w:t xml:space="preserve">: “What is meant [by </w:t>
      </w:r>
      <w:r>
        <w:rPr>
          <w:rStyle w:val="wwc-pali"/>
        </w:rPr>
        <w:t>bhava</w:t>
      </w:r>
      <w:r>
        <w:rPr/>
        <w:t>] is a concrete state of individual existence in one of the three realms”,</w:t>
      </w:r>
      <w:r>
        <w:rPr>
          <w:rStyle w:val="FootnoteReference"/>
        </w:rPr>
        <w:footnoteReference w:id="79"/>
      </w:r>
      <w:r>
        <w:rPr/>
        <w:t xml:space="preserve"> which are the sensual, form, and formless realms. This is in accordance with how </w:t>
      </w:r>
      <w:r>
        <w:rPr>
          <w:rStyle w:val="wwc-pali"/>
        </w:rPr>
        <w:t>bhava</w:t>
      </w:r>
      <w:r>
        <w:rPr/>
        <w:t xml:space="preserve"> is defined in context of Dependent Arising.</w:t>
      </w:r>
      <w:r>
        <w:rPr>
          <w:rStyle w:val="FootnoteReference"/>
        </w:rPr>
        <w:footnoteReference w:id="80"/>
      </w:r>
    </w:p>
    <w:p>
      <w:pPr>
        <w:pStyle w:val="WW-paragraph"/>
        <w:rPr/>
      </w:pPr>
      <w:r>
        <w:rPr/>
        <w:t xml:space="preserve">This interpretation also finds ancient support. The </w:t>
      </w:r>
      <w:r>
        <w:rPr>
          <w:rStyle w:val="wwc-sesame"/>
        </w:rPr>
        <w:t>Arthaviniścaya Sūtra</w:t>
      </w:r>
      <w:r>
        <w:rPr/>
        <w:t xml:space="preserve"> is a Sanskrit early text which in its section on Dependent Arising first explains the factor of </w:t>
      </w:r>
      <w:r>
        <w:rPr>
          <w:rStyle w:val="wwc-pali"/>
        </w:rPr>
        <w:t>bhava</w:t>
      </w:r>
      <w:r>
        <w:rP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1"/>
      </w:r>
    </w:p>
    <w:p>
      <w:pPr>
        <w:pStyle w:val="WW-paragraph"/>
        <w:rPr/>
      </w:pPr>
      <w:r>
        <w:rPr/>
        <w:t xml:space="preserve">The </w:t>
      </w:r>
      <w:r>
        <w:rPr>
          <w:rStyle w:val="wwc-sesame"/>
        </w:rPr>
        <w:t>Madhyama Āgama</w:t>
      </w:r>
      <w:r>
        <w:rPr/>
        <w:t xml:space="preserve"> parallel to the </w:t>
      </w:r>
      <w:r>
        <w:rPr>
          <w:rStyle w:val="wwc-sesame"/>
        </w:rPr>
        <w:t>Mahānidāna Sutta</w:t>
      </w:r>
      <w:r>
        <w:rPr/>
        <w:t xml:space="preserve"> likewise explains the link between existence (</w:t>
      </w:r>
      <w:r>
        <w:rPr/>
        <w:t>有</w:t>
      </w:r>
      <w:r>
        <w:rPr/>
        <w:t>) and birth by saying that there is existence of fish in the state of fish, birds in that of birds, and so forth.</w:t>
      </w:r>
      <w:r>
        <w:rPr>
          <w:rStyle w:val="FootnoteReference"/>
        </w:rPr>
        <w:footnoteReference w:id="82"/>
      </w:r>
      <w:r>
        <w:rPr/>
        <w:t xml:space="preserve"> The idea appears to be that the being first has to come to a certain realm before being physically born there. A curious but illuminating sutta in the </w:t>
      </w:r>
      <w:r>
        <w:rPr>
          <w:rStyle w:val="wwc-sesame"/>
        </w:rPr>
        <w:t>Aṅguttara Nikāya</w:t>
      </w:r>
      <w:r>
        <w:rPr/>
        <w:t xml:space="preserve"> confirms this when stating that certain highly developed non-returners will still obtain existence but not birth.</w:t>
      </w:r>
      <w:r>
        <w:rPr>
          <w:rStyle w:val="FootnoteReference"/>
        </w:rPr>
        <w:footnoteReference w:id="83"/>
      </w:r>
      <w:r>
        <w:rPr/>
        <w:t xml:space="preserve"> They are said to attain full extinguishment (</w:t>
      </w:r>
      <w:r>
        <w:rPr>
          <w:rStyle w:val="wwc-pali"/>
        </w:rPr>
        <w:t>parinibbāna</w:t>
      </w:r>
      <w:r>
        <w:rPr/>
        <w:t>) “in between”, which means in a state of existence after death but before taking a proper rebirth.</w:t>
      </w:r>
      <w:r>
        <w:rPr>
          <w:rStyle w:val="FootnoteReference"/>
        </w:rPr>
        <w:footnoteReference w:id="84"/>
      </w:r>
    </w:p>
    <w:p>
      <w:pPr>
        <w:pStyle w:val="WW-paragraph"/>
        <w:rPr/>
      </w:pPr>
      <w:r>
        <w:rPr/>
        <w:t>Venerable Nāgārjuna, who held the same general interpretation of Dependent Arising as this book, wrote in the second century that for the liberated one there will be no further existence and that “existence (</w:t>
      </w:r>
      <w:r>
        <w:rPr>
          <w:rStyle w:val="wwc-pali"/>
        </w:rPr>
        <w:t>bhava</w:t>
      </w:r>
      <w:r>
        <w:rPr/>
        <w:t xml:space="preserve">) is the five </w:t>
      </w:r>
      <w:r>
        <w:rPr>
          <w:rStyle w:val="wwc-pali"/>
        </w:rPr>
        <w:t>khandhas</w:t>
      </w:r>
      <w:r>
        <w:rPr/>
        <w:t>”.</w:t>
      </w:r>
      <w:r>
        <w:rPr>
          <w:rStyle w:val="FootnoteReference"/>
        </w:rPr>
        <w:footnoteReference w:id="85"/>
      </w:r>
      <w:r>
        <w:rPr/>
        <w:t xml:space="preserve"> Nāgārjuna’s view is well-supported by the Pāli Canon. For example, Uttara says in the Therāgātha:</w:t>
      </w:r>
    </w:p>
    <w:p>
      <w:pPr>
        <w:pStyle w:val="WW-named-section"/>
        <w:rPr/>
      </w:pPr>
      <w:r>
        <w:rPr/>
        <w:t>§22</w:t>
      </w:r>
    </w:p>
    <w:p>
      <w:pPr>
        <w:pStyle w:val="WW-line-block"/>
        <w:rPr/>
      </w:pPr>
      <w:bookmarkStart w:id="23" w:name="bqseg22"/>
      <w:bookmarkEnd w:id="23"/>
      <w:r>
        <w:rPr/>
        <w:t>No state of existence (</w:t>
      </w:r>
      <w:r>
        <w:rPr>
          <w:rStyle w:val="wwc-pali"/>
        </w:rPr>
        <w:t>bhava</w:t>
      </w:r>
      <w:r>
        <w:rPr/>
        <w:t>) is permanent,</w:t>
        <w:br/>
        <w:t>nothing created is eternal.</w:t>
        <w:br/>
        <w:t>The aspects of existence (</w:t>
      </w:r>
      <w:r>
        <w:rPr>
          <w:rStyle w:val="wwc-pali"/>
        </w:rPr>
        <w:t>khandhas</w:t>
      </w:r>
      <w:r>
        <w:rPr/>
        <w:t>) are reborn</w:t>
        <w:br/>
        <w:t>and pass away, one time after another.</w:t>
      </w:r>
      <w:r>
        <w:rPr>
          <w:rStyle w:val="FootnoteReference"/>
        </w:rPr>
        <w:footnoteReference w:id="86"/>
      </w:r>
    </w:p>
    <w:p>
      <w:pPr>
        <w:pStyle w:val="WW-paragraph"/>
        <w:rPr/>
      </w:pPr>
      <w:r>
        <w:rPr/>
        <w:t>It is also said that a being after death gets reborn in a certain state of existence (</w:t>
      </w:r>
      <w:r>
        <w:rPr>
          <w:rStyle w:val="wwc-pali"/>
        </w:rPr>
        <w:t>bhava-upapatti</w:t>
      </w:r>
      <w:r>
        <w:rPr/>
        <w:t>).</w:t>
      </w:r>
      <w:r>
        <w:rPr>
          <w:rStyle w:val="FootnoteReference"/>
        </w:rPr>
        <w:footnoteReference w:id="87"/>
      </w:r>
      <w:r>
        <w:rPr/>
        <w:t xml:space="preserve"> The </w:t>
      </w:r>
      <w:r>
        <w:rPr>
          <w:rStyle w:val="wwc-sesame"/>
        </w:rPr>
        <w:t>Ratana Sutta</w:t>
      </w:r>
      <w:r>
        <w:rPr/>
        <w:t xml:space="preserve"> states the stream enterer won’t have an eighth </w:t>
      </w:r>
      <w:r>
        <w:rPr>
          <w:rStyle w:val="wwc-pali"/>
        </w:rPr>
        <w:t>bhava</w:t>
      </w:r>
      <w:r>
        <w:rPr/>
        <w:t>, meaning an eighth life.</w:t>
      </w:r>
      <w:r>
        <w:rPr>
          <w:rStyle w:val="FootnoteReference"/>
        </w:rPr>
        <w:footnoteReference w:id="88"/>
      </w:r>
      <w:r>
        <w:rPr/>
        <w:t xml:space="preserve"> At least one discourse further says that all </w:t>
      </w:r>
      <w:r>
        <w:rPr>
          <w:rStyle w:val="wwc-pali"/>
        </w:rPr>
        <w:t>bhava</w:t>
      </w:r>
      <w:r>
        <w:rPr/>
        <w:t xml:space="preserve"> only ends at the death of an enlightened being,</w:t>
      </w:r>
      <w:r>
        <w:rPr>
          <w:rStyle w:val="FootnoteReference"/>
        </w:rPr>
        <w:footnoteReference w:id="89"/>
      </w:r>
      <w:r>
        <w:rPr/>
        <w:t xml:space="preserve"> which also disproves the common idea that it means some momentary “becoming” that ends at enlightenment.</w:t>
      </w:r>
    </w:p>
    <w:p>
      <w:pPr>
        <w:pStyle w:val="WW-paragraph"/>
        <w:rPr/>
      </w:pPr>
      <w:r>
        <w:rPr/>
        <w:t xml:space="preserve">The discourses in many other ways indicates that </w:t>
      </w:r>
      <w:r>
        <w:rPr>
          <w:rStyle w:val="wwc-pali"/>
        </w:rPr>
        <w:t>bhava</w:t>
      </w:r>
      <w:r>
        <w:rPr/>
        <w:t xml:space="preserve"> means existence, not karma or becoming,</w:t>
      </w:r>
      <w:r>
        <w:rPr>
          <w:rStyle w:val="FootnoteReference"/>
        </w:rPr>
        <w:footnoteReference w:id="90"/>
      </w:r>
      <w:r>
        <w:rPr/>
        <w:t xml:space="preserve"> but since this difference in interpretation is not of too much concern for the current discussion on consciousness, I will leave it at this. Let us instead turn to our main discourse.</w:t>
      </w:r>
    </w:p>
    <w:p>
      <w:pPr>
        <w:pStyle w:val="WW-chapter-section-1"/>
        <w:ind w:hanging="0" w:start="0"/>
        <w:rPr/>
      </w:pPr>
      <w:r>
        <w:rPr/>
        <w:t>The If There is Desire Discourse</w:t>
      </w:r>
    </w:p>
    <w:p>
      <w:pPr>
        <w:pStyle w:val="WW-paragraph"/>
        <w:rPr/>
      </w:pPr>
      <w:r>
        <w:rPr/>
        <w:t xml:space="preserve">The </w:t>
      </w:r>
      <w:r>
        <w:rPr>
          <w:rStyle w:val="wwc-sesame"/>
        </w:rPr>
        <w:t>If There is Desire Discourse</w:t>
      </w:r>
      <w:r>
        <w:rPr/>
        <w:t xml:space="preserve"> is included in full here, but various sections will be requoted and clarified later, with the main purpose of explaining </w:t>
      </w:r>
      <w:r>
        <w:rPr>
          <w:rStyle w:val="wwc-pali"/>
        </w:rPr>
        <w:t>appatiṭṭhita viññāṇa</w:t>
      </w:r>
      <w:r>
        <w:rPr/>
        <w:t>.</w:t>
      </w:r>
    </w:p>
    <w:p>
      <w:pPr>
        <w:pStyle w:val="WW-named-section"/>
        <w:rPr/>
      </w:pPr>
      <w:r>
        <w:rPr/>
        <w:t>§23</w:t>
      </w:r>
    </w:p>
    <w:p>
      <w:pPr>
        <w:pStyle w:val="WW-blockquote"/>
        <w:rPr/>
      </w:pPr>
      <w:bookmarkStart w:id="24" w:name="bqseg23"/>
      <w:bookmarkEnd w:id="24"/>
      <w:r>
        <w:rPr/>
        <w:t>“</w:t>
      </w:r>
      <w:r>
        <w:rP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pPr>
        <w:pStyle w:val="WW-blockquote"/>
        <w:rPr/>
      </w:pPr>
      <w:r>
        <w:rPr/>
        <w:t>If there is desire, enjoyment, and craving for the nutriment of edible food, then consciousness will get planted and will sprout [in a next life]. Where consciousness is planted (</w:t>
      </w:r>
      <w:r>
        <w:rPr>
          <w:rStyle w:val="wwc-pali"/>
        </w:rPr>
        <w:t>patiṭṭhita</w:t>
      </w:r>
      <w:r>
        <w:rP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Mendicants, if there is no desire, enjoyment, and craving for the nutriment of edible food, then consciousness will not get planted (</w:t>
      </w:r>
      <w:r>
        <w:rPr>
          <w:rStyle w:val="wwc-pali"/>
        </w:rPr>
        <w:t>appatiṭṭhita</w:t>
      </w:r>
      <w:r>
        <w:rP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p>
    <w:p>
      <w:pPr>
        <w:pStyle w:val="WW-blockquote"/>
        <w:rPr/>
      </w:pPr>
      <w:r>
        <w:rPr/>
        <w:t>Mendicants, imagine a house or a hall with windows facing the north, south, and east. When the sun rises and a beam of light enters through a window, where would that beam plant down?”</w:t>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anywhere, sir.”</w:t>
      </w:r>
    </w:p>
    <w:p>
      <w:pPr>
        <w:pStyle w:val="WW-blockquote"/>
        <w:rPr/>
      </w:pPr>
      <w:r>
        <w:rPr/>
        <w:t>“</w:t>
      </w:r>
      <w:r>
        <w:rP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r>
        <w:rPr>
          <w:rStyle w:val="FootnoteReference"/>
        </w:rPr>
        <w:footnoteReference w:id="91"/>
      </w:r>
    </w:p>
    <w:p>
      <w:pPr>
        <w:pStyle w:val="WW-paragraph"/>
        <w:rPr/>
      </w:pPr>
      <w:r>
        <w:rP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pPr>
        <w:pStyle w:val="WW-paragraph"/>
        <w:rPr/>
      </w:pPr>
      <w:r>
        <w:rPr/>
        <w:t>To start, like most if not all suttas on Dependent Arising, the If There is Desire Discourse primarily concerns rebirth. That is why the Buddha said the four nutriments support those to be reborn.</w:t>
      </w:r>
      <w:r>
        <w:rPr>
          <w:rStyle w:val="FootnoteReference"/>
        </w:rPr>
        <w:footnoteReference w:id="92"/>
      </w:r>
      <w:r>
        <w:rP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rPr/>
        <w:t xml:space="preserve"> food, and this desire is what will lead to being reborn.</w:t>
      </w:r>
    </w:p>
    <w:p>
      <w:pPr>
        <w:pStyle w:val="WW-paragraph"/>
        <w:rPr/>
      </w:pPr>
      <w:r>
        <w:rP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rPr/>
        <w:t xml:space="preserve">, which I normally translate as ‘next life’, but the expression </w:t>
      </w:r>
      <w:r>
        <w:rPr>
          <w:rStyle w:val="wwc-pali"/>
        </w:rPr>
        <w:t>ayatiṁ punabbhava</w:t>
      </w:r>
      <w:r>
        <w:rPr/>
        <w:t xml:space="preserve"> I translate as ‘existence in a future life’. This expression is elsewhere equated to “lying in a womb in the future”.</w:t>
      </w:r>
      <w:r>
        <w:rPr>
          <w:rStyle w:val="FootnoteReference"/>
        </w:rPr>
        <w:footnoteReference w:id="93"/>
      </w:r>
    </w:p>
    <w:p>
      <w:pPr>
        <w:pStyle w:val="WW-paragraph"/>
        <w:rPr/>
      </w:pPr>
      <w:r>
        <w:rPr/>
        <w:t>Sāriputta once rephrased the second truth as follows. Notice here the reappearance of ‘existence in a future life’ and ‘look for happiness in various realms’.</w:t>
      </w:r>
    </w:p>
    <w:p>
      <w:pPr>
        <w:pStyle w:val="WW-named-section"/>
        <w:rPr/>
      </w:pPr>
      <w:r>
        <w:rPr/>
        <w:t>§24</w:t>
      </w:r>
    </w:p>
    <w:p>
      <w:pPr>
        <w:pStyle w:val="WW-blockquote"/>
        <w:rPr/>
      </w:pPr>
      <w:bookmarkStart w:id="25" w:name="bqseg24"/>
      <w:bookmarkEnd w:id="25"/>
      <w:r>
        <w:rPr/>
        <w:t>Existence in a future life is produced because beings, obstructed by ignorance and chained by craving, look for happiness in various realms.</w:t>
      </w:r>
      <w:r>
        <w:rPr>
          <w:rStyle w:val="FootnoteReference"/>
        </w:rPr>
        <w:footnoteReference w:id="94"/>
      </w:r>
    </w:p>
    <w:p>
      <w:pPr>
        <w:pStyle w:val="WW-paragraph"/>
        <w:rPr/>
      </w:pPr>
      <w:r>
        <w:rPr/>
        <w:t>To clarify the connections between these three texts, the statement by Sāriputta has the following factors:</w:t>
      </w:r>
    </w:p>
    <w:p>
      <w:pPr>
        <w:pStyle w:val="WW-paragraph"/>
        <w:numPr>
          <w:ilvl w:val="0"/>
          <w:numId w:val="9"/>
        </w:numPr>
        <w:rPr/>
      </w:pPr>
      <w:r>
        <w:rPr/>
        <w:t>Ignorance and craving</w:t>
      </w:r>
    </w:p>
    <w:p>
      <w:pPr>
        <w:pStyle w:val="WW-paragraph"/>
        <w:numPr>
          <w:ilvl w:val="0"/>
          <w:numId w:val="9"/>
        </w:numPr>
        <w:rPr/>
      </w:pPr>
      <w:r>
        <w:rPr/>
        <w:t>Looking for happiness in various realms</w:t>
      </w:r>
    </w:p>
    <w:p>
      <w:pPr>
        <w:pStyle w:val="WW-paragraph"/>
        <w:numPr>
          <w:ilvl w:val="0"/>
          <w:numId w:val="9"/>
        </w:numPr>
        <w:rPr/>
      </w:pPr>
      <w:r>
        <w:rPr/>
        <w:t>Production of existence in a future life</w:t>
      </w:r>
    </w:p>
    <w:p>
      <w:pPr>
        <w:pStyle w:val="WW-paragraph"/>
        <w:rPr/>
      </w:pPr>
      <w:r>
        <w:rPr/>
        <w:t>The truth on the origin of suffering has:</w:t>
      </w:r>
    </w:p>
    <w:p>
      <w:pPr>
        <w:pStyle w:val="WW-paragraph"/>
        <w:numPr>
          <w:ilvl w:val="0"/>
          <w:numId w:val="8"/>
        </w:numPr>
        <w:rPr/>
      </w:pPr>
      <w:r>
        <w:rPr/>
        <w:t>Craving, desire, and enjoyment</w:t>
      </w:r>
    </w:p>
    <w:p>
      <w:pPr>
        <w:pStyle w:val="WW-paragraph"/>
        <w:numPr>
          <w:ilvl w:val="0"/>
          <w:numId w:val="8"/>
        </w:numPr>
        <w:rPr/>
      </w:pPr>
      <w:r>
        <w:rPr/>
        <w:t>Looking for happiness in various realms</w:t>
      </w:r>
    </w:p>
    <w:p>
      <w:pPr>
        <w:pStyle w:val="WW-paragraph"/>
        <w:numPr>
          <w:ilvl w:val="0"/>
          <w:numId w:val="8"/>
        </w:numPr>
        <w:rPr/>
      </w:pPr>
      <w:r>
        <w:rPr/>
        <w:t>A next life</w:t>
      </w:r>
    </w:p>
    <w:p>
      <w:pPr>
        <w:pStyle w:val="WW-paragraph"/>
        <w:rPr/>
      </w:pPr>
      <w:r>
        <w:rPr/>
        <w:t xml:space="preserve">And the </w:t>
      </w:r>
      <w:r>
        <w:rPr>
          <w:rStyle w:val="wwc-sesame"/>
        </w:rPr>
        <w:t>If There is Desire Discourse</w:t>
      </w:r>
      <w:r>
        <w:rPr/>
        <w:t xml:space="preserve"> has:</w:t>
      </w:r>
    </w:p>
    <w:p>
      <w:pPr>
        <w:pStyle w:val="WW-paragraph"/>
        <w:numPr>
          <w:ilvl w:val="0"/>
          <w:numId w:val="10"/>
        </w:numPr>
        <w:rPr/>
      </w:pPr>
      <w:r>
        <w:rPr/>
        <w:t>Craving, desire, and enjoyment</w:t>
      </w:r>
    </w:p>
    <w:p>
      <w:pPr>
        <w:pStyle w:val="WW-paragraph"/>
        <w:numPr>
          <w:ilvl w:val="0"/>
          <w:numId w:val="10"/>
        </w:numPr>
        <w:rPr/>
      </w:pPr>
      <w:r>
        <w:rPr/>
        <w:t>Planting of consciousness</w:t>
      </w:r>
    </w:p>
    <w:p>
      <w:pPr>
        <w:pStyle w:val="WW-paragraph"/>
        <w:numPr>
          <w:ilvl w:val="0"/>
          <w:numId w:val="10"/>
        </w:numPr>
        <w:rPr/>
      </w:pPr>
      <w:r>
        <w:rPr/>
        <w:t>Conception of the individual’s immaterial aspects and body</w:t>
      </w:r>
    </w:p>
    <w:p>
      <w:pPr>
        <w:pStyle w:val="WW-paragraph"/>
        <w:numPr>
          <w:ilvl w:val="0"/>
          <w:numId w:val="10"/>
        </w:numPr>
        <w:rPr/>
      </w:pPr>
      <w:r>
        <w:rPr/>
        <w:t>Development of willful actions</w:t>
      </w:r>
    </w:p>
    <w:p>
      <w:pPr>
        <w:pStyle w:val="WW-paragraph"/>
        <w:numPr>
          <w:ilvl w:val="0"/>
          <w:numId w:val="10"/>
        </w:numPr>
        <w:rPr/>
      </w:pPr>
      <w:r>
        <w:rPr/>
        <w:t>Production of existence in a future life</w:t>
      </w:r>
    </w:p>
    <w:p>
      <w:pPr>
        <w:pStyle w:val="WW-paragraph"/>
        <w:numPr>
          <w:ilvl w:val="0"/>
          <w:numId w:val="10"/>
        </w:numPr>
        <w:rPr/>
      </w:pPr>
      <w:r>
        <w:rPr/>
        <w:t>Birth</w:t>
      </w:r>
    </w:p>
    <w:p>
      <w:pPr>
        <w:pStyle w:val="WW-paragraph"/>
        <w:rPr/>
      </w:pPr>
      <w:r>
        <w:rP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pPr>
        <w:pStyle w:val="WW-paragraph"/>
        <w:rPr/>
      </w:pPr>
      <w:r>
        <w:rPr/>
        <w:t xml:space="preserve">We can also compare the </w:t>
      </w:r>
      <w:r>
        <w:rPr>
          <w:rStyle w:val="wwc-sesame"/>
        </w:rPr>
        <w:t>If There is Desire Discourse</w:t>
      </w:r>
      <w:r>
        <w:rPr/>
        <w:t xml:space="preserve"> to the standard sequence of Dependent Arising, using the following table. Observe how certain terms reoccur in different places.</w:t>
      </w:r>
    </w:p>
    <w:p>
      <w:pPr>
        <w:pStyle w:val="WW-table-caption"/>
        <w:rPr/>
      </w:pPr>
      <w:r>
        <w:rPr/>
        <w:t>{SimpleNoRowBorders}Table 4. If There is Desire Discourse alongside standard sequence</w:t>
      </w:r>
    </w:p>
    <w:tbl>
      <w:tblPr>
        <w:tblW w:w="7872" w:type="dxa"/>
        <w:jc w:val="start"/>
        <w:tblInd w:w="0" w:type="dxa"/>
        <w:tblLayout w:type="fixed"/>
        <w:tblCellMar>
          <w:top w:w="0" w:type="dxa"/>
          <w:start w:w="0" w:type="dxa"/>
          <w:bottom w:w="0" w:type="dxa"/>
          <w:end w:w="0" w:type="dxa"/>
        </w:tblCellMar>
      </w:tblPr>
      <w:tblGrid>
        <w:gridCol w:w="2138"/>
        <w:gridCol w:w="2449"/>
        <w:gridCol w:w="3285"/>
      </w:tblGrid>
      <w:tr>
        <w:trPr/>
        <w:tc>
          <w:tcPr>
            <w:tcW w:w="2138" w:type="dxa"/>
            <w:tcBorders/>
            <w:vAlign w:val="center"/>
          </w:tcPr>
          <w:p>
            <w:pPr>
              <w:pStyle w:val="WW-paragraph"/>
              <w:spacing w:before="170" w:after="170"/>
              <w:rPr/>
            </w:pPr>
            <w:r>
              <w:rPr>
                <w:rStyle w:val="Strong"/>
              </w:rPr>
              <w:t>Ignorance sequence</w:t>
            </w:r>
          </w:p>
        </w:tc>
        <w:tc>
          <w:tcPr>
            <w:tcW w:w="2449" w:type="dxa"/>
            <w:tcBorders/>
            <w:vAlign w:val="center"/>
          </w:tcPr>
          <w:p>
            <w:pPr>
              <w:pStyle w:val="WW-paragraph"/>
              <w:spacing w:before="170" w:after="170"/>
              <w:rPr/>
            </w:pPr>
            <w:r>
              <w:rPr>
                <w:rStyle w:val="Strong"/>
              </w:rPr>
              <w:t>Craving sequence</w:t>
            </w:r>
          </w:p>
        </w:tc>
        <w:tc>
          <w:tcPr>
            <w:tcW w:w="3285" w:type="dxa"/>
            <w:tcBorders/>
            <w:vAlign w:val="center"/>
          </w:tcPr>
          <w:p>
            <w:pPr>
              <w:pStyle w:val="WW-paragraph"/>
              <w:spacing w:before="170" w:after="170"/>
              <w:rPr/>
            </w:pPr>
            <w:r>
              <w:rPr>
                <w:rStyle w:val="Strong"/>
              </w:rPr>
              <w:t>If There is Desire Discourse</w:t>
            </w:r>
          </w:p>
        </w:tc>
      </w:tr>
      <w:tr>
        <w:trPr/>
        <w:tc>
          <w:tcPr>
            <w:tcW w:w="2138"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9" w:type="dxa"/>
            <w:tcBorders/>
            <w:vAlign w:val="center"/>
          </w:tcPr>
          <w:p>
            <w:pPr>
              <w:pStyle w:val="WW-paragraph"/>
              <w:spacing w:before="170" w:after="170"/>
              <w:rPr/>
            </w:pPr>
            <w:r>
              <w:rPr/>
              <w:t>8. Craving</w:t>
              <w:br/>
              <w:t>9. Fuel/taking up</w:t>
            </w:r>
          </w:p>
        </w:tc>
        <w:tc>
          <w:tcPr>
            <w:tcW w:w="3285" w:type="dxa"/>
            <w:tcBorders/>
            <w:vAlign w:val="center"/>
          </w:tcPr>
          <w:p>
            <w:pPr>
              <w:pStyle w:val="WW-paragraph"/>
              <w:spacing w:before="170" w:after="170"/>
              <w:rPr/>
            </w:pPr>
            <w:r>
              <w:rPr/>
              <w:t xml:space="preserve">• </w:t>
            </w:r>
            <w:r>
              <w:rPr/>
              <w:t>Craving, desire &amp; enjoyment</w:t>
            </w:r>
          </w:p>
        </w:tc>
      </w:tr>
      <w:tr>
        <w:trPr/>
        <w:tc>
          <w:tcPr>
            <w:tcW w:w="2138" w:type="dxa"/>
            <w:tcBorders/>
            <w:vAlign w:val="center"/>
          </w:tcPr>
          <w:p>
            <w:pPr>
              <w:pStyle w:val="WW-paragraph"/>
              <w:spacing w:before="170" w:after="170"/>
              <w:rPr/>
            </w:pPr>
            <w:r>
              <w:rPr/>
              <w:t>3. Consciousness</w:t>
              <w:br/>
              <w:t>4. Imm. &amp; body</w:t>
            </w:r>
          </w:p>
        </w:tc>
        <w:tc>
          <w:tcPr>
            <w:tcW w:w="2449" w:type="dxa"/>
            <w:tcBorders/>
            <w:vAlign w:val="center"/>
          </w:tcPr>
          <w:p>
            <w:pPr>
              <w:pStyle w:val="WW-paragraph"/>
              <w:spacing w:before="170" w:after="170"/>
              <w:rPr/>
            </w:pPr>
            <w:r>
              <w:rPr/>
              <w:t>10. Existence</w:t>
              <w:br/>
              <w:t>11. Birth</w:t>
            </w:r>
          </w:p>
        </w:tc>
        <w:tc>
          <w:tcPr>
            <w:tcW w:w="3285" w:type="dxa"/>
            <w:tcBorders/>
            <w:vAlign w:val="center"/>
          </w:tcPr>
          <w:p>
            <w:pPr>
              <w:pStyle w:val="WW-paragraph"/>
              <w:spacing w:before="170" w:after="170"/>
              <w:rPr/>
            </w:pPr>
            <w:r>
              <w:rPr/>
              <w:t xml:space="preserve">• </w:t>
            </w:r>
            <w:r>
              <w:rPr/>
              <w:t>Planting of consciousness</w:t>
              <w:br/>
              <w:t>• Conception of imm. &amp; body</w:t>
              <w:br/>
              <w:t>• Development of willful actions</w:t>
              <w:br/>
              <w:t>• Production of existence</w:t>
              <w:br/>
              <w:t>• Birth</w:t>
            </w:r>
          </w:p>
        </w:tc>
      </w:tr>
      <w:tr>
        <w:trPr/>
        <w:tc>
          <w:tcPr>
            <w:tcW w:w="2138" w:type="dxa"/>
            <w:tcBorders/>
            <w:vAlign w:val="center"/>
          </w:tcPr>
          <w:p>
            <w:pPr>
              <w:pStyle w:val="WW-paragraph"/>
              <w:spacing w:before="170" w:after="170"/>
              <w:rPr/>
            </w:pPr>
            <w:r>
              <w:rPr/>
              <w:t>5. Six senses</w:t>
              <w:br/>
              <w:t>6. Sense impressions</w:t>
              <w:br/>
              <w:t>7. Sensations</w:t>
            </w:r>
          </w:p>
        </w:tc>
        <w:tc>
          <w:tcPr>
            <w:tcW w:w="2449" w:type="dxa"/>
            <w:tcBorders/>
            <w:vAlign w:val="center"/>
          </w:tcPr>
          <w:p>
            <w:pPr>
              <w:pStyle w:val="WW-paragraph"/>
              <w:spacing w:before="170" w:after="170"/>
              <w:rPr/>
            </w:pPr>
            <w:r>
              <w:rPr/>
              <w:t>12. Suffering,</w:t>
              <w:br/>
              <w:t>  incl. old age and death</w:t>
            </w:r>
          </w:p>
        </w:tc>
        <w:tc>
          <w:tcPr>
            <w:tcW w:w="3285"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This table not only further clarifies that the </w:t>
      </w:r>
      <w:r>
        <w:rPr>
          <w:rStyle w:val="wwc-sesame"/>
        </w:rPr>
        <w:t>If There is Desire Discourse</w:t>
      </w:r>
      <w:r>
        <w:rP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5"/>
      </w:r>
      <w:r>
        <w:rPr/>
        <w:t xml:space="preserve"> It therefore shifts from the craving sequence to the ignorance sequence and back, showing that these two sequences are different ways to describe the same process. (The development of willful actions in the </w:t>
      </w:r>
      <w:r>
        <w:rPr>
          <w:rStyle w:val="wwc-sesame"/>
        </w:rPr>
        <w:t>If There is Desire Discourse</w:t>
      </w:r>
      <w:r>
        <w:rPr/>
        <w:t xml:space="preserve"> is not equal to the willful actions of the ignorance sequence, though. It is the </w:t>
      </w:r>
      <w:r>
        <w:rPr>
          <w:rStyle w:val="Emphasis"/>
        </w:rPr>
        <w:t>development</w:t>
      </w:r>
      <w:r>
        <w:rPr/>
        <w:t>, the outcome, of willful actions, not the actions themselves. I’ll return to this.)</w:t>
      </w:r>
    </w:p>
    <w:p>
      <w:pPr>
        <w:pStyle w:val="WW-chapter-section-1"/>
        <w:ind w:hanging="0" w:start="0"/>
        <w:rPr/>
      </w:pPr>
      <w:r>
        <w:rPr/>
        <w:t>Conception</w:t>
      </w:r>
    </w:p>
    <w:p>
      <w:pPr>
        <w:pStyle w:val="WW-paragraph"/>
        <w:rPr/>
      </w:pPr>
      <w:r>
        <w:rPr/>
        <w:t xml:space="preserve">That the </w:t>
      </w:r>
      <w:r>
        <w:rPr>
          <w:rStyle w:val="wwc-sesame"/>
        </w:rPr>
        <w:t>If There is Desire Discourse</w:t>
      </w:r>
      <w:r>
        <w:rP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6"/>
      </w:r>
      <w:r>
        <w:rPr/>
        <w:t xml:space="preserve"> Here ‘conception’ (</w:t>
      </w:r>
      <w:r>
        <w:rPr>
          <w:rStyle w:val="wwc-pali"/>
        </w:rPr>
        <w:t>avakkanti</w:t>
      </w:r>
      <w:r>
        <w:rPr/>
        <w:t>) means the kind that happens at a pregnancy. The word is also used in the definition of ‘birth’ (</w:t>
      </w:r>
      <w:hyperlink w:anchor="bqseg20">
        <w:r>
          <w:rPr>
            <w:rStyle w:val="Hyperlink"/>
          </w:rPr>
          <w:t>§20</w:t>
        </w:r>
      </w:hyperlink>
      <w:r>
        <w:rPr/>
        <w:t xml:space="preserve">) and in the largest discourse on Dependent Arising in the Pāli Canon, the </w:t>
      </w:r>
      <w:r>
        <w:rPr>
          <w:rStyle w:val="wwc-sesame"/>
        </w:rPr>
        <w:t>Mahānidāna Sutta</w:t>
      </w:r>
      <w:r>
        <w:rPr/>
        <w:t xml:space="preserve">, which mentions the conception of consciousness together with the immaterial aspects and body </w:t>
      </w:r>
      <w:r>
        <w:rPr>
          <w:rStyle w:val="Emphasis"/>
        </w:rPr>
        <w:t>in the mother’s womb</w:t>
      </w:r>
      <w:r>
        <w:rPr/>
        <w:t xml:space="preserve"> (</w:t>
      </w:r>
      <w:hyperlink w:anchor="bqseg84">
        <w:r>
          <w:rPr>
            <w:rStyle w:val="Hyperlink"/>
          </w:rPr>
          <w:t>§84</w:t>
        </w:r>
      </w:hyperlink>
      <w:r>
        <w:rPr/>
        <w:t xml:space="preserve">). In the </w:t>
      </w:r>
      <w:r>
        <w:rPr>
          <w:rStyle w:val="wwc-sesame"/>
        </w:rPr>
        <w:t>Sampasādanīya Sutta</w:t>
      </w:r>
      <w:r>
        <w:rP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7"/>
      </w:r>
      <w:r>
        <w:rPr/>
        <w:t xml:space="preserve"> ‘Conception’ clearly refers to the process of birth here.</w:t>
      </w:r>
      <w:r>
        <w:rPr>
          <w:rStyle w:val="FootnoteReference"/>
        </w:rPr>
        <w:footnoteReference w:id="98"/>
      </w:r>
    </w:p>
    <w:p>
      <w:pPr>
        <w:pStyle w:val="WW-paragraph"/>
        <w:rPr/>
      </w:pPr>
      <w:r>
        <w:rPr/>
        <w:t xml:space="preserve">Another reference to pregnancy in context of Dependent Arising occurs in the </w:t>
      </w:r>
      <w:r>
        <w:rPr>
          <w:rStyle w:val="wwc-sesame"/>
        </w:rPr>
        <w:t>Aṅguttara Nikāya</w:t>
      </w:r>
      <w:r>
        <w:rPr/>
        <w:t>:</w:t>
      </w:r>
    </w:p>
    <w:p>
      <w:pPr>
        <w:pStyle w:val="WW-named-section"/>
        <w:rPr/>
      </w:pPr>
      <w:r>
        <w:rPr/>
        <w:t>§25</w:t>
      </w:r>
    </w:p>
    <w:p>
      <w:pPr>
        <w:pStyle w:val="WW-blockquote"/>
        <w:rPr/>
      </w:pPr>
      <w:bookmarkStart w:id="26" w:name="bqseg25"/>
      <w:bookmarkEnd w:id="26"/>
      <w:r>
        <w:rP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9"/>
      </w:r>
    </w:p>
    <w:p>
      <w:pPr>
        <w:pStyle w:val="WW-paragraph"/>
        <w:rPr/>
      </w:pPr>
      <w:r>
        <w:rPr/>
        <w:t xml:space="preserve">The meaning of </w:t>
      </w:r>
      <w:r>
        <w:rPr>
          <w:rStyle w:val="wwc-pali"/>
        </w:rPr>
        <w:t>avakkanti</w:t>
      </w:r>
      <w:r>
        <w:rPr/>
        <w:t xml:space="preserve"> is also clarified by the Pāli Canon’s second-largest text on Dependent Arising, the </w:t>
      </w:r>
      <w:r>
        <w:rPr>
          <w:rStyle w:val="wwc-sesame"/>
        </w:rPr>
        <w:t>Longer Discourse on the Ending of Craving</w:t>
      </w:r>
      <w:r>
        <w:rPr/>
        <w:t>, which also mentions the conception of a fetus. It describes the birth of a child who, if he remains attached to sensations, will be reborn again. So there are two subsequent births in this passage, just like in the default sequence of Dependent Arising.</w:t>
      </w:r>
    </w:p>
    <w:p>
      <w:pPr>
        <w:pStyle w:val="WW-named-section"/>
        <w:rPr/>
      </w:pPr>
      <w:r>
        <w:rPr/>
        <w:t>§26</w:t>
      </w:r>
    </w:p>
    <w:p>
      <w:pPr>
        <w:pStyle w:val="WW-blockquote"/>
        <w:rPr/>
      </w:pPr>
      <w:bookmarkStart w:id="27" w:name="bqseg26"/>
      <w:bookmarkEnd w:id="27"/>
      <w:r>
        <w:rPr/>
        <w:t>Mendicants, a fetus is conceived (</w:t>
      </w:r>
      <w:r>
        <w:rPr>
          <w:rStyle w:val="wwc-pali"/>
        </w:rPr>
        <w:t>avakkanti</w:t>
      </w:r>
      <w:r>
        <w:rPr/>
        <w:t>) when there is a combination of three things. No fetus is conceived when the mother is not in her fertile period, even though there is coitus of the mother and father, and a spirit to be reborn is awaiting. Nor is a fetus conceived when no spirit to be reborn is awaiting, even though the mother is in her fertile period, and there is coitus of the mother and father. But when there is coitus of the mother and father, the mother is in her fertile period, and a spirit to be reborn is awaiting, a fetus is conceived.</w:t>
      </w:r>
    </w:p>
    <w:p>
      <w:pPr>
        <w:pStyle w:val="WW-blockquote"/>
        <w:rPr/>
      </w:pPr>
      <w:r>
        <w:rP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pPr>
        <w:pStyle w:val="WW-blockquote"/>
        <w:rPr/>
      </w:pPr>
      <w:r>
        <w:rP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pPr>
        <w:pStyle w:val="WW-blockquote"/>
        <w:rPr/>
      </w:pPr>
      <w:r>
        <w:rP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100"/>
      </w:r>
    </w:p>
    <w:p>
      <w:pPr>
        <w:pStyle w:val="WW-paragraph"/>
        <w:rPr/>
      </w:pPr>
      <w:r>
        <w:rP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pPr>
        <w:pStyle w:val="WW-table-caption"/>
        <w:rPr/>
      </w:pPr>
      <w:r>
        <w:rPr/>
        <w:t>{SimpleNoRowBorders}Table 5. Birth of a child alongside standard sequence</w:t>
      </w:r>
    </w:p>
    <w:tbl>
      <w:tblPr>
        <w:tblW w:w="6539" w:type="dxa"/>
        <w:jc w:val="start"/>
        <w:tblInd w:w="0" w:type="dxa"/>
        <w:tblLayout w:type="fixed"/>
        <w:tblCellMar>
          <w:top w:w="0" w:type="dxa"/>
          <w:start w:w="0" w:type="dxa"/>
          <w:bottom w:w="0" w:type="dxa"/>
          <w:end w:w="0" w:type="dxa"/>
        </w:tblCellMar>
      </w:tblPr>
      <w:tblGrid>
        <w:gridCol w:w="1107"/>
        <w:gridCol w:w="2938"/>
        <w:gridCol w:w="2494"/>
      </w:tblGrid>
      <w:tr>
        <w:trPr/>
        <w:tc>
          <w:tcPr>
            <w:tcW w:w="1107" w:type="dxa"/>
            <w:tcBorders/>
            <w:vAlign w:val="center"/>
          </w:tcPr>
          <w:p>
            <w:pPr>
              <w:pStyle w:val="WW-paragraph"/>
              <w:spacing w:before="170" w:after="170"/>
              <w:rPr>
                <w:rStyle w:val="Strong"/>
              </w:rPr>
            </w:pPr>
            <w:r>
              <w:rPr/>
            </w:r>
          </w:p>
        </w:tc>
        <w:tc>
          <w:tcPr>
            <w:tcW w:w="2938" w:type="dxa"/>
            <w:tcBorders/>
            <w:vAlign w:val="center"/>
          </w:tcPr>
          <w:p>
            <w:pPr>
              <w:pStyle w:val="WW-paragraph"/>
              <w:spacing w:before="170" w:after="170"/>
              <w:rPr/>
            </w:pPr>
            <w:r>
              <w:rPr>
                <w:rStyle w:val="Strong"/>
              </w:rPr>
              <w:t>Standard sequence</w:t>
            </w:r>
          </w:p>
        </w:tc>
        <w:tc>
          <w:tcPr>
            <w:tcW w:w="2494" w:type="dxa"/>
            <w:tcBorders/>
            <w:vAlign w:val="center"/>
          </w:tcPr>
          <w:p>
            <w:pPr>
              <w:pStyle w:val="WW-paragraph"/>
              <w:spacing w:before="170" w:after="170"/>
              <w:rPr/>
            </w:pPr>
            <w:r>
              <w:rPr>
                <w:rStyle w:val="Strong"/>
              </w:rPr>
              <w:t xml:space="preserve">Birth of a child in </w:t>
            </w:r>
            <w:hyperlink w:anchor="bqseg26">
              <w:r>
                <w:rPr>
                  <w:rStyle w:val="Hyperlink"/>
                  <w:b/>
                  <w:bCs/>
                </w:rPr>
                <w:t>§26</w:t>
              </w:r>
            </w:hyperlink>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3. Consciousness</w:t>
              <w:br/>
              <w:t>4. Immaterial aspects &amp; body</w:t>
            </w:r>
          </w:p>
        </w:tc>
        <w:tc>
          <w:tcPr>
            <w:tcW w:w="2494" w:type="dxa"/>
            <w:tcBorders/>
            <w:vAlign w:val="center"/>
          </w:tcPr>
          <w:p>
            <w:pPr>
              <w:pStyle w:val="WW-paragraph"/>
              <w:spacing w:before="170" w:after="170"/>
              <w:rPr/>
            </w:pPr>
            <w:r>
              <w:rPr/>
              <w:t xml:space="preserve">• </w:t>
            </w:r>
            <w:r>
              <w:rPr/>
              <w:t>Spirit to be reborn</w:t>
              <w:br/>
              <w:t>• Conception of fetus</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5. Six senses</w:t>
              <w:br/>
              <w:t>6. Sense impressions</w:t>
              <w:br/>
              <w:t>7. Sensations</w:t>
            </w:r>
          </w:p>
        </w:tc>
        <w:tc>
          <w:tcPr>
            <w:tcW w:w="2494" w:type="dxa"/>
            <w:tcBorders/>
            <w:vAlign w:val="center"/>
          </w:tcPr>
          <w:p>
            <w:pPr>
              <w:pStyle w:val="WW-paragraph"/>
              <w:spacing w:before="170" w:after="170"/>
              <w:rPr/>
            </w:pPr>
            <w:r>
              <w:rPr/>
              <w:t xml:space="preserve">• </w:t>
            </w:r>
            <w:r>
              <w:rPr/>
              <w:t>Six senses</w:t>
              <w:br/>
              <w:br/>
              <w:t>• Sensations</w:t>
            </w:r>
          </w:p>
        </w:tc>
      </w:tr>
      <w:tr>
        <w:trPr/>
        <w:tc>
          <w:tcPr>
            <w:tcW w:w="1107" w:type="dxa"/>
            <w:tcBorders/>
            <w:vAlign w:val="center"/>
          </w:tcPr>
          <w:p>
            <w:pPr>
              <w:pStyle w:val="WW-paragraph"/>
              <w:spacing w:before="170" w:after="170"/>
              <w:rPr/>
            </w:pPr>
            <w:r>
              <w:rPr>
                <w:rStyle w:val="Strong"/>
              </w:rPr>
              <w:t>Causes</w:t>
              <w:br/>
              <w:t>of rebirth</w:t>
            </w:r>
          </w:p>
        </w:tc>
        <w:tc>
          <w:tcPr>
            <w:tcW w:w="2938" w:type="dxa"/>
            <w:tcBorders/>
            <w:vAlign w:val="center"/>
          </w:tcPr>
          <w:p>
            <w:pPr>
              <w:pStyle w:val="WW-paragraph"/>
              <w:spacing w:before="170" w:after="170"/>
              <w:rPr/>
            </w:pPr>
            <w:r>
              <w:rPr/>
              <w:t>8. Craving</w:t>
              <w:br/>
              <w:t>9. Fuel/taking up</w:t>
            </w:r>
          </w:p>
        </w:tc>
        <w:tc>
          <w:tcPr>
            <w:tcW w:w="2494" w:type="dxa"/>
            <w:tcBorders/>
            <w:vAlign w:val="center"/>
          </w:tcPr>
          <w:p>
            <w:pPr>
              <w:pStyle w:val="WW-paragraph"/>
              <w:spacing w:before="170" w:after="170"/>
              <w:rPr/>
            </w:pPr>
            <w:r>
              <w:rPr/>
              <w:t xml:space="preserve">• </w:t>
            </w:r>
            <w:r>
              <w:rPr/>
              <w:t>Enjoyment</w:t>
              <w:br/>
              <w:t>• Fuel/taking up</w:t>
            </w:r>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10. Existence</w:t>
              <w:br/>
              <w:t>11. Birth</w:t>
            </w:r>
          </w:p>
        </w:tc>
        <w:tc>
          <w:tcPr>
            <w:tcW w:w="2494" w:type="dxa"/>
            <w:tcBorders/>
            <w:vAlign w:val="center"/>
          </w:tcPr>
          <w:p>
            <w:pPr>
              <w:pStyle w:val="WW-paragraph"/>
              <w:spacing w:before="170" w:after="170"/>
              <w:rPr/>
            </w:pPr>
            <w:r>
              <w:rPr/>
              <w:t xml:space="preserve">• </w:t>
            </w:r>
            <w:r>
              <w:rPr/>
              <w:t>Existence</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12. Suffering,</w:t>
              <w:br/>
              <w:t>  incl. old age and death</w:t>
            </w:r>
          </w:p>
        </w:tc>
        <w:tc>
          <w:tcPr>
            <w:tcW w:w="249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As a sidenote, ‘spirit to be reborn’ translates </w:t>
      </w:r>
      <w:r>
        <w:rPr>
          <w:rStyle w:val="wwc-pali"/>
        </w:rPr>
        <w:t>gandhabba</w:t>
      </w:r>
      <w:r>
        <w:rPr/>
        <w:t>. The term is rarely used in this context, and its meaning has been a matter of some debate.</w:t>
      </w:r>
      <w:r>
        <w:rPr>
          <w:rStyle w:val="FootnoteReference"/>
        </w:rPr>
        <w:footnoteReference w:id="101"/>
      </w:r>
      <w:r>
        <w:rPr/>
        <w:t xml:space="preserve"> The commentary understands it to refer to the being to be reborn. The </w:t>
      </w:r>
      <w:r>
        <w:rPr>
          <w:rStyle w:val="wwc-sesame"/>
        </w:rPr>
        <w:t>Ekottarika Āgama</w:t>
      </w:r>
      <w:r>
        <w:rPr/>
        <w:t xml:space="preserve"> parallel uses ‘external consciousness’ (</w:t>
      </w:r>
      <w:r>
        <w:rPr/>
        <w:t>外識</w:t>
      </w:r>
      <w:r>
        <w:rPr/>
        <w:t>),</w:t>
      </w:r>
      <w:r>
        <w:rPr>
          <w:rStyle w:val="FootnoteReference"/>
        </w:rPr>
        <w:footnoteReference w:id="102"/>
      </w:r>
      <w:r>
        <w:rPr/>
        <w:t xml:space="preserve"> which must refer to the being’s consciousness that has not yet entered the womb, similar to the description of the </w:t>
      </w:r>
      <w:r>
        <w:rPr>
          <w:rStyle w:val="wwc-sesame"/>
        </w:rPr>
        <w:t>Mahānidāna Sutta</w:t>
      </w:r>
      <w:r>
        <w:rPr/>
        <w:t xml:space="preserve"> (</w:t>
      </w:r>
      <w:hyperlink w:anchor="bqseg84">
        <w:r>
          <w:rPr>
            <w:rStyle w:val="Hyperlink"/>
          </w:rPr>
          <w:t>§84</w:t>
        </w:r>
      </w:hyperlink>
      <w:r>
        <w:rPr/>
        <w:t xml:space="preserve">). This is what in part makes Venerable Anālayo “allow for an identification of the </w:t>
      </w:r>
      <w:r>
        <w:rPr>
          <w:rStyle w:val="wwc-pali"/>
        </w:rPr>
        <w:t>gandhabba</w:t>
      </w:r>
      <w:r>
        <w:rPr/>
        <w:t xml:space="preserve"> with the </w:t>
      </w:r>
      <w:r>
        <w:rPr>
          <w:rStyle w:val="wwc-pali"/>
        </w:rPr>
        <w:t>viññāṇa</w:t>
      </w:r>
      <w:r>
        <w:rPr/>
        <w:t>” of Dependent Arising.</w:t>
      </w:r>
      <w:r>
        <w:rPr>
          <w:rStyle w:val="FootnoteReference"/>
        </w:rPr>
        <w:footnoteReference w:id="103"/>
      </w:r>
      <w:r>
        <w:rPr/>
        <w:t xml:space="preserve"> In a similar context in the </w:t>
      </w:r>
      <w:r>
        <w:rPr>
          <w:rStyle w:val="wwc-sesame"/>
        </w:rPr>
        <w:t>Assalāyana Sutta</w:t>
      </w:r>
      <w:r>
        <w:rPr/>
        <w:t xml:space="preserve">, the </w:t>
      </w:r>
      <w:r>
        <w:rPr>
          <w:rStyle w:val="wwc-pali"/>
        </w:rPr>
        <w:t>gandhabba</w:t>
      </w:r>
      <w:r>
        <w:rPr/>
        <w:t xml:space="preserve"> is said to be either a ruler, brahmin, merchant, or worker.</w:t>
      </w:r>
      <w:r>
        <w:rPr>
          <w:rStyle w:val="FootnoteReference"/>
        </w:rPr>
        <w:footnoteReference w:id="104"/>
      </w:r>
      <w:r>
        <w:rPr/>
        <w:t xml:space="preserve"> The </w:t>
      </w:r>
      <w:r>
        <w:rPr>
          <w:rStyle w:val="wwc-sesame"/>
        </w:rPr>
        <w:t>Madhyama Āgama</w:t>
      </w:r>
      <w:r>
        <w:rPr/>
        <w:t xml:space="preserve"> parallel clarifies that this refers to their past life and refers to the </w:t>
      </w:r>
      <w:r>
        <w:rPr>
          <w:rStyle w:val="wwc-pali"/>
        </w:rPr>
        <w:t>gandhabba</w:t>
      </w:r>
      <w:r>
        <w:rPr/>
        <w:t xml:space="preserve"> as “the one to be born”.</w:t>
      </w:r>
      <w:r>
        <w:rPr>
          <w:rStyle w:val="FootnoteReference"/>
        </w:rPr>
        <w:footnoteReference w:id="105"/>
      </w:r>
      <w:r>
        <w:rP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6"/>
      </w:r>
      <w:r>
        <w:rP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rPr/>
        <w:t xml:space="preserve"> here in line with the Pāli commentaries and Āgamas, as ‘spirit to be reborn’. (In accepting </w:t>
      </w:r>
      <w:r>
        <w:rPr>
          <w:rStyle w:val="Emphasis"/>
        </w:rPr>
        <w:t>this</w:t>
      </w:r>
      <w:r>
        <w:rPr/>
        <w:t xml:space="preserve"> interpretation, however, I would add that it seems reasonable the spirit can also arrive a considerable time </w:t>
      </w:r>
      <w:r>
        <w:rPr>
          <w:rStyle w:val="Emphasis"/>
        </w:rPr>
        <w:t>after</w:t>
      </w:r>
      <w:r>
        <w:rPr/>
        <w:t xml:space="preserve"> the intercourse of the parents, or put differently, that ‘conception of the fetus’ does not refer to the biological fertilization of the egg but to a later point during gestation, namely the moment the spirit enters the womb.)</w:t>
      </w:r>
    </w:p>
    <w:p>
      <w:pPr>
        <w:pStyle w:val="WW-paragraph"/>
        <w:rPr/>
      </w:pPr>
      <w:r>
        <w:rPr/>
        <w:t xml:space="preserve">Regardless of what </w:t>
      </w:r>
      <w:r>
        <w:rPr>
          <w:rStyle w:val="wwc-pali"/>
        </w:rPr>
        <w:t>gandhabba</w:t>
      </w:r>
      <w:r>
        <w:rP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7"/>
      </w:r>
      <w:r>
        <w:rPr/>
        <w:t xml:space="preserve"> So in the same text we have </w:t>
      </w:r>
      <w:r>
        <w:rPr>
          <w:rStyle w:val="Emphasis"/>
        </w:rPr>
        <w:t>fetus › six senses</w:t>
      </w:r>
      <w:r>
        <w:rPr/>
        <w:t xml:space="preserve">, and </w:t>
      </w:r>
      <w:r>
        <w:rPr>
          <w:rStyle w:val="Emphasis"/>
        </w:rPr>
        <w:t>immaterial aspects and body › six senses</w:t>
      </w:r>
      <w:r>
        <w:rPr/>
        <w:t xml:space="preserve">. It is therefore logical to relate the immaterial aspects and body to the fetus also here, just as in </w:t>
      </w:r>
      <w:hyperlink w:anchor="bqseg25">
        <w:r>
          <w:rPr>
            <w:rStyle w:val="Hyperlink"/>
          </w:rPr>
          <w:t>§25</w:t>
        </w:r>
      </w:hyperlink>
      <w:r>
        <w:rPr/>
        <w:t xml:space="preserve">, which said, </w:t>
      </w:r>
      <w:r>
        <w:rPr>
          <w:rStyle w:val="Emphasis"/>
        </w:rPr>
        <w:t>fetus = immaterial aspects and body › the six senses</w:t>
      </w:r>
      <w:r>
        <w:rPr/>
        <w:t>. In these instances, ‘fetus’ and ‘immaterial aspects and body’ are practically synonymous, both leading to the six senses.</w:t>
      </w:r>
    </w:p>
    <w:p>
      <w:pPr>
        <w:pStyle w:val="WW-paragraph"/>
        <w:rPr/>
      </w:pPr>
      <w:r>
        <w:rP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8"/>
      </w:r>
    </w:p>
    <w:p>
      <w:pPr>
        <w:pStyle w:val="WW-paragraph"/>
        <w:rPr/>
      </w:pPr>
      <w:r>
        <w:rPr/>
        <w:t xml:space="preserve">The connection between the immaterial aspects &amp; body and the six senses is also clarified by the </w:t>
      </w:r>
      <w:r>
        <w:rPr>
          <w:rStyle w:val="wwc-sesame"/>
        </w:rPr>
        <w:t>Mahānidāna Sutta</w:t>
      </w:r>
      <w:r>
        <w:rPr/>
        <w:t xml:space="preserve">, which skips the six senses in its list of factors and has sense impressions depend directly on the immaterial aspects and body; see </w:t>
      </w:r>
      <w:hyperlink w:anchor="table6">
        <w:r>
          <w:rPr>
            <w:rStyle w:val="Hyperlink"/>
          </w:rPr>
          <w:t>table 6</w:t>
        </w:r>
      </w:hyperlink>
      <w:r>
        <w:rPr/>
        <w:t xml:space="preserve">. The six senses, which, as Vetter said, are the sense “organs”, cannot reasonably be included under sense impressions. If we assume the </w:t>
      </w:r>
      <w:r>
        <w:rPr>
          <w:rStyle w:val="wwc-sesame"/>
        </w:rPr>
        <w:t>Mahānidāna Sutta</w:t>
      </w:r>
      <w:r>
        <w:rPr/>
        <w:t xml:space="preserve"> describes the same basic principles as the default sequence—and there is no reason not to—they must therefore be included under </w:t>
      </w:r>
      <w:r>
        <w:rPr>
          <w:rStyle w:val="wwc-pali"/>
        </w:rPr>
        <w:t>nāmarūpa</w:t>
      </w:r>
      <w:r>
        <w:rPr/>
        <w:t>.</w:t>
      </w:r>
      <w:r>
        <w:rPr>
          <w:rStyle w:val="FootnoteReference"/>
        </w:rPr>
        <w:footnoteReference w:id="109"/>
      </w:r>
      <w:r>
        <w:rPr/>
        <w:t xml:space="preserve"> This indicates that both the six senses and </w:t>
      </w:r>
      <w:r>
        <w:rPr>
          <w:rStyle w:val="wwc-pali"/>
        </w:rPr>
        <w:t>nāmarūpa</w:t>
      </w:r>
      <w:r>
        <w:rPr/>
        <w:t xml:space="preserve"> are part of the same thing, namely the being. As Bhikkhu Bodhi explained the link between them: “The sentient organism with its physical form (</w:t>
      </w:r>
      <w:r>
        <w:rPr>
          <w:rStyle w:val="wwc-pali"/>
        </w:rPr>
        <w:t>rūpa</w:t>
      </w:r>
      <w:r>
        <w:rPr/>
        <w:t>) and its sensitive and cognitive capacities (</w:t>
      </w:r>
      <w:r>
        <w:rPr>
          <w:rStyle w:val="wwc-pali"/>
        </w:rPr>
        <w:t>nāma</w:t>
      </w:r>
      <w:r>
        <w:rPr/>
        <w:t>) […] is equipped with six sense bases (</w:t>
      </w:r>
      <w:r>
        <w:rPr>
          <w:rStyle w:val="wwc-pali"/>
        </w:rPr>
        <w:t>saḷāyatana</w:t>
      </w:r>
      <w:r>
        <w:rPr/>
        <w:t>), the five physical sense faculties and the mind as organ of cognition.”</w:t>
      </w:r>
      <w:r>
        <w:rPr>
          <w:rStyle w:val="FootnoteReference"/>
        </w:rPr>
        <w:footnoteReference w:id="110"/>
      </w:r>
    </w:p>
    <w:p>
      <w:pPr>
        <w:pStyle w:val="WW-table-caption"/>
        <w:rPr/>
      </w:pPr>
      <w:bookmarkStart w:id="28" w:name="table6"/>
      <w:bookmarkEnd w:id="28"/>
      <w:r>
        <w:rPr/>
        <w:t>{SimpleNoRowBorders}Table 6. Mahānidāna Sutta alongside standard sequence</w:t>
      </w:r>
    </w:p>
    <w:tbl>
      <w:tblPr>
        <w:tblW w:w="5838" w:type="dxa"/>
        <w:jc w:val="start"/>
        <w:tblInd w:w="0" w:type="dxa"/>
        <w:tblLayout w:type="fixed"/>
        <w:tblCellMar>
          <w:top w:w="0" w:type="dxa"/>
          <w:start w:w="0" w:type="dxa"/>
          <w:bottom w:w="0" w:type="dxa"/>
          <w:end w:w="0" w:type="dxa"/>
        </w:tblCellMar>
      </w:tblPr>
      <w:tblGrid>
        <w:gridCol w:w="2952"/>
        <w:gridCol w:w="2886"/>
      </w:tblGrid>
      <w:tr>
        <w:trPr/>
        <w:tc>
          <w:tcPr>
            <w:tcW w:w="2952" w:type="dxa"/>
            <w:tcBorders/>
            <w:vAlign w:val="center"/>
          </w:tcPr>
          <w:p>
            <w:pPr>
              <w:pStyle w:val="WW-paragraph"/>
              <w:spacing w:before="170" w:after="170"/>
              <w:rPr/>
            </w:pPr>
            <w:r>
              <w:rPr>
                <w:rStyle w:val="Strong"/>
              </w:rPr>
              <w:t>Standard sequence</w:t>
            </w:r>
          </w:p>
        </w:tc>
        <w:tc>
          <w:tcPr>
            <w:tcW w:w="2886" w:type="dxa"/>
            <w:tcBorders/>
            <w:vAlign w:val="center"/>
          </w:tcPr>
          <w:p>
            <w:pPr>
              <w:pStyle w:val="WW-paragraph"/>
              <w:spacing w:before="170" w:after="170"/>
              <w:rPr/>
            </w:pPr>
            <w:r>
              <w:rPr>
                <w:rStyle w:val="Strong"/>
              </w:rPr>
              <w:t>Mahānidāna Sutta</w:t>
            </w:r>
          </w:p>
        </w:tc>
      </w:tr>
      <w:tr>
        <w:trPr/>
        <w:tc>
          <w:tcPr>
            <w:tcW w:w="2952" w:type="dxa"/>
            <w:tcBorders/>
            <w:vAlign w:val="center"/>
          </w:tcPr>
          <w:p>
            <w:pPr>
              <w:pStyle w:val="WW-paragraph"/>
              <w:spacing w:before="170" w:after="170"/>
              <w:rPr/>
            </w:pPr>
            <w:r>
              <w:rPr/>
              <w:t>3. Consciousness</w:t>
              <w:br/>
              <w:t>4. Immaterial aspects &amp; body</w:t>
              <w:br/>
              <w:t>5. Six senses</w:t>
              <w:br/>
              <w:t>6. Sense impressions</w:t>
              <w:br/>
              <w:t>7. Sensations</w:t>
              <w:br/>
              <w:t>8. …</w:t>
            </w:r>
          </w:p>
        </w:tc>
        <w:tc>
          <w:tcPr>
            <w:tcW w:w="2886" w:type="dxa"/>
            <w:tcBorders/>
            <w:vAlign w:val="center"/>
          </w:tcPr>
          <w:p>
            <w:pPr>
              <w:pStyle w:val="WW-paragraph"/>
              <w:spacing w:before="170" w:after="170"/>
              <w:rPr/>
            </w:pPr>
            <w:r>
              <w:rPr/>
              <w:t xml:space="preserve">• </w:t>
            </w:r>
            <w:r>
              <w:rPr/>
              <w:t>Consciousness</w:t>
              <w:br/>
              <w:t>• Immaterial aspects &amp; body</w:t>
              <w:br/>
              <w:br/>
              <w:t>• Sense impressions</w:t>
              <w:br/>
              <w:t>• Sensations</w:t>
              <w:br/>
              <w:t>• …</w:t>
            </w:r>
          </w:p>
        </w:tc>
      </w:tr>
    </w:tbl>
    <w:p>
      <w:pPr>
        <w:pStyle w:val="WW-paragraph"/>
        <w:rPr/>
      </w:pPr>
      <w:r>
        <w:rPr/>
        <w:t>To summarize this section, the conception of the individual’s immaterial aspects and body in the If There is Desire Discourse is the same type of conception described in the other passages included in the above, which is that of a being.</w:t>
      </w:r>
    </w:p>
    <w:p>
      <w:pPr>
        <w:pStyle w:val="WW-paragraph"/>
        <w:rPr/>
      </w:pPr>
      <w:r>
        <w:rPr/>
        <w:t xml:space="preserve">As a final observation, although both the </w:t>
      </w:r>
      <w:r>
        <w:rPr>
          <w:rStyle w:val="wwc-sesame"/>
        </w:rPr>
        <w:t>Mahānidāna Sutta</w:t>
      </w:r>
      <w:r>
        <w:rPr/>
        <w:t xml:space="preserve"> and the </w:t>
      </w:r>
      <w:r>
        <w:rPr>
          <w:rStyle w:val="wwc-sesame"/>
        </w:rPr>
        <w:t>Longer Discourse on the Ending of Craving</w:t>
      </w:r>
      <w:r>
        <w:rP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pPr>
        <w:pStyle w:val="WW-paragraph"/>
        <w:rPr/>
      </w:pPr>
      <w:r>
        <w:rP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rPr/>
        <w:t>.”</w:t>
      </w:r>
      <w:r>
        <w:rPr>
          <w:rStyle w:val="FootnoteReference"/>
        </w:rPr>
        <w:footnoteReference w:id="111"/>
      </w:r>
      <w:r>
        <w:rPr/>
        <w:t xml:space="preserve"> Most of your current attachments are likely also in the human realm, encouraging future rebirth in a womb again. The child in the </w:t>
      </w:r>
      <w:r>
        <w:rPr>
          <w:rStyle w:val="wwc-sesame"/>
        </w:rPr>
        <w:t>Longer Discourse on the Ending of Craving</w:t>
      </w:r>
      <w:r>
        <w:rP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pPr>
        <w:pStyle w:val="WW-chapter-section-1"/>
        <w:ind w:hanging="0" w:start="0"/>
        <w:rPr/>
      </w:pPr>
      <w:r>
        <w:rPr/>
        <w:t>Historical context of “name and form”</w:t>
      </w:r>
    </w:p>
    <w:p>
      <w:pPr>
        <w:pStyle w:val="WW-paragraph"/>
        <w:rPr/>
      </w:pPr>
      <w:r>
        <w:rPr/>
        <w:t xml:space="preserve">I have already deviated from the </w:t>
      </w:r>
      <w:r>
        <w:rPr>
          <w:rStyle w:val="wwc-sesame"/>
        </w:rPr>
        <w:t>If There is Desire Discourse</w:t>
      </w:r>
      <w:r>
        <w:rPr/>
        <w:t xml:space="preserve"> quite a bit, intending to show that the conception of the individual’s immaterial aspects and body (</w:t>
      </w:r>
      <w:r>
        <w:rPr>
          <w:rStyle w:val="wwc-pali"/>
        </w:rPr>
        <w:t>nāmarūpa</w:t>
      </w:r>
      <w:r>
        <w:rPr/>
        <w:t xml:space="preserve">) refers to rebirth. Before returning to this discourse, in the remainder of this chapter I will further clarify this </w:t>
      </w:r>
      <w:r>
        <w:rPr>
          <w:rStyle w:val="wwc-pali"/>
        </w:rPr>
        <w:t>nāmarūpa</w:t>
      </w:r>
      <w:r>
        <w:rPr/>
        <w:t>. Erich Frauwallner found the interpretation of this term “offers no difficulties”,</w:t>
      </w:r>
      <w:r>
        <w:rPr>
          <w:rStyle w:val="FootnoteReference"/>
        </w:rPr>
        <w:footnoteReference w:id="112"/>
      </w:r>
      <w:r>
        <w:rPr/>
        <w:t xml:space="preserve"> but I disagree, even though we arrived at similar conclusions. </w:t>
      </w:r>
      <w:r>
        <w:rPr>
          <w:rStyle w:val="wwc-pali"/>
        </w:rPr>
        <w:t>Nāmarūpa</w:t>
      </w:r>
      <w:r>
        <w:rP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rPr/>
        <w:t xml:space="preserve"> would have been quite self-explanatory too. The Buddha had profound insights but always used everyday language to convey them.</w:t>
      </w:r>
    </w:p>
    <w:p>
      <w:pPr>
        <w:pStyle w:val="WW-paragraph"/>
        <w:rPr/>
      </w:pPr>
      <w:r>
        <w:rPr/>
        <w:t xml:space="preserve">The term </w:t>
      </w:r>
      <w:r>
        <w:rPr>
          <w:rStyle w:val="wwc-pali"/>
        </w:rPr>
        <w:t>nāmarūpa</w:t>
      </w:r>
      <w:r>
        <w:rPr/>
        <w:t xml:space="preserve"> was not invented by the Buddha. It also occurs in the </w:t>
      </w:r>
      <w:r>
        <w:rPr>
          <w:rStyle w:val="wwc-sesame"/>
        </w:rPr>
        <w:t>Upaniṣads</w:t>
      </w:r>
      <w:r>
        <w:rPr/>
        <w:t xml:space="preserve">, and has precursors in the earlier Vedas. That does not necessarily make the term specific to the Brahmins, however. “It seems safe enough to assume that </w:t>
      </w:r>
      <w:r>
        <w:rPr>
          <w:rStyle w:val="wwc-sesame"/>
        </w:rPr>
        <w:t>Upaniṣadic</w:t>
      </w:r>
      <w:r>
        <w:rP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3"/>
      </w:r>
      <w:r>
        <w:rPr/>
        <w:t xml:space="preserve"> In other words, </w:t>
      </w:r>
      <w:r>
        <w:rPr>
          <w:rStyle w:val="wwc-pali"/>
        </w:rPr>
        <w:t>nāmarūpa</w:t>
      </w:r>
      <w:r>
        <w:rPr/>
        <w:t xml:space="preserve"> already had certain connotations to the Buddha’s contemporaries. He simply adopted this term from society—although not without some philosophical differences, as we’ll see.</w:t>
      </w:r>
    </w:p>
    <w:p>
      <w:pPr>
        <w:pStyle w:val="WW-paragraph"/>
        <w:rPr/>
      </w:pPr>
      <w:r>
        <w:rPr/>
        <w:t xml:space="preserve">We no longer have the same connotations with “name and form”, which is why some clarification is required. Grammatically </w:t>
      </w:r>
      <w:r>
        <w:rPr>
          <w:rStyle w:val="wwc-pali"/>
        </w:rPr>
        <w:t>nāmarūpa</w:t>
      </w:r>
      <w:r>
        <w:rPr/>
        <w:t xml:space="preserve"> is a compound consisting of two words: </w:t>
      </w:r>
      <w:r>
        <w:rPr>
          <w:rStyle w:val="wwc-pali"/>
        </w:rPr>
        <w:t>nāma</w:t>
      </w:r>
      <w:r>
        <w:rPr/>
        <w:t xml:space="preserve"> and </w:t>
      </w:r>
      <w:r>
        <w:rPr>
          <w:rStyle w:val="wwc-pali"/>
        </w:rPr>
        <w:t>rūpa</w:t>
      </w:r>
      <w:r>
        <w:rPr/>
        <w:t xml:space="preserve">. It likely originated as a possessive adjective rather than noun, as Liudmila Olalde suggests in the excellent </w:t>
      </w:r>
      <w:r>
        <w:rPr>
          <w:rStyle w:val="Emphasis"/>
        </w:rPr>
        <w:t>Zum Begriff ‘nāmarūpa’: das Individuum im Pāli-Kanon</w:t>
      </w:r>
      <w:r>
        <w:rPr/>
        <w:t xml:space="preserve"> (</w:t>
      </w:r>
      <w:r>
        <w:rPr>
          <w:rStyle w:val="Emphasis"/>
        </w:rPr>
        <w:t>On the concept ‘nāmarūpa’: the individual in the Pāli Canon</w:t>
      </w:r>
      <w:r>
        <w:rPr/>
        <w:t>).</w:t>
      </w:r>
      <w:r>
        <w:rPr>
          <w:rStyle w:val="FootnoteReference"/>
        </w:rPr>
        <w:footnoteReference w:id="114"/>
      </w:r>
      <w:r>
        <w:rPr/>
        <w:t xml:space="preserve"> That is to say, the word meant ‘</w:t>
      </w:r>
      <w:r>
        <w:rPr>
          <w:rStyle w:val="Emphasis"/>
        </w:rPr>
        <w:t>with</w:t>
      </w:r>
      <w:r>
        <w:rPr/>
        <w:t xml:space="preserve"> a name and form’ rather than ‘</w:t>
      </w:r>
      <w:r>
        <w:rPr>
          <w:rStyle w:val="Emphasis"/>
        </w:rPr>
        <w:t>the</w:t>
      </w:r>
      <w:r>
        <w:rPr/>
        <w:t xml:space="preserve"> name and form’. In Pāli it is common for such adjectives to be used as nouns also. This is like the English adjective ‘wise’ being used as a noun in ‘the wise’, meaning people with wisdom. Likewise, the compound </w:t>
      </w:r>
      <w:r>
        <w:rPr>
          <w:rStyle w:val="wwc-pali"/>
        </w:rPr>
        <w:t>nāmarūpa</w:t>
      </w:r>
      <w:r>
        <w:rPr/>
        <w:t xml:space="preserve"> refers to an individual being </w:t>
      </w:r>
      <w:r>
        <w:rPr>
          <w:rStyle w:val="Emphasis"/>
        </w:rPr>
        <w:t>with</w:t>
      </w:r>
      <w:r>
        <w:rPr/>
        <w:t xml:space="preserve"> a certain name (</w:t>
      </w:r>
      <w:r>
        <w:rPr>
          <w:rStyle w:val="wwc-pali"/>
        </w:rPr>
        <w:t>nāma</w:t>
      </w:r>
      <w:r>
        <w:rPr/>
        <w:t>) and form (</w:t>
      </w:r>
      <w:r>
        <w:rPr>
          <w:rStyle w:val="wwc-pali"/>
        </w:rPr>
        <w:t>rūpa</w:t>
      </w:r>
      <w:r>
        <w:rPr/>
        <w:t>).</w:t>
      </w:r>
    </w:p>
    <w:p>
      <w:pPr>
        <w:pStyle w:val="WW-paragraph"/>
        <w:rPr/>
      </w:pPr>
      <w:r>
        <w:rPr/>
        <w:t xml:space="preserve">As to the component of </w:t>
      </w:r>
      <w:r>
        <w:rPr>
          <w:rStyle w:val="wwc-pali"/>
        </w:rPr>
        <w:t>rūpa</w:t>
      </w:r>
      <w:r>
        <w:rP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rPr/>
        <w:t xml:space="preserve"> their appearances.</w:t>
      </w:r>
      <w:r>
        <w:rPr>
          <w:rStyle w:val="FootnoteReference"/>
        </w:rPr>
        <w:footnoteReference w:id="115"/>
      </w:r>
      <w:r>
        <w:rPr/>
        <w:t xml:space="preserve"> For example, both the appearance of a fire and the fire itself were considered </w:t>
      </w:r>
      <w:r>
        <w:rPr>
          <w:rStyle w:val="wwc-pali"/>
        </w:rPr>
        <w:t>rūpa</w:t>
      </w:r>
      <w:r>
        <w:rPr/>
        <w:t xml:space="preserve">. By extent </w:t>
      </w:r>
      <w:r>
        <w:rPr>
          <w:rStyle w:val="wwc-pali"/>
        </w:rPr>
        <w:t>rūpa</w:t>
      </w:r>
      <w:r>
        <w:rPr/>
        <w:t xml:space="preserve"> also included the four elements which were believed to be the substratum out of which all appearances and material manifest.</w:t>
      </w:r>
      <w:r>
        <w:rPr>
          <w:rStyle w:val="FootnoteReference"/>
        </w:rPr>
        <w:footnoteReference w:id="116"/>
      </w:r>
      <w:r>
        <w:rPr/>
        <w:t xml:space="preserve"> This does not align with modern ideas, which makes </w:t>
      </w:r>
      <w:r>
        <w:rPr>
          <w:rStyle w:val="wwc-pali"/>
        </w:rPr>
        <w:t>rūpa</w:t>
      </w:r>
      <w:r>
        <w:rP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rPr/>
        <w:t xml:space="preserve"> is a good example of this.</w:t>
      </w:r>
    </w:p>
    <w:p>
      <w:pPr>
        <w:pStyle w:val="WW-paragraph"/>
        <w:rPr/>
      </w:pPr>
      <w:r>
        <w:rPr/>
        <w:t xml:space="preserve">In the compound </w:t>
      </w:r>
      <w:r>
        <w:rPr>
          <w:rStyle w:val="wwc-pali"/>
        </w:rPr>
        <w:t>nāmarūpa</w:t>
      </w:r>
      <w:r>
        <w:rPr/>
        <w:t xml:space="preserve"> as it is ordinarily used, </w:t>
      </w:r>
      <w:r>
        <w:rPr>
          <w:rStyle w:val="wwc-pali"/>
        </w:rPr>
        <w:t>rūpa</w:t>
      </w:r>
      <w:r>
        <w:rPr/>
        <w:t xml:space="preserve"> refers specifically to the physical form of the being, which is why I translate it as ‘body’ in this context. The word </w:t>
      </w:r>
      <w:r>
        <w:rPr>
          <w:rStyle w:val="wwc-pali"/>
        </w:rPr>
        <w:t>rūpa</w:t>
      </w:r>
      <w:r>
        <w:rPr/>
        <w:t xml:space="preserve"> has this meaning in other places too. One discourse says, “the form (</w:t>
      </w:r>
      <w:r>
        <w:rPr>
          <w:rStyle w:val="wwc-pali"/>
        </w:rPr>
        <w:t>rūpa</w:t>
      </w:r>
      <w:r>
        <w:rPr/>
        <w:t>) of mortals gets old”, and another says, “with reference to this body: this form is seen to be discarded [at death]”.</w:t>
      </w:r>
      <w:r>
        <w:rPr>
          <w:rStyle w:val="FootnoteReference"/>
        </w:rPr>
        <w:footnoteReference w:id="117"/>
      </w:r>
      <w:r>
        <w:rPr/>
        <w:t xml:space="preserve"> Yet another says the space enclosed by flesh and skin is called ‘form’.</w:t>
      </w:r>
      <w:r>
        <w:rPr>
          <w:rStyle w:val="FootnoteReference"/>
        </w:rPr>
        <w:footnoteReference w:id="118"/>
      </w:r>
      <w:r>
        <w:rPr/>
        <w:t xml:space="preserve"> Although </w:t>
      </w:r>
      <w:r>
        <w:rPr>
          <w:rStyle w:val="wwc-pali"/>
        </w:rPr>
        <w:t>rūpa</w:t>
      </w:r>
      <w:r>
        <w:rPr/>
        <w:t xml:space="preserve"> far from always refers to the body, it does mean the body in some instances, and one of these instances is </w:t>
      </w:r>
      <w:r>
        <w:rPr>
          <w:rStyle w:val="wwc-pali"/>
        </w:rPr>
        <w:t>nāmarūpa</w:t>
      </w:r>
      <w:r>
        <w:rPr/>
        <w:t xml:space="preserve">. The </w:t>
      </w:r>
      <w:r>
        <w:rPr>
          <w:rStyle w:val="wwc-sesame"/>
        </w:rPr>
        <w:t>Upaniṣads</w:t>
      </w:r>
      <w:r>
        <w:rPr/>
        <w:t xml:space="preserve"> also mention “my name (</w:t>
      </w:r>
      <w:r>
        <w:rPr>
          <w:rStyle w:val="wwc-pali"/>
        </w:rPr>
        <w:t>nāma</w:t>
      </w:r>
      <w:r>
        <w:rPr/>
        <w:t>) and my body (</w:t>
      </w:r>
      <w:r>
        <w:rPr>
          <w:rStyle w:val="wwc-sanskrit"/>
        </w:rPr>
        <w:t>śarīra</w:t>
      </w:r>
      <w:r>
        <w:rPr/>
        <w:t xml:space="preserve">)”, where </w:t>
      </w:r>
      <w:r>
        <w:rPr>
          <w:rStyle w:val="wwc-pali"/>
        </w:rPr>
        <w:t>rūpa</w:t>
      </w:r>
      <w:r>
        <w:rPr/>
        <w:t xml:space="preserve"> seems to be replaced with </w:t>
      </w:r>
      <w:r>
        <w:rPr>
          <w:rStyle w:val="wwc-sanskrit"/>
        </w:rPr>
        <w:t>śarīra</w:t>
      </w:r>
      <w:r>
        <w:rPr/>
        <w:t>, a more literal term for body.</w:t>
      </w:r>
      <w:r>
        <w:rPr>
          <w:rStyle w:val="FootnoteReference"/>
        </w:rPr>
        <w:footnoteReference w:id="119"/>
      </w:r>
    </w:p>
    <w:p>
      <w:pPr>
        <w:pStyle w:val="WW-paragraph"/>
        <w:rPr/>
      </w:pPr>
      <w:r>
        <w:rPr>
          <w:rStyle w:val="wwc-pali"/>
        </w:rPr>
        <w:t>Nāma</w:t>
      </w:r>
      <w:r>
        <w:rPr/>
        <w:t xml:space="preserve">, which literally means ‘name’, will require a longer explanation. As part of </w:t>
      </w:r>
      <w:r>
        <w:rPr>
          <w:rStyle w:val="wwc-pali"/>
        </w:rPr>
        <w:t>nāmarūpa</w:t>
      </w:r>
      <w:r>
        <w:rPr/>
        <w:t xml:space="preserve"> the Pāli discourses define it as “sensation, perception, intention, sense impression, and attention”,</w:t>
      </w:r>
      <w:r>
        <w:rPr>
          <w:rStyle w:val="FootnoteReference"/>
        </w:rPr>
        <w:footnoteReference w:id="120"/>
      </w:r>
      <w:r>
        <w:rPr/>
        <w:t xml:space="preserve"> which are subjective, immaterial parts of an individual’s experience, hence my translation ‘immaterial aspects’.</w:t>
      </w:r>
      <w:r>
        <w:rPr>
          <w:rStyle w:val="FootnoteReference"/>
        </w:rPr>
        <w:footnoteReference w:id="121"/>
      </w:r>
      <w:r>
        <w:rPr/>
        <w:t xml:space="preserve"> But this definition of </w:t>
      </w:r>
      <w:r>
        <w:rPr>
          <w:rStyle w:val="wwc-pali"/>
        </w:rPr>
        <w:t>nāma</w:t>
      </w:r>
      <w:r>
        <w:rPr/>
        <w:t xml:space="preserve"> may, and perhaps </w:t>
      </w:r>
      <w:r>
        <w:rPr>
          <w:rStyle w:val="Emphasis"/>
        </w:rPr>
        <w:t>should</w:t>
      </w:r>
      <w:r>
        <w:rPr/>
        <w:t>, strike us as odd. Why would such parts of the being be called ‘name’?</w:t>
      </w:r>
    </w:p>
    <w:p>
      <w:pPr>
        <w:pStyle w:val="WW-paragraph"/>
        <w:rPr/>
      </w:pPr>
      <w:r>
        <w:rPr>
          <w:rStyle w:val="Hyperlink"/>
        </w:rPr>
        <w:t>To answer this question</w:t>
      </w:r>
      <w:r>
        <w:rPr/>
        <w:t xml:space="preserve"> we have to take a detour from the Pāli Canon into the texts of the Brahmins. In those texts the term </w:t>
      </w:r>
      <w:r>
        <w:rPr>
          <w:rStyle w:val="wwc-pali"/>
        </w:rPr>
        <w:t>nāmarūpa</w:t>
      </w:r>
      <w:r>
        <w:rPr/>
        <w:t xml:space="preserve"> was used to refer to individual beings, who all had their own specific names and forms (or ‘visible appearances’, per </w:t>
      </w:r>
      <w:r>
        <w:rPr>
          <w:rStyle w:val="wwc-sesame"/>
        </w:rPr>
        <w:t>Olivelle</w:t>
      </w:r>
      <w:r>
        <w:rP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2"/>
      </w:r>
      <w:r>
        <w:rPr/>
        <w:t xml:space="preserve"> The </w:t>
      </w:r>
      <w:r>
        <w:rPr>
          <w:rStyle w:val="wwc-sesame"/>
        </w:rPr>
        <w:t>Bṛhadāraṇyaka Upaniṣad</w:t>
      </w:r>
      <w:r>
        <w:rPr/>
        <w:t xml:space="preserve"> also shows that the term </w:t>
      </w:r>
      <w:r>
        <w:rPr>
          <w:rStyle w:val="wwc-pali"/>
        </w:rPr>
        <w:t>nāmarūpa</w:t>
      </w:r>
      <w:r>
        <w:rPr/>
        <w:t xml:space="preserve"> was used in ordinary speech to refer to individual beings. It describes how gods, humans, and other beings were created at the start of time, and then says:</w:t>
      </w:r>
      <w:r>
        <w:rPr>
          <w:rStyle w:val="FootnoteReference"/>
        </w:rPr>
        <w:footnoteReference w:id="123"/>
      </w:r>
    </w:p>
    <w:p>
      <w:pPr>
        <w:pStyle w:val="WW-named-section"/>
        <w:rPr/>
      </w:pPr>
      <w:r>
        <w:rPr/>
        <w:t>§27</w:t>
      </w:r>
    </w:p>
    <w:p>
      <w:pPr>
        <w:pStyle w:val="WW-blockquote"/>
        <w:rPr/>
      </w:pPr>
      <w:bookmarkStart w:id="29" w:name="bqseg27"/>
      <w:bookmarkEnd w:id="29"/>
      <w:r>
        <w:rP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rPr/>
        <w:t>), as when we say, “He is so and so by name and has this sort of an appearance.”</w:t>
      </w:r>
      <w:r>
        <w:rPr>
          <w:rStyle w:val="FootnoteReference"/>
        </w:rPr>
        <w:footnoteReference w:id="124"/>
      </w:r>
    </w:p>
    <w:p>
      <w:pPr>
        <w:pStyle w:val="WW-paragraph"/>
        <w:rPr/>
      </w:pPr>
      <w:r>
        <w:rPr/>
        <w:t xml:space="preserve">Other early </w:t>
      </w:r>
      <w:r>
        <w:rPr>
          <w:rStyle w:val="wwc-sesame"/>
        </w:rPr>
        <w:t>Upaniṣads</w:t>
      </w:r>
      <w:r>
        <w:rPr/>
        <w:t xml:space="preserve"> also speak of “the name and form of beings”.</w:t>
      </w:r>
      <w:r>
        <w:rPr>
          <w:rStyle w:val="FootnoteReference"/>
        </w:rPr>
        <w:footnoteReference w:id="125"/>
      </w:r>
      <w:r>
        <w:rPr/>
        <w:t xml:space="preserve"> Even earlier, the Atharva Veda mentions the name and form of a man.</w:t>
      </w:r>
      <w:r>
        <w:rPr>
          <w:rStyle w:val="FootnoteReference"/>
        </w:rPr>
        <w:footnoteReference w:id="126"/>
      </w:r>
      <w:r>
        <w:rPr/>
        <w:t xml:space="preserve"> The Buddha used </w:t>
      </w:r>
      <w:r>
        <w:rPr>
          <w:rStyle w:val="wwc-pali"/>
        </w:rPr>
        <w:t>nāmarūpa</w:t>
      </w:r>
      <w:r>
        <w:rPr/>
        <w:t xml:space="preserve"> similarly, to refer to individuals with their name and form.</w:t>
      </w:r>
    </w:p>
    <w:p>
      <w:pPr>
        <w:pStyle w:val="WW-chapter-section-1"/>
        <w:ind w:hanging="0" w:start="0"/>
        <w:rPr/>
      </w:pPr>
      <w:r>
        <w:rPr/>
        <w:t>Name as one’s essence</w:t>
      </w:r>
    </w:p>
    <w:p>
      <w:pPr>
        <w:pStyle w:val="WW-paragraph"/>
        <w:rPr/>
      </w:pPr>
      <w:r>
        <w:rPr/>
        <w:t xml:space="preserve">There is a more complex layer to </w:t>
      </w:r>
      <w:r>
        <w:rPr>
          <w:rStyle w:val="wwc-pali"/>
        </w:rPr>
        <w:t>nāma</w:t>
      </w:r>
      <w:r>
        <w:rP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rP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rPr/>
        <w:t xml:space="preserve"> conventionally.</w:t>
      </w:r>
    </w:p>
    <w:p>
      <w:pPr>
        <w:pStyle w:val="WW-paragraph"/>
        <w:rPr/>
      </w:pPr>
      <w:r>
        <w:rP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rPr/>
        <w:t xml:space="preserve"> in Brahmanic texts.</w:t>
      </w:r>
      <w:r>
        <w:rPr>
          <w:rStyle w:val="FootnoteReference"/>
        </w:rPr>
        <w:footnoteReference w:id="127"/>
      </w:r>
      <w:r>
        <w:rPr/>
        <w:t xml:space="preserve"> This notion was described more extensively by Jan Gonda:</w:t>
      </w:r>
    </w:p>
    <w:p>
      <w:pPr>
        <w:pStyle w:val="WW-blockquote"/>
        <w:rPr/>
      </w:pPr>
      <w:r>
        <w:rP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8"/>
      </w:r>
    </w:p>
    <w:p>
      <w:pPr>
        <w:pStyle w:val="WW-paragraph"/>
        <w:rPr/>
      </w:pPr>
      <w:r>
        <w:rPr/>
        <w:t>The name “designates the whole character structure of man, perhaps because in ancient and archaic thought the name of a person magically incorporated its bearer’s personality”.</w:t>
      </w:r>
      <w:r>
        <w:rPr>
          <w:rStyle w:val="FootnoteReference"/>
        </w:rPr>
        <w:footnoteReference w:id="129"/>
      </w:r>
      <w:r>
        <w:rPr/>
        <w:t xml:space="preserve"> It was also believed to survive death, and to travel with the person to the afterlife. In the </w:t>
      </w:r>
      <w:r>
        <w:rPr>
          <w:rStyle w:val="wwc-sesame"/>
        </w:rPr>
        <w:t>Bṛhadāraṇyaka Upaniṣad</w:t>
      </w:r>
      <w:r>
        <w:rPr/>
        <w:t xml:space="preserve">, the brahmin sage </w:t>
      </w:r>
      <w:r>
        <w:rPr>
          <w:rStyle w:val="wwc-sesame"/>
        </w:rPr>
        <w:t>Yājñavalkya</w:t>
      </w:r>
      <w:r>
        <w:rPr/>
        <w:t xml:space="preserve"> is asked what doesn’t leave a person when he dies, and he answers, “his name”.</w:t>
      </w:r>
      <w:r>
        <w:rPr>
          <w:rStyle w:val="FootnoteReference"/>
        </w:rPr>
        <w:footnoteReference w:id="130"/>
      </w:r>
    </w:p>
    <w:p>
      <w:pPr>
        <w:pStyle w:val="WW-paragraph"/>
        <w:rPr/>
      </w:pPr>
      <w:r>
        <w:rPr/>
        <w:t>Such ideas about names are not unique to ancient India, nor are they merely theories of ancient texts. Anthropologist James George Frazer wrote in 1890:</w:t>
      </w:r>
    </w:p>
    <w:p>
      <w:pPr>
        <w:pStyle w:val="WW-blockquote"/>
        <w:rPr/>
      </w:pPr>
      <w:r>
        <w:rP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1"/>
      </w:r>
    </w:p>
    <w:p>
      <w:pPr>
        <w:pStyle w:val="WW-paragraph"/>
        <w:rPr/>
      </w:pPr>
      <w:r>
        <w:rPr/>
        <w:t>We can assume that many of these ideas were not unique to the Brahmins either. The belief that one’s name was an intrinsic part of one’s being likely prevailed throughout the Buddha’s India.</w:t>
      </w:r>
    </w:p>
    <w:p>
      <w:pPr>
        <w:pStyle w:val="WW-paragraph"/>
        <w:rPr/>
      </w:pPr>
      <w:r>
        <w:rP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pPr>
        <w:pStyle w:val="WW-paragraph"/>
        <w:rPr/>
      </w:pPr>
      <w:r>
        <w:rP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2"/>
      </w:r>
      <w:r>
        <w:rPr/>
        <w:t xml:space="preserve"> The ritual, which was done to get a boy, started at the moment of intercourse. At this point in the process the </w:t>
      </w:r>
      <w:r>
        <w:rPr>
          <w:rStyle w:val="wwc-sesame"/>
        </w:rPr>
        <w:t>Bṛhadāraṇyaka Upaniṣad</w:t>
      </w:r>
      <w:r>
        <w:rPr/>
        <w:t xml:space="preserve"> contains a verse which is particularly interesting for our discussion, since it speaks of a fetus and forms in the mother’s womb. The father-to-be needed to recite this verse to his wife during intercourse in order to invoke the gods:</w:t>
      </w:r>
    </w:p>
    <w:p>
      <w:pPr>
        <w:pStyle w:val="WW-named-section"/>
        <w:rPr/>
      </w:pPr>
      <w:r>
        <w:rPr/>
        <w:t>§28</w:t>
      </w:r>
    </w:p>
    <w:p>
      <w:pPr>
        <w:pStyle w:val="WW-line-block"/>
        <w:rPr/>
      </w:pPr>
      <w:bookmarkStart w:id="30" w:name="bqseg28"/>
      <w:bookmarkEnd w:id="30"/>
      <w:r>
        <w:rPr/>
        <w:t>May Viṣṇu prepare your womb,</w:t>
        <w:br/>
        <w:t>and Tvaṣṭṛ mold the forms;</w:t>
        <w:br/>
        <w:t>May Prajāpati impregnate you,</w:t>
        <w:br/>
        <w:t>and Dhātṛ lay the fetus in you.</w:t>
      </w:r>
      <w:r>
        <w:rPr>
          <w:rStyle w:val="FootnoteReference"/>
        </w:rPr>
        <w:footnoteReference w:id="133"/>
      </w:r>
    </w:p>
    <w:p>
      <w:pPr>
        <w:pStyle w:val="WW-paragraph"/>
        <w:rPr/>
      </w:pPr>
      <w:r>
        <w:rPr/>
        <w:t>The text continues. After ten lunar months the baby boy is born. Before he is allowed to drink his mother’s milk, the father has to give him a name, apparently whispering it into his ear to keep it secret. At this point the child was deemed truly “created”.</w:t>
      </w:r>
    </w:p>
    <w:p>
      <w:pPr>
        <w:pStyle w:val="WW-paragraph"/>
        <w:rPr/>
      </w:pPr>
      <w:r>
        <w:rPr/>
        <w:t xml:space="preserve">So the Upaniṣads also contain a process of conception and birth, using the terms ‘womb’, ‘fetus’, ‘name’, and ‘form’—with the Sanskrit words all being equivalent to the Pāli: </w:t>
      </w:r>
      <w:r>
        <w:rPr>
          <w:rStyle w:val="wwc-pali"/>
        </w:rPr>
        <w:t>yoni</w:t>
      </w:r>
      <w:r>
        <w:rPr/>
        <w:t xml:space="preserve">, </w:t>
      </w:r>
      <w:r>
        <w:rPr>
          <w:rStyle w:val="wwc-pali"/>
        </w:rPr>
        <w:t>garbha</w:t>
      </w:r>
      <w:r>
        <w:rPr/>
        <w:t xml:space="preserve">, </w:t>
      </w:r>
      <w:r>
        <w:rPr>
          <w:rStyle w:val="wwc-pali"/>
        </w:rPr>
        <w:t>nāma</w:t>
      </w:r>
      <w:r>
        <w:rPr/>
        <w:t xml:space="preserve">, and </w:t>
      </w:r>
      <w:r>
        <w:rPr>
          <w:rStyle w:val="wwc-pali"/>
        </w:rPr>
        <w:t>rūpa</w:t>
      </w:r>
      <w:r>
        <w:rPr/>
        <w:t xml:space="preserve"> respectively. There is a clear linguistic connection with Dependent Arising here, however distant, especially when we consider the </w:t>
      </w:r>
      <w:r>
        <w:rPr>
          <w:rStyle w:val="wwc-sesame"/>
        </w:rPr>
        <w:t>Mahānidāna Sutta</w:t>
      </w:r>
      <w:r>
        <w:rPr/>
        <w:t>’s passage on the conception of “name and form” in the mother’s womb. (</w:t>
      </w:r>
      <w:hyperlink w:anchor="bqseg84">
        <w:r>
          <w:rPr>
            <w:rStyle w:val="Hyperlink"/>
          </w:rPr>
          <w:t>§84</w:t>
        </w:r>
      </w:hyperlink>
      <w:r>
        <w:rPr/>
        <w:t xml:space="preserve">) Jurewicz believes the connection could explain the Buddha’s choice of “the term </w:t>
      </w:r>
      <w:r>
        <w:rPr>
          <w:rStyle w:val="wwc-pali"/>
        </w:rPr>
        <w:t>nāmarūpa</w:t>
      </w:r>
      <w:r>
        <w:rPr/>
        <w:t xml:space="preserve"> to denote an organism in which </w:t>
      </w:r>
      <w:r>
        <w:rPr>
          <w:rStyle w:val="wwc-pali"/>
        </w:rPr>
        <w:t>vijñāna</w:t>
      </w:r>
      <w:r>
        <w:rPr/>
        <w:t xml:space="preserve"> [consciousness] settles”,</w:t>
      </w:r>
      <w:r>
        <w:rPr>
          <w:rStyle w:val="FootnoteReference"/>
        </w:rPr>
        <w:footnoteReference w:id="134"/>
      </w:r>
      <w:r>
        <w:rP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rPr/>
        <w:t xml:space="preserve"> and </w:t>
      </w:r>
      <w:r>
        <w:rPr>
          <w:rStyle w:val="wwc-pali"/>
        </w:rPr>
        <w:t>rūpa</w:t>
      </w:r>
      <w:r>
        <w:rPr/>
        <w:t xml:space="preserve"> in a similar fashion as the Brahmins. These words seem to have been a common way to refer to an individual.</w:t>
      </w:r>
    </w:p>
    <w:p>
      <w:pPr>
        <w:pStyle w:val="WW-chapter-section-1"/>
        <w:ind w:hanging="0" w:start="0"/>
        <w:rPr/>
      </w:pPr>
      <w:r>
        <w:rPr/>
        <w:t>The Buddha’s definition of nāma</w:t>
      </w:r>
    </w:p>
    <w:p>
      <w:pPr>
        <w:pStyle w:val="WW-paragraph"/>
        <w:rPr/>
      </w:pPr>
      <w:r>
        <w:rPr/>
        <w:t xml:space="preserve">The belief that one’s name was an essential part of one’s being may have prompted the Buddha’s definition of </w:t>
      </w:r>
      <w:r>
        <w:rPr>
          <w:rStyle w:val="wwc-pali"/>
        </w:rPr>
        <w:t>nāma</w:t>
      </w:r>
      <w:r>
        <w:rPr/>
        <w:t xml:space="preserve">, which he defined as sensation, perception, intention, sense impression, and attention. Initially he used the word </w:t>
      </w:r>
      <w:r>
        <w:rPr>
          <w:rStyle w:val="wwc-pali"/>
        </w:rPr>
        <w:t>nāmarūpa</w:t>
      </w:r>
      <w:r>
        <w:rPr/>
        <w:t xml:space="preserve"> as it was used in common speech: to refer to the individual. The specific definition of </w:t>
      </w:r>
      <w:r>
        <w:rPr>
          <w:rStyle w:val="wwc-pali"/>
        </w:rPr>
        <w:t>nāma</w:t>
      </w:r>
      <w:r>
        <w:rP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5"/>
      </w:r>
    </w:p>
    <w:p>
      <w:pPr>
        <w:pStyle w:val="WW-paragraph"/>
        <w:rPr/>
      </w:pPr>
      <w:r>
        <w:rPr/>
        <w:t>Their name is something beings tend to identify with. It is something that “provides an abstract identity for the individual”,</w:t>
      </w:r>
      <w:r>
        <w:rPr>
          <w:rStyle w:val="FootnoteReference"/>
        </w:rPr>
        <w:footnoteReference w:id="136"/>
      </w:r>
      <w:r>
        <w:rPr/>
        <w:t xml:space="preserve"> something beings tend take to be ‘them’. But this type of identification is contrary to the Buddha’s view of reality. “The fact that </w:t>
      </w:r>
      <w:r>
        <w:rPr>
          <w:rStyle w:val="wwc-pali"/>
        </w:rPr>
        <w:t>nāma</w:t>
      </w:r>
      <w:r>
        <w:rPr/>
        <w:t xml:space="preserve"> could easily have been identified with the core of a person or with a component subsisting after death may explain why its reinterpretation became necessary”, concluded also Olalde.</w:t>
      </w:r>
      <w:r>
        <w:rPr>
          <w:rStyle w:val="FootnoteReference"/>
        </w:rPr>
        <w:footnoteReference w:id="137"/>
      </w:r>
      <w:r>
        <w:rPr/>
        <w:t xml:space="preserve"> The Buddha’s definition (or, rather, </w:t>
      </w:r>
      <w:r>
        <w:rPr>
          <w:rStyle w:val="Emphasis"/>
        </w:rPr>
        <w:t>reinterpretation</w:t>
      </w:r>
      <w:r>
        <w:rPr/>
        <w:t xml:space="preserve">) of </w:t>
      </w:r>
      <w:r>
        <w:rPr>
          <w:rStyle w:val="wwc-pali"/>
        </w:rPr>
        <w:t>nāma</w:t>
      </w:r>
      <w:r>
        <w:rP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rPr/>
        <w:t xml:space="preserve">, the absence of self. Instead of telling them what ‘name’ </w:t>
      </w:r>
      <w:r>
        <w:rPr>
          <w:rStyle w:val="Emphasis"/>
        </w:rPr>
        <w:t>is</w:t>
      </w:r>
      <w:r>
        <w:rPr/>
        <w:t xml:space="preserve">, the Buddha basically said, “this is how this thing we call ‘name’ should be </w:t>
      </w:r>
      <w:r>
        <w:rPr>
          <w:rStyle w:val="Emphasis"/>
        </w:rPr>
        <w:t>looked at</w:t>
      </w:r>
      <w:r>
        <w:rPr/>
        <w:t>” (that is, not as a self-like entity, but as made of sensation, perception, and so forth). The Buddha was a pragmatist. Rather than giving a textbook-style definition, he taught something people could use for contemplation.</w:t>
      </w:r>
    </w:p>
    <w:p>
      <w:pPr>
        <w:pStyle w:val="WW-paragraph"/>
        <w:rPr/>
      </w:pPr>
      <w:r>
        <w:rP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rPr/>
        <w:t>’s interpretation of ‘bending (</w:t>
      </w:r>
      <w:r>
        <w:rPr>
          <w:rStyle w:val="wwc-pali"/>
        </w:rPr>
        <w:t>namana</w:t>
      </w:r>
      <w:r>
        <w:rPr/>
        <w:t xml:space="preserve">) towards things’ is based on a playful but false etymology of </w:t>
      </w:r>
      <w:r>
        <w:rPr>
          <w:rStyle w:val="wwc-pali"/>
        </w:rPr>
        <w:t>nāma</w:t>
      </w:r>
      <w:r>
        <w:rPr/>
        <w:t xml:space="preserve"> and cannot be taken seriously.</w:t>
      </w:r>
      <w:r>
        <w:rPr>
          <w:rStyle w:val="FootnoteReference"/>
        </w:rPr>
        <w:footnoteReference w:id="138"/>
      </w:r>
      <w:r>
        <w:rPr/>
        <w:t xml:space="preserve"> The </w:t>
      </w:r>
      <w:r>
        <w:rPr>
          <w:rStyle w:val="wwc-sesame"/>
        </w:rPr>
        <w:t>Śāriputra Abhidharma</w:t>
      </w:r>
      <w:r>
        <w:rPr/>
        <w:t xml:space="preserve"> suggests that the factors take part in the mental process of naming things.</w:t>
      </w:r>
      <w:r>
        <w:rPr>
          <w:rStyle w:val="FootnoteReference"/>
        </w:rPr>
        <w:footnoteReference w:id="139"/>
      </w:r>
      <w:r>
        <w:rPr/>
        <w:t xml:space="preserve"> We might go along with this suggestion, as long as we keep in mind that </w:t>
      </w:r>
      <w:r>
        <w:rPr>
          <w:rStyle w:val="wwc-pali"/>
        </w:rPr>
        <w:t>nāma</w:t>
      </w:r>
      <w:r>
        <w:rPr/>
        <w:t xml:space="preserve"> does not mean ‘nam</w:t>
      </w:r>
      <w:r>
        <w:rPr>
          <w:rStyle w:val="Emphasis"/>
        </w:rPr>
        <w:t>ing</w:t>
      </w:r>
      <w:r>
        <w:rPr/>
        <w:t>’ but ‘name’, particularly one’s proper name, like the one given at birth.</w:t>
      </w:r>
      <w:r>
        <w:rPr>
          <w:rStyle w:val="FootnoteReference"/>
        </w:rPr>
        <w:footnoteReference w:id="140"/>
      </w:r>
      <w:r>
        <w:rPr/>
        <w:t xml:space="preserve"> A name is a label, not a process. So sensation, perception, and so forth, were not meant to be what ‘name’ </w:t>
      </w:r>
      <w:r>
        <w:rPr>
          <w:rStyle w:val="Emphasis"/>
        </w:rPr>
        <w:t>is</w:t>
      </w:r>
      <w:r>
        <w:rPr/>
        <w:t xml:space="preserve"> but what </w:t>
      </w:r>
      <w:r>
        <w:rPr>
          <w:rStyle w:val="Emphasis"/>
        </w:rPr>
        <w:t>bring it about</w:t>
      </w:r>
      <w:r>
        <w:rP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pPr>
        <w:pStyle w:val="WW-paragraph"/>
        <w:rPr/>
      </w:pPr>
      <w:r>
        <w:rPr/>
        <w:t xml:space="preserve">Accepting this suggestion requires some assumptions, however, because no sutta says how or even </w:t>
      </w:r>
      <w:r>
        <w:rPr>
          <w:rStyle w:val="Emphasis"/>
        </w:rPr>
        <w:t>if</w:t>
      </w:r>
      <w:r>
        <w:rPr/>
        <w:t xml:space="preserve"> these five factors would be involved in such a process. At best a dense passage in the </w:t>
      </w:r>
      <w:r>
        <w:rPr>
          <w:rStyle w:val="wwc-sesame"/>
        </w:rPr>
        <w:t>Mahānidāna Sutta</w:t>
      </w:r>
      <w:r>
        <w:rPr/>
        <w:t xml:space="preserve"> on “designation contact” (</w:t>
      </w:r>
      <w:hyperlink w:anchor="bqseg109">
        <w:r>
          <w:rPr>
            <w:rStyle w:val="Hyperlink"/>
          </w:rPr>
          <w:t>§109</w:t>
        </w:r>
      </w:hyperlink>
      <w:r>
        <w:rPr/>
        <w:t xml:space="preserve">) may hint at such ideas, but it leaves almost all of the factors of the definition of </w:t>
      </w:r>
      <w:r>
        <w:rPr>
          <w:rStyle w:val="wwc-pali"/>
        </w:rPr>
        <w:t>nāma</w:t>
      </w:r>
      <w:r>
        <w:rPr/>
        <w:t xml:space="preserve"> unmentioned. So on the basis of the earliest texts this idea has to remain speculative.</w:t>
      </w:r>
    </w:p>
    <w:p>
      <w:pPr>
        <w:pStyle w:val="WW-paragraph"/>
        <w:rPr/>
      </w:pPr>
      <w:r>
        <w:rPr/>
        <w:t xml:space="preserve">As will be discussed later, consciousness is said to be dependent on </w:t>
      </w:r>
      <w:r>
        <w:rPr>
          <w:rStyle w:val="wwc-pali"/>
        </w:rPr>
        <w:t>nāmarūpa</w:t>
      </w:r>
      <w:r>
        <w:rPr/>
        <w:t xml:space="preserve">. With this in mind, let me propose another possible reason for the specific factors in the definition of </w:t>
      </w:r>
      <w:r>
        <w:rPr>
          <w:rStyle w:val="wwc-pali"/>
        </w:rPr>
        <w:t>nāma</w:t>
      </w:r>
      <w:r>
        <w:rPr/>
        <w:t>. It could be that the factors emphasize specific things consciousness depends on.</w:t>
      </w:r>
      <w:r>
        <w:rPr>
          <w:rStyle w:val="FootnoteReference"/>
        </w:rPr>
        <w:footnoteReference w:id="141"/>
      </w:r>
      <w:r>
        <w:rPr/>
        <w:t xml:space="preserve"> Some passages say it relies on sense impressions and mental engagement (</w:t>
      </w:r>
      <w:r>
        <w:rPr>
          <w:rStyle w:val="wwc-pali"/>
        </w:rPr>
        <w:t>samannāhāra</w:t>
      </w:r>
      <w:r>
        <w:rP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2"/>
      </w:r>
      <w:r>
        <w:rPr/>
        <w:t xml:space="preserve"> This neatly covers all five factors. Other conditions for consciousness, such as the physical senses, may then perhaps be included under </w:t>
      </w:r>
      <w:r>
        <w:rPr>
          <w:rStyle w:val="wwc-pali"/>
        </w:rPr>
        <w:t>rūpa</w:t>
      </w:r>
      <w:r>
        <w:rPr/>
        <w:t>.</w:t>
      </w:r>
    </w:p>
    <w:p>
      <w:pPr>
        <w:pStyle w:val="WW-paragraph"/>
        <w:rPr/>
      </w:pPr>
      <w:r>
        <w:rPr/>
        <w:t xml:space="preserve">But whatever the Buddha’s exact intentions behind the definition of </w:t>
      </w:r>
      <w:r>
        <w:rPr>
          <w:rStyle w:val="wwc-pali"/>
        </w:rPr>
        <w:t>nāma</w:t>
      </w:r>
      <w:r>
        <w:rPr/>
        <w:t xml:space="preserve"> may have been, this definition is only a minor teaching in the suttas, one which plays no critical role in the standard teachings on Dependent Arising, where </w:t>
      </w:r>
      <w:r>
        <w:rPr>
          <w:rStyle w:val="wwc-pali"/>
        </w:rPr>
        <w:t>nāmarūpa</w:t>
      </w:r>
      <w:r>
        <w:rPr/>
        <w:t xml:space="preserve"> conventionally refers to the individual. The definition of </w:t>
      </w:r>
      <w:r>
        <w:rPr>
          <w:rStyle w:val="wwc-pali"/>
        </w:rPr>
        <w:t>nāma</w:t>
      </w:r>
      <w:r>
        <w:rPr/>
        <w:t>, whatever its exact implications, is only a secondary layer on top of this, likely intended to challenge ideas about names being an intrinsic part of the being.</w:t>
      </w:r>
    </w:p>
    <w:p>
      <w:pPr>
        <w:pStyle w:val="WW-chapter-section-1"/>
        <w:ind w:hanging="0" w:start="0"/>
        <w:rPr/>
      </w:pPr>
      <w:r>
        <w:rPr/>
        <w:t>The definition of nāma in other texts</w:t>
      </w:r>
    </w:p>
    <w:p>
      <w:pPr>
        <w:pStyle w:val="WW-paragraph"/>
        <w:rPr/>
      </w:pPr>
      <w:r>
        <w:rPr/>
        <w:t xml:space="preserve">The Pāli </w:t>
      </w:r>
      <w:r>
        <w:rPr>
          <w:rStyle w:val="wwc-sesame"/>
        </w:rPr>
        <w:t>Abhidhamma</w:t>
      </w:r>
      <w:r>
        <w:rPr/>
        <w:t xml:space="preserve"> had lost contact with the ancient ideas about names and, with its aim to categorize phenomena into systematic frameworks, started defining </w:t>
      </w:r>
      <w:r>
        <w:rPr>
          <w:rStyle w:val="wwc-pali"/>
        </w:rPr>
        <w:t>nāma</w:t>
      </w:r>
      <w:r>
        <w:rPr/>
        <w:t xml:space="preserve"> more strictly. It did so differently than the suttas, in the </w:t>
      </w:r>
      <w:r>
        <w:rPr>
          <w:rStyle w:val="wwc-sesame"/>
        </w:rPr>
        <w:t>Dhammasaṅgaṇī</w:t>
      </w:r>
      <w:r>
        <w:rPr/>
        <w:t xml:space="preserve"> as the four non-form aggregates of sensation, perception, will, and consciousness; see </w:t>
      </w:r>
      <w:hyperlink w:anchor="table7">
        <w:r>
          <w:rPr>
            <w:rStyle w:val="Hyperlink"/>
          </w:rPr>
          <w:t>table 7</w:t>
        </w:r>
      </w:hyperlink>
      <w:r>
        <w:rPr/>
        <w:t>.</w:t>
      </w:r>
      <w:r>
        <w:rPr>
          <w:rStyle w:val="FootnoteReference"/>
        </w:rPr>
        <w:footnoteReference w:id="143"/>
      </w:r>
      <w:r>
        <w:rPr/>
        <w:t xml:space="preserve"> Richard Gombrich said about this: “The later Buddhist tradition did not understand how the Buddha had appropriated this term </w:t>
      </w:r>
      <w:r>
        <w:rPr>
          <w:rStyle w:val="wwc-pali"/>
        </w:rPr>
        <w:t>nāmarūpa</w:t>
      </w:r>
      <w:r>
        <w:rPr/>
        <w:t xml:space="preserve"> from the </w:t>
      </w:r>
      <w:r>
        <w:rPr>
          <w:rStyle w:val="wwc-sesame"/>
        </w:rPr>
        <w:t>Upaniṣads</w:t>
      </w:r>
      <w:r>
        <w:rP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rPr/>
        <w:t xml:space="preserve"> equivalent to the five </w:t>
      </w:r>
      <w:r>
        <w:rPr>
          <w:rStyle w:val="wwc-pali"/>
        </w:rPr>
        <w:t>khandhas</w:t>
      </w:r>
      <w:r>
        <w:rPr/>
        <w:t xml:space="preserve">” (with </w:t>
      </w:r>
      <w:r>
        <w:rPr>
          <w:rStyle w:val="wwc-pali"/>
        </w:rPr>
        <w:t>nāma</w:t>
      </w:r>
      <w:r>
        <w:rPr/>
        <w:t xml:space="preserve"> encompassing four of them, </w:t>
      </w:r>
      <w:r>
        <w:rPr>
          <w:rStyle w:val="wwc-pali"/>
        </w:rPr>
        <w:t>rūpa</w:t>
      </w:r>
      <w:r>
        <w:rPr/>
        <w:t xml:space="preserve"> being the fifth).</w:t>
      </w:r>
      <w:r>
        <w:rPr>
          <w:rStyle w:val="FootnoteReference"/>
        </w:rPr>
        <w:footnoteReference w:id="144"/>
      </w:r>
      <w:r>
        <w:rPr/>
        <w:t xml:space="preserve"> Gombrich then correctly states that the </w:t>
      </w:r>
      <w:r>
        <w:rPr>
          <w:rStyle w:val="wwc-sesame"/>
        </w:rPr>
        <w:t>Abhidhamma</w:t>
      </w:r>
      <w:r>
        <w:rPr/>
        <w:t xml:space="preserve">’s definition is not in accordance with the suttas, where the consciousness is always separate from </w:t>
      </w:r>
      <w:r>
        <w:rPr>
          <w:rStyle w:val="wwc-pali"/>
        </w:rPr>
        <w:t>nāmarūpa</w:t>
      </w:r>
      <w:r>
        <w:rPr/>
        <w:t xml:space="preserve">. This definition seems to be relatively early, though, for it was also used by the </w:t>
      </w:r>
      <w:r>
        <w:rPr>
          <w:rStyle w:val="wwc-sesame"/>
        </w:rPr>
        <w:t>Sarvāstivādins</w:t>
      </w:r>
      <w:r>
        <w:rPr/>
        <w:t xml:space="preserve"> in the Saṁyukta Āgama, who thus shared the same general interpretation as the </w:t>
      </w:r>
      <w:r>
        <w:rPr>
          <w:rStyle w:val="wwc-sesame"/>
        </w:rPr>
        <w:t>Theravādins</w:t>
      </w:r>
      <w:r>
        <w:rPr/>
        <w:t>.</w:t>
      </w:r>
      <w:r>
        <w:rPr>
          <w:rStyle w:val="FootnoteReference"/>
        </w:rPr>
        <w:footnoteReference w:id="145"/>
      </w:r>
    </w:p>
    <w:p>
      <w:pPr>
        <w:pStyle w:val="WW-paragraph"/>
        <w:rPr/>
      </w:pPr>
      <w:r>
        <w:rPr/>
        <w:t xml:space="preserve">An earlier layer of the Pāli </w:t>
      </w:r>
      <w:r>
        <w:rPr>
          <w:rStyle w:val="wwc-sesame"/>
        </w:rPr>
        <w:t>Abhidhamma</w:t>
      </w:r>
      <w:r>
        <w:rPr/>
        <w:t xml:space="preserve">, the </w:t>
      </w:r>
      <w:r>
        <w:rPr>
          <w:rStyle w:val="wwc-sesame"/>
        </w:rPr>
        <w:t>Vibhaṅga</w:t>
      </w:r>
      <w:r>
        <w:rPr/>
        <w:t xml:space="preserve">, defined </w:t>
      </w:r>
      <w:r>
        <w:rPr>
          <w:rStyle w:val="wwc-pali"/>
        </w:rPr>
        <w:t>nāma</w:t>
      </w:r>
      <w:r>
        <w:rPr/>
        <w:t xml:space="preserve"> only as three aspects of existence: sensation, perception, and will.</w:t>
      </w:r>
      <w:r>
        <w:rPr>
          <w:rStyle w:val="FootnoteReference"/>
        </w:rPr>
        <w:footnoteReference w:id="146"/>
      </w:r>
      <w:r>
        <w:rPr/>
        <w:t xml:space="preserve"> While this definition still differs from the suttas, by omitting consciousness it aligns better with the sutta definition. The </w:t>
      </w:r>
      <w:r>
        <w:rPr>
          <w:rStyle w:val="wwc-sesame"/>
        </w:rPr>
        <w:t>Vibhaṅga</w:t>
      </w:r>
      <w:r>
        <w:rPr/>
        <w:t xml:space="preserve"> realized that the aspect of existence of will (</w:t>
      </w:r>
      <w:r>
        <w:rPr>
          <w:rStyle w:val="wwc-pali"/>
        </w:rPr>
        <w:t>saṅkhāra</w:t>
      </w:r>
      <w:r>
        <w:rPr/>
        <w:t xml:space="preserve">) is effectively equal to intention. The Majjhima Nikāya commentary further suggests that alongside intention, sense impression and attention should also be seen as part of </w:t>
      </w:r>
      <w:r>
        <w:rPr>
          <w:rStyle w:val="wwc-pali"/>
        </w:rPr>
        <w:t>saṅkhāra</w:t>
      </w:r>
      <w:r>
        <w:rPr/>
        <w:t>.</w:t>
      </w:r>
      <w:r>
        <w:rPr>
          <w:rStyle w:val="FootnoteReference"/>
        </w:rPr>
        <w:footnoteReference w:id="147"/>
      </w:r>
      <w:r>
        <w:rPr/>
        <w:t xml:space="preserve"> This seems to me somewhat of a stretch, but with intention being equivalent to </w:t>
      </w:r>
      <w:r>
        <w:rPr>
          <w:rStyle w:val="wwc-pali"/>
        </w:rPr>
        <w:t>saṅkhāra</w:t>
      </w:r>
      <w:r>
        <w:rPr/>
        <w:t xml:space="preserve">, the Buddha’s definition of </w:t>
      </w:r>
      <w:r>
        <w:rPr>
          <w:rStyle w:val="wwc-pali"/>
        </w:rPr>
        <w:t>nāma</w:t>
      </w:r>
      <w:r>
        <w:rPr/>
        <w:t xml:space="preserve"> does contain three of the five aspects of existence (sensation and perception being the other two). And since </w:t>
      </w:r>
      <w:r>
        <w:rPr>
          <w:rStyle w:val="wwc-pali"/>
        </w:rPr>
        <w:t>nāmarūpa</w:t>
      </w:r>
      <w:r>
        <w:rPr/>
        <w:t xml:space="preserve"> also includes the aspect of existence of form (</w:t>
      </w:r>
      <w:r>
        <w:rPr>
          <w:rStyle w:val="wwc-pali"/>
        </w:rPr>
        <w:t>rūpa</w:t>
      </w:r>
      <w:r>
        <w:rP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pPr>
        <w:pStyle w:val="WW-paragraph"/>
        <w:rPr/>
      </w:pPr>
      <w:r>
        <w:rPr/>
        <w:t xml:space="preserve">The </w:t>
      </w:r>
      <w:r>
        <w:rPr>
          <w:rStyle w:val="wwc-sesame"/>
        </w:rPr>
        <w:t>Śāriputra Abhidharma</w:t>
      </w:r>
      <w:r>
        <w:rPr/>
        <w:t xml:space="preserve">, which according to Frauwallner has an ancient core, seems to define </w:t>
      </w:r>
      <w:r>
        <w:rPr>
          <w:rStyle w:val="Emphasis"/>
        </w:rPr>
        <w:t>nāma</w:t>
      </w:r>
      <w:r>
        <w:rPr/>
        <w:t xml:space="preserve"> with the same factors as the Pāli suttas, as do some parallels in the </w:t>
      </w:r>
      <w:r>
        <w:rPr>
          <w:rStyle w:val="wwc-sesame"/>
        </w:rPr>
        <w:t>Ekottarika Āgama</w:t>
      </w:r>
      <w:r>
        <w:rPr/>
        <w:t>.</w:t>
      </w:r>
      <w:r>
        <w:rPr>
          <w:rStyle w:val="FootnoteReference"/>
        </w:rPr>
        <w:footnoteReference w:id="148"/>
      </w:r>
      <w:r>
        <w:rPr/>
        <w:t xml:space="preserve"> The </w:t>
      </w:r>
      <w:r>
        <w:rPr>
          <w:rStyle w:val="wwc-sesame"/>
        </w:rPr>
        <w:t>Paṭisambhidāmagga</w:t>
      </w:r>
      <w:r>
        <w:rPr/>
        <w:t>, an early Pāli commentary, defines it with these factors as well, although it also adds some other observations.</w:t>
      </w:r>
      <w:r>
        <w:rPr>
          <w:rStyle w:val="FootnoteReference"/>
        </w:rPr>
        <w:footnoteReference w:id="149"/>
      </w:r>
      <w:r>
        <w:rPr/>
        <w:t xml:space="preserve"> This definition of </w:t>
      </w:r>
      <w:r>
        <w:rPr>
          <w:rStyle w:val="wwc-pali"/>
        </w:rPr>
        <w:t>nāma</w:t>
      </w:r>
      <w:r>
        <w:rPr/>
        <w:t xml:space="preserve"> seems to be the earliest one, in part also because it is the most difficult reading. As Gombrich stated, later traditions tried to fit the unfamiliar concept of </w:t>
      </w:r>
      <w:r>
        <w:rPr>
          <w:rStyle w:val="wwc-pali"/>
        </w:rPr>
        <w:t>nāma</w:t>
      </w:r>
      <w:r>
        <w:rPr/>
        <w:t xml:space="preserve"> into the more familiar framework of the aggregates. This also suggests the exact intention behind its definition was already forgotten at an early age, at least by some traditions.</w:t>
      </w:r>
    </w:p>
    <w:p>
      <w:pPr>
        <w:pStyle w:val="WW-table-caption"/>
        <w:rPr/>
      </w:pPr>
      <w:bookmarkStart w:id="31" w:name="table7"/>
      <w:bookmarkEnd w:id="31"/>
      <w:r>
        <w:rPr/>
        <w:t>{SimpleNoRowBorders}Table 7. Various definitions of nāma</w:t>
      </w:r>
    </w:p>
    <w:tbl>
      <w:tblPr>
        <w:tblW w:w="7055" w:type="dxa"/>
        <w:jc w:val="start"/>
        <w:tblInd w:w="0" w:type="dxa"/>
        <w:tblLayout w:type="fixed"/>
        <w:tblCellMar>
          <w:top w:w="0" w:type="dxa"/>
          <w:start w:w="0" w:type="dxa"/>
          <w:bottom w:w="0" w:type="dxa"/>
          <w:end w:w="0" w:type="dxa"/>
        </w:tblCellMar>
      </w:tblPr>
      <w:tblGrid>
        <w:gridCol w:w="2500"/>
        <w:gridCol w:w="1939"/>
        <w:gridCol w:w="2616"/>
      </w:tblGrid>
      <w:tr>
        <w:trPr/>
        <w:tc>
          <w:tcPr>
            <w:tcW w:w="2500" w:type="dxa"/>
            <w:tcBorders/>
            <w:vAlign w:val="center"/>
          </w:tcPr>
          <w:p>
            <w:pPr>
              <w:pStyle w:val="WW-paragraph"/>
              <w:spacing w:before="170" w:after="170"/>
              <w:rPr/>
            </w:pPr>
            <w:r>
              <w:rPr>
                <w:rStyle w:val="Strong"/>
              </w:rPr>
              <w:t>Pāli Suttas</w:t>
              <w:br/>
              <w:t>Śāriputra Abhidharma</w:t>
              <w:br/>
              <w:t>Ekottarika Āgama</w:t>
              <w:br/>
              <w:t>Paṭisambhidāmagga</w:t>
            </w:r>
          </w:p>
        </w:tc>
        <w:tc>
          <w:tcPr>
            <w:tcW w:w="1939" w:type="dxa"/>
            <w:tcBorders/>
            <w:vAlign w:val="center"/>
          </w:tcPr>
          <w:p>
            <w:pPr>
              <w:pStyle w:val="WW-paragraph"/>
              <w:spacing w:before="170" w:after="170"/>
              <w:rPr/>
            </w:pPr>
            <w:r>
              <w:rPr>
                <w:rStyle w:val="Strong"/>
              </w:rPr>
              <w:t>Dhammasaṅgaṇī</w:t>
              <w:br/>
              <w:t>Saṁyukta Āgama</w:t>
            </w:r>
          </w:p>
        </w:tc>
        <w:tc>
          <w:tcPr>
            <w:tcW w:w="2616" w:type="dxa"/>
            <w:tcBorders/>
            <w:vAlign w:val="center"/>
          </w:tcPr>
          <w:p>
            <w:pPr>
              <w:pStyle w:val="WW-paragraph"/>
              <w:spacing w:before="170" w:after="170"/>
              <w:rPr/>
            </w:pPr>
            <w:r>
              <w:rPr>
                <w:rStyle w:val="Strong"/>
              </w:rPr>
              <w:t>Abhidhamma Vibhaṅga</w:t>
            </w:r>
          </w:p>
        </w:tc>
      </w:tr>
      <w:tr>
        <w:trPr/>
        <w:tc>
          <w:tcPr>
            <w:tcW w:w="2500" w:type="dxa"/>
            <w:tcBorders/>
            <w:vAlign w:val="center"/>
          </w:tcPr>
          <w:p>
            <w:pPr>
              <w:pStyle w:val="WW-paragraph"/>
              <w:spacing w:before="170" w:after="170"/>
              <w:rPr/>
            </w:pPr>
            <w:r>
              <w:rPr/>
              <w:t xml:space="preserve">• </w:t>
            </w:r>
            <w:r>
              <w:rPr/>
              <w:t>Sensation</w:t>
              <w:br/>
              <w:t>• Perception</w:t>
              <w:br/>
              <w:t>• Intention</w:t>
              <w:br/>
              <w:t>• Sense impression</w:t>
              <w:br/>
              <w:t>• Attention</w:t>
            </w:r>
          </w:p>
        </w:tc>
        <w:tc>
          <w:tcPr>
            <w:tcW w:w="1939" w:type="dxa"/>
            <w:tcBorders/>
            <w:vAlign w:val="center"/>
          </w:tcPr>
          <w:p>
            <w:pPr>
              <w:pStyle w:val="WW-paragraph"/>
              <w:spacing w:before="170" w:after="170"/>
              <w:rPr/>
            </w:pPr>
            <w:r>
              <w:rPr/>
              <w:t xml:space="preserve">• </w:t>
            </w:r>
            <w:r>
              <w:rPr/>
              <w:t>Sensation</w:t>
              <w:br/>
              <w:t>• Perception</w:t>
              <w:br/>
              <w:t>• Will (</w:t>
            </w:r>
            <w:r>
              <w:rPr>
                <w:rStyle w:val="wwc-pali"/>
              </w:rPr>
              <w:t>saṅkhāra</w:t>
            </w:r>
            <w:r>
              <w:rPr/>
              <w:t>)</w:t>
              <w:br/>
              <w:t>• Consciousness</w:t>
            </w:r>
          </w:p>
        </w:tc>
        <w:tc>
          <w:tcPr>
            <w:tcW w:w="2616" w:type="dxa"/>
            <w:tcBorders/>
            <w:vAlign w:val="center"/>
          </w:tcPr>
          <w:p>
            <w:pPr>
              <w:pStyle w:val="WW-paragraph"/>
              <w:spacing w:before="170" w:after="170"/>
              <w:rPr/>
            </w:pPr>
            <w:r>
              <w:rPr/>
              <w:t xml:space="preserve">• </w:t>
            </w:r>
            <w:r>
              <w:rPr/>
              <w:t>Sensation</w:t>
              <w:br/>
              <w:t>• Perception</w:t>
              <w:br/>
              <w:t>• Will</w:t>
            </w:r>
          </w:p>
        </w:tc>
      </w:tr>
    </w:tbl>
    <w:p>
      <w:pPr>
        <w:pStyle w:val="WW-chapter-section-1"/>
        <w:ind w:hanging="0" w:start="0"/>
        <w:rPr/>
      </w:pPr>
      <w:r>
        <w:rPr/>
        <w:t>The Buddha’s definition of rūpa</w:t>
      </w:r>
    </w:p>
    <w:p>
      <w:pPr>
        <w:pStyle w:val="WW-paragraph"/>
        <w:rPr/>
      </w:pPr>
      <w:r>
        <w:rPr/>
        <w:t xml:space="preserve">The </w:t>
      </w:r>
      <w:r>
        <w:rPr>
          <w:rStyle w:val="wwc-pali"/>
        </w:rPr>
        <w:t>rūpa</w:t>
      </w:r>
      <w:r>
        <w:rPr/>
        <w:t xml:space="preserve"> part of </w:t>
      </w:r>
      <w:r>
        <w:rPr>
          <w:rStyle w:val="wwc-pali"/>
        </w:rPr>
        <w:t>nāmarūpa</w:t>
      </w:r>
      <w:r>
        <w:rPr/>
        <w:t xml:space="preserve"> is defined by the Buddha as, “the four elements, along with form (</w:t>
      </w:r>
      <w:r>
        <w:rPr>
          <w:rStyle w:val="wwc-pali"/>
        </w:rPr>
        <w:t>rūpa</w:t>
      </w:r>
      <w:r>
        <w:rPr/>
        <w:t>) derived from the four elements”.</w:t>
      </w:r>
      <w:r>
        <w:rPr>
          <w:rStyle w:val="FootnoteReference"/>
        </w:rPr>
        <w:footnoteReference w:id="150"/>
      </w:r>
      <w:r>
        <w:rPr/>
        <w:t xml:space="preserve"> Like other ancient civilizations, the Indians believed that the world was made of the elements of earth, water, fire, and air. Unfortunately, the suttas never directly explain what the form </w:t>
      </w:r>
      <w:r>
        <w:rPr>
          <w:rStyle w:val="Emphasis"/>
        </w:rPr>
        <w:t>derived from</w:t>
      </w:r>
      <w:r>
        <w:rPr/>
        <w:t xml:space="preserve"> these four elements is,</w:t>
      </w:r>
      <w:r>
        <w:rPr>
          <w:rStyle w:val="FootnoteReference"/>
        </w:rPr>
        <w:footnoteReference w:id="151"/>
      </w:r>
      <w:r>
        <w:rPr/>
        <w:t xml:space="preserve"> and the </w:t>
      </w:r>
      <w:r>
        <w:rPr>
          <w:rStyle w:val="wwc-sesame"/>
        </w:rPr>
        <w:t>Abhidhamma</w:t>
      </w:r>
      <w:r>
        <w:rP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rPr/>
        <w:t>, the various parts of the body.</w:t>
      </w:r>
    </w:p>
    <w:p>
      <w:pPr>
        <w:pStyle w:val="WW-paragraph"/>
        <w:rPr/>
      </w:pPr>
      <w:r>
        <w:rPr/>
        <w:t>A number of suttas tell us that physical form can be internal or external.</w:t>
      </w:r>
      <w:r>
        <w:rPr>
          <w:rStyle w:val="FootnoteReference"/>
        </w:rPr>
        <w:footnoteReference w:id="152"/>
      </w:r>
      <w:r>
        <w:rPr/>
        <w:t xml:space="preserve"> </w:t>
      </w:r>
      <w:r>
        <w:rPr>
          <w:rStyle w:val="wwc-sesame"/>
        </w:rPr>
        <w:t>The Longer Discourse on the Simile of the Elephant’s Footprint</w:t>
      </w:r>
      <w:r>
        <w:rP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3"/>
      </w:r>
      <w:r>
        <w:rPr/>
        <w:t xml:space="preserve"> We have seen that </w:t>
      </w:r>
      <w:r>
        <w:rPr>
          <w:rStyle w:val="wwc-pali"/>
        </w:rPr>
        <w:t>nāmarūpa</w:t>
      </w:r>
      <w:r>
        <w:rPr/>
        <w:t xml:space="preserve"> in the standard sequence of Dependent Arising refers to the being, which means that </w:t>
      </w:r>
      <w:r>
        <w:rPr>
          <w:rStyle w:val="wwc-pali"/>
        </w:rPr>
        <w:t>rūpa</w:t>
      </w:r>
      <w:r>
        <w:rPr/>
        <w:t xml:space="preserve"> here refers to the internal (or ‘personal’, </w:t>
      </w:r>
      <w:r>
        <w:rPr>
          <w:rStyle w:val="wwc-pali"/>
        </w:rPr>
        <w:t>ajjhattaṁ</w:t>
      </w:r>
      <w:r>
        <w:rPr/>
        <w:t>) elements, not the external.</w:t>
      </w:r>
    </w:p>
    <w:p>
      <w:pPr>
        <w:pStyle w:val="WW-paragraph"/>
        <w:rPr/>
      </w:pPr>
      <w:r>
        <w:rPr/>
        <w:t>This is akin to how the factor of the six senses (</w:t>
      </w:r>
      <w:r>
        <w:rPr>
          <w:rStyle w:val="wwc-pali"/>
        </w:rPr>
        <w:t>saḷāyatana</w:t>
      </w:r>
      <w:r>
        <w:rPr/>
        <w:t xml:space="preserve">) refers to the internal six sense faculties of the eyes, ears, and so on, not to the external objects of sights, sounds, etc. Although in some texts the term </w:t>
      </w:r>
      <w:r>
        <w:rPr>
          <w:rStyle w:val="wwc-pali"/>
        </w:rPr>
        <w:t>saḷāyatana</w:t>
      </w:r>
      <w:r>
        <w:rPr/>
        <w:t xml:space="preserve"> encompasses both the senses </w:t>
      </w:r>
      <w:r>
        <w:rPr>
          <w:rStyle w:val="Emphasis"/>
        </w:rPr>
        <w:t>and</w:t>
      </w:r>
      <w:r>
        <w:rPr/>
        <w:t xml:space="preserve"> their objects, as a factor of Dependent Arising it is specifically defined as the senses only, excluding the objects. To illustrate, the Analysis of the Six Sense Spheres says:</w:t>
      </w:r>
    </w:p>
    <w:p>
      <w:pPr>
        <w:pStyle w:val="WW-named-section"/>
        <w:rPr/>
      </w:pPr>
      <w:r>
        <w:rPr/>
        <w:t>§29</w:t>
      </w:r>
    </w:p>
    <w:p>
      <w:pPr>
        <w:pStyle w:val="WW-blockquote"/>
        <w:rPr/>
      </w:pPr>
      <w:bookmarkStart w:id="32" w:name="bqseg29"/>
      <w:bookmarkEnd w:id="32"/>
      <w:r>
        <w:rPr/>
        <w:t>I said the six internal senses should be comprehended. What did I mean by that? The sense of sight (</w:t>
      </w:r>
      <w:r>
        <w:rPr>
          <w:rStyle w:val="wwc-pali"/>
        </w:rPr>
        <w:t>cakkhāyatana</w:t>
      </w:r>
      <w:r>
        <w:rPr/>
        <w:t>),</w:t>
      </w:r>
      <w:r>
        <w:rPr>
          <w:rStyle w:val="FootnoteReference"/>
        </w:rPr>
        <w:footnoteReference w:id="154"/>
      </w:r>
      <w:r>
        <w:rPr/>
        <w:t xml:space="preserve"> the sense of hearing, the sense of smell, the sense of taste, the sense of touch, and the mind. […]</w:t>
      </w:r>
    </w:p>
    <w:p>
      <w:pPr>
        <w:pStyle w:val="WW-blockquote"/>
        <w:rPr/>
      </w:pPr>
      <w:r>
        <w:rPr/>
        <w:t>I said the six external sense objects should be comprehended. What did I mean by that? Sights (</w:t>
      </w:r>
      <w:r>
        <w:rPr>
          <w:rStyle w:val="wwc-pali"/>
        </w:rPr>
        <w:t>rūpāyatana</w:t>
      </w:r>
      <w:r>
        <w:rPr/>
        <w:t>), sounds, smells, flavors, tangibles, and mental phenomena.</w:t>
      </w:r>
      <w:r>
        <w:rPr>
          <w:rStyle w:val="FootnoteReference"/>
        </w:rPr>
        <w:footnoteReference w:id="155"/>
      </w:r>
    </w:p>
    <w:p>
      <w:pPr>
        <w:pStyle w:val="WW-paragraph"/>
        <w:rPr/>
      </w:pPr>
      <w:r>
        <w:rPr/>
        <w:t>And the Analysis of Dependent Arising says:</w:t>
      </w:r>
    </w:p>
    <w:p>
      <w:pPr>
        <w:pStyle w:val="WW-named-section"/>
        <w:rPr/>
      </w:pPr>
      <w:r>
        <w:rPr/>
        <w:t>§30</w:t>
      </w:r>
    </w:p>
    <w:p>
      <w:pPr>
        <w:pStyle w:val="WW-blockquote"/>
        <w:rPr/>
      </w:pPr>
      <w:bookmarkStart w:id="33" w:name="bqseg30"/>
      <w:bookmarkEnd w:id="33"/>
      <w:r>
        <w:rPr/>
        <w:t>And what are the six senses (</w:t>
      </w:r>
      <w:r>
        <w:rPr>
          <w:rStyle w:val="wwc-pali"/>
        </w:rPr>
        <w:t>saḷāyatana</w:t>
      </w:r>
      <w:r>
        <w:rPr/>
        <w:t>)? The sense of sight (</w:t>
      </w:r>
      <w:r>
        <w:rPr>
          <w:rStyle w:val="wwc-pali"/>
        </w:rPr>
        <w:t>cakkhāyatana</w:t>
      </w:r>
      <w:r>
        <w:rPr/>
        <w:t>), the sense of hearing, the sense of smell, the sense of taste, the sense of touch, and the mind.</w:t>
      </w:r>
      <w:r>
        <w:rPr>
          <w:rStyle w:val="FootnoteReference"/>
        </w:rPr>
        <w:footnoteReference w:id="156"/>
      </w:r>
    </w:p>
    <w:p>
      <w:pPr>
        <w:pStyle w:val="WW-paragraph"/>
        <w:rPr/>
      </w:pPr>
      <w:r>
        <w:rPr/>
        <w:t xml:space="preserve">This shows that the external sense objects are not part of </w:t>
      </w:r>
      <w:r>
        <w:rPr>
          <w:rStyle w:val="wwc-pali"/>
        </w:rPr>
        <w:t>saḷāyatana</w:t>
      </w:r>
      <w:r>
        <w:rPr/>
        <w:t xml:space="preserve"> in Dependent Arising.</w:t>
      </w:r>
      <w:r>
        <w:rPr>
          <w:rStyle w:val="FootnoteReference"/>
        </w:rPr>
        <w:footnoteReference w:id="157"/>
      </w:r>
      <w:r>
        <w:rPr/>
        <w:t xml:space="preserve"> While sometimes the six sense faculties are specifically called ‘internal’, when </w:t>
      </w:r>
      <w:r>
        <w:rPr>
          <w:rStyle w:val="wwc-pali"/>
        </w:rPr>
        <w:t>saḷāyatana</w:t>
      </w:r>
      <w:r>
        <w:rPr/>
        <w:t xml:space="preserve"> is used as a factor of Dependent Arising, it is assumed that the audience understands it refers to these internal senses, not to external objects. The same applies to </w:t>
      </w:r>
      <w:r>
        <w:rPr>
          <w:rStyle w:val="wwc-pali"/>
        </w:rPr>
        <w:t>rūpa</w:t>
      </w:r>
      <w:r>
        <w:rPr/>
        <w:t xml:space="preserve"> in </w:t>
      </w:r>
      <w:r>
        <w:rPr>
          <w:rStyle w:val="wwc-pali"/>
        </w:rPr>
        <w:t>nāmarūpa</w:t>
      </w:r>
      <w:r>
        <w:rPr/>
        <w:t>: it is not specifically said to refer to the internal elements that compose the being’s physical form, but context indicates that it does. The water of the ocean and fires in a village do not exist in the mother’s womb, for example.</w:t>
      </w:r>
    </w:p>
    <w:p>
      <w:pPr>
        <w:pStyle w:val="WW-paragraph"/>
        <w:rPr/>
      </w:pPr>
      <w:r>
        <w:rPr/>
        <w:t xml:space="preserve">I mentioned that </w:t>
      </w:r>
      <w:r>
        <w:rPr>
          <w:rStyle w:val="wwc-pali"/>
        </w:rPr>
        <w:t>rūpa</w:t>
      </w:r>
      <w:r>
        <w:rPr/>
        <w:t xml:space="preserve"> is defined as the four elements. Direct connections between the body and the four elements are also made throughout the Nikāyas. A common phrase says “this body (</w:t>
      </w:r>
      <w:r>
        <w:rPr>
          <w:rStyle w:val="wwc-pali"/>
        </w:rPr>
        <w:t>kāya</w:t>
      </w:r>
      <w:r>
        <w:rPr/>
        <w:t>) consists of form (</w:t>
      </w:r>
      <w:r>
        <w:rPr>
          <w:rStyle w:val="wwc-pali"/>
        </w:rPr>
        <w:t>rūpa</w:t>
      </w:r>
      <w:r>
        <w:rPr/>
        <w:t>), is made up of the four elements”.</w:t>
      </w:r>
      <w:r>
        <w:rPr>
          <w:rStyle w:val="FootnoteReference"/>
        </w:rPr>
        <w:footnoteReference w:id="158"/>
      </w:r>
      <w:r>
        <w:rPr/>
        <w:t xml:space="preserve"> The </w:t>
      </w:r>
      <w:r>
        <w:rPr>
          <w:rStyle w:val="wwc-sesame"/>
        </w:rPr>
        <w:t>Satippaṭṭhāna Sutta</w:t>
      </w:r>
      <w:r>
        <w:rPr/>
        <w:t xml:space="preserve"> instructs meditators to look at their body as consisting of the four elements, like a butcher might look at the various cuts of a cow.</w:t>
      </w:r>
      <w:r>
        <w:rPr>
          <w:rStyle w:val="FootnoteReference"/>
        </w:rPr>
        <w:footnoteReference w:id="159"/>
      </w:r>
      <w:r>
        <w:rPr/>
        <w:t xml:space="preserve"> This instruction aims to remove attachment to the body. This also seems to be the primary intent behind the definition of </w:t>
      </w:r>
      <w:r>
        <w:rPr>
          <w:rStyle w:val="wwc-pali"/>
        </w:rPr>
        <w:t>rūpa</w:t>
      </w:r>
      <w:r>
        <w:rPr/>
        <w:t xml:space="preserve"> in context of Dependent Arising. Earlier I argued that the Buddha’s definition of </w:t>
      </w:r>
      <w:r>
        <w:rPr>
          <w:rStyle w:val="wwc-pali"/>
        </w:rPr>
        <w:t>nāma</w:t>
      </w:r>
      <w:r>
        <w:rPr/>
        <w:t xml:space="preserve"> is not an exact classification of parts of the being but a means to contemplate the absence of a self. With </w:t>
      </w:r>
      <w:r>
        <w:rPr>
          <w:rStyle w:val="wwc-pali"/>
        </w:rPr>
        <w:t>rūpa</w:t>
      </w:r>
      <w:r>
        <w:rPr/>
        <w:t xml:space="preserve"> the situation is similar. Its definition is not a metaphysical statement on what ‘form’ really is, but a way to contemplate that the body is a part of nature. As with </w:t>
      </w:r>
      <w:r>
        <w:rPr>
          <w:rStyle w:val="wwc-pali"/>
        </w:rPr>
        <w:t>nāma</w:t>
      </w:r>
      <w:r>
        <w:rPr/>
        <w:t xml:space="preserve">, the Buddha is not saying “this is what I </w:t>
      </w:r>
      <w:r>
        <w:rPr>
          <w:rStyle w:val="Emphasis"/>
        </w:rPr>
        <w:t>mean</w:t>
      </w:r>
      <w:r>
        <w:rPr/>
        <w:t xml:space="preserve"> by </w:t>
      </w:r>
      <w:r>
        <w:rPr>
          <w:rStyle w:val="wwc-pali"/>
        </w:rPr>
        <w:t>rūpa</w:t>
      </w:r>
      <w:r>
        <w:rPr/>
        <w:t xml:space="preserve">” but “this is how this </w:t>
      </w:r>
      <w:r>
        <w:rPr>
          <w:rStyle w:val="wwc-pali"/>
        </w:rPr>
        <w:t>rūpa</w:t>
      </w:r>
      <w:r>
        <w:rPr/>
        <w:t xml:space="preserve"> should be </w:t>
      </w:r>
      <w:r>
        <w:rPr>
          <w:rStyle w:val="Emphasis"/>
        </w:rPr>
        <w:t>looked at</w:t>
      </w:r>
      <w:r>
        <w:rPr/>
        <w:t>”. We should look at the body as made of the elements, of aspects of nature that we do not own and cannot control.</w:t>
      </w:r>
    </w:p>
    <w:p>
      <w:pPr>
        <w:pStyle w:val="WW-paragraph"/>
        <w:rPr/>
      </w:pPr>
      <w:r>
        <w:rPr/>
        <w:t xml:space="preserve">According to Hamilton, this is also why the term </w:t>
      </w:r>
      <w:r>
        <w:rPr>
          <w:rStyle w:val="wwc-pali"/>
        </w:rPr>
        <w:t>rūpa</w:t>
      </w:r>
      <w:r>
        <w:rPr/>
        <w:t xml:space="preserve"> is used rather than </w:t>
      </w:r>
      <w:r>
        <w:rPr>
          <w:rStyle w:val="wwc-pali"/>
        </w:rPr>
        <w:t>kāya</w:t>
      </w:r>
      <w:r>
        <w:rP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rPr/>
        <w:t xml:space="preserve"> does not.”</w:t>
      </w:r>
      <w:r>
        <w:rPr>
          <w:rStyle w:val="FootnoteReference"/>
        </w:rPr>
        <w:footnoteReference w:id="160"/>
      </w:r>
      <w:r>
        <w:rPr/>
        <w:t xml:space="preserve"> I would add that in our day and age we might prefer to look at the body as made of chemical elements or atoms. This would serve the same function as the Buddha’s definition of </w:t>
      </w:r>
      <w:r>
        <w:rPr>
          <w:rStyle w:val="wwc-pali"/>
        </w:rPr>
        <w:t>rūpa</w:t>
      </w:r>
      <w:r>
        <w:rPr/>
        <w:t xml:space="preserve">, at least in this context. (I should note again that the term </w:t>
      </w:r>
      <w:r>
        <w:rPr>
          <w:rStyle w:val="wwc-pali"/>
        </w:rPr>
        <w:t>rūpa</w:t>
      </w:r>
      <w:r>
        <w:rPr/>
        <w:t xml:space="preserve"> can have other connotations which do not apply in the current context.)</w:t>
      </w:r>
    </w:p>
    <w:p>
      <w:pPr>
        <w:pStyle w:val="WW-paragraph"/>
        <w:rPr/>
      </w:pPr>
      <w:r>
        <w:rP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rPr/>
        <w:t xml:space="preserve"> but also for some of the other factors. Consider craving:</w:t>
      </w:r>
    </w:p>
    <w:p>
      <w:pPr>
        <w:pStyle w:val="WW-named-section"/>
        <w:rPr/>
      </w:pPr>
      <w:r>
        <w:rPr/>
        <w:t>§31</w:t>
      </w:r>
    </w:p>
    <w:p>
      <w:pPr>
        <w:pStyle w:val="WW-blockquote"/>
        <w:rPr/>
      </w:pPr>
      <w:bookmarkStart w:id="34" w:name="bqseg31"/>
      <w:bookmarkEnd w:id="34"/>
      <w:r>
        <w:rPr/>
        <w:t>And what is craving? There are six kinds of craving: craving for sights, craving for sounds, craving for smells, craving for flavors, craving for tangibles, and craving for mental phenomena. That is what’s called craving.</w:t>
      </w:r>
    </w:p>
    <w:p>
      <w:pPr>
        <w:pStyle w:val="WW-paragraph"/>
        <w:rPr/>
      </w:pPr>
      <w:r>
        <w:rPr/>
        <w:t xml:space="preserve">If the Buddha meant to explain what craving exactly </w:t>
      </w:r>
      <w:r>
        <w:rPr>
          <w:rStyle w:val="Emphasis"/>
        </w:rPr>
        <w:t>is</w:t>
      </w:r>
      <w:r>
        <w:rPr/>
        <w:t xml:space="preserve">, we would be better helped with synonyms for craving or with an explanation of how it functions. This list tells us absolutely nothing about what craving is. But it does remind us of the things we crave </w:t>
      </w:r>
      <w:r>
        <w:rPr>
          <w:rStyle w:val="Emphasis"/>
        </w:rPr>
        <w:t>for</w:t>
      </w:r>
      <w:r>
        <w:rPr/>
        <w:t xml:space="preserve">, and that is helpful. We encountered a similar case already at </w:t>
      </w:r>
      <w:hyperlink w:anchor="bqseg2">
        <w:r>
          <w:rPr>
            <w:rStyle w:val="Hyperlink"/>
          </w:rPr>
          <w:t>§2</w:t>
        </w:r>
      </w:hyperlink>
      <w:r>
        <w:rP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r>
        <w:rPr>
          <w:rStyle w:val="wwc-pali"/>
        </w:rPr>
        <w:t>nāma</w:t>
      </w:r>
      <w:r>
        <w:rPr/>
        <w:t xml:space="preserve"> and </w:t>
      </w:r>
      <w:r>
        <w:rPr>
          <w:rStyle w:val="wwc-pali"/>
        </w:rPr>
        <w:t>rūpa</w:t>
      </w:r>
      <w:r>
        <w:rPr/>
        <w:t xml:space="preserve"> are to be seen as didactic tools.</w:t>
      </w:r>
    </w:p>
    <w:p>
      <w:pPr>
        <w:pStyle w:val="WW-space"/>
        <w:rPr/>
      </w:pPr>
      <w:r>
        <w:rPr/>
        <w:t>0</w:t>
      </w:r>
    </w:p>
    <w:p>
      <w:pPr>
        <w:pStyle w:val="WW-paragraph"/>
        <w:rPr/>
      </w:pPr>
      <w:r>
        <w:rPr/>
        <w:t xml:space="preserve">To summarize the main ideas of this chapter, the factor of </w:t>
      </w:r>
      <w:r>
        <w:rPr>
          <w:rStyle w:val="wwc-pali"/>
        </w:rPr>
        <w:t>nāmarūpa</w:t>
      </w:r>
      <w:r>
        <w:rP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rPr/>
        <w:t xml:space="preserve"> refers specifically to the start of life, to the being’s conception. The Buddha adapted the term </w:t>
      </w:r>
      <w:r>
        <w:rPr>
          <w:rStyle w:val="wwc-pali"/>
        </w:rPr>
        <w:t>nāmarūpa</w:t>
      </w:r>
      <w:r>
        <w:rPr/>
        <w:t xml:space="preserve"> from the </w:t>
      </w:r>
      <w:r>
        <w:rPr>
          <w:rStyle w:val="wwc-sesame"/>
        </w:rPr>
        <w:t>Upaniṣadic</w:t>
      </w:r>
      <w:r>
        <w:rPr/>
        <w:t xml:space="preserve"> Brahmins, or more likely from general society, to whom it meant the individual with their visible form and intrinsic name. His definition of </w:t>
      </w:r>
      <w:r>
        <w:rPr>
          <w:rStyle w:val="wwc-pali"/>
        </w:rPr>
        <w:t>nāma</w:t>
      </w:r>
      <w:r>
        <w:rPr/>
        <w:t xml:space="preserve"> was meant to challenge traditional ideas about names being part of oneself, and his definition of </w:t>
      </w:r>
      <w:r>
        <w:rPr>
          <w:rStyle w:val="wwc-pali"/>
        </w:rPr>
        <w:t>rūpa</w:t>
      </w:r>
      <w:r>
        <w:rPr/>
        <w:t xml:space="preserve"> meant to challenge attachments to the body.</w:t>
      </w:r>
    </w:p>
    <w:p>
      <w:pPr>
        <w:pStyle w:val="WW-paragraph"/>
        <w:rPr/>
      </w:pPr>
      <w:r>
        <w:rPr/>
        <w:t xml:space="preserve">To close this chapter properly, it has to be noted that although the oldest use of </w:t>
      </w:r>
      <w:r>
        <w:rPr>
          <w:rStyle w:val="wwc-pali"/>
        </w:rPr>
        <w:t>nāmarūpa</w:t>
      </w:r>
      <w:r>
        <w:rPr/>
        <w:t xml:space="preserve"> was a referent for individual beings,</w:t>
      </w:r>
      <w:r>
        <w:rPr>
          <w:rStyle w:val="FootnoteReference"/>
        </w:rPr>
        <w:footnoteReference w:id="161"/>
      </w:r>
      <w:r>
        <w:rPr/>
        <w:t xml:space="preserve"> it was also used for individual </w:t>
      </w:r>
      <w:r>
        <w:rPr>
          <w:rStyle w:val="Emphasis"/>
        </w:rPr>
        <w:t>objects</w:t>
      </w:r>
      <w:r>
        <w:rPr/>
        <w:t xml:space="preserve">. “The essence of a thing was expressed in its name and its visible appearance”, wrote Patrick Olivelle in the introduction to his translations of the </w:t>
      </w:r>
      <w:r>
        <w:rPr>
          <w:rStyle w:val="wwc-sesame"/>
        </w:rPr>
        <w:t>Upaniṣads</w:t>
      </w:r>
      <w:r>
        <w:rPr/>
        <w:t>, with ‘thing’ meaning a person or an object.</w:t>
      </w:r>
      <w:r>
        <w:rPr>
          <w:rStyle w:val="FootnoteReference"/>
        </w:rPr>
        <w:footnoteReference w:id="162"/>
      </w:r>
      <w:r>
        <w:rP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rPr/>
        <w:t xml:space="preserve"> refers to external objects with some regularity in the </w:t>
      </w:r>
      <w:r>
        <w:rPr>
          <w:rStyle w:val="wwc-sesame"/>
        </w:rPr>
        <w:t>Upaniṣads</w:t>
      </w:r>
      <w:r>
        <w:rPr/>
        <w:t xml:space="preserve">, in the Pāli Canon the word is used in this fashion very rarely, and always outside the standard teachings on Dependent Arising. Because of the minor place of this so-called </w:t>
      </w:r>
      <w:r>
        <w:rPr>
          <w:rStyle w:val="Emphasis"/>
        </w:rPr>
        <w:t>external</w:t>
      </w:r>
      <w:r>
        <w:rPr/>
        <w:t xml:space="preserve"> name and form, its discussion can wait until </w:t>
      </w:r>
      <w:hyperlink w:anchor="chapter9">
        <w:r>
          <w:rPr>
            <w:rStyle w:val="Hyperlink"/>
          </w:rPr>
          <w:t>Chapter 9</w:t>
        </w:r>
      </w:hyperlink>
      <w:r>
        <w:rPr/>
        <w:t>.</w:t>
      </w:r>
    </w:p>
    <w:p>
      <w:pPr>
        <w:pStyle w:val="WW-paragraph"/>
        <w:spacing w:before="170" w:after="170"/>
        <w:rPr/>
      </w:pPr>
      <w:hyperlink w:anchor="chapter8">
        <w:r>
          <w:rPr>
            <w:rStyle w:val="Hyperlink"/>
          </w:rPr>
          <w:t>Chapter 8</w:t>
        </w:r>
      </w:hyperlink>
      <w:r>
        <w:rPr/>
        <w:t xml:space="preserve"> explains </w:t>
      </w:r>
      <w:r>
        <w:rPr>
          <w:rStyle w:val="wwc-pali"/>
        </w:rPr>
        <w:t>nāmarūpa</w:t>
      </w:r>
      <w:r>
        <w:rPr/>
        <w:t xml:space="preserve"> further, particularly its dependency on consciousness. Now we have a basic understanding of the concept, we can return to the </w:t>
      </w:r>
      <w:r>
        <w:rPr>
          <w:rStyle w:val="wwc-sesame"/>
        </w:rPr>
        <w:t>If There is Desire Discourse</w:t>
      </w:r>
      <w:r>
        <w:rPr/>
        <w:t>, starting with the simile of the painting.</w:t>
      </w:r>
      <w:r>
        <w:br w:type="page"/>
      </w:r>
    </w:p>
    <w:p>
      <w:pPr>
        <w:pStyle w:val="WW-Chapter"/>
        <w:spacing w:before="0" w:after="567"/>
        <w:ind w:hanging="0" w:start="0"/>
        <w:rPr/>
      </w:pPr>
      <w:r>
        <w:rPr/>
        <w:t>4. Painting a next life</w:t>
      </w:r>
    </w:p>
    <w:p>
      <w:pPr>
        <w:pStyle w:val="WW-chapter-section-1"/>
        <w:ind w:hanging="0" w:start="0"/>
        <w:rPr/>
      </w:pPr>
      <w:r>
        <w:rPr/>
        <w:t>The simile of the painting</w:t>
      </w:r>
    </w:p>
    <w:p>
      <w:pPr>
        <w:pStyle w:val="WW-paragraph"/>
        <w:rPr/>
      </w:pPr>
      <w:r>
        <w:rPr/>
        <w:t xml:space="preserve">To recall the </w:t>
      </w:r>
      <w:r>
        <w:rPr>
          <w:rStyle w:val="wwc-sesame"/>
        </w:rPr>
        <w:t>If There is Desire Discourse</w:t>
      </w:r>
      <w:r>
        <w:rPr/>
        <w:t>:</w:t>
      </w:r>
    </w:p>
    <w:p>
      <w:pPr>
        <w:pStyle w:val="WW-named-section"/>
        <w:rPr/>
      </w:pPr>
      <w:r>
        <w:rPr/>
        <w:t>§32</w:t>
      </w:r>
    </w:p>
    <w:p>
      <w:pPr>
        <w:pStyle w:val="WW-blockquote"/>
        <w:rPr/>
      </w:pPr>
      <w:bookmarkStart w:id="35" w:name="bqseg32"/>
      <w:bookmarkEnd w:id="35"/>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r>
        <w:rPr>
          <w:rStyle w:val="FootnoteReference"/>
        </w:rPr>
        <w:footnoteReference w:id="163"/>
      </w:r>
    </w:p>
    <w:p>
      <w:pPr>
        <w:pStyle w:val="WW-paragraph"/>
        <w:rPr/>
      </w:pPr>
      <w:r>
        <w:rPr/>
        <w:t>Before turning to the actual simile, I want to address the order of the factors, which is as follows:</w:t>
      </w:r>
    </w:p>
    <w:p>
      <w:pPr>
        <w:pStyle w:val="WW-paragraph"/>
        <w:numPr>
          <w:ilvl w:val="0"/>
          <w:numId w:val="11"/>
        </w:numPr>
        <w:rPr/>
      </w:pPr>
      <w:r>
        <w:rPr/>
        <w:t>Craving, desire, and enjoyment</w:t>
      </w:r>
    </w:p>
    <w:p>
      <w:pPr>
        <w:pStyle w:val="WW-paragraph"/>
        <w:numPr>
          <w:ilvl w:val="0"/>
          <w:numId w:val="11"/>
        </w:numPr>
        <w:rPr/>
      </w:pPr>
      <w:r>
        <w:rPr/>
        <w:t>Planting of consciousness</w:t>
      </w:r>
    </w:p>
    <w:p>
      <w:pPr>
        <w:pStyle w:val="WW-paragraph"/>
        <w:numPr>
          <w:ilvl w:val="0"/>
          <w:numId w:val="11"/>
        </w:numPr>
        <w:rPr/>
      </w:pPr>
      <w:r>
        <w:rPr/>
        <w:t>Conception of the individual’s immaterial aspects and body</w:t>
      </w:r>
    </w:p>
    <w:p>
      <w:pPr>
        <w:pStyle w:val="WW-paragraph"/>
        <w:numPr>
          <w:ilvl w:val="0"/>
          <w:numId w:val="11"/>
        </w:numPr>
        <w:rPr/>
      </w:pPr>
      <w:r>
        <w:rPr/>
        <w:t>Development of willful actions</w:t>
      </w:r>
    </w:p>
    <w:p>
      <w:pPr>
        <w:pStyle w:val="WW-paragraph"/>
        <w:numPr>
          <w:ilvl w:val="0"/>
          <w:numId w:val="11"/>
        </w:numPr>
        <w:rPr/>
      </w:pPr>
      <w:r>
        <w:rPr/>
        <w:t>Production of existence in a future life</w:t>
      </w:r>
    </w:p>
    <w:p>
      <w:pPr>
        <w:pStyle w:val="WW-paragraph"/>
        <w:numPr>
          <w:ilvl w:val="0"/>
          <w:numId w:val="11"/>
        </w:numPr>
        <w:rPr/>
      </w:pPr>
      <w:r>
        <w:rPr/>
        <w:t>Birth, followed by old age and death and other suffering</w:t>
      </w:r>
    </w:p>
    <w:p>
      <w:pPr>
        <w:pStyle w:val="WW-paragraph"/>
        <w:rPr/>
      </w:pPr>
      <w:r>
        <w:rP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rPr/>
        <w:t xml:space="preserve"> consciousness is reborn, </w:t>
      </w:r>
      <w:r>
        <w:rPr>
          <w:rStyle w:val="Emphasis"/>
        </w:rPr>
        <w:t>there</w:t>
      </w:r>
      <w:r>
        <w:rPr/>
        <w:t xml:space="preserve"> the immaterial aspects and body are conceived, </w:t>
      </w:r>
      <w:r>
        <w:rPr>
          <w:rStyle w:val="Emphasis"/>
        </w:rPr>
        <w:t>there</w:t>
      </w:r>
      <w:r>
        <w:rPr/>
        <w:t xml:space="preserve"> willful actions develop, and </w:t>
      </w:r>
      <w:r>
        <w:rPr>
          <w:rStyle w:val="Emphasis"/>
        </w:rPr>
        <w:t>there</w:t>
      </w:r>
      <w:r>
        <w:rP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rPr/>
        <w:t xml:space="preserve"> of willful actions’. This refers to the outcome of the actions, not the actions themselves. The outcome of willful actions is a specific rebirth with its attributes.</w:t>
      </w:r>
    </w:p>
    <w:p>
      <w:pPr>
        <w:pStyle w:val="WW-paragraph"/>
        <w:rPr/>
      </w:pPr>
      <w:r>
        <w:rPr/>
        <w:t>The following table may clarify the difference in interpretation:</w:t>
      </w:r>
    </w:p>
    <w:p>
      <w:pPr>
        <w:pStyle w:val="WW-table-caption"/>
        <w:rPr/>
      </w:pPr>
      <w:r>
        <w:rPr/>
        <w:t>{SimpleNoRowBorders}Table 8. Function of ‘development of willful actions’ in the If There is Desire Discourse</w:t>
      </w:r>
    </w:p>
    <w:tbl>
      <w:tblPr>
        <w:tblW w:w="7325" w:type="dxa"/>
        <w:jc w:val="start"/>
        <w:tblInd w:w="0" w:type="dxa"/>
        <w:tblLayout w:type="fixed"/>
        <w:tblCellMar>
          <w:top w:w="0" w:type="dxa"/>
          <w:start w:w="0" w:type="dxa"/>
          <w:bottom w:w="0" w:type="dxa"/>
          <w:end w:w="0" w:type="dxa"/>
        </w:tblCellMar>
      </w:tblPr>
      <w:tblGrid>
        <w:gridCol w:w="3469"/>
        <w:gridCol w:w="1864"/>
        <w:gridCol w:w="1992"/>
      </w:tblGrid>
      <w:tr>
        <w:trPr/>
        <w:tc>
          <w:tcPr>
            <w:tcW w:w="3469" w:type="dxa"/>
            <w:tcBorders/>
            <w:vAlign w:val="center"/>
          </w:tcPr>
          <w:p>
            <w:pPr>
              <w:pStyle w:val="WW-paragraph"/>
              <w:spacing w:before="170" w:after="170"/>
              <w:rPr/>
            </w:pPr>
            <w:r>
              <w:rPr>
                <w:rStyle w:val="Strong"/>
              </w:rPr>
              <w:t>Factor</w:t>
            </w:r>
          </w:p>
        </w:tc>
        <w:tc>
          <w:tcPr>
            <w:tcW w:w="1864" w:type="dxa"/>
            <w:tcBorders/>
            <w:vAlign w:val="center"/>
          </w:tcPr>
          <w:p>
            <w:pPr>
              <w:pStyle w:val="WW-paragraph"/>
              <w:spacing w:before="170" w:after="170"/>
              <w:rPr/>
            </w:pPr>
            <w:r>
              <w:rPr>
                <w:rStyle w:val="Strong"/>
              </w:rPr>
              <w:t>Commentary</w:t>
            </w:r>
          </w:p>
        </w:tc>
        <w:tc>
          <w:tcPr>
            <w:tcW w:w="1992" w:type="dxa"/>
            <w:tcBorders/>
            <w:vAlign w:val="center"/>
          </w:tcPr>
          <w:p>
            <w:pPr>
              <w:pStyle w:val="WW-paragraph"/>
              <w:spacing w:before="170" w:after="170"/>
              <w:rPr/>
            </w:pPr>
            <w:r>
              <w:rPr>
                <w:rStyle w:val="Strong"/>
              </w:rPr>
              <w:t>My interpretation</w:t>
            </w:r>
          </w:p>
        </w:tc>
      </w:tr>
      <w:tr>
        <w:trPr/>
        <w:tc>
          <w:tcPr>
            <w:tcW w:w="3469" w:type="dxa"/>
            <w:tcBorders/>
            <w:vAlign w:val="center"/>
          </w:tcPr>
          <w:p>
            <w:pPr>
              <w:pStyle w:val="WW-paragraph"/>
              <w:spacing w:before="170" w:after="170"/>
              <w:rPr/>
            </w:pPr>
            <w:r>
              <w:rPr/>
              <w:t>1. Craving, desire &amp; enjoyment</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Causes of rebirth</w:t>
            </w:r>
          </w:p>
        </w:tc>
      </w:tr>
      <w:tr>
        <w:trPr/>
        <w:tc>
          <w:tcPr>
            <w:tcW w:w="3469" w:type="dxa"/>
            <w:tcBorders/>
            <w:vAlign w:val="center"/>
          </w:tcPr>
          <w:p>
            <w:pPr>
              <w:pStyle w:val="WW-paragraph"/>
              <w:spacing w:before="170" w:after="170"/>
              <w:rPr/>
            </w:pPr>
            <w:r>
              <w:rPr/>
              <w:t>2. Planting of consciousness</w:t>
            </w:r>
          </w:p>
        </w:tc>
        <w:tc>
          <w:tcPr>
            <w:tcW w:w="1864" w:type="dxa"/>
            <w:tcBorders/>
            <w:vAlign w:val="center"/>
          </w:tcPr>
          <w:p>
            <w:pPr>
              <w:pStyle w:val="WW-paragraph"/>
              <w:spacing w:before="170" w:after="170"/>
              <w:rPr/>
            </w:pPr>
            <w:r>
              <w:rPr/>
              <w:t>First rebirth</w:t>
            </w:r>
          </w:p>
        </w:tc>
        <w:tc>
          <w:tcPr>
            <w:tcW w:w="1992" w:type="dxa"/>
            <w:tcBorders/>
            <w:vAlign w:val="center"/>
          </w:tcPr>
          <w:p>
            <w:pPr>
              <w:pStyle w:val="WW-paragraph"/>
              <w:spacing w:before="170" w:after="170"/>
              <w:rPr/>
            </w:pPr>
            <w:r>
              <w:rPr/>
              <w:t>One rebirth</w:t>
            </w:r>
          </w:p>
        </w:tc>
      </w:tr>
      <w:tr>
        <w:trPr/>
        <w:tc>
          <w:tcPr>
            <w:tcW w:w="3469" w:type="dxa"/>
            <w:tcBorders/>
            <w:vAlign w:val="center"/>
          </w:tcPr>
          <w:p>
            <w:pPr>
              <w:pStyle w:val="WW-paragraph"/>
              <w:spacing w:before="170" w:after="170"/>
              <w:rPr/>
            </w:pPr>
            <w:r>
              <w:rPr/>
              <w:t>3. Conception of nāmarūpa</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4. Development of willful actions</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5. Production of existence</w:t>
            </w:r>
          </w:p>
        </w:tc>
        <w:tc>
          <w:tcPr>
            <w:tcW w:w="1864" w:type="dxa"/>
            <w:tcBorders/>
            <w:vAlign w:val="center"/>
          </w:tcPr>
          <w:p>
            <w:pPr>
              <w:pStyle w:val="WW-paragraph"/>
              <w:spacing w:before="170" w:after="170"/>
              <w:rPr/>
            </w:pPr>
            <w:r>
              <w:rPr/>
              <w:t>Second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6. Birth</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bl>
    <w:p>
      <w:pPr>
        <w:pStyle w:val="WW-paragraph"/>
        <w:rPr/>
      </w:pPr>
      <w:r>
        <w:rP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4"/>
      </w:r>
      <w:r>
        <w:rP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rPr/>
        <w:t xml:space="preserve">) in “producing a complete figure of a man or woman” refers to the bodily part of </w:t>
      </w:r>
      <w:r>
        <w:rPr>
          <w:rStyle w:val="wwc-pali"/>
        </w:rPr>
        <w:t>nāmarūpa</w:t>
      </w:r>
      <w:r>
        <w:rPr/>
        <w:t>. Even ‘producing’ (</w:t>
      </w:r>
      <w:r>
        <w:rPr>
          <w:rStyle w:val="wwc-pali"/>
        </w:rPr>
        <w:t>abhinibbatti</w:t>
      </w:r>
      <w:r>
        <w:rPr/>
        <w:t xml:space="preserve">) refers to rebirth. It is also used in the </w:t>
      </w:r>
      <w:r>
        <w:rPr>
          <w:rStyle w:val="wwc-sesame"/>
        </w:rPr>
        <w:t>Mahānidāna Sutta</w:t>
      </w:r>
      <w:r>
        <w:rPr/>
        <w:t xml:space="preserve">, which mentions the </w:t>
      </w:r>
      <w:r>
        <w:rPr>
          <w:rStyle w:val="Emphasis"/>
        </w:rPr>
        <w:t>production</w:t>
      </w:r>
      <w:r>
        <w:rPr/>
        <w:t xml:space="preserve"> of the immaterial aspects and body in the mother’s womb;</w:t>
      </w:r>
      <w:r>
        <w:rPr>
          <w:rStyle w:val="FootnoteReference"/>
        </w:rPr>
        <w:footnoteReference w:id="165"/>
      </w:r>
      <w:r>
        <w:rPr/>
        <w:t xml:space="preserve"> in the </w:t>
      </w:r>
      <w:r>
        <w:rPr>
          <w:rStyle w:val="wwc-sesame"/>
        </w:rPr>
        <w:t>If There is Desire Discourse</w:t>
      </w:r>
      <w:r>
        <w:rPr/>
        <w:t xml:space="preserve"> itself in “existence in a future life is </w:t>
      </w:r>
      <w:r>
        <w:rPr>
          <w:rStyle w:val="Emphasis"/>
        </w:rPr>
        <w:t>produced</w:t>
      </w:r>
      <w:r>
        <w:rPr/>
        <w:t xml:space="preserve">”; and in the very definition of birth at </w:t>
      </w:r>
      <w:hyperlink w:anchor="bqseg20">
        <w:r>
          <w:rPr>
            <w:rStyle w:val="Hyperlink"/>
          </w:rPr>
          <w:t>§20</w:t>
        </w:r>
      </w:hyperlink>
      <w:r>
        <w:rPr/>
        <w:t>.</w:t>
      </w:r>
    </w:p>
    <w:p>
      <w:pPr>
        <w:pStyle w:val="WW-paragraph"/>
        <w:rPr/>
      </w:pPr>
      <w:r>
        <w:rPr/>
        <w:t>Many people relate better to visual images than abstract ideas, which is why the Buddha gave similes such as this. To aid visualization, here is my painting of the simile of the painting (with apologies for my artistic skills):</w:t>
      </w:r>
    </w:p>
    <w:p>
      <w:pPr>
        <w:pStyle w:val="WW-figure"/>
        <w:rPr/>
      </w:pPr>
      <w:r>
        <w:rPr/>
        <w:t>./img/painterrealms.png=A board, a wall, and a canvas, labeled ‘the three realms’.=30=border</w:t>
        <w:br/>
        <w:t>./img/painter.png=A painter labeled ‘willful actions’ painting a person labeled ‘next life’ with five colors of paint labeled ‘five khandhas’.=30=border</w:t>
        <w:br/>
        <w:t>Figure 8. Painting a person as a simile for rebirth</w:t>
      </w:r>
    </w:p>
    <w:p>
      <w:pPr>
        <w:pStyle w:val="WW-paragraph"/>
        <w:rPr/>
      </w:pPr>
      <w:r>
        <w:rPr/>
        <w:t xml:space="preserve">The production of existence in one of the three realms according to one’s actions is further illustrated in the </w:t>
      </w:r>
      <w:r>
        <w:rPr>
          <w:rStyle w:val="wwc-sesame"/>
        </w:rPr>
        <w:t>Bhava Sutta</w:t>
      </w:r>
      <w:r>
        <w:rPr/>
        <w:t xml:space="preserve"> at </w:t>
      </w:r>
      <w:hyperlink w:anchor="bqseg71">
        <w:r>
          <w:rPr>
            <w:rStyle w:val="Hyperlink"/>
          </w:rPr>
          <w:t>§71</w:t>
        </w:r>
      </w:hyperlink>
      <w:r>
        <w:rPr/>
        <w:t>.</w:t>
      </w:r>
    </w:p>
    <w:p>
      <w:pPr>
        <w:pStyle w:val="WW-chapter-section-1"/>
        <w:ind w:hanging="0" w:start="0"/>
        <w:rPr/>
      </w:pPr>
      <w:r>
        <w:rPr/>
        <w:t>The simile of the painting and transmigration</w:t>
      </w:r>
    </w:p>
    <w:p>
      <w:pPr>
        <w:pStyle w:val="WW-paragraph"/>
        <w:rPr/>
      </w:pPr>
      <w:r>
        <w:rPr/>
        <w:t xml:space="preserve">Despite the </w:t>
      </w:r>
      <w:r>
        <w:rPr>
          <w:rStyle w:val="wwc-sesame"/>
        </w:rPr>
        <w:t>If There is Desire Discourse</w:t>
      </w:r>
      <w:r>
        <w:rP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6"/>
      </w:r>
      <w:r>
        <w:rP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rPr/>
        <w:t>, where the Buddha uses the same simile to describe the varieties of births beings produce within transmigration (</w:t>
      </w:r>
      <w:r>
        <w:rPr>
          <w:rStyle w:val="wwc-pali"/>
        </w:rPr>
        <w:t>saṁsāra</w:t>
      </w:r>
      <w:r>
        <w:rPr/>
        <w:t>):</w:t>
      </w:r>
    </w:p>
    <w:p>
      <w:pPr>
        <w:pStyle w:val="WW-named-section"/>
        <w:rPr/>
      </w:pPr>
      <w:r>
        <w:rPr/>
        <w:t>§33</w:t>
      </w:r>
    </w:p>
    <w:p>
      <w:pPr>
        <w:pStyle w:val="WW-blockquote"/>
        <w:rPr/>
      </w:pPr>
      <w:bookmarkStart w:id="36" w:name="bqseg33"/>
      <w:bookmarkEnd w:id="36"/>
      <w:r>
        <w:rPr/>
        <w:t>“</w:t>
      </w:r>
      <w:r>
        <w:rP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Mendicants, have you seen the picture called ‘Wandering’?”</w:t>
      </w:r>
    </w:p>
    <w:p>
      <w:pPr>
        <w:pStyle w:val="WW-blockquote"/>
        <w:rPr/>
      </w:pPr>
      <w:r>
        <w:rPr/>
        <w:t>“</w:t>
      </w:r>
      <w:r>
        <w:rPr/>
        <w:t>Yes, sir.”</w:t>
      </w:r>
    </w:p>
    <w:p>
      <w:pPr>
        <w:pStyle w:val="WW-blockquote"/>
        <w:rPr/>
      </w:pPr>
      <w:r>
        <w:rPr/>
        <w:t>“</w:t>
      </w:r>
      <w:r>
        <w:rP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7"/>
      </w:r>
      <w:r>
        <w:rPr/>
        <w:t xml:space="preserve"> they produce just form, sensation, perception, will, and consciousness.”</w:t>
      </w:r>
      <w:r>
        <w:rPr>
          <w:rStyle w:val="FootnoteReference"/>
        </w:rPr>
        <w:footnoteReference w:id="168"/>
      </w:r>
    </w:p>
    <w:p>
      <w:pPr>
        <w:pStyle w:val="WW-paragraph"/>
        <w:rPr/>
      </w:pPr>
      <w:r>
        <w:rP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pPr>
        <w:pStyle w:val="WW-paragraph"/>
        <w:rPr/>
      </w:pPr>
      <w:r>
        <w:rPr/>
        <w:t xml:space="preserve">The preceding sutta in the </w:t>
      </w:r>
      <w:r>
        <w:rPr>
          <w:rStyle w:val="wwc-sesame"/>
        </w:rPr>
        <w:t>Saṁyutta Nikāya</w:t>
      </w:r>
      <w:r>
        <w:rPr/>
        <w:t xml:space="preserve">, the </w:t>
      </w:r>
      <w:r>
        <w:rPr>
          <w:rStyle w:val="wwc-sesame"/>
        </w:rPr>
        <w:t>First Discourse on the Leash</w:t>
      </w:r>
      <w:r>
        <w:rPr/>
        <w:t xml:space="preserve">, also clarifies these ideas. It specifically says that if one keeps circling like a dog around the five aspects of existence, one is not liberated from </w:t>
      </w:r>
      <w:r>
        <w:rPr>
          <w:rStyle w:val="Emphasis"/>
        </w:rPr>
        <w:t>birth</w:t>
      </w:r>
      <w:r>
        <w:rPr/>
        <w:t>.</w:t>
      </w:r>
      <w:r>
        <w:rPr>
          <w:rStyle w:val="FootnoteReference"/>
        </w:rPr>
        <w:footnoteReference w:id="169"/>
      </w:r>
    </w:p>
    <w:p>
      <w:pPr>
        <w:pStyle w:val="WW-paragraph"/>
        <w:rPr/>
      </w:pPr>
      <w:r>
        <w:rPr/>
        <w:t>As a sidenote, the name of the picture ‘Wandering’ (</w:t>
      </w:r>
      <w:r>
        <w:rPr>
          <w:rStyle w:val="wwc-pali"/>
        </w:rPr>
        <w:t>caraṇa</w:t>
      </w:r>
      <w:r>
        <w:rP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70"/>
      </w:r>
    </w:p>
    <w:p>
      <w:pPr>
        <w:pStyle w:val="WW-paragraph"/>
        <w:rPr/>
      </w:pPr>
      <w:r>
        <w:rP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rPr/>
        <w:t>. This in turn tells us something about the simile of the light beam in that same discourse, namely that it is about the cessation of rebirth.</w:t>
      </w:r>
    </w:p>
    <w:p>
      <w:pPr>
        <w:pStyle w:val="WW-paragraph"/>
        <w:rPr/>
      </w:pPr>
      <w:r>
        <w:rPr/>
        <w:t xml:space="preserve">But that simile will be discussed only in </w:t>
      </w:r>
      <w:hyperlink w:anchor="chapter11">
        <w:r>
          <w:rPr>
            <w:rStyle w:val="Hyperlink"/>
          </w:rPr>
          <w:t>Chapter 11</w:t>
        </w:r>
      </w:hyperlink>
      <w:r>
        <w:rPr/>
        <w:t>. First we will have a further look at the factors of willful actions and consciousness.</w:t>
      </w:r>
      <w:r>
        <w:br w:type="page"/>
      </w:r>
    </w:p>
    <w:p>
      <w:pPr>
        <w:pStyle w:val="WW-Chapter"/>
        <w:spacing w:before="0" w:after="567"/>
        <w:ind w:hanging="0" w:start="0"/>
        <w:rPr/>
      </w:pPr>
      <w:r>
        <w:rPr/>
        <w:t>5. Karma and rebirth</w:t>
      </w:r>
    </w:p>
    <w:p>
      <w:pPr>
        <w:pStyle w:val="WW-paragraph"/>
        <w:rPr/>
      </w:pPr>
      <w:r>
        <w:rP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pPr>
        <w:pStyle w:val="WW-chapter-section-1"/>
        <w:ind w:hanging="0" w:start="0"/>
        <w:rPr/>
      </w:pPr>
      <w:r>
        <w:rPr>
          <w:lang w:val="en-US"/>
        </w:rPr>
        <w:t>Willful</w:t>
      </w:r>
      <w:r>
        <w:rPr/>
        <w:t xml:space="preserve"> actions as a synonym for karma</w:t>
      </w:r>
    </w:p>
    <w:p>
      <w:pPr>
        <w:pStyle w:val="WW-paragraph"/>
        <w:rPr/>
      </w:pPr>
      <w:r>
        <w:rPr/>
        <w:t>As the title of this section indicates, I will show here that willful actions are a synonym (or near synonym) for karma.</w:t>
      </w:r>
      <w:r>
        <w:rPr>
          <w:rStyle w:val="FootnoteReference"/>
        </w:rPr>
        <w:footnoteReference w:id="171"/>
      </w:r>
      <w:r>
        <w:rPr/>
        <w:t xml:space="preserve"> This may already be known and accepted by most readers, but it bears repeating, for many non-traditional interpretations of Dependent Arising err here.</w:t>
      </w:r>
    </w:p>
    <w:p>
      <w:pPr>
        <w:pStyle w:val="WW-paragraph"/>
        <w:rPr/>
      </w:pPr>
      <w:r>
        <w:rPr>
          <w:rStyle w:val="wwc-sanskrit"/>
        </w:rPr>
        <w:t>Karma</w:t>
      </w:r>
      <w:r>
        <w:rPr/>
        <w:t xml:space="preserve"> is the Sanskrit form of the Pāli word </w:t>
      </w:r>
      <w:r>
        <w:rPr>
          <w:rStyle w:val="wwc-pali"/>
        </w:rPr>
        <w:t>kamma</w:t>
      </w:r>
      <w:r>
        <w:rPr/>
        <w:t>, which I translate as ‘deeds’. Throughout the discourses deeds are continually connected to rebirth. They are also connected directly to Dependent Arising, as in these verses:</w:t>
      </w:r>
    </w:p>
    <w:p>
      <w:pPr>
        <w:pStyle w:val="WW-named-section"/>
        <w:rPr/>
      </w:pPr>
      <w:r>
        <w:rPr/>
        <w:t>§34</w:t>
      </w:r>
    </w:p>
    <w:p>
      <w:pPr>
        <w:pStyle w:val="WW-line-block"/>
        <w:rPr/>
      </w:pPr>
      <w:bookmarkStart w:id="37" w:name="bqseg34"/>
      <w:bookmarkEnd w:id="37"/>
      <w:r>
        <w:rPr/>
        <w:t>This is how the wise</w:t>
        <w:br/>
        <w:t>see deeds (</w:t>
      </w:r>
      <w:r>
        <w:rPr>
          <w:rStyle w:val="wwc-pali"/>
        </w:rPr>
        <w:t>kamma</w:t>
      </w:r>
      <w:r>
        <w:rPr/>
        <w:t>) in line with reality,</w:t>
        <w:br/>
        <w:t>seers of the dependent arising of things,</w:t>
        <w:br/>
        <w:t>knowing deeds and their results.</w:t>
      </w:r>
    </w:p>
    <w:p>
      <w:pPr>
        <w:pStyle w:val="WW-line-block"/>
        <w:rPr/>
      </w:pPr>
      <w:r>
        <w:rPr/>
        <w:t>Deeds make the world go round and round,</w:t>
        <w:br/>
        <w:t>deeds make people go round and round.</w:t>
        <w:br/>
        <w:t xml:space="preserve">Beings are bound [to </w:t>
      </w:r>
      <w:r>
        <w:rPr>
          <w:rStyle w:val="wwc-pali"/>
        </w:rPr>
        <w:t>saṁsāra</w:t>
      </w:r>
      <w:r>
        <w:rPr/>
        <w:t>] by their deeds,</w:t>
        <w:br/>
        <w:t>like a cartwheel by the linchpin.</w:t>
      </w:r>
      <w:r>
        <w:rPr>
          <w:rStyle w:val="FootnoteReference"/>
        </w:rPr>
        <w:footnoteReference w:id="172"/>
      </w:r>
    </w:p>
    <w:p>
      <w:pPr>
        <w:pStyle w:val="WW-figure"/>
        <w:rPr/>
      </w:pPr>
      <w:r>
        <w:rPr/>
        <w:t>./img/linchpin.png=A cartwheel held by a pin through the axle. The wheel is labeled ‘samsara’ and the linchpin ‘karma’.=30=border</w:t>
        <w:br/>
        <w:t>Figure 9. A linchpin as a simile for karma</w:t>
      </w:r>
    </w:p>
    <w:p>
      <w:pPr>
        <w:pStyle w:val="WW-paragraph"/>
        <w:rPr/>
      </w:pPr>
      <w:r>
        <w:rPr/>
        <w:t>Given the direct connection with Dependent Arising in these verses and elsewhere,</w:t>
      </w:r>
      <w:r>
        <w:rPr>
          <w:rStyle w:val="FootnoteReference"/>
        </w:rPr>
        <w:footnoteReference w:id="173"/>
      </w:r>
      <w:r>
        <w:rPr/>
        <w:t xml:space="preserve"> deeds should fit somewhere in the twelvefold scheme, and the primary if not only candidate is willful actions. (By ‘willful’ I mean ‘intentional/volitional’, not ‘stubborn’.) The Pāli for ‘willful actions’ is </w:t>
      </w:r>
      <w:r>
        <w:rPr>
          <w:rStyle w:val="wwc-pali"/>
        </w:rPr>
        <w:t>saṅkhāra</w:t>
      </w:r>
      <w:r>
        <w:rPr/>
        <w:t xml:space="preserve">. It is linguistically connected to </w:t>
      </w:r>
      <w:r>
        <w:rPr>
          <w:rStyle w:val="wwc-pali"/>
        </w:rPr>
        <w:t>kamma</w:t>
      </w:r>
      <w:r>
        <w:rPr/>
        <w:t xml:space="preserve">, which is a bit more apparent in the Sanskrit form </w:t>
      </w:r>
      <w:r>
        <w:rPr>
          <w:rStyle w:val="wwc-pali"/>
        </w:rPr>
        <w:t>karma</w:t>
      </w:r>
      <w:r>
        <w:rPr/>
        <w:t>. (</w:t>
      </w:r>
      <w:r>
        <w:rPr>
          <w:rStyle w:val="wwc-pali"/>
        </w:rPr>
        <w:t>Saṅkhāra = saṁ+√kar+a. Kamma/karma = √kar+ma</w:t>
      </w:r>
      <w:r>
        <w:rPr/>
        <w:t>.)</w:t>
      </w:r>
    </w:p>
    <w:p>
      <w:pPr>
        <w:pStyle w:val="WW-paragraph"/>
        <w:rPr/>
      </w:pPr>
      <w:r>
        <w:rPr/>
        <w:t xml:space="preserve">In the context of Dependent Arising </w:t>
      </w:r>
      <w:r>
        <w:rPr>
          <w:rStyle w:val="wwc-pali"/>
        </w:rPr>
        <w:t>saṅkhāra</w:t>
      </w:r>
      <w:r>
        <w:rPr/>
        <w:t xml:space="preserve"> and </w:t>
      </w:r>
      <w:r>
        <w:rPr>
          <w:rStyle w:val="wwc-pali"/>
        </w:rPr>
        <w:t>kamma</w:t>
      </w:r>
      <w:r>
        <w:rPr/>
        <w:t xml:space="preserve"> are effectively synonymous. The following extracts bear witness to this, showing the close connection between the two. The first extract gives the definition of </w:t>
      </w:r>
      <w:r>
        <w:rPr>
          <w:rStyle w:val="wwc-pali"/>
        </w:rPr>
        <w:t>saṅkhāra</w:t>
      </w:r>
      <w:r>
        <w:rP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pPr>
        <w:pStyle w:val="WW-named-section"/>
        <w:rPr/>
      </w:pPr>
      <w:r>
        <w:rPr/>
        <w:t>§35</w:t>
      </w:r>
    </w:p>
    <w:p>
      <w:pPr>
        <w:pStyle w:val="WW-blockquote"/>
        <w:rPr/>
      </w:pPr>
      <w:bookmarkStart w:id="38" w:name="bqseg35"/>
      <w:bookmarkEnd w:id="38"/>
      <w:r>
        <w:rPr/>
        <w:t xml:space="preserve">And what is will [or ‘willful actions’, </w:t>
      </w:r>
      <w:r>
        <w:rPr>
          <w:rStyle w:val="wwc-pali"/>
        </w:rPr>
        <w:t>saṅkhāras</w:t>
      </w:r>
      <w:r>
        <w:rP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4"/>
      </w:r>
    </w:p>
    <w:p>
      <w:pPr>
        <w:pStyle w:val="WW-space"/>
        <w:rPr/>
      </w:pPr>
      <w:r>
        <w:rPr/>
        <w:t>0</w:t>
      </w:r>
    </w:p>
    <w:p>
      <w:pPr>
        <w:pStyle w:val="WW-named-section"/>
        <w:rPr/>
      </w:pPr>
      <w:r>
        <w:rPr/>
        <w:t>§36</w:t>
      </w:r>
    </w:p>
    <w:p>
      <w:pPr>
        <w:pStyle w:val="WW-blockquote"/>
        <w:rPr/>
      </w:pPr>
      <w:bookmarkStart w:id="39" w:name="bqseg36"/>
      <w:bookmarkEnd w:id="39"/>
      <w:r>
        <w:rPr/>
        <w:t>I define deeds (</w:t>
      </w:r>
      <w:r>
        <w:rPr>
          <w:rStyle w:val="wwc-pali"/>
        </w:rPr>
        <w:t>kamma</w:t>
      </w:r>
      <w:r>
        <w:rPr/>
        <w:t>) as intention. You intend something before you perform a deed, whether a physical, verbal, or mental one.</w:t>
      </w:r>
      <w:r>
        <w:rPr>
          <w:rStyle w:val="FootnoteReference"/>
        </w:rPr>
        <w:footnoteReference w:id="175"/>
      </w:r>
    </w:p>
    <w:p>
      <w:pPr>
        <w:pStyle w:val="WW-space"/>
        <w:rPr/>
      </w:pPr>
      <w:r>
        <w:rPr/>
        <w:t>0</w:t>
      </w:r>
    </w:p>
    <w:p>
      <w:pPr>
        <w:pStyle w:val="WW-named-section"/>
        <w:rPr/>
      </w:pPr>
      <w:r>
        <w:rPr/>
        <w:t>§37</w:t>
      </w:r>
    </w:p>
    <w:p>
      <w:pPr>
        <w:pStyle w:val="WW-blockquote"/>
        <w:rPr/>
      </w:pPr>
      <w:bookmarkStart w:id="40" w:name="bqseg37"/>
      <w:bookmarkEnd w:id="40"/>
      <w:r>
        <w:rPr/>
        <w:t>And what are willful actions (</w:t>
      </w:r>
      <w:r>
        <w:rPr>
          <w:rStyle w:val="wwc-pali"/>
        </w:rPr>
        <w:t>saṅkhāras</w:t>
      </w:r>
      <w:r>
        <w:rPr/>
        <w:t>)? There are three kinds of willful actions: physical, verbal, and mental willful actions. That is what’s called willful actions.</w:t>
      </w:r>
      <w:r>
        <w:rPr>
          <w:rStyle w:val="FootnoteReference"/>
        </w:rPr>
        <w:footnoteReference w:id="176"/>
      </w:r>
    </w:p>
    <w:p>
      <w:pPr>
        <w:pStyle w:val="WW-paragraph"/>
        <w:rPr/>
      </w:pPr>
      <w:r>
        <w:rPr/>
        <w:t xml:space="preserve">The last extract is the definition of </w:t>
      </w:r>
      <w:r>
        <w:rPr>
          <w:rStyle w:val="wwc-pali"/>
        </w:rPr>
        <w:t>saṅkhāra</w:t>
      </w:r>
      <w:r>
        <w:rPr/>
        <w:t xml:space="preserve"> in the context of Dependent Arising. In this context </w:t>
      </w:r>
      <w:r>
        <w:rPr>
          <w:rStyle w:val="wwc-pali"/>
        </w:rPr>
        <w:t>saṅkhāra</w:t>
      </w:r>
      <w:r>
        <w:rPr/>
        <w:t xml:space="preserve"> depends on ignorance, so it only concerns the intentional actions performed by the unenlightened. Enlightened beings still have intentions, so the general aggregate of </w:t>
      </w:r>
      <w:r>
        <w:rPr>
          <w:rStyle w:val="wwc-pali"/>
        </w:rPr>
        <w:t>saṅkhāra</w:t>
      </w:r>
      <w:r>
        <w:rPr/>
        <w:t xml:space="preserve"> (the will) still exists. But these intentions are not based on ignorance and will not lead to rebirth, so they are not part of the </w:t>
      </w:r>
      <w:r>
        <w:rPr>
          <w:rStyle w:val="wwc-pali"/>
        </w:rPr>
        <w:t>saṅkhāra</w:t>
      </w:r>
      <w:r>
        <w:rPr/>
        <w:t xml:space="preserve"> in Dependent Arising. The same applies to karma. Enlightened beings still do certain intentional deeds, but they no longer count as karma, basically by definition, because they are not based on defilements and do not lead to rebirth.</w:t>
      </w:r>
    </w:p>
    <w:p>
      <w:pPr>
        <w:pStyle w:val="WW-paragraph"/>
        <w:rPr/>
      </w:pPr>
      <w:r>
        <w:rPr/>
        <w:t xml:space="preserve">In the above quotations, </w:t>
      </w:r>
      <w:r>
        <w:rPr>
          <w:rStyle w:val="wwc-pali"/>
        </w:rPr>
        <w:t>saṅkhāra</w:t>
      </w:r>
      <w:r>
        <w:rPr/>
        <w:t xml:space="preserve"> and </w:t>
      </w:r>
      <w:r>
        <w:rPr>
          <w:rStyle w:val="wwc-pali"/>
        </w:rPr>
        <w:t>kamma</w:t>
      </w:r>
      <w:r>
        <w:rPr/>
        <w:t xml:space="preserve"> are both said to be based on intention (</w:t>
      </w:r>
      <w:r>
        <w:rPr>
          <w:rStyle w:val="wwc-pali"/>
        </w:rPr>
        <w:t>cetanā</w:t>
      </w:r>
      <w:r>
        <w:rPr/>
        <w:t>) and are both described as being physical, verbal, and mental. Their synonymity is even more apparent in the following texts, which also show their connection to rebirth.</w:t>
      </w:r>
    </w:p>
    <w:p>
      <w:pPr>
        <w:pStyle w:val="WW-named-section"/>
        <w:rPr/>
      </w:pPr>
      <w:r>
        <w:rPr/>
        <w:t>§38</w:t>
      </w:r>
    </w:p>
    <w:p>
      <w:pPr>
        <w:pStyle w:val="WW-blockquote"/>
        <w:rPr/>
      </w:pPr>
      <w:bookmarkStart w:id="41" w:name="bqseg38"/>
      <w:bookmarkEnd w:id="41"/>
      <w:r>
        <w:rPr/>
        <w:t>And what are dark deeds (</w:t>
      </w:r>
      <w:r>
        <w:rPr>
          <w:rStyle w:val="wwc-pali"/>
        </w:rPr>
        <w:t>kamma</w:t>
      </w:r>
      <w:r>
        <w:rPr/>
        <w:t>) with dark results? Then someone performs harmful physical, verbal, and mental willful actions (</w:t>
      </w:r>
      <w:r>
        <w:rPr>
          <w:rStyle w:val="wwc-pali"/>
        </w:rPr>
        <w:t>saṅkhāras</w:t>
      </w:r>
      <w:r>
        <w:rPr/>
        <w:t>). That is what’s called dark deeds with dark results.</w:t>
      </w:r>
    </w:p>
    <w:p>
      <w:pPr>
        <w:pStyle w:val="WW-blockquote"/>
        <w:rPr/>
      </w:pPr>
      <w:r>
        <w:rPr/>
        <w:t>And what are bright deeds with bright results? Then someone performs pleasing physical, verbal, and mental willful actions. That is what’s called bright deeds with bright results.</w:t>
      </w:r>
      <w:r>
        <w:rPr>
          <w:rStyle w:val="FootnoteReference"/>
        </w:rPr>
        <w:footnoteReference w:id="177"/>
      </w:r>
    </w:p>
    <w:p>
      <w:pPr>
        <w:pStyle w:val="WW-space"/>
        <w:rPr/>
      </w:pPr>
      <w:r>
        <w:rPr/>
        <w:t>0</w:t>
      </w:r>
    </w:p>
    <w:p>
      <w:pPr>
        <w:pStyle w:val="WW-named-section"/>
        <w:rPr/>
      </w:pPr>
      <w:r>
        <w:rPr/>
        <w:t>§39</w:t>
      </w:r>
    </w:p>
    <w:p>
      <w:pPr>
        <w:pStyle w:val="WW-blockquote"/>
        <w:rPr/>
      </w:pPr>
      <w:bookmarkStart w:id="42" w:name="bqseg39"/>
      <w:bookmarkEnd w:id="42"/>
      <w:r>
        <w:rPr/>
        <w:t>If you possess three qualities, you end up in hell as if dragged down there. What three? Unwholesome physical, verbal, and mental deeds. If you possess these three qualities, you end up in hell as if dragged down there.</w:t>
      </w:r>
    </w:p>
    <w:p>
      <w:pPr>
        <w:pStyle w:val="WW-blockquote"/>
        <w:rPr/>
      </w:pPr>
      <w:r>
        <w:rP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8"/>
      </w:r>
    </w:p>
    <w:p>
      <w:pPr>
        <w:pStyle w:val="WW-paragraph"/>
        <w:rPr/>
      </w:pPr>
      <w:r>
        <w:rPr/>
        <w:t>(To be clear, heaven and hell in the canon are always places of rebirth, not states of mind.)</w:t>
      </w:r>
      <w:r>
        <w:rPr>
          <w:rStyle w:val="FootnoteReference"/>
        </w:rPr>
        <w:footnoteReference w:id="179"/>
      </w:r>
    </w:p>
    <w:p>
      <w:pPr>
        <w:pStyle w:val="WW-named-section"/>
        <w:rPr/>
      </w:pPr>
      <w:r>
        <w:rPr/>
        <w:t>§40</w:t>
      </w:r>
    </w:p>
    <w:p>
      <w:pPr>
        <w:pStyle w:val="WW-blockquote"/>
        <w:rPr/>
      </w:pPr>
      <w:bookmarkStart w:id="43" w:name="bqseg40"/>
      <w:bookmarkEnd w:id="43"/>
      <w:r>
        <w:rPr/>
        <w:t>Some have done bad physical, verbal, and mental acts, and have not done good physical, verbal, and mental acts. Because of what they have done (</w:t>
      </w:r>
      <w:r>
        <w:rPr>
          <w:rStyle w:val="wwc-pali"/>
        </w:rPr>
        <w:t>kata</w:t>
      </w:r>
      <w:r>
        <w:rPr/>
        <w:t>) and have not done, when their body falls apart, after death, they will be reborn in the lower plane, in a bad destination, a netherworld, a hell.</w:t>
      </w:r>
    </w:p>
    <w:p>
      <w:pPr>
        <w:pStyle w:val="WW-blockquote"/>
        <w:rPr/>
      </w:pPr>
      <w:r>
        <w:rP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80"/>
      </w:r>
    </w:p>
    <w:p>
      <w:pPr>
        <w:pStyle w:val="WW-paragraph"/>
        <w:rPr/>
      </w:pPr>
      <w:r>
        <w:rPr/>
        <w:t xml:space="preserve">(The word for ‘done’, </w:t>
      </w:r>
      <w:r>
        <w:rPr>
          <w:rStyle w:val="wwc-pali"/>
        </w:rPr>
        <w:t>kata</w:t>
      </w:r>
      <w:r>
        <w:rPr/>
        <w:t xml:space="preserve"> (</w:t>
      </w:r>
      <w:r>
        <w:rPr>
          <w:rStyle w:val="wwc-pali"/>
        </w:rPr>
        <w:t>= √kar+ta</w:t>
      </w:r>
      <w:r>
        <w:rPr/>
        <w:t xml:space="preserve">), is also linguistically connected to </w:t>
      </w:r>
      <w:r>
        <w:rPr>
          <w:rStyle w:val="wwc-pali"/>
        </w:rPr>
        <w:t>kamma</w:t>
      </w:r>
      <w:r>
        <w:rPr/>
        <w:t xml:space="preserve"> and </w:t>
      </w:r>
      <w:r>
        <w:rPr>
          <w:rStyle w:val="wwc-pali"/>
        </w:rPr>
        <w:t>saṅkhāra</w:t>
      </w:r>
      <w:r>
        <w:rPr/>
        <w:t>.)</w:t>
      </w:r>
    </w:p>
    <w:p>
      <w:pPr>
        <w:pStyle w:val="WW-named-section"/>
        <w:rPr/>
      </w:pPr>
      <w:r>
        <w:rPr/>
        <w:t>§41</w:t>
      </w:r>
    </w:p>
    <w:p>
      <w:pPr>
        <w:pStyle w:val="WW-blockquote"/>
        <w:rPr/>
      </w:pPr>
      <w:bookmarkStart w:id="44" w:name="bqseg41"/>
      <w:bookmarkEnd w:id="44"/>
      <w:r>
        <w:rPr/>
        <w:t>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is caused by the being itself: it will undergo rebirth according to its deeds. Once reborn, it is impinged by certain sense impressions. That is why I say beings inherit their deeds.</w:t>
      </w:r>
    </w:p>
    <w:p>
      <w:pPr>
        <w:pStyle w:val="WW-blockquote"/>
        <w:rPr/>
      </w:pPr>
      <w:r>
        <w:rPr/>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1"/>
      </w:r>
    </w:p>
    <w:p>
      <w:pPr>
        <w:pStyle w:val="WW-paragraph"/>
        <w:rPr/>
      </w:pPr>
      <w:r>
        <w:rPr/>
        <w:t xml:space="preserve">The last quote is from the </w:t>
      </w:r>
      <w:r>
        <w:rPr>
          <w:rStyle w:val="wwc-sesame"/>
        </w:rPr>
        <w:t>Dog-Duty Ascetic Discourse</w:t>
      </w:r>
      <w:r>
        <w:rP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rPr/>
        <w:t xml:space="preserve"> says the same thing.</w:t>
      </w:r>
      <w:r>
        <w:rPr>
          <w:rStyle w:val="FootnoteReference"/>
        </w:rPr>
        <w:footnoteReference w:id="182"/>
      </w:r>
      <w:r>
        <w:rPr/>
        <w:t xml:space="preserve"> Such statements are of course generalizations, but the basic idea is clear: willful actions determine the quality of the being’s rebirth.</w:t>
      </w:r>
    </w:p>
    <w:p>
      <w:pPr>
        <w:pStyle w:val="WW-paragraph"/>
        <w:rPr/>
      </w:pPr>
      <w:r>
        <w:rPr/>
        <w:t>The ways in which this happens fall outside the scope of this work. What matters for the current discussion is that since willful actions lead to rebirth, the link between willful actions and consciousness is about rebirth too.</w:t>
      </w:r>
    </w:p>
    <w:p>
      <w:pPr>
        <w:pStyle w:val="WW-paragraph"/>
        <w:rPr/>
      </w:pPr>
      <w:r>
        <w:rPr/>
        <w:t xml:space="preserve">When comparing the passage of the </w:t>
      </w:r>
      <w:r>
        <w:rPr>
          <w:rStyle w:val="wwc-sesame"/>
        </w:rPr>
        <w:t>Dog-Duty Ascetic Discourse</w:t>
      </w:r>
      <w:r>
        <w:rPr/>
        <w:t xml:space="preserve"> to the default teachings on Dependent Arising, we can also observe that ‘rebirth’ (</w:t>
      </w:r>
      <w:r>
        <w:rPr>
          <w:rStyle w:val="wwc-pali"/>
        </w:rPr>
        <w:t>upapatti</w:t>
      </w:r>
      <w:r>
        <w:rP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pPr>
        <w:pStyle w:val="WW-table-caption"/>
        <w:rPr/>
      </w:pPr>
      <w:r>
        <w:rPr/>
        <w:t>{SimpleNoRowBorders}Table 9. Dog-Duty Ascetic Discourse alongside ignorance sequence</w:t>
      </w:r>
    </w:p>
    <w:tbl>
      <w:tblPr>
        <w:tblW w:w="7046" w:type="dxa"/>
        <w:jc w:val="start"/>
        <w:tblInd w:w="0" w:type="dxa"/>
        <w:tblLayout w:type="fixed"/>
        <w:tblCellMar>
          <w:top w:w="0" w:type="dxa"/>
          <w:start w:w="0" w:type="dxa"/>
          <w:bottom w:w="0" w:type="dxa"/>
          <w:end w:w="0" w:type="dxa"/>
        </w:tblCellMar>
      </w:tblPr>
      <w:tblGrid>
        <w:gridCol w:w="1108"/>
        <w:gridCol w:w="2937"/>
        <w:gridCol w:w="3001"/>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3001" w:type="dxa"/>
            <w:tcBorders/>
            <w:vAlign w:val="center"/>
          </w:tcPr>
          <w:p>
            <w:pPr>
              <w:pStyle w:val="WW-paragraph"/>
              <w:spacing w:before="170" w:after="170"/>
              <w:rPr/>
            </w:pPr>
            <w:r>
              <w:rPr>
                <w:rStyle w:val="Strong"/>
              </w:rPr>
              <w:t>Dog-Duty Ascetic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3001" w:type="dxa"/>
            <w:tcBorders/>
            <w:vAlign w:val="center"/>
          </w:tcPr>
          <w:p>
            <w:pPr>
              <w:pStyle w:val="WW-paragraph"/>
              <w:spacing w:before="170" w:after="170"/>
              <w:rPr/>
            </w:pPr>
            <w:r>
              <w:rPr/>
              <w:br/>
              <w:t xml:space="preserve">• Deeds = </w:t>
            </w:r>
            <w:r>
              <w:rPr>
                <w:lang w:val="en-US"/>
              </w:rPr>
              <w:t>Willful</w:t>
            </w:r>
            <w:r>
              <w:rPr/>
              <w:t xml:space="preserve"> actions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3001" w:type="dxa"/>
            <w:tcBorders/>
            <w:vAlign w:val="center"/>
          </w:tcPr>
          <w:p>
            <w:pPr>
              <w:pStyle w:val="WW-paragraph"/>
              <w:spacing w:before="170" w:after="170"/>
              <w:rPr/>
            </w:pPr>
            <w:r>
              <w:rPr/>
              <w:t xml:space="preserve">• </w:t>
            </w:r>
            <w:r>
              <w:rPr/>
              <w:t>Rebirth</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3001" w:type="dxa"/>
            <w:tcBorders/>
            <w:vAlign w:val="center"/>
          </w:tcPr>
          <w:p>
            <w:pPr>
              <w:pStyle w:val="WW-paragraph"/>
              <w:spacing w:before="170" w:after="170"/>
              <w:rPr/>
            </w:pPr>
            <w:r>
              <w:rPr/>
              <w:t xml:space="preserve">• </w:t>
            </w:r>
            <w:r>
              <w:rPr/>
              <w:t>(Six senses)</w:t>
              <w:br/>
              <w:t>• Sense impressions</w:t>
              <w:br/>
              <w:t>• Sensations</w:t>
            </w:r>
          </w:p>
        </w:tc>
      </w:tr>
    </w:tbl>
    <w:p>
      <w:pPr>
        <w:pStyle w:val="WW-paragraph"/>
        <w:rPr/>
      </w:pPr>
      <w:r>
        <w:rPr/>
        <w:t xml:space="preserve">At this point it may be good to mention that in the </w:t>
      </w:r>
      <w:r>
        <w:rPr>
          <w:rStyle w:val="wwc-sesame"/>
        </w:rPr>
        <w:t>Cūḷavedalla Sutta</w:t>
      </w:r>
      <w:r>
        <w:rPr/>
        <w:t xml:space="preserve"> the bhikkhuni Dhammadinnā also speaks of three types of activities (</w:t>
      </w:r>
      <w:r>
        <w:rPr>
          <w:rStyle w:val="wwc-pali"/>
        </w:rPr>
        <w:t>saṅkhāras</w:t>
      </w:r>
      <w:r>
        <w:rPr/>
        <w:t>).</w:t>
      </w:r>
      <w:r>
        <w:rPr>
          <w:rStyle w:val="FootnoteReference"/>
        </w:rPr>
        <w:footnoteReference w:id="183"/>
      </w:r>
      <w:r>
        <w:rP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rPr/>
        <w:t xml:space="preserve"> in Dependent Arising.</w:t>
      </w:r>
      <w:r>
        <w:rPr>
          <w:rStyle w:val="FootnoteReference"/>
        </w:rPr>
        <w:footnoteReference w:id="184"/>
      </w:r>
      <w:r>
        <w:rPr/>
        <w:t xml:space="preserve"> She is using the three types of </w:t>
      </w:r>
      <w:r>
        <w:rPr>
          <w:rStyle w:val="wwc-pali"/>
        </w:rPr>
        <w:t>saṅkhāra</w:t>
      </w:r>
      <w:r>
        <w:rPr/>
        <w:t xml:space="preserve"> in a different, more creative way.</w:t>
      </w:r>
    </w:p>
    <w:p>
      <w:pPr>
        <w:pStyle w:val="WW-paragraph"/>
        <w:rPr/>
      </w:pPr>
      <w:r>
        <w:rPr/>
        <w:t>The physical, verbal, and mental actions we are dealing with here are the ten kinds of wholesome and unwholesome deeds. To focus on the wholesome side:</w:t>
      </w:r>
    </w:p>
    <w:p>
      <w:pPr>
        <w:pStyle w:val="WW-named-section"/>
        <w:rPr/>
      </w:pPr>
      <w:r>
        <w:rPr/>
        <w:t>§42</w:t>
      </w:r>
    </w:p>
    <w:p>
      <w:pPr>
        <w:pStyle w:val="WW-blockquote"/>
        <w:rPr/>
      </w:pPr>
      <w:bookmarkStart w:id="45" w:name="bqseg42"/>
      <w:bookmarkEnd w:id="45"/>
      <w:r>
        <w:rPr/>
        <w:t>There are three kinds of willful actions: physical willful actions, verbal willful actions, and mental willful actions.</w:t>
      </w:r>
      <w:r>
        <w:rPr>
          <w:rStyle w:val="FootnoteReference"/>
        </w:rPr>
        <w:footnoteReference w:id="185"/>
      </w:r>
    </w:p>
    <w:p>
      <w:pPr>
        <w:pStyle w:val="WW-space"/>
        <w:rPr/>
      </w:pPr>
      <w:r>
        <w:rPr/>
        <w:t>0</w:t>
      </w:r>
    </w:p>
    <w:p>
      <w:pPr>
        <w:pStyle w:val="WW-named-section"/>
        <w:rPr/>
      </w:pPr>
      <w:r>
        <w:rPr/>
        <w:t>§43</w:t>
      </w:r>
    </w:p>
    <w:p>
      <w:pPr>
        <w:pStyle w:val="WW-blockquote"/>
        <w:rPr/>
      </w:pPr>
      <w:bookmarkStart w:id="46" w:name="bqseg43"/>
      <w:bookmarkEnd w:id="46"/>
      <w:r>
        <w:rPr/>
        <w:t>If you possess three qualities, you end up in heaven as if carried up there. What three? Wholesome physical deeds, wholesome verbal deeds, and wholesome mental deeds.</w:t>
      </w:r>
      <w:r>
        <w:rPr>
          <w:rStyle w:val="FootnoteReference"/>
        </w:rPr>
        <w:footnoteReference w:id="186"/>
      </w:r>
    </w:p>
    <w:p>
      <w:pPr>
        <w:pStyle w:val="WW-space"/>
        <w:rPr/>
      </w:pPr>
      <w:r>
        <w:rPr/>
        <w:t>0</w:t>
      </w:r>
    </w:p>
    <w:p>
      <w:pPr>
        <w:pStyle w:val="WW-named-section"/>
        <w:rPr/>
      </w:pPr>
      <w:r>
        <w:rPr/>
        <w:t>§44</w:t>
      </w:r>
    </w:p>
    <w:p>
      <w:pPr>
        <w:pStyle w:val="WW-blockquote"/>
        <w:rPr/>
      </w:pPr>
      <w:bookmarkStart w:id="47" w:name="bqseg44"/>
      <w:bookmarkEnd w:id="47"/>
      <w:r>
        <w:rP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7"/>
      </w:r>
    </w:p>
    <w:p>
      <w:pPr>
        <w:pStyle w:val="WW-paragraph"/>
        <w:rPr/>
      </w:pPr>
      <w:r>
        <w:rP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rP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8"/>
      </w:r>
      <w:r>
        <w:rPr/>
        <w:t xml:space="preserve"> The Buddha then divides these three groups of conduct into the same ten listed above.</w:t>
      </w:r>
    </w:p>
    <w:p>
      <w:pPr>
        <w:pStyle w:val="WW-paragraph"/>
        <w:rPr/>
      </w:pPr>
      <w:r>
        <w:rPr/>
        <w:t xml:space="preserve">Throughout the discourses </w:t>
      </w:r>
      <w:r>
        <w:rPr>
          <w:rStyle w:val="wwc-pali"/>
        </w:rPr>
        <w:t>kamma</w:t>
      </w:r>
      <w:r>
        <w:rPr/>
        <w:t xml:space="preserve"> (deeds) focuses on ethical conduct of this sort. </w:t>
      </w:r>
      <w:r>
        <w:rPr>
          <w:rStyle w:val="wwc-pali"/>
        </w:rPr>
        <w:t>Saṅkhāra</w:t>
      </w:r>
      <w:r>
        <w:rPr/>
        <w:t xml:space="preserve"> (willful actions) often has a somewhat more technical slant, being more closely connected to the rebirth process itself. For example, there are so-called undisturbable (or ‘imperturbable’) </w:t>
      </w:r>
      <w:r>
        <w:rPr>
          <w:rStyle w:val="wwc-pali"/>
        </w:rPr>
        <w:t>saṅkhāras</w:t>
      </w:r>
      <w:r>
        <w:rPr/>
        <w:t xml:space="preserve"> that lead to the rebirth in mental realms of pure and stable equanimity (hence the name ‘undisturbable’).</w:t>
      </w:r>
      <w:r>
        <w:rPr>
          <w:rStyle w:val="FootnoteReference"/>
        </w:rPr>
        <w:footnoteReference w:id="189"/>
      </w:r>
      <w:r>
        <w:rPr/>
        <w:t xml:space="preserve"> There is also a discourse on determining one’s particular rebirth using will (</w:t>
      </w:r>
      <w:r>
        <w:rPr>
          <w:rStyle w:val="wwc-pali"/>
        </w:rPr>
        <w:t>saṅkhāra</w:t>
      </w:r>
      <w:r>
        <w:rPr/>
        <w:t xml:space="preserve">), the </w:t>
      </w:r>
      <w:r>
        <w:rPr>
          <w:rStyle w:val="wwc-sesame"/>
        </w:rPr>
        <w:t>Saṅkhāra-upapatti Sutta</w:t>
      </w:r>
      <w:r>
        <w:rPr/>
        <w:t>.</w:t>
      </w:r>
      <w:r>
        <w:rPr>
          <w:rStyle w:val="FootnoteReference"/>
        </w:rPr>
        <w:footnoteReference w:id="190"/>
      </w:r>
      <w:r>
        <w:rPr/>
        <w:t xml:space="preserve"> The term </w:t>
      </w:r>
      <w:r>
        <w:rPr>
          <w:rStyle w:val="wwc-pali"/>
        </w:rPr>
        <w:t>kamma</w:t>
      </w:r>
      <w:r>
        <w:rPr/>
        <w:t xml:space="preserve"> is never used in such nuanced ways. It also seems that, while </w:t>
      </w:r>
      <w:r>
        <w:rPr>
          <w:rStyle w:val="wwc-pali"/>
        </w:rPr>
        <w:t>kamma</w:t>
      </w:r>
      <w:r>
        <w:rPr/>
        <w:t xml:space="preserve"> refers to the general actions one does throughout life, </w:t>
      </w:r>
      <w:r>
        <w:rPr>
          <w:rStyle w:val="wwc-pali"/>
        </w:rPr>
        <w:t>saṅkhāra</w:t>
      </w:r>
      <w:r>
        <w:rPr/>
        <w:t xml:space="preserve"> also includes the will that happens around the time of death itself, which would not be called </w:t>
      </w:r>
      <w:r>
        <w:rPr>
          <w:rStyle w:val="wwc-pali"/>
        </w:rPr>
        <w:t>kamma</w:t>
      </w:r>
      <w:r>
        <w:rPr/>
        <w:t>.</w:t>
      </w:r>
      <w:r>
        <w:rPr>
          <w:rStyle w:val="FootnoteReference"/>
        </w:rPr>
        <w:footnoteReference w:id="191"/>
      </w:r>
      <w:r>
        <w:rPr/>
        <w:t xml:space="preserve"> This difference in usage may explain in part why not </w:t>
      </w:r>
      <w:r>
        <w:rPr>
          <w:rStyle w:val="wwc-pali"/>
        </w:rPr>
        <w:t>kamma</w:t>
      </w:r>
      <w:r>
        <w:rPr/>
        <w:t xml:space="preserve"> but </w:t>
      </w:r>
      <w:r>
        <w:rPr>
          <w:rStyle w:val="wwc-pali"/>
        </w:rPr>
        <w:t>saṅkhāra</w:t>
      </w:r>
      <w:r>
        <w:rPr/>
        <w:t xml:space="preserve"> is employed in Dependent Arising, where the factor is directly connected to the actual rebirth process. </w:t>
      </w:r>
      <w:r>
        <w:rPr>
          <w:rStyle w:val="wwc-pali"/>
        </w:rPr>
        <w:t>Saṅkhāra</w:t>
      </w:r>
      <w:r>
        <w:rPr/>
        <w:t xml:space="preserve"> also does not seem to imply results of actions that occur in this life, unlike </w:t>
      </w:r>
      <w:r>
        <w:rPr>
          <w:rStyle w:val="wwc-pali"/>
        </w:rPr>
        <w:t>kamma</w:t>
      </w:r>
      <w:r>
        <w:rPr/>
        <w:t>, which can lead to being praised or blamed by others, getting a good or bad reputation, and similar results which are irrelevant to Dependent Arising.</w:t>
      </w:r>
      <w:r>
        <w:rPr>
          <w:rStyle w:val="FootnoteReference"/>
        </w:rPr>
        <w:footnoteReference w:id="192"/>
      </w:r>
    </w:p>
    <w:p>
      <w:pPr>
        <w:pStyle w:val="WW-paragraph"/>
        <w:rPr/>
      </w:pPr>
      <w:r>
        <w:rPr/>
        <w:t>Showing another link between willful actions and deeds in context of rebirth, the following verse talks about ‘meritorious deeds’ (</w:t>
      </w:r>
      <w:r>
        <w:rPr>
          <w:rStyle w:val="wwc-pali"/>
        </w:rPr>
        <w:t>puñña-kamma</w:t>
      </w:r>
      <w:r>
        <w:rPr/>
        <w:t>), which means the same as wholesome deeds.</w:t>
      </w:r>
      <w:r>
        <w:rPr>
          <w:rStyle w:val="FootnoteReference"/>
        </w:rPr>
        <w:footnoteReference w:id="193"/>
      </w:r>
    </w:p>
    <w:p>
      <w:pPr>
        <w:pStyle w:val="WW-named-section"/>
        <w:rPr/>
      </w:pPr>
      <w:r>
        <w:rPr/>
        <w:t>§45</w:t>
      </w:r>
    </w:p>
    <w:p>
      <w:pPr>
        <w:pStyle w:val="WW-line-block"/>
        <w:rPr/>
      </w:pPr>
      <w:bookmarkStart w:id="48" w:name="bqseg45"/>
      <w:bookmarkEnd w:id="48"/>
      <w:r>
        <w:rPr/>
        <w:t>All beings will die,</w:t>
        <w:br/>
        <w:t>for life ends in death.</w:t>
        <w:br/>
        <w:t>According to their deeds they will go on,</w:t>
        <w:br/>
        <w:t>reaping the fruits of meritorious and bad acts:</w:t>
      </w:r>
      <w:r>
        <w:rPr>
          <w:rStyle w:val="FootnoteReference"/>
        </w:rPr>
        <w:footnoteReference w:id="194"/>
      </w:r>
      <w:r>
        <w:rPr/>
        <w:br/>
        <w:t>those of bad deeds to hell,</w:t>
        <w:br/>
        <w:t>those of meritorious deeds to heaven.</w:t>
      </w:r>
      <w:r>
        <w:rPr>
          <w:rStyle w:val="FootnoteReference"/>
        </w:rPr>
        <w:footnoteReference w:id="195"/>
      </w:r>
    </w:p>
    <w:p>
      <w:pPr>
        <w:pStyle w:val="WW-paragraph"/>
        <w:rPr/>
      </w:pPr>
      <w:r>
        <w:rPr/>
        <w:t xml:space="preserve">The link with willful actions may not be immediately clear, but instead of meritorious deeds leading to a good rebirth, </w:t>
      </w:r>
      <w:hyperlink w:anchor="bqseg55">
        <w:r>
          <w:rPr>
            <w:rStyle w:val="Hyperlink"/>
          </w:rPr>
          <w:t>§55</w:t>
        </w:r>
      </w:hyperlink>
      <w:r>
        <w:rPr/>
        <w:t xml:space="preserve"> mentions meritorious willful actions doing so: “If people influenced by ignorance perform meritorious willful actions, [after death] their consciousness will travel on to a place of merit.”</w:t>
      </w:r>
    </w:p>
    <w:p>
      <w:pPr>
        <w:pStyle w:val="WW-paragraph"/>
        <w:rPr/>
      </w:pPr>
      <w:r>
        <w:rPr/>
        <w:t>There are still more discourses that show a connection between karma and willful actions,</w:t>
      </w:r>
      <w:r>
        <w:rPr>
          <w:rStyle w:val="FootnoteReference"/>
        </w:rPr>
        <w:footnoteReference w:id="196"/>
      </w:r>
      <w:r>
        <w:rPr/>
        <w:t xml:space="preserve"> but I think the point has been made, and we should look at how they relate to ignorance.</w:t>
      </w:r>
    </w:p>
    <w:p>
      <w:pPr>
        <w:pStyle w:val="WW-chapter-section-1"/>
        <w:ind w:hanging="0" w:start="0"/>
        <w:rPr/>
      </w:pPr>
      <w:r>
        <w:rPr/>
        <w:t>Karma and ignorance</w:t>
      </w:r>
    </w:p>
    <w:p>
      <w:pPr>
        <w:pStyle w:val="WW-paragraph"/>
        <w:rPr/>
      </w:pPr>
      <w:r>
        <w:rPr>
          <w:lang w:val="en-US"/>
        </w:rPr>
        <w:t>Willful</w:t>
      </w:r>
      <w:r>
        <w:rP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pPr>
        <w:pStyle w:val="WW-named-section"/>
        <w:rPr/>
      </w:pPr>
      <w:r>
        <w:rPr/>
        <w:t>§46</w:t>
      </w:r>
    </w:p>
    <w:p>
      <w:pPr>
        <w:pStyle w:val="WW-line-block"/>
        <w:rPr/>
      </w:pPr>
      <w:bookmarkStart w:id="49" w:name="bqseg46"/>
      <w:bookmarkEnd w:id="49"/>
      <w:r>
        <w:rPr/>
        <w:t>So understanding is much better than wealth,</w:t>
        <w:br/>
        <w:t>because through understanding you reach perfection.</w:t>
        <w:br/>
        <w:t>Out of delusion you do bad deeds</w:t>
        <w:br/>
        <w:t>[i.e. out of ignorance you do bad willful actions],</w:t>
        <w:br/>
        <w:t>going from life to life, never reaching the goal.</w:t>
      </w:r>
    </w:p>
    <w:p>
      <w:pPr>
        <w:pStyle w:val="WW-line-block"/>
        <w:rPr/>
      </w:pPr>
      <w:r>
        <w:rPr/>
        <w:t>Those who go to wombs and afterlives</w:t>
        <w:br/>
        <w:t>transmigrate repeatedly.</w:t>
        <w:br/>
        <w:t>Those of little understanding who place faith in them</w:t>
        <w:br/>
        <w:t>also go to wombs and afterlives.</w:t>
      </w:r>
    </w:p>
    <w:p>
      <w:pPr>
        <w:pStyle w:val="WW-line-block"/>
        <w:rPr/>
      </w:pPr>
      <w:r>
        <w:rPr/>
        <w:t>Just as a thief caught at the door,</w:t>
        <w:br/>
        <w:t>is made to suffer for his bad deed,</w:t>
        <w:br/>
        <w:t>people, after departing, in the world beyond</w:t>
        <w:br/>
        <w:t>are made to suffer for their bad deeds.</w:t>
      </w:r>
      <w:r>
        <w:rPr>
          <w:rStyle w:val="FootnoteReference"/>
        </w:rPr>
        <w:footnoteReference w:id="197"/>
      </w:r>
    </w:p>
    <w:p>
      <w:pPr>
        <w:pStyle w:val="WW-paragraph"/>
        <w:rPr/>
      </w:pPr>
      <w:r>
        <w:rP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8"/>
      </w:r>
      <w:r>
        <w:rPr/>
        <w:t xml:space="preserve"> The Jains thought </w:t>
      </w:r>
      <w:r>
        <w:rPr>
          <w:rStyle w:val="Emphasis"/>
        </w:rPr>
        <w:t>all</w:t>
      </w:r>
      <w:r>
        <w:rPr/>
        <w:t xml:space="preserve"> actions bind one to </w:t>
      </w:r>
      <w:r>
        <w:rPr>
          <w:rStyle w:val="wwc-pali"/>
        </w:rPr>
        <w:t>saṁsāra</w:t>
      </w:r>
      <w:r>
        <w:rP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pPr>
        <w:pStyle w:val="WW-paragraph"/>
        <w:rPr/>
      </w:pPr>
      <w:r>
        <w:rPr/>
        <w:t xml:space="preserve">Like other Jains, Vappa also believed karma to attract physical particles that flow into and stick to the soul. These particles (also called </w:t>
      </w:r>
      <w:r>
        <w:rPr>
          <w:rStyle w:val="wwc-pali"/>
        </w:rPr>
        <w:t>āsavas</w:t>
      </w:r>
      <w:r>
        <w:rPr/>
        <w:t>, ‘defilements’)</w:t>
      </w:r>
      <w:r>
        <w:rPr>
          <w:rStyle w:val="FootnoteReference"/>
        </w:rPr>
        <w:footnoteReference w:id="199"/>
      </w:r>
      <w:r>
        <w:rP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pPr>
        <w:pStyle w:val="WW-named-section"/>
        <w:rPr/>
      </w:pPr>
      <w:r>
        <w:rPr/>
        <w:t>§47</w:t>
      </w:r>
    </w:p>
    <w:p>
      <w:pPr>
        <w:pStyle w:val="WW-blockquote"/>
        <w:rPr/>
      </w:pPr>
      <w:bookmarkStart w:id="50" w:name="bqseg47"/>
      <w:bookmarkEnd w:id="50"/>
      <w:r>
        <w:rP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200"/>
      </w:r>
    </w:p>
    <w:p>
      <w:pPr>
        <w:pStyle w:val="WW-blockquote"/>
        <w:rPr/>
      </w:pPr>
      <w:r>
        <w:rPr/>
        <w:t>“</w:t>
      </w:r>
      <w:r>
        <w:rPr/>
        <w:t>I do, sir. The results of bad deeds done in the past may not have ripened yet. Because of that, after this life that person would still be affected by painful sensations produced by defilements.” […]</w:t>
      </w:r>
    </w:p>
    <w:p>
      <w:pPr>
        <w:pStyle w:val="WW-blockquote"/>
        <w:rPr/>
      </w:pPr>
      <w:r>
        <w:rP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pPr>
        <w:pStyle w:val="WW-blockquote"/>
        <w:rPr/>
      </w:pPr>
      <w:r>
        <w:rPr/>
        <w:t>“</w:t>
      </w:r>
      <w:r>
        <w:rPr/>
        <w:t>No, sir.”</w:t>
      </w:r>
      <w:r>
        <w:rPr>
          <w:rStyle w:val="FootnoteReference"/>
        </w:rPr>
        <w:footnoteReference w:id="201"/>
      </w:r>
    </w:p>
    <w:p>
      <w:pPr>
        <w:pStyle w:val="WW-paragraph"/>
        <w:rPr/>
      </w:pPr>
      <w:r>
        <w:rPr/>
        <w:t>The exchange contains a lot of Jain terminology used in a different sense by the Buddha, which makes it impossible to translate accurately.</w:t>
      </w:r>
      <w:r>
        <w:rPr>
          <w:rStyle w:val="FootnoteReference"/>
        </w:rPr>
        <w:footnoteReference w:id="202"/>
      </w:r>
      <w:r>
        <w:rP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pPr>
        <w:pStyle w:val="WW-paragraph"/>
        <w:rPr/>
      </w:pPr>
      <w:r>
        <w:rPr/>
        <w:t xml:space="preserve">The word translated in the above as ‘impinged’ is </w:t>
      </w:r>
      <w:r>
        <w:rPr>
          <w:rStyle w:val="wwc-pali"/>
        </w:rPr>
        <w:t>phussa</w:t>
      </w:r>
      <w:r>
        <w:rPr/>
        <w:t xml:space="preserve">, which is related to </w:t>
      </w:r>
      <w:r>
        <w:rPr>
          <w:rStyle w:val="wwc-pali"/>
        </w:rPr>
        <w:t>phassa</w:t>
      </w:r>
      <w:r>
        <w:rPr/>
        <w:t xml:space="preserve"> (sense impression). With this in mind, the </w:t>
      </w:r>
      <w:r>
        <w:rPr>
          <w:rStyle w:val="wwc-sesame"/>
        </w:rPr>
        <w:t>Vappa Discourse</w:t>
      </w:r>
      <w:r>
        <w:rP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pPr>
        <w:pStyle w:val="WW-table-caption"/>
        <w:rPr/>
      </w:pPr>
      <w:r>
        <w:rPr/>
        <w:t>{SimpleNoRowBorders}Table 10. Vappa Discourse alongside ignorance sequence</w:t>
      </w:r>
    </w:p>
    <w:tbl>
      <w:tblPr>
        <w:tblW w:w="6105" w:type="dxa"/>
        <w:jc w:val="start"/>
        <w:tblInd w:w="0" w:type="dxa"/>
        <w:tblLayout w:type="fixed"/>
        <w:tblCellMar>
          <w:top w:w="0" w:type="dxa"/>
          <w:start w:w="0" w:type="dxa"/>
          <w:bottom w:w="0" w:type="dxa"/>
          <w:end w:w="0" w:type="dxa"/>
        </w:tblCellMar>
      </w:tblPr>
      <w:tblGrid>
        <w:gridCol w:w="1108"/>
        <w:gridCol w:w="2937"/>
        <w:gridCol w:w="2060"/>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2060" w:type="dxa"/>
            <w:tcBorders/>
            <w:vAlign w:val="center"/>
          </w:tcPr>
          <w:p>
            <w:pPr>
              <w:pStyle w:val="WW-paragraph"/>
              <w:spacing w:before="170" w:after="170"/>
              <w:rPr/>
            </w:pPr>
            <w:r>
              <w:rPr>
                <w:rStyle w:val="Strong"/>
              </w:rPr>
              <w:t>Vappa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060" w:type="dxa"/>
            <w:tcBorders/>
            <w:vAlign w:val="center"/>
          </w:tcPr>
          <w:p>
            <w:pPr>
              <w:pStyle w:val="WW-paragraph"/>
              <w:spacing w:before="170" w:after="170"/>
              <w:rPr/>
            </w:pPr>
            <w:r>
              <w:rPr/>
              <w:t xml:space="preserve">• </w:t>
            </w:r>
            <w:r>
              <w:rPr/>
              <w:t>Ignorance</w:t>
              <w:br/>
              <w:t>• Deeds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2060" w:type="dxa"/>
            <w:tcBorders/>
            <w:vAlign w:val="center"/>
          </w:tcPr>
          <w:p>
            <w:pPr>
              <w:pStyle w:val="WW-paragraph"/>
              <w:spacing w:before="170" w:after="170"/>
              <w:rPr/>
            </w:pPr>
            <w:r>
              <w:rPr/>
              <w:t xml:space="preserve"> </w:t>
            </w:r>
            <w:r>
              <w:rPr/>
              <w:br/>
              <w:t>• Results of deeds</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2060" w:type="dxa"/>
            <w:tcBorders/>
            <w:vAlign w:val="center"/>
          </w:tcPr>
          <w:p>
            <w:pPr>
              <w:pStyle w:val="WW-paragraph"/>
              <w:spacing w:before="170" w:after="170"/>
              <w:rPr/>
            </w:pPr>
            <w:r>
              <w:rPr/>
              <w:t xml:space="preserve">• </w:t>
            </w:r>
            <w:r>
              <w:rPr/>
              <w:t>Results of deeds</w:t>
              <w:br/>
              <w:t>• Sense impressions</w:t>
              <w:br/>
              <w:t>• Sensations</w:t>
            </w:r>
          </w:p>
        </w:tc>
      </w:tr>
    </w:tbl>
    <w:p>
      <w:pPr>
        <w:pStyle w:val="WW-chapter-section-1"/>
        <w:ind w:hanging="0" w:start="0"/>
        <w:rPr/>
      </w:pPr>
      <w:r>
        <w:rPr>
          <w:lang w:val="en-US"/>
        </w:rPr>
        <w:t>Willful</w:t>
      </w:r>
      <w:r>
        <w:rPr/>
        <w:t xml:space="preserve"> actions creating rebirth</w:t>
      </w:r>
    </w:p>
    <w:p>
      <w:pPr>
        <w:pStyle w:val="WW-paragraph"/>
        <w:rPr/>
      </w:pPr>
      <w:r>
        <w:rPr/>
        <w:t>Knowing that deeds (</w:t>
      </w:r>
      <w:r>
        <w:rPr>
          <w:rStyle w:val="wwc-pali"/>
        </w:rPr>
        <w:t>kamma</w:t>
      </w:r>
      <w:r>
        <w:rPr/>
        <w:t>) are based on intentions and that they lead to the six senses through rebirth, we can also make sense of statements such as this:</w:t>
      </w:r>
    </w:p>
    <w:p>
      <w:pPr>
        <w:pStyle w:val="WW-named-section"/>
        <w:rPr/>
      </w:pPr>
      <w:r>
        <w:rPr/>
        <w:t>§48</w:t>
      </w:r>
    </w:p>
    <w:p>
      <w:pPr>
        <w:pStyle w:val="WW-blockquote"/>
        <w:rPr/>
      </w:pPr>
      <w:bookmarkStart w:id="51" w:name="bqseg48"/>
      <w:bookmarkEnd w:id="51"/>
      <w:r>
        <w:rP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3"/>
      </w:r>
    </w:p>
    <w:p>
      <w:pPr>
        <w:pStyle w:val="WW-paragraph"/>
        <w:rPr/>
      </w:pPr>
      <w:r>
        <w:rPr/>
        <w:t xml:space="preserve">A similar statement occurs in the </w:t>
      </w:r>
      <w:r>
        <w:rPr>
          <w:rStyle w:val="wwc-sesame"/>
        </w:rPr>
        <w:t>Nidāna Saṁyutta</w:t>
      </w:r>
      <w:r>
        <w:rPr/>
        <w:t>:</w:t>
      </w:r>
    </w:p>
    <w:p>
      <w:pPr>
        <w:pStyle w:val="WW-named-section"/>
        <w:rPr/>
      </w:pPr>
      <w:r>
        <w:rPr/>
        <w:t>§49</w:t>
      </w:r>
    </w:p>
    <w:p>
      <w:pPr>
        <w:pStyle w:val="WW-blockquote"/>
        <w:rPr/>
      </w:pPr>
      <w:bookmarkStart w:id="52" w:name="bqseg49"/>
      <w:bookmarkEnd w:id="52"/>
      <w:r>
        <w:rPr/>
        <w:t>This body (</w:t>
      </w:r>
      <w:r>
        <w:rPr>
          <w:rStyle w:val="wwc-pali"/>
        </w:rPr>
        <w:t>kāya</w:t>
      </w:r>
      <w:r>
        <w:rPr/>
        <w:t>) does not belong to you nor to anyone else. It is [a result of] old deeds, and should be seen as created by will and intention, as something to be experienced.</w:t>
      </w:r>
    </w:p>
    <w:p>
      <w:pPr>
        <w:pStyle w:val="WW-blockquote"/>
        <w:rPr/>
      </w:pPr>
      <w:r>
        <w:rPr/>
        <w:t xml:space="preserve">Concerning that, as a noble disciple you closely and properly focus on the dependent arising of things, reflecting: ‘There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4"/>
      </w:r>
    </w:p>
    <w:p>
      <w:pPr>
        <w:pStyle w:val="WW-paragraph"/>
        <w:rPr/>
      </w:pPr>
      <w:r>
        <w:rPr/>
        <w:t>The six senses and the body are said to be experienced, which means they must be experienced until one passes away, even for the enlightened. They should be seen as created, which refers to their creation at the start of life.</w:t>
      </w:r>
    </w:p>
    <w:p>
      <w:pPr>
        <w:pStyle w:val="WW-paragraph"/>
        <w:rPr/>
      </w:pPr>
      <w:r>
        <w:rPr/>
        <w:t xml:space="preserve">The word for ‘created’ here is </w:t>
      </w:r>
      <w:r>
        <w:rPr>
          <w:rStyle w:val="wwc-pali"/>
        </w:rPr>
        <w:t>abhisaṅkhata</w:t>
      </w:r>
      <w:r>
        <w:rPr/>
        <w:t xml:space="preserve">, a verb connected to the noun </w:t>
      </w:r>
      <w:r>
        <w:rPr>
          <w:rStyle w:val="wwc-pali"/>
        </w:rPr>
        <w:t>saṅkhāra</w:t>
      </w:r>
      <w:r>
        <w:rPr/>
        <w:t xml:space="preserve">. So when the Buddha says the six senses and body should be seen as created, this also means they are the result of willful actions. Hence I used the compound expression ‘created by will’ for </w:t>
      </w:r>
      <w:r>
        <w:rPr>
          <w:rStyle w:val="wwc-pali"/>
        </w:rPr>
        <w:t>abhisaṅkhata</w:t>
      </w:r>
      <w:r>
        <w:rPr/>
        <w:t>, following Venerable Sujato’s example.</w:t>
      </w:r>
      <w:r>
        <w:rPr>
          <w:rStyle w:val="FootnoteReference"/>
        </w:rPr>
        <w:footnoteReference w:id="205"/>
      </w:r>
    </w:p>
    <w:p>
      <w:pPr>
        <w:pStyle w:val="WW-paragraph"/>
        <w:rPr/>
      </w:pPr>
      <w:r>
        <w:rPr/>
        <w:t xml:space="preserve">Translating </w:t>
      </w:r>
      <w:r>
        <w:rPr>
          <w:rStyle w:val="wwc-pali"/>
        </w:rPr>
        <w:t>saṅkhāra</w:t>
      </w:r>
      <w:r>
        <w:rPr/>
        <w:t xml:space="preserve"> is complicated in part because the word is not only used for the act of creating; it is also employed for the </w:t>
      </w:r>
      <w:r>
        <w:rPr>
          <w:rStyle w:val="Emphasis"/>
        </w:rPr>
        <w:t>outcome</w:t>
      </w:r>
      <w:r>
        <w:rP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rPr/>
        <w:t>, ‘all that is created [through rebirth] is suffering’,</w:t>
      </w:r>
      <w:r>
        <w:rPr>
          <w:rStyle w:val="FootnoteReference"/>
        </w:rPr>
        <w:footnoteReference w:id="206"/>
      </w:r>
      <w:r>
        <w:rPr/>
        <w:t xml:space="preserve"> but it does not apply to </w:t>
      </w:r>
      <w:r>
        <w:rPr>
          <w:rStyle w:val="wwc-pali"/>
        </w:rPr>
        <w:t>saṅkhāra</w:t>
      </w:r>
      <w:r>
        <w:rPr/>
        <w:t xml:space="preserve"> as a factor in Dependent Arising, which are the active physical, verbal, and mental actions that create rebirth.</w:t>
      </w:r>
      <w:r>
        <w:rPr>
          <w:rStyle w:val="FootnoteReference"/>
        </w:rPr>
        <w:footnoteReference w:id="207"/>
      </w:r>
    </w:p>
    <w:p>
      <w:pPr>
        <w:pStyle w:val="WW-paragraph"/>
        <w:rPr/>
      </w:pPr>
      <w:r>
        <w:rPr/>
        <w:t xml:space="preserve">The next passage speaks on these two sides of </w:t>
      </w:r>
      <w:r>
        <w:rPr>
          <w:rStyle w:val="wwc-pali"/>
        </w:rPr>
        <w:t>saṅkhāra</w:t>
      </w:r>
      <w:r>
        <w:rPr/>
        <w:t xml:space="preserve"> too. It is impossible to convey the linguistic connections in translation without losing some of the meaning, so I included the Pāli alongside.</w:t>
      </w:r>
    </w:p>
    <w:p>
      <w:pPr>
        <w:pStyle w:val="WW-named-section"/>
        <w:rPr/>
      </w:pPr>
      <w:r>
        <w:rPr/>
        <w:t>§50</w:t>
      </w:r>
    </w:p>
    <w:p>
      <w:pPr>
        <w:pStyle w:val="WW-blockquote"/>
        <w:rPr/>
      </w:pPr>
      <w:bookmarkStart w:id="53" w:name="bqseg50"/>
      <w:bookmarkEnd w:id="53"/>
      <w:r>
        <w:rPr/>
        <w:t>And why do you call them willful actions (</w:t>
      </w:r>
      <w:r>
        <w:rPr>
          <w:rStyle w:val="wwc-pali"/>
        </w:rPr>
        <w:t>saṅkhāras</w:t>
      </w:r>
      <w:r>
        <w:rPr/>
        <w:t>)?</w:t>
      </w:r>
      <w:r>
        <w:rPr>
          <w:rStyle w:val="FootnoteReference"/>
        </w:rPr>
        <w:footnoteReference w:id="208"/>
      </w:r>
      <w:r>
        <w:rPr/>
        <w:t xml:space="preserve"> They willfully create (</w:t>
      </w:r>
      <w:r>
        <w:rPr>
          <w:rStyle w:val="wwc-pali"/>
        </w:rPr>
        <w:t>abhisaṅkharonti</w:t>
      </w:r>
      <w:r>
        <w:rPr/>
        <w:t>) the created (</w:t>
      </w:r>
      <w:r>
        <w:rPr>
          <w:rStyle w:val="wwc-pali"/>
        </w:rPr>
        <w:t>saṅkhata</w:t>
      </w:r>
      <w:r>
        <w:rPr/>
        <w:t>),</w:t>
      </w:r>
      <w:r>
        <w:rPr>
          <w:rStyle w:val="FootnoteReference"/>
        </w:rPr>
        <w:footnoteReference w:id="209"/>
      </w:r>
      <w:r>
        <w:rPr/>
        <w:t xml:space="preserve"> that is why you call them willful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10"/>
      </w:r>
    </w:p>
    <w:p>
      <w:pPr>
        <w:pStyle w:val="WW-paragraph"/>
        <w:rPr/>
      </w:pPr>
      <w:r>
        <w:rPr/>
        <w:t xml:space="preserve">As already indicated by the linguistic twists, this is not a hard-and-fast definition of </w:t>
      </w:r>
      <w:r>
        <w:rPr>
          <w:rStyle w:val="wwc-pali"/>
        </w:rPr>
        <w:t>saṅkhāra</w:t>
      </w:r>
      <w:r>
        <w:rPr/>
        <w:t xml:space="preserve"> but more a loose, almost playful explanation of why the word is used. The explanation of ‘form’ in the same sutta even contains an unmistakable pun.</w:t>
      </w:r>
      <w:r>
        <w:rPr>
          <w:rStyle w:val="FootnoteReference"/>
        </w:rPr>
        <w:footnoteReference w:id="211"/>
      </w:r>
    </w:p>
    <w:p>
      <w:pPr>
        <w:pStyle w:val="WW-paragraph"/>
        <w:rPr/>
      </w:pPr>
      <w:r>
        <w:rP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rPr/>
        <w:t>: “The aspects of existence, elements, and senses are created (</w:t>
      </w:r>
      <w:r>
        <w:rPr>
          <w:rStyle w:val="wwc-pali"/>
        </w:rPr>
        <w:t>saṅkhata</w:t>
      </w:r>
      <w:r>
        <w:rPr/>
        <w:t xml:space="preserve">), rooted in </w:t>
      </w:r>
      <w:r>
        <w:rPr>
          <w:rStyle w:val="Emphasis"/>
        </w:rPr>
        <w:t>birth</w:t>
      </w:r>
      <w:r>
        <w:rPr/>
        <w:t>.”</w:t>
      </w:r>
      <w:r>
        <w:rPr>
          <w:rStyle w:val="FootnoteReference"/>
        </w:rPr>
        <w:footnoteReference w:id="212"/>
      </w:r>
      <w:r>
        <w:rPr/>
        <w:t xml:space="preserve"> This aligns with the definition of birth (</w:t>
      </w:r>
      <w:hyperlink w:anchor="bqseg20">
        <w:r>
          <w:rPr>
            <w:rStyle w:val="Hyperlink"/>
          </w:rPr>
          <w:t>§20</w:t>
        </w:r>
      </w:hyperlink>
      <w:r>
        <w:rP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3"/>
      </w:r>
    </w:p>
    <w:p>
      <w:pPr>
        <w:pStyle w:val="WW-paragraph"/>
        <w:rPr/>
      </w:pPr>
      <w:r>
        <w:rPr/>
        <w:t xml:space="preserve">Now we are also able to understand why in the simile of the painting willful actions are represented by a painter. A painter is a </w:t>
      </w:r>
      <w:r>
        <w:rPr>
          <w:rStyle w:val="Emphasis"/>
        </w:rPr>
        <w:t>creator</w:t>
      </w:r>
      <w:r>
        <w:rPr/>
        <w:t>. Using the five paints, they produce the figure of a person, just like with the five aspects of existence you “produce” the next life.</w:t>
      </w:r>
    </w:p>
    <w:p>
      <w:pPr>
        <w:pStyle w:val="WW-space"/>
        <w:rPr/>
      </w:pPr>
      <w:r>
        <w:rPr/>
        <w:t>0</w:t>
      </w:r>
    </w:p>
    <w:p>
      <w:pPr>
        <w:pStyle w:val="WW-paragraph"/>
        <w:rPr/>
      </w:pPr>
      <w:r>
        <w:rPr/>
        <w:t xml:space="preserve">Another discourse linking willful actions directly to birth is the </w:t>
      </w:r>
      <w:r>
        <w:rPr>
          <w:rStyle w:val="wwc-sesame"/>
        </w:rPr>
        <w:t>Precipice Discourse</w:t>
      </w:r>
      <w:r>
        <w:rPr/>
        <w:t>. This discourse also serves as a great example of the Buddha’s skillful use of metaphors, which in this case he appears to make up on the spot:</w:t>
      </w:r>
    </w:p>
    <w:p>
      <w:pPr>
        <w:pStyle w:val="WW-named-section"/>
        <w:rPr/>
      </w:pPr>
      <w:r>
        <w:rPr/>
        <w:t>§51</w:t>
      </w:r>
    </w:p>
    <w:p>
      <w:pPr>
        <w:pStyle w:val="WW-blockquote"/>
        <w:rPr/>
      </w:pPr>
      <w:bookmarkStart w:id="54" w:name="bqseg51"/>
      <w:bookmarkEnd w:id="54"/>
      <w:r>
        <w:rPr/>
        <w:t>At one time the Buddha was staying at Rājagaha on Mount Vulture’s Peak. There he addressed the mendicants: “Mendicants, let’s go to the Peak of Inspiration to spend the day.”</w:t>
      </w:r>
    </w:p>
    <w:p>
      <w:pPr>
        <w:pStyle w:val="WW-blockquote"/>
        <w:rPr/>
      </w:pPr>
      <w:r>
        <w:rPr/>
        <w:t>“</w:t>
      </w:r>
      <w:r>
        <w:rPr/>
        <w:t>Yes, sir,” the mendicants replied.</w:t>
      </w:r>
    </w:p>
    <w:p>
      <w:pPr>
        <w:pStyle w:val="WW-blockquote"/>
        <w:rPr/>
      </w:pPr>
      <w:r>
        <w:rP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pPr>
        <w:pStyle w:val="WW-blockquote"/>
        <w:rPr/>
      </w:pPr>
      <w:r>
        <w:rPr/>
        <w:t>“</w:t>
      </w:r>
      <w:r>
        <w:rPr/>
        <w:t>There is such a precipice indeed, mendicant.”</w:t>
      </w:r>
    </w:p>
    <w:p>
      <w:pPr>
        <w:pStyle w:val="WW-blockquote"/>
        <w:rPr/>
      </w:pPr>
      <w:r>
        <w:rPr/>
        <w:t>“</w:t>
      </w:r>
      <w:r>
        <w:rPr/>
        <w:t>Which precipice is that, sir?”</w:t>
      </w:r>
    </w:p>
    <w:p>
      <w:pPr>
        <w:pStyle w:val="WW-blockquote"/>
        <w:rPr/>
      </w:pPr>
      <w:r>
        <w:rPr/>
        <w:t>“</w:t>
      </w:r>
      <w:r>
        <w:rPr/>
        <w:t>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pPr>
        <w:pStyle w:val="WW-blockquote"/>
        <w:rPr/>
      </w:pPr>
      <w:r>
        <w:rP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pPr>
        <w:pStyle w:val="WW-blockquote"/>
        <w:rPr/>
      </w:pPr>
      <w:r>
        <w:rP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4"/>
      </w:r>
    </w:p>
    <w:p>
      <w:pPr>
        <w:pStyle w:val="WW-figure"/>
        <w:rPr/>
      </w:pPr>
      <w:r>
        <w:rPr/>
        <w:t>./img/precipice.png=A person walks down a precipice. The person is labeled ‘ignorance’ and ‘willful actions’, the precipice ‘rebirth’, and the ground below ‘suffering’.=30=border</w:t>
        <w:br/>
        <w:t>Figure 10. Walking over a precipice as a simile for willful actions leading to rebirth</w:t>
      </w:r>
    </w:p>
    <w:p>
      <w:pPr>
        <w:pStyle w:val="WW-paragraph"/>
        <w:rPr/>
      </w:pPr>
      <w:r>
        <w:rPr/>
        <w:t>In this discourse, ignorance is represented by not understanding the four truths of the noble one, in accordance with the standard definition of ignorance:</w:t>
      </w:r>
    </w:p>
    <w:p>
      <w:pPr>
        <w:pStyle w:val="WW-named-section"/>
        <w:rPr/>
      </w:pPr>
      <w:r>
        <w:rPr/>
        <w:t>§52</w:t>
      </w:r>
    </w:p>
    <w:p>
      <w:pPr>
        <w:pStyle w:val="WW-blockquote"/>
        <w:rPr/>
      </w:pPr>
      <w:bookmarkStart w:id="55" w:name="bqseg52"/>
      <w:bookmarkEnd w:id="55"/>
      <w:r>
        <w:rPr/>
        <w:t>And what is ignorance? Not knowing suffering, the origin of suffering, the cessation of suffering, and the practice leading to the cessation of suffering. That is what’s called ignorance.</w:t>
      </w:r>
      <w:r>
        <w:rPr>
          <w:rStyle w:val="FootnoteReference"/>
        </w:rPr>
        <w:footnoteReference w:id="215"/>
      </w:r>
    </w:p>
    <w:p>
      <w:pPr>
        <w:pStyle w:val="WW-paragraph"/>
        <w:rPr/>
      </w:pPr>
      <w:r>
        <w:rP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pPr>
        <w:pStyle w:val="WW-table-caption"/>
        <w:rPr/>
      </w:pPr>
      <w:r>
        <w:rPr/>
        <w:t>{SimpleNoRowBorders}Table 11. Precipice Discourse alongside standard sequence</w:t>
      </w:r>
    </w:p>
    <w:tbl>
      <w:tblPr>
        <w:tblW w:w="7542" w:type="dxa"/>
        <w:jc w:val="start"/>
        <w:tblInd w:w="0" w:type="dxa"/>
        <w:tblLayout w:type="fixed"/>
        <w:tblCellMar>
          <w:top w:w="0" w:type="dxa"/>
          <w:start w:w="0" w:type="dxa"/>
          <w:bottom w:w="0" w:type="dxa"/>
          <w:end w:w="0" w:type="dxa"/>
        </w:tblCellMar>
      </w:tblPr>
      <w:tblGrid>
        <w:gridCol w:w="2650"/>
        <w:gridCol w:w="2397"/>
        <w:gridCol w:w="2495"/>
      </w:tblGrid>
      <w:tr>
        <w:trPr/>
        <w:tc>
          <w:tcPr>
            <w:tcW w:w="2650" w:type="dxa"/>
            <w:tcBorders/>
            <w:vAlign w:val="center"/>
          </w:tcPr>
          <w:p>
            <w:pPr>
              <w:pStyle w:val="WW-paragraph"/>
              <w:spacing w:before="170" w:after="170"/>
              <w:rPr/>
            </w:pPr>
            <w:r>
              <w:rPr>
                <w:rStyle w:val="Strong"/>
              </w:rPr>
              <w:t>Precipice Discourse</w:t>
            </w:r>
          </w:p>
        </w:tc>
        <w:tc>
          <w:tcPr>
            <w:tcW w:w="2397" w:type="dxa"/>
            <w:tcBorders/>
            <w:vAlign w:val="center"/>
          </w:tcPr>
          <w:p>
            <w:pPr>
              <w:pStyle w:val="WW-paragraph"/>
              <w:spacing w:before="170" w:after="170"/>
              <w:rPr/>
            </w:pPr>
            <w:r>
              <w:rPr>
                <w:rStyle w:val="Strong"/>
              </w:rPr>
              <w:t>Ignorance sequence</w:t>
            </w:r>
          </w:p>
        </w:tc>
        <w:tc>
          <w:tcPr>
            <w:tcW w:w="2495" w:type="dxa"/>
            <w:tcBorders/>
            <w:vAlign w:val="center"/>
          </w:tcPr>
          <w:p>
            <w:pPr>
              <w:pStyle w:val="WW-paragraph"/>
              <w:spacing w:before="170" w:after="170"/>
              <w:rPr/>
            </w:pPr>
            <w:r>
              <w:rPr>
                <w:rStyle w:val="Strong"/>
              </w:rPr>
              <w:t>Craving sequence</w:t>
            </w:r>
          </w:p>
        </w:tc>
      </w:tr>
      <w:tr>
        <w:trPr/>
        <w:tc>
          <w:tcPr>
            <w:tcW w:w="2650" w:type="dxa"/>
            <w:tcBorders/>
            <w:vAlign w:val="center"/>
          </w:tcPr>
          <w:p>
            <w:pPr>
              <w:pStyle w:val="WW-paragraph"/>
              <w:spacing w:before="170" w:after="170"/>
              <w:rPr/>
            </w:pPr>
            <w:r>
              <w:rPr/>
              <w:t xml:space="preserve">• </w:t>
            </w:r>
            <w:r>
              <w:rPr/>
              <w:t>Not understanding truths</w:t>
              <w:br/>
              <w:t xml:space="preserve">• </w:t>
            </w:r>
            <w:r>
              <w:rPr>
                <w:lang w:val="en-US"/>
              </w:rPr>
              <w:t>Willful</w:t>
            </w:r>
            <w:r>
              <w:rPr/>
              <w:t xml:space="preserve"> actions</w:t>
            </w:r>
          </w:p>
        </w:tc>
        <w:tc>
          <w:tcPr>
            <w:tcW w:w="239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95" w:type="dxa"/>
            <w:tcBorders/>
            <w:vAlign w:val="center"/>
          </w:tcPr>
          <w:p>
            <w:pPr>
              <w:pStyle w:val="WW-paragraph"/>
              <w:spacing w:before="170" w:after="170"/>
              <w:rPr/>
            </w:pPr>
            <w:r>
              <w:rPr/>
              <w:t>8. Craving</w:t>
              <w:br/>
              <w:t>9. Fuel/taking up</w:t>
            </w:r>
          </w:p>
        </w:tc>
      </w:tr>
      <w:tr>
        <w:trPr/>
        <w:tc>
          <w:tcPr>
            <w:tcW w:w="2650" w:type="dxa"/>
            <w:tcBorders/>
            <w:vAlign w:val="center"/>
          </w:tcPr>
          <w:p>
            <w:pPr>
              <w:pStyle w:val="WW-paragraph"/>
              <w:spacing w:before="170" w:after="170"/>
              <w:rPr/>
            </w:pPr>
            <w:r>
              <w:rPr/>
              <w:br/>
              <w:t>• Birth</w:t>
            </w:r>
          </w:p>
        </w:tc>
        <w:tc>
          <w:tcPr>
            <w:tcW w:w="2397" w:type="dxa"/>
            <w:tcBorders/>
            <w:vAlign w:val="center"/>
          </w:tcPr>
          <w:p>
            <w:pPr>
              <w:pStyle w:val="WW-paragraph"/>
              <w:spacing w:before="170" w:after="170"/>
              <w:rPr/>
            </w:pPr>
            <w:r>
              <w:rPr/>
              <w:t>3. Consciousness</w:t>
              <w:br/>
              <w:t>4. Imm. aspects &amp; body</w:t>
            </w:r>
          </w:p>
        </w:tc>
        <w:tc>
          <w:tcPr>
            <w:tcW w:w="2495" w:type="dxa"/>
            <w:tcBorders/>
            <w:vAlign w:val="center"/>
          </w:tcPr>
          <w:p>
            <w:pPr>
              <w:pStyle w:val="WW-paragraph"/>
              <w:spacing w:before="170" w:after="170"/>
              <w:rPr/>
            </w:pPr>
            <w:r>
              <w:rPr/>
              <w:t>10. Existence</w:t>
              <w:br/>
              <w:t>11. Birth</w:t>
            </w:r>
          </w:p>
        </w:tc>
      </w:tr>
      <w:tr>
        <w:trPr/>
        <w:tc>
          <w:tcPr>
            <w:tcW w:w="2650" w:type="dxa"/>
            <w:tcBorders/>
            <w:vAlign w:val="center"/>
          </w:tcPr>
          <w:p>
            <w:pPr>
              <w:pStyle w:val="WW-paragraph"/>
              <w:spacing w:before="170" w:after="170"/>
              <w:rPr/>
            </w:pPr>
            <w:r>
              <w:rPr/>
              <w:t xml:space="preserve">• </w:t>
            </w:r>
            <w:r>
              <w:rPr/>
              <w:t>Suffering,</w:t>
              <w:br/>
              <w:t>  incl. old age and death</w:t>
            </w:r>
          </w:p>
        </w:tc>
        <w:tc>
          <w:tcPr>
            <w:tcW w:w="2397" w:type="dxa"/>
            <w:tcBorders/>
            <w:vAlign w:val="center"/>
          </w:tcPr>
          <w:p>
            <w:pPr>
              <w:pStyle w:val="WW-paragraph"/>
              <w:spacing w:before="170" w:after="170"/>
              <w:rPr/>
            </w:pPr>
            <w:r>
              <w:rPr/>
              <w:t>5. Six senses</w:t>
              <w:br/>
              <w:t>6. Sense impressions</w:t>
              <w:br/>
              <w:t>7. Sensations</w:t>
            </w:r>
          </w:p>
        </w:tc>
        <w:tc>
          <w:tcPr>
            <w:tcW w:w="2495" w:type="dxa"/>
            <w:tcBorders/>
            <w:vAlign w:val="center"/>
          </w:tcPr>
          <w:p>
            <w:pPr>
              <w:pStyle w:val="WW-paragraph"/>
              <w:spacing w:before="170" w:after="170"/>
              <w:rPr/>
            </w:pPr>
            <w:r>
              <w:rPr/>
              <w:t>12. Suffering,</w:t>
              <w:br/>
              <w:t>  incl. old age and death</w:t>
            </w:r>
          </w:p>
        </w:tc>
      </w:tr>
    </w:tbl>
    <w:p>
      <w:pPr>
        <w:pStyle w:val="WW-chapter-section-1"/>
        <w:ind w:hanging="0" w:start="0"/>
        <w:rPr/>
      </w:pPr>
      <w:r>
        <w:rPr>
          <w:lang w:val="en-US"/>
        </w:rPr>
        <w:t>Willful</w:t>
      </w:r>
      <w:r>
        <w:rPr/>
        <w:t xml:space="preserve"> actions leading to consciousness</w:t>
      </w:r>
    </w:p>
    <w:p>
      <w:pPr>
        <w:pStyle w:val="WW-paragraph"/>
        <w:rPr/>
      </w:pPr>
      <w:r>
        <w:rP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rPr/>
        <w:t>, which describes the continuation of consciousness in a next life as a result of certain intentions, plans, and tendencies:</w:t>
      </w:r>
    </w:p>
    <w:p>
      <w:pPr>
        <w:pStyle w:val="WW-named-section"/>
        <w:rPr/>
      </w:pPr>
      <w:r>
        <w:rPr/>
        <w:t>§53</w:t>
      </w:r>
    </w:p>
    <w:p>
      <w:pPr>
        <w:pStyle w:val="WW-blockquote"/>
        <w:rPr/>
      </w:pPr>
      <w:bookmarkStart w:id="56" w:name="bqseg53"/>
      <w:bookmarkEnd w:id="56"/>
      <w:r>
        <w:rP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6"/>
      </w:r>
      <w:r>
        <w:rP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7"/>
      </w:r>
    </w:p>
    <w:p>
      <w:pPr>
        <w:pStyle w:val="WW-paragraph"/>
        <w:rPr/>
      </w:pPr>
      <w:r>
        <w:rP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pPr>
        <w:pStyle w:val="WW-paragraph"/>
        <w:numPr>
          <w:ilvl w:val="0"/>
          <w:numId w:val="12"/>
        </w:numPr>
        <w:rPr/>
      </w:pPr>
      <w:r>
        <w:rPr/>
        <w:t>‘</w:t>
      </w:r>
      <w:r>
        <w:rP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rPr/>
        <w:t xml:space="preserve"> speaks of someone falling seriously ill, reflecting on their bad deeds, and deciding that after death they must go to a bad place. The </w:t>
      </w:r>
      <w:r>
        <w:rPr>
          <w:rStyle w:val="wwc-sesame"/>
        </w:rPr>
        <w:t>Discourse on the Foolish and Wise</w:t>
      </w:r>
      <w:r>
        <w:rPr/>
        <w:t xml:space="preserve"> in the </w:t>
      </w:r>
      <w:r>
        <w:rPr>
          <w:rStyle w:val="wwc-sesame"/>
        </w:rPr>
        <w:t>Majjhima Nikāya</w:t>
      </w:r>
      <w:r>
        <w:rPr/>
        <w:t xml:space="preserve"> mentions the same recollections, and then also says these “fools” are indeed reborn in a bad place.</w:t>
      </w:r>
      <w:r>
        <w:rPr>
          <w:rStyle w:val="FootnoteReference"/>
        </w:rPr>
        <w:footnoteReference w:id="218"/>
      </w:r>
    </w:p>
    <w:p>
      <w:pPr>
        <w:pStyle w:val="WW-paragraph"/>
        <w:numPr>
          <w:ilvl w:val="0"/>
          <w:numId w:val="12"/>
        </w:numPr>
        <w:rPr/>
      </w:pPr>
      <w:r>
        <w:rPr/>
        <w:t>‘</w:t>
      </w:r>
      <w:r>
        <w:rPr/>
        <w:t xml:space="preserve">What you plan’ includes intentions to be reborn in a specific place. This is described in the </w:t>
      </w:r>
      <w:r>
        <w:rPr>
          <w:rStyle w:val="wwc-sesame"/>
        </w:rPr>
        <w:t>Discourse on Rebirth Through Will</w:t>
      </w:r>
      <w:r>
        <w:rPr/>
        <w:t xml:space="preserve"> (</w:t>
      </w:r>
      <w:r>
        <w:rPr>
          <w:rStyle w:val="wwc-sesame"/>
        </w:rPr>
        <w:t>Saṅkhāra-upapatti Sutta</w:t>
      </w:r>
      <w:r>
        <w:rPr/>
        <w:t xml:space="preserve">), a text which also brings out the connection between </w:t>
      </w:r>
      <w:r>
        <w:rPr>
          <w:rStyle w:val="wwc-pali"/>
        </w:rPr>
        <w:t>saṅkhāras</w:t>
      </w:r>
      <w:r>
        <w:rPr/>
        <w:t xml:space="preserve"> and rebirth.</w:t>
      </w:r>
      <w:r>
        <w:rPr>
          <w:rStyle w:val="FootnoteReference"/>
        </w:rPr>
        <w:footnoteReference w:id="219"/>
      </w:r>
    </w:p>
    <w:p>
      <w:pPr>
        <w:pStyle w:val="WW-paragraph"/>
        <w:numPr>
          <w:ilvl w:val="0"/>
          <w:numId w:val="12"/>
        </w:numPr>
        <w:rPr/>
      </w:pPr>
      <w:r>
        <w:rPr/>
        <w:t>‘</w:t>
      </w:r>
      <w:r>
        <w:rPr/>
        <w:t>What you have a tendency towards’ refers to subtler underlying attachments that can trigger the will at death. It essentially represents ignorance and craving.</w:t>
      </w:r>
      <w:r>
        <w:rPr>
          <w:rStyle w:val="FootnoteReference"/>
        </w:rPr>
        <w:footnoteReference w:id="220"/>
      </w:r>
      <w:r>
        <w:rPr/>
        <w:t xml:space="preserve"> The tendency (</w:t>
      </w:r>
      <w:r>
        <w:rPr>
          <w:rStyle w:val="wwc-pali"/>
        </w:rPr>
        <w:t>anusaya</w:t>
      </w:r>
      <w:r>
        <w:rPr/>
        <w:t>) of desire for existence,</w:t>
      </w:r>
      <w:r>
        <w:rPr>
          <w:rStyle w:val="FootnoteReference"/>
        </w:rPr>
        <w:footnoteReference w:id="221"/>
      </w:r>
      <w:r>
        <w:rPr/>
        <w:t xml:space="preserve"> for example, may only surface when one is faced with imminent death.</w:t>
      </w:r>
    </w:p>
    <w:p>
      <w:pPr>
        <w:pStyle w:val="WW-paragraph"/>
        <w:rPr/>
      </w:pPr>
      <w:r>
        <w:rPr/>
        <w:t xml:space="preserve">The discourse says these three are “a foundation for the continuation of consciousness” and “a support for the planting of consciousness”. The </w:t>
      </w:r>
      <w:r>
        <w:rPr>
          <w:rStyle w:val="Strong"/>
        </w:rPr>
        <w:t>continuation</w:t>
      </w:r>
      <w:r>
        <w:rPr/>
        <w:t xml:space="preserve"> of consciousness means its continuation </w:t>
      </w:r>
      <w:r>
        <w:rPr>
          <w:rStyle w:val="Emphasis"/>
        </w:rPr>
        <w:t>after death</w:t>
      </w:r>
      <w:r>
        <w:rPr/>
        <w:t>, as others have also argued, not some sort of continuation while one is still alive.</w:t>
      </w:r>
      <w:r>
        <w:rPr>
          <w:rStyle w:val="FootnoteReference"/>
        </w:rPr>
        <w:footnoteReference w:id="222"/>
      </w:r>
      <w:r>
        <w:rP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rPr/>
        <w:t xml:space="preserve"> of consciousness is the mind moving on towards a certain place of rebirth, where it then “sprouts”, meaning the next life is started.</w:t>
      </w:r>
      <w:r>
        <w:rPr>
          <w:rStyle w:val="FootnoteReference"/>
        </w:rPr>
        <w:footnoteReference w:id="223"/>
      </w:r>
      <w:r>
        <w:rP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rPr/>
        <w:t xml:space="preserve"> [and so on].”</w:t>
      </w:r>
      <w:r>
        <w:rPr>
          <w:rStyle w:val="FootnoteReference"/>
        </w:rPr>
        <w:footnoteReference w:id="224"/>
      </w:r>
    </w:p>
    <w:p>
      <w:pPr>
        <w:pStyle w:val="WW-paragraph"/>
        <w:rPr/>
      </w:pPr>
      <w:r>
        <w:rPr/>
        <w:t xml:space="preserve">The </w:t>
      </w:r>
      <w:r>
        <w:rPr>
          <w:rStyle w:val="wwc-sesame"/>
        </w:rPr>
        <w:t>First Discourse on Intention</w:t>
      </w:r>
      <w:r>
        <w:rPr/>
        <w:t xml:space="preserve"> is part of the </w:t>
      </w:r>
      <w:r>
        <w:rPr>
          <w:rStyle w:val="wwc-sesame"/>
        </w:rPr>
        <w:t>Nidāna Saṁyutta</w:t>
      </w:r>
      <w:r>
        <w:rPr/>
        <w:t>, the connected discourses on Dependent Arising, so we should compare it to the standard sequence. The discourse effectively follows another route through the factors: willful actions (2) › consciousness (3) › existence (10) › birth (11) › suffering (12). This reconfirms that the ignorance and craving sequences are parallel descriptions of the same process.</w:t>
      </w:r>
    </w:p>
    <w:p>
      <w:pPr>
        <w:pStyle w:val="WW-table-caption"/>
        <w:rPr/>
      </w:pPr>
      <w:r>
        <w:rPr/>
        <w:t>{SimpleNoRowBorders}Table 12. 1st Discourse on Intention alongside standard sequence</w:t>
      </w:r>
    </w:p>
    <w:tbl>
      <w:tblPr>
        <w:tblW w:w="7684" w:type="dxa"/>
        <w:jc w:val="start"/>
        <w:tblInd w:w="0" w:type="dxa"/>
        <w:tblLayout w:type="fixed"/>
        <w:tblCellMar>
          <w:top w:w="0" w:type="dxa"/>
          <w:start w:w="0" w:type="dxa"/>
          <w:bottom w:w="0" w:type="dxa"/>
          <w:end w:w="0" w:type="dxa"/>
        </w:tblCellMar>
      </w:tblPr>
      <w:tblGrid>
        <w:gridCol w:w="2412"/>
        <w:gridCol w:w="2448"/>
        <w:gridCol w:w="2824"/>
      </w:tblGrid>
      <w:tr>
        <w:trPr/>
        <w:tc>
          <w:tcPr>
            <w:tcW w:w="2412" w:type="dxa"/>
            <w:tcBorders/>
            <w:vAlign w:val="center"/>
          </w:tcPr>
          <w:p>
            <w:pPr>
              <w:pStyle w:val="WW-paragraph"/>
              <w:spacing w:before="170" w:after="170"/>
              <w:rPr/>
            </w:pPr>
            <w:r>
              <w:rPr>
                <w:rStyle w:val="Strong"/>
              </w:rPr>
              <w:t>Ignorance sequence</w:t>
            </w:r>
          </w:p>
        </w:tc>
        <w:tc>
          <w:tcPr>
            <w:tcW w:w="2448" w:type="dxa"/>
            <w:tcBorders/>
            <w:vAlign w:val="center"/>
          </w:tcPr>
          <w:p>
            <w:pPr>
              <w:pStyle w:val="WW-paragraph"/>
              <w:spacing w:before="170" w:after="170"/>
              <w:rPr/>
            </w:pPr>
            <w:r>
              <w:rPr>
                <w:rStyle w:val="Strong"/>
              </w:rPr>
              <w:t>Craving sequence</w:t>
            </w:r>
          </w:p>
        </w:tc>
        <w:tc>
          <w:tcPr>
            <w:tcW w:w="2824" w:type="dxa"/>
            <w:tcBorders/>
            <w:vAlign w:val="center"/>
          </w:tcPr>
          <w:p>
            <w:pPr>
              <w:pStyle w:val="WW-paragraph"/>
              <w:spacing w:before="170" w:after="170"/>
              <w:rPr/>
            </w:pPr>
            <w:r>
              <w:rPr>
                <w:rStyle w:val="Strong"/>
              </w:rPr>
              <w:t>1st Discourse on Intention</w:t>
            </w:r>
          </w:p>
        </w:tc>
      </w:tr>
      <w:tr>
        <w:trPr/>
        <w:tc>
          <w:tcPr>
            <w:tcW w:w="2412"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8" w:type="dxa"/>
            <w:tcBorders/>
            <w:vAlign w:val="center"/>
          </w:tcPr>
          <w:p>
            <w:pPr>
              <w:pStyle w:val="WW-paragraph"/>
              <w:spacing w:before="170" w:after="170"/>
              <w:rPr/>
            </w:pPr>
            <w:r>
              <w:rPr/>
              <w:t>8. Craving</w:t>
              <w:br/>
              <w:t>9. Fuel/taking up</w:t>
            </w:r>
          </w:p>
        </w:tc>
        <w:tc>
          <w:tcPr>
            <w:tcW w:w="2824" w:type="dxa"/>
            <w:tcBorders/>
            <w:vAlign w:val="center"/>
          </w:tcPr>
          <w:p>
            <w:pPr>
              <w:pStyle w:val="WW-paragraph"/>
              <w:spacing w:before="170" w:after="170"/>
              <w:rPr/>
            </w:pPr>
            <w:r>
              <w:rPr/>
              <w:br/>
              <w:t>• What you intend, etc.</w:t>
            </w:r>
          </w:p>
        </w:tc>
      </w:tr>
      <w:tr>
        <w:trPr/>
        <w:tc>
          <w:tcPr>
            <w:tcW w:w="2412" w:type="dxa"/>
            <w:tcBorders/>
            <w:vAlign w:val="center"/>
          </w:tcPr>
          <w:p>
            <w:pPr>
              <w:pStyle w:val="WW-paragraph"/>
              <w:spacing w:before="170" w:after="170"/>
              <w:rPr/>
            </w:pPr>
            <w:r>
              <w:rPr/>
              <w:t>3. Consciousness</w:t>
              <w:br/>
              <w:t>4. Imm. aspects &amp; body</w:t>
            </w:r>
          </w:p>
        </w:tc>
        <w:tc>
          <w:tcPr>
            <w:tcW w:w="2448" w:type="dxa"/>
            <w:tcBorders/>
            <w:vAlign w:val="center"/>
          </w:tcPr>
          <w:p>
            <w:pPr>
              <w:pStyle w:val="WW-paragraph"/>
              <w:spacing w:before="170" w:after="170"/>
              <w:rPr/>
            </w:pPr>
            <w:r>
              <w:rPr/>
              <w:t>10. Existence</w:t>
              <w:br/>
              <w:t>11. Birth</w:t>
            </w:r>
          </w:p>
        </w:tc>
        <w:tc>
          <w:tcPr>
            <w:tcW w:w="2824" w:type="dxa"/>
            <w:tcBorders/>
            <w:vAlign w:val="center"/>
          </w:tcPr>
          <w:p>
            <w:pPr>
              <w:pStyle w:val="WW-paragraph"/>
              <w:spacing w:before="170" w:after="170"/>
              <w:rPr/>
            </w:pPr>
            <w:r>
              <w:rPr/>
              <w:t xml:space="preserve">• </w:t>
            </w:r>
            <w:r>
              <w:rPr/>
              <w:t>Planting of consciousness</w:t>
              <w:br/>
              <w:t>• Production of existence</w:t>
              <w:br/>
              <w:t>• Birth</w:t>
            </w:r>
          </w:p>
        </w:tc>
      </w:tr>
      <w:tr>
        <w:trPr/>
        <w:tc>
          <w:tcPr>
            <w:tcW w:w="2412" w:type="dxa"/>
            <w:tcBorders/>
            <w:vAlign w:val="center"/>
          </w:tcPr>
          <w:p>
            <w:pPr>
              <w:pStyle w:val="WW-paragraph"/>
              <w:spacing w:before="170" w:after="170"/>
              <w:rPr/>
            </w:pPr>
            <w:r>
              <w:rPr/>
              <w:t>5. Six senses</w:t>
              <w:br/>
              <w:t>6. Sense impressions</w:t>
              <w:br/>
              <w:t>7. Sensations</w:t>
            </w:r>
          </w:p>
        </w:tc>
        <w:tc>
          <w:tcPr>
            <w:tcW w:w="2448" w:type="dxa"/>
            <w:tcBorders/>
            <w:vAlign w:val="center"/>
          </w:tcPr>
          <w:p>
            <w:pPr>
              <w:pStyle w:val="WW-paragraph"/>
              <w:spacing w:before="170" w:after="170"/>
              <w:rPr/>
            </w:pPr>
            <w:r>
              <w:rPr/>
              <w:t>12. Suffering,</w:t>
              <w:br/>
              <w:t>  incl. old age and death</w:t>
            </w:r>
          </w:p>
        </w:tc>
        <w:tc>
          <w:tcPr>
            <w:tcW w:w="282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The sutta that follows the </w:t>
      </w:r>
      <w:r>
        <w:rPr>
          <w:rStyle w:val="wwc-sesame"/>
        </w:rPr>
        <w:t>First Discourse on Intention</w:t>
      </w:r>
      <w:r>
        <w:rPr/>
        <w:t xml:space="preserve">, unsurprisingly called the </w:t>
      </w:r>
      <w:r>
        <w:rPr>
          <w:rStyle w:val="wwc-sesame"/>
        </w:rPr>
        <w:t>Second Discourse on Intention</w:t>
      </w:r>
      <w:r>
        <w:rP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pPr>
        <w:pStyle w:val="WW-named-section"/>
        <w:rPr/>
      </w:pPr>
      <w:r>
        <w:rPr/>
        <w:t>§54</w:t>
      </w:r>
    </w:p>
    <w:p>
      <w:pPr>
        <w:pStyle w:val="WW-blockquote"/>
        <w:rPr/>
      </w:pPr>
      <w:bookmarkStart w:id="57" w:name="bqseg54"/>
      <w:bookmarkEnd w:id="57"/>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5"/>
      </w:r>
    </w:p>
    <w:p>
      <w:pPr>
        <w:pStyle w:val="WW-paragraph"/>
        <w:rPr/>
      </w:pPr>
      <w:r>
        <w:rPr/>
        <w:t xml:space="preserve">We can compare this to the </w:t>
      </w:r>
      <w:r>
        <w:rPr>
          <w:rStyle w:val="wwc-sesame"/>
        </w:rPr>
        <w:t>First Discourse on Intention</w:t>
      </w:r>
      <w:r>
        <w:rPr/>
        <w:t xml:space="preserve"> and the standard sequence:</w:t>
      </w:r>
    </w:p>
    <w:p>
      <w:pPr>
        <w:pStyle w:val="WW-table-caption"/>
        <w:rPr/>
      </w:pPr>
      <w:r>
        <w:rPr/>
        <w:t>{SimpleNoRowBorders}Table 13. 1st and 2nd Discourse on Intention alongside standard sequence</w:t>
      </w:r>
    </w:p>
    <w:tbl>
      <w:tblPr>
        <w:tblW w:w="8105" w:type="dxa"/>
        <w:jc w:val="start"/>
        <w:tblInd w:w="0" w:type="dxa"/>
        <w:tblLayout w:type="fixed"/>
        <w:tblCellMar>
          <w:top w:w="0" w:type="dxa"/>
          <w:start w:w="0" w:type="dxa"/>
          <w:bottom w:w="0" w:type="dxa"/>
          <w:end w:w="0" w:type="dxa"/>
        </w:tblCellMar>
      </w:tblPr>
      <w:tblGrid>
        <w:gridCol w:w="2792"/>
        <w:gridCol w:w="2870"/>
        <w:gridCol w:w="2443"/>
      </w:tblGrid>
      <w:tr>
        <w:trPr/>
        <w:tc>
          <w:tcPr>
            <w:tcW w:w="2792" w:type="dxa"/>
            <w:tcBorders/>
            <w:vAlign w:val="center"/>
          </w:tcPr>
          <w:p>
            <w:pPr>
              <w:pStyle w:val="WW-paragraph"/>
              <w:spacing w:before="170" w:after="170"/>
              <w:rPr/>
            </w:pPr>
            <w:r>
              <w:rPr>
                <w:rStyle w:val="Strong"/>
              </w:rPr>
              <w:t>1st Discourse on Intention</w:t>
            </w:r>
          </w:p>
        </w:tc>
        <w:tc>
          <w:tcPr>
            <w:tcW w:w="2870" w:type="dxa"/>
            <w:tcBorders/>
            <w:vAlign w:val="center"/>
          </w:tcPr>
          <w:p>
            <w:pPr>
              <w:pStyle w:val="WW-paragraph"/>
              <w:spacing w:before="170" w:after="170"/>
              <w:rPr/>
            </w:pPr>
            <w:r>
              <w:rPr>
                <w:rStyle w:val="Strong"/>
              </w:rPr>
              <w:t>2nd Discourse on Intention</w:t>
            </w:r>
          </w:p>
        </w:tc>
        <w:tc>
          <w:tcPr>
            <w:tcW w:w="2443" w:type="dxa"/>
            <w:tcBorders/>
            <w:vAlign w:val="center"/>
          </w:tcPr>
          <w:p>
            <w:pPr>
              <w:pStyle w:val="WW-paragraph"/>
              <w:spacing w:before="170" w:after="170"/>
              <w:rPr/>
            </w:pPr>
            <w:r>
              <w:rPr>
                <w:rStyle w:val="Strong"/>
              </w:rPr>
              <w:t>Standard sequence</w:t>
            </w:r>
          </w:p>
        </w:tc>
      </w:tr>
      <w:tr>
        <w:trPr/>
        <w:tc>
          <w:tcPr>
            <w:tcW w:w="2792" w:type="dxa"/>
            <w:tcBorders/>
            <w:vAlign w:val="center"/>
          </w:tcPr>
          <w:p>
            <w:pPr>
              <w:pStyle w:val="WW-paragraph"/>
              <w:spacing w:before="170" w:after="170"/>
              <w:rPr/>
            </w:pPr>
            <w:r>
              <w:rPr/>
              <w:br/>
              <w:t>• What you intend, etc.</w:t>
            </w:r>
          </w:p>
        </w:tc>
        <w:tc>
          <w:tcPr>
            <w:tcW w:w="2870" w:type="dxa"/>
            <w:tcBorders/>
            <w:vAlign w:val="center"/>
          </w:tcPr>
          <w:p>
            <w:pPr>
              <w:pStyle w:val="WW-paragraph"/>
              <w:spacing w:before="170" w:after="170"/>
              <w:rPr/>
            </w:pPr>
            <w:r>
              <w:rPr/>
              <w:br/>
              <w:t>• What you intend, etc.</w:t>
            </w:r>
          </w:p>
        </w:tc>
        <w:tc>
          <w:tcPr>
            <w:tcW w:w="2443" w:type="dxa"/>
            <w:tcBorders/>
            <w:vAlign w:val="center"/>
          </w:tcPr>
          <w:p>
            <w:pPr>
              <w:pStyle w:val="WW-paragraph"/>
              <w:spacing w:before="170" w:after="170"/>
              <w:rPr/>
            </w:pPr>
            <w:r>
              <w:rPr/>
              <w:t>1. Ignorance</w:t>
              <w:br/>
              <w:t xml:space="preserve">2. </w:t>
            </w:r>
            <w:r>
              <w:rPr>
                <w:lang w:val="en-US"/>
              </w:rPr>
              <w:t>Willful</w:t>
            </w:r>
            <w:r>
              <w:rPr/>
              <w:t xml:space="preserve"> actions</w:t>
            </w:r>
          </w:p>
        </w:tc>
      </w:tr>
      <w:tr>
        <w:trPr/>
        <w:tc>
          <w:tcPr>
            <w:tcW w:w="2792" w:type="dxa"/>
            <w:tcBorders/>
            <w:vAlign w:val="center"/>
          </w:tcPr>
          <w:p>
            <w:pPr>
              <w:pStyle w:val="WW-paragraph"/>
              <w:spacing w:before="170" w:after="170"/>
              <w:rPr/>
            </w:pPr>
            <w:r>
              <w:rPr/>
              <w:t xml:space="preserve">• </w:t>
            </w:r>
            <w:r>
              <w:rPr/>
              <w:t>Planting of consciousness</w:t>
              <w:br/>
              <w:t>• Production of existence</w:t>
              <w:br/>
              <w:t>• Birth</w:t>
            </w:r>
          </w:p>
        </w:tc>
        <w:tc>
          <w:tcPr>
            <w:tcW w:w="2870" w:type="dxa"/>
            <w:tcBorders/>
            <w:vAlign w:val="center"/>
          </w:tcPr>
          <w:p>
            <w:pPr>
              <w:pStyle w:val="WW-paragraph"/>
              <w:spacing w:before="170" w:after="170"/>
              <w:rPr/>
            </w:pPr>
            <w:r>
              <w:rPr/>
              <w:t xml:space="preserve">• </w:t>
            </w:r>
            <w:r>
              <w:rPr/>
              <w:t>Planting of consciousness</w:t>
              <w:br/>
              <w:t>• Conception of immaterial</w:t>
              <w:br/>
              <w:t> aspects &amp; body</w:t>
            </w:r>
          </w:p>
        </w:tc>
        <w:tc>
          <w:tcPr>
            <w:tcW w:w="2443" w:type="dxa"/>
            <w:tcBorders/>
            <w:vAlign w:val="center"/>
          </w:tcPr>
          <w:p>
            <w:pPr>
              <w:pStyle w:val="WW-paragraph"/>
              <w:spacing w:before="170" w:after="170"/>
              <w:rPr/>
            </w:pPr>
            <w:r>
              <w:rPr/>
              <w:t>3. Consciousness</w:t>
              <w:br/>
              <w:t>4. Imm. aspects &amp; body</w:t>
            </w:r>
          </w:p>
        </w:tc>
      </w:tr>
      <w:tr>
        <w:trPr/>
        <w:tc>
          <w:tcPr>
            <w:tcW w:w="2792" w:type="dxa"/>
            <w:tcBorders/>
            <w:vAlign w:val="center"/>
          </w:tcPr>
          <w:p>
            <w:pPr>
              <w:pStyle w:val="WW-paragraph"/>
              <w:spacing w:before="170" w:after="170"/>
              <w:rPr/>
            </w:pPr>
            <w:r>
              <w:rPr/>
              <w:t xml:space="preserve">• </w:t>
            </w:r>
            <w:r>
              <w:rPr/>
              <w:t>Suffering,</w:t>
              <w:br/>
              <w:t>  incl. old age and death</w:t>
            </w:r>
          </w:p>
        </w:tc>
        <w:tc>
          <w:tcPr>
            <w:tcW w:w="2870" w:type="dxa"/>
            <w:tcBorders/>
            <w:vAlign w:val="center"/>
          </w:tcPr>
          <w:p>
            <w:pPr>
              <w:pStyle w:val="WW-paragraph"/>
              <w:spacing w:before="170" w:after="170"/>
              <w:rPr/>
            </w:pPr>
            <w:r>
              <w:rPr/>
              <w:t xml:space="preserve">• </w:t>
            </w:r>
            <w:r>
              <w:rPr/>
              <w:t>Six senses</w:t>
              <w:br/>
              <w:t>• Sense impressions</w:t>
              <w:br/>
              <w:t>• …</w:t>
            </w:r>
          </w:p>
        </w:tc>
        <w:tc>
          <w:tcPr>
            <w:tcW w:w="2443" w:type="dxa"/>
            <w:tcBorders/>
            <w:vAlign w:val="center"/>
          </w:tcPr>
          <w:p>
            <w:pPr>
              <w:pStyle w:val="WW-paragraph"/>
              <w:spacing w:before="170" w:after="170"/>
              <w:rPr/>
            </w:pPr>
            <w:r>
              <w:rPr/>
              <w:t>5. Six senses</w:t>
              <w:br/>
              <w:t>6. Sense impressions</w:t>
              <w:br/>
              <w:t>7. …</w:t>
            </w:r>
          </w:p>
        </w:tc>
      </w:tr>
    </w:tbl>
    <w:p>
      <w:pPr>
        <w:pStyle w:val="WW-paragraph"/>
        <w:rPr/>
      </w:pPr>
      <w:r>
        <w:rPr/>
        <w:t xml:space="preserve">In the </w:t>
      </w:r>
      <w:r>
        <w:rPr>
          <w:rStyle w:val="wwc-sesame"/>
        </w:rPr>
        <w:t>First Discourse on Intention</w:t>
      </w:r>
      <w:r>
        <w:rPr/>
        <w:t xml:space="preserve">, the planting of consciousness is followed by the production of existence in a future life; in the </w:t>
      </w:r>
      <w:r>
        <w:rPr>
          <w:rStyle w:val="wwc-sesame"/>
        </w:rPr>
        <w:t>Second</w:t>
      </w:r>
      <w:r>
        <w:rPr/>
        <w:t xml:space="preserve"> it is followed by the conception of the individual’s immaterial aspects and body. So the </w:t>
      </w:r>
      <w:r>
        <w:rPr>
          <w:rStyle w:val="Emphasis"/>
        </w:rPr>
        <w:t>production</w:t>
      </w:r>
      <w:r>
        <w:rPr/>
        <w:t xml:space="preserve"> of a future life must be equivalent to the </w:t>
      </w:r>
      <w:r>
        <w:rPr>
          <w:rStyle w:val="Emphasis"/>
        </w:rPr>
        <w:t>conception</w:t>
      </w:r>
      <w:r>
        <w:rP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rPr/>
        <w:t xml:space="preserve">, their </w:t>
      </w:r>
      <w:r>
        <w:rPr>
          <w:rStyle w:val="Emphasis"/>
        </w:rPr>
        <w:t>production</w:t>
      </w:r>
      <w:r>
        <w:rPr/>
        <w:t xml:space="preserve">, their aspects of existence manifesting, them obtaining the sense faculties.” The </w:t>
      </w:r>
      <w:r>
        <w:rPr>
          <w:rStyle w:val="wwc-sesame"/>
        </w:rPr>
        <w:t>Saṁyukta Āgama</w:t>
      </w:r>
      <w:r>
        <w:rPr/>
        <w:t xml:space="preserve"> parallel to the </w:t>
      </w:r>
      <w:r>
        <w:rPr>
          <w:rStyle w:val="wwc-sesame"/>
        </w:rPr>
        <w:t>Second Discourse on Intention</w:t>
      </w:r>
      <w:r>
        <w:rPr/>
        <w:t xml:space="preserve"> even places birth (</w:t>
      </w:r>
      <w:r>
        <w:rPr/>
        <w:t>生</w:t>
      </w:r>
      <w:r>
        <w:rPr/>
        <w:t>) directly after the conception of the immaterial aspects and body.</w:t>
      </w:r>
      <w:r>
        <w:rPr>
          <w:rStyle w:val="FootnoteReference"/>
        </w:rPr>
        <w:footnoteReference w:id="226"/>
      </w:r>
    </w:p>
    <w:p>
      <w:pPr>
        <w:pStyle w:val="WW-paragraph"/>
        <w:rPr/>
      </w:pPr>
      <w:r>
        <w:rPr/>
        <w:t xml:space="preserve">All this confirms once again that </w:t>
      </w:r>
      <w:r>
        <w:rPr>
          <w:rStyle w:val="wwc-pali"/>
        </w:rPr>
        <w:t>nāmarūpa</w:t>
      </w:r>
      <w:r>
        <w:rPr/>
        <w:t xml:space="preserve"> refers to the being and that its conception means rebirth. It also shows that the planting of consciousness, which precedes this conception, is part of the rebirth process too.</w:t>
      </w:r>
    </w:p>
    <w:p>
      <w:pPr>
        <w:pStyle w:val="WW-chapter-section-1"/>
        <w:ind w:hanging="0" w:start="0"/>
        <w:rPr/>
      </w:pPr>
      <w:r>
        <w:rPr/>
        <w:t>Consciousness traveling on</w:t>
      </w:r>
    </w:p>
    <w:p>
      <w:pPr>
        <w:pStyle w:val="WW-paragraph"/>
        <w:rPr/>
      </w:pPr>
      <w:r>
        <w:rPr/>
        <w:t xml:space="preserve">The connections between ignorance, willful actions, and consciousness are also explained in another discourse in the </w:t>
      </w:r>
      <w:r>
        <w:rPr>
          <w:rStyle w:val="wwc-sesame"/>
        </w:rPr>
        <w:t>Nidāna Saṁyutta</w:t>
      </w:r>
      <w:r>
        <w:rP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7"/>
      </w:r>
    </w:p>
    <w:p>
      <w:pPr>
        <w:pStyle w:val="WW-named-section"/>
        <w:rPr/>
      </w:pPr>
      <w:r>
        <w:rPr/>
        <w:t>§55</w:t>
      </w:r>
    </w:p>
    <w:p>
      <w:pPr>
        <w:pStyle w:val="WW-blockquote"/>
        <w:rPr/>
      </w:pPr>
      <w:bookmarkStart w:id="58" w:name="bqseg55"/>
      <w:bookmarkEnd w:id="58"/>
      <w:r>
        <w:rPr/>
        <w:t>If people influenced by ignorance perform meritorious willful actions, their consciousness will travel on to a place of merit. If they perform demeritorious willful actions, their consciousness will travel on to a place of demerit. If they perform undisturbable willful actions, their consciousness will travel on to an undisturbable place.</w:t>
      </w:r>
      <w:r>
        <w:rPr>
          <w:rStyle w:val="FootnoteReference"/>
        </w:rPr>
        <w:footnoteReference w:id="228"/>
      </w:r>
    </w:p>
    <w:p>
      <w:pPr>
        <w:pStyle w:val="WW-paragraph"/>
        <w:rPr/>
      </w:pPr>
      <w:r>
        <w:rPr/>
        <w:t>The discourse that defines karma as intention uses similar terminology in the phrase: “Influenced by ignorance you produce a corresponding incarnation according to your merit or demerit.”</w:t>
      </w:r>
      <w:r>
        <w:rPr>
          <w:rStyle w:val="FootnoteReference"/>
        </w:rPr>
        <w:footnoteReference w:id="229"/>
      </w:r>
      <w:r>
        <w:rPr/>
        <w:t xml:space="preserve"> We discussed the term ‘produce’ (</w:t>
      </w:r>
      <w:r>
        <w:rPr>
          <w:rStyle w:val="wwc-pali"/>
        </w:rPr>
        <w:t>abhinibbati</w:t>
      </w:r>
      <w:r>
        <w:rP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pPr>
        <w:pStyle w:val="WW-paragraph"/>
        <w:rPr/>
      </w:pPr>
      <w:r>
        <w:rPr/>
        <w:t>This can also be derived from the term ‘travel on’ (</w:t>
      </w:r>
      <w:r>
        <w:rPr>
          <w:rStyle w:val="wwc-pali"/>
        </w:rPr>
        <w:t>upaga</w:t>
      </w:r>
      <w:r>
        <w:rPr/>
        <w:t>) itself, which in this context refers to traveling on after death.</w:t>
      </w:r>
      <w:r>
        <w:rPr>
          <w:rStyle w:val="FootnoteReference"/>
        </w:rPr>
        <w:footnoteReference w:id="230"/>
      </w:r>
      <w:r>
        <w:rPr/>
        <w:t xml:space="preserve"> Later passages clarify this when mentioning that “when their body falls apart, fools will </w:t>
      </w:r>
      <w:r>
        <w:rPr>
          <w:rStyle w:val="Emphasis"/>
        </w:rPr>
        <w:t>travel on</w:t>
      </w:r>
      <w:r>
        <w:rPr/>
        <w:t xml:space="preserve"> to another body”, and that with the psychic power of divine sight “you see beings passing on and being reborn, understanding that they </w:t>
      </w:r>
      <w:r>
        <w:rPr>
          <w:rStyle w:val="Emphasis"/>
        </w:rPr>
        <w:t>travel on</w:t>
      </w:r>
      <w:r>
        <w:rPr/>
        <w:t xml:space="preserve"> according to their deeds”.</w:t>
      </w:r>
      <w:r>
        <w:rPr>
          <w:rStyle w:val="FootnoteReference"/>
        </w:rPr>
        <w:footnoteReference w:id="231"/>
      </w:r>
      <w:r>
        <w:rPr/>
        <w:t xml:space="preserve"> The connection between ‘deeds’ and ‘travel on’ in the latter example is the same as that between ‘willful actions’ and the ‘traveling on’ of consciousness in the above passage.</w:t>
      </w:r>
    </w:p>
    <w:p>
      <w:pPr>
        <w:pStyle w:val="WW-paragraph"/>
        <w:rPr/>
      </w:pPr>
      <w:r>
        <w:rPr/>
        <w:t xml:space="preserve">The Way to the </w:t>
      </w:r>
      <w:r>
        <w:rPr>
          <w:rStyle w:val="wwc-sesame"/>
        </w:rPr>
        <w:t>Undisturbable Discourse</w:t>
      </w:r>
      <w:r>
        <w:rPr/>
        <w:t xml:space="preserve"> more explicitly says that this traveling on of consciousness happens after death:</w:t>
      </w:r>
    </w:p>
    <w:p>
      <w:pPr>
        <w:pStyle w:val="WW-named-section"/>
        <w:rPr/>
      </w:pPr>
      <w:r>
        <w:rPr/>
        <w:t>§56</w:t>
      </w:r>
    </w:p>
    <w:p>
      <w:pPr>
        <w:pStyle w:val="WW-blockquote"/>
        <w:rPr/>
      </w:pPr>
      <w:bookmarkStart w:id="59" w:name="bqseg56"/>
      <w:bookmarkEnd w:id="59"/>
      <w:r>
        <w:rP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2"/>
      </w:r>
    </w:p>
    <w:p>
      <w:pPr>
        <w:pStyle w:val="WW-paragraph"/>
        <w:rPr/>
      </w:pPr>
      <w:r>
        <w:rPr/>
        <w:t xml:space="preserve">The next passage also mentions consciousness in connection with ‘traveling on’. Stemming from the </w:t>
      </w:r>
      <w:r>
        <w:rPr>
          <w:rStyle w:val="wwc-sesame"/>
        </w:rPr>
        <w:t>Mahānidāna Sutta</w:t>
      </w:r>
      <w:r>
        <w:rP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3"/>
      </w:r>
    </w:p>
    <w:p>
      <w:pPr>
        <w:pStyle w:val="WW-named-section"/>
        <w:rPr/>
      </w:pPr>
      <w:r>
        <w:rPr/>
        <w:t>§57</w:t>
      </w:r>
    </w:p>
    <w:p>
      <w:pPr>
        <w:pStyle w:val="WW-blockquote"/>
        <w:rPr/>
      </w:pPr>
      <w:bookmarkStart w:id="60" w:name="bqseg57"/>
      <w:bookmarkEnd w:id="60"/>
      <w:r>
        <w:rPr/>
        <w:t>Mendicants, there are seven abodes for consciousness. What seven?</w:t>
      </w:r>
    </w:p>
    <w:p>
      <w:pPr>
        <w:pStyle w:val="WW-blockquote"/>
        <w:rPr/>
      </w:pPr>
      <w:r>
        <w:rPr/>
        <w:t>There are beings with diverse bodies and diverse perceptions, such as humans, some gods, and some in the netherworlds. That is the first abode for consciousness.</w:t>
      </w:r>
    </w:p>
    <w:p>
      <w:pPr>
        <w:pStyle w:val="WW-blockquote"/>
        <w:rPr/>
      </w:pPr>
      <w:r>
        <w:rPr/>
        <w:t xml:space="preserve">There are beings with diverse bodies but identical perceptions, such as the Brahmā Gods produced [or ‘reborn’, </w:t>
      </w:r>
      <w:r>
        <w:rPr>
          <w:rStyle w:val="wwc-pali"/>
        </w:rPr>
        <w:t>abhinibbatti</w:t>
      </w:r>
      <w:r>
        <w:rPr/>
        <w:t>] through the first jhāna. That is the second abode for consciousness.</w:t>
      </w:r>
    </w:p>
    <w:p>
      <w:pPr>
        <w:pStyle w:val="WW-blockquote"/>
        <w:rPr/>
      </w:pPr>
      <w:r>
        <w:rPr/>
        <w:t>There are beings with identical bodies but diverse perceptions, such as the Gods of Streaming Radiance. That is the third abode for consciousness.</w:t>
      </w:r>
    </w:p>
    <w:p>
      <w:pPr>
        <w:pStyle w:val="WW-blockquote"/>
        <w:rPr/>
      </w:pPr>
      <w:r>
        <w:rPr/>
        <w:t>There are beings with identical bodies and identical perceptions, such as the Gods Replete with Glory. That is the fourth abode for consciousness.</w:t>
      </w:r>
    </w:p>
    <w:p>
      <w:pPr>
        <w:pStyle w:val="WW-blockquote"/>
        <w:rPr/>
      </w:pPr>
      <w:r>
        <w:rPr/>
        <w:t xml:space="preserve">There are beings who, after the complete transcendence of perceptions of form and the ending of impinging perceptions, not focusing on diverse perceptions, aware of unbounded space, had </w:t>
      </w:r>
      <w:r>
        <w:rPr>
          <w:rStyle w:val="Emphasis"/>
        </w:rPr>
        <w:t>traveled on</w:t>
      </w:r>
      <w:r>
        <w:rPr/>
        <w:t xml:space="preserve"> [from their last life] to the state of unbounded space. That is the fifth abode for consciousness.</w:t>
      </w:r>
    </w:p>
    <w:p>
      <w:pPr>
        <w:pStyle w:val="WW-blockquote"/>
        <w:rPr/>
      </w:pPr>
      <w:r>
        <w:rPr/>
        <w:t>There are beings who, after the complete transcendence of the state of unbounded space, aware of unbounded consciousness, had traveled on to the state of unbounded consciousness. That is the sixth abode for consciousness.</w:t>
      </w:r>
    </w:p>
    <w:p>
      <w:pPr>
        <w:pStyle w:val="WW-blockquote"/>
        <w:rPr/>
      </w:pPr>
      <w:r>
        <w:rPr/>
        <w:t>There are beings who, after the complete transcendence of the state of unbounded consciousness, aware of there being nothing, had traveled on to the state of nothingness. That is the seventh abode for consciousness.</w:t>
      </w:r>
    </w:p>
    <w:p>
      <w:pPr>
        <w:pStyle w:val="WW-blockquote"/>
        <w:rPr/>
      </w:pPr>
      <w:r>
        <w:rPr/>
        <w:t>Those are the seven abodes for consciousness.</w:t>
      </w:r>
      <w:r>
        <w:rPr>
          <w:rStyle w:val="FootnoteReference"/>
        </w:rPr>
        <w:footnoteReference w:id="234"/>
      </w:r>
    </w:p>
    <w:p>
      <w:pPr>
        <w:pStyle w:val="WW-paragraph"/>
        <w:rPr/>
      </w:pPr>
      <w:r>
        <w:rP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pPr>
        <w:pStyle w:val="WW-paragraph"/>
        <w:rPr/>
      </w:pPr>
      <w:r>
        <w:rPr/>
        <w:t xml:space="preserve">Someone can also attain some of these states, for example that of unbounded space, in meditation, but it only becomes an </w:t>
      </w:r>
      <w:r>
        <w:rPr>
          <w:rStyle w:val="Emphasis"/>
        </w:rPr>
        <w:t>abode</w:t>
      </w:r>
      <w:r>
        <w:rP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rPr/>
        <w:t xml:space="preserve"> and as places where one gets reborn or ‘travels on to’, not as states of mind.</w:t>
      </w:r>
      <w:r>
        <w:rPr>
          <w:rStyle w:val="FootnoteReference"/>
        </w:rPr>
        <w:footnoteReference w:id="235"/>
      </w:r>
    </w:p>
    <w:p>
      <w:pPr>
        <w:pStyle w:val="WW-chapter-section-1"/>
        <w:ind w:hanging="0" w:start="0"/>
        <w:rPr/>
      </w:pPr>
      <w:r>
        <w:rPr/>
        <w:t>Summary of Part I</w:t>
      </w:r>
    </w:p>
    <w:p>
      <w:pPr>
        <w:pStyle w:val="WW-paragraph"/>
        <w:rPr/>
      </w:pPr>
      <w:r>
        <w:rPr/>
        <w:t>We have come to the end of the first part. To summarize the main points so far:</w:t>
      </w:r>
    </w:p>
    <w:p>
      <w:pPr>
        <w:pStyle w:val="WW-paragraph"/>
        <w:numPr>
          <w:ilvl w:val="0"/>
          <w:numId w:val="13"/>
        </w:numPr>
        <w:rPr/>
      </w:pPr>
      <w:r>
        <w:rPr/>
        <w:t xml:space="preserve">The simile of the painting in the </w:t>
      </w:r>
      <w:r>
        <w:rPr>
          <w:rStyle w:val="wwc-sesame"/>
        </w:rPr>
        <w:t>If There is Desire Discourse</w:t>
      </w:r>
      <w:r>
        <w:rPr/>
        <w:t xml:space="preserve"> describes the origination sequence of Dependent Arising.</w:t>
      </w:r>
    </w:p>
    <w:p>
      <w:pPr>
        <w:pStyle w:val="WW-paragraph"/>
        <w:numPr>
          <w:ilvl w:val="0"/>
          <w:numId w:val="13"/>
        </w:numPr>
        <w:rPr/>
      </w:pPr>
      <w:r>
        <w:rPr/>
        <w:t>The origination sequence is primarily concerned with how rebirth is brought about.</w:t>
      </w:r>
    </w:p>
    <w:p>
      <w:pPr>
        <w:pStyle w:val="WW-paragraph"/>
        <w:numPr>
          <w:ilvl w:val="0"/>
          <w:numId w:val="13"/>
        </w:numPr>
        <w:rPr/>
      </w:pPr>
      <w:r>
        <w:rPr/>
        <w:t>This sequence describes the rebirth process in two different but parallel ways, one starting with ignorance and one with craving.</w:t>
      </w:r>
    </w:p>
    <w:p>
      <w:pPr>
        <w:pStyle w:val="WW-paragraph"/>
        <w:numPr>
          <w:ilvl w:val="0"/>
          <w:numId w:val="13"/>
        </w:numPr>
        <w:rPr/>
      </w:pPr>
      <w:r>
        <w:rPr/>
        <w:t>The immaterial aspects and body (</w:t>
      </w:r>
      <w:r>
        <w:rPr>
          <w:rStyle w:val="wwc-pali"/>
        </w:rPr>
        <w:t>nāmarūpa</w:t>
      </w:r>
      <w:r>
        <w:rPr/>
        <w:t>) are certain parts of the being.</w:t>
      </w:r>
    </w:p>
    <w:p>
      <w:pPr>
        <w:pStyle w:val="WW-paragraph"/>
        <w:numPr>
          <w:ilvl w:val="0"/>
          <w:numId w:val="13"/>
        </w:numPr>
        <w:rPr/>
      </w:pPr>
      <w:r>
        <w:rPr/>
        <w:t>The conception of these immaterial aspects and body refers to birth.</w:t>
      </w:r>
    </w:p>
    <w:p>
      <w:pPr>
        <w:pStyle w:val="WW-paragraph"/>
        <w:numPr>
          <w:ilvl w:val="0"/>
          <w:numId w:val="13"/>
        </w:numPr>
        <w:rPr/>
      </w:pPr>
      <w:r>
        <w:rPr>
          <w:lang w:val="en-US"/>
        </w:rPr>
        <w:t>Willful</w:t>
      </w:r>
      <w:r>
        <w:rPr/>
        <w:t xml:space="preserve"> actions (</w:t>
      </w:r>
      <w:r>
        <w:rPr>
          <w:rStyle w:val="wwc-pali"/>
        </w:rPr>
        <w:t>saṅkhāras</w:t>
      </w:r>
      <w:r>
        <w:rPr/>
        <w:t>) are intentional deeds that together with craving lead to rebirth in a certain place.</w:t>
      </w:r>
    </w:p>
    <w:p>
      <w:pPr>
        <w:pStyle w:val="WW-paragraph"/>
        <w:numPr>
          <w:ilvl w:val="0"/>
          <w:numId w:val="13"/>
        </w:numPr>
        <w:rPr/>
      </w:pPr>
      <w:r>
        <w:rPr/>
        <w:t>The arising of consciousness as a result of willful actions also refers to rebirth.</w:t>
      </w:r>
    </w:p>
    <w:p>
      <w:pPr>
        <w:pStyle w:val="WW-paragraph"/>
        <w:rPr/>
      </w:pPr>
      <w:r>
        <w:rPr/>
        <w:t>The next part discusses the arising of consciousness in more detail, centered around a simile of a seed.</w:t>
      </w:r>
      <w:r>
        <w:br w:type="page"/>
      </w:r>
    </w:p>
    <w:p>
      <w:pPr>
        <w:pStyle w:val="WW-epigram-image"/>
        <w:spacing w:before="0" w:after="0"/>
        <w:rPr/>
      </w:pPr>
      <w:r>
        <w:rPr/>
        <w:t>fleuron/seeds.png=Fleuron:A drawing of some seeds=10</w:t>
      </w:r>
    </w:p>
    <w:p>
      <w:pPr>
        <w:pStyle w:val="WW-part"/>
        <w:rPr/>
      </w:pPr>
      <w:r>
        <w:rPr/>
        <w:t>PART II. The Simile of the Seed</w:t>
      </w:r>
      <w:r>
        <w:br w:type="page"/>
      </w:r>
    </w:p>
    <w:p>
      <w:pPr>
        <w:pStyle w:val="WW-Chapter"/>
        <w:spacing w:before="0" w:after="567"/>
        <w:ind w:hanging="0" w:start="0"/>
        <w:rPr/>
      </w:pPr>
      <w:r>
        <w:rPr/>
        <w:t>6. The four nutriments</w:t>
      </w:r>
    </w:p>
    <w:p>
      <w:pPr>
        <w:pStyle w:val="WW-paragraph"/>
        <w:rPr/>
      </w:pPr>
      <w:r>
        <w:rPr/>
        <w:t>This part focuses on discourses that treat consciousness as a metaphorical seed which gets planted (</w:t>
      </w:r>
      <w:r>
        <w:rPr>
          <w:rStyle w:val="wwc-pali"/>
        </w:rPr>
        <w:t>patiṭṭhita</w:t>
      </w:r>
      <w:r>
        <w:rPr/>
        <w:t xml:space="preserve">) in a next life. Some of them, particularly the </w:t>
      </w:r>
      <w:r>
        <w:rPr>
          <w:rStyle w:val="wwc-sesame"/>
        </w:rPr>
        <w:t>Seeds Discourse</w:t>
      </w:r>
      <w:r>
        <w:rPr/>
        <w:t xml:space="preserve"> (</w:t>
      </w:r>
      <w:hyperlink w:anchor="bqseg76">
        <w:r>
          <w:rPr>
            <w:rStyle w:val="Hyperlink"/>
          </w:rPr>
          <w:t>§76</w:t>
        </w:r>
      </w:hyperlink>
      <w:r>
        <w:rPr/>
        <w:t xml:space="preserve">), also include the four nutriments, which we already encountered in the </w:t>
      </w:r>
      <w:r>
        <w:rPr>
          <w:rStyle w:val="wwc-sesame"/>
        </w:rPr>
        <w:t>If There is Desire Discourse</w:t>
      </w:r>
      <w:r>
        <w:rPr/>
        <w:t>. Since a basic knowledge of these four nutriments is assumed by these texts, I will share my understanding of them first.</w:t>
      </w:r>
    </w:p>
    <w:p>
      <w:pPr>
        <w:pStyle w:val="WW-chapter-section-1"/>
        <w:ind w:hanging="0" w:start="0"/>
        <w:rPr/>
      </w:pPr>
      <w:r>
        <w:rPr/>
        <w:t>The four nutriments and rebirth</w:t>
      </w:r>
    </w:p>
    <w:p>
      <w:pPr>
        <w:pStyle w:val="WW-paragraph"/>
        <w:rPr/>
      </w:pPr>
      <w:r>
        <w:rPr/>
        <w:t xml:space="preserve">In the canon the Buddha regularly mentions four nutriments (literally ‘foods’, </w:t>
      </w:r>
      <w:r>
        <w:rPr>
          <w:rStyle w:val="wwc-pali"/>
        </w:rPr>
        <w:t>āhāras</w:t>
      </w:r>
      <w:r>
        <w:rP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rPr/>
        <w:t xml:space="preserve">, where the matter at hand is only how the four nutriments lead to rebirth. The same is true for the </w:t>
      </w:r>
      <w:r>
        <w:rPr>
          <w:rStyle w:val="wwc-sesame"/>
        </w:rPr>
        <w:t>Seeds Discourse</w:t>
      </w:r>
      <w:r>
        <w:rP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rPr/>
        <w:t xml:space="preserve"> we were also able to derive this from phrases like “the conception of the individual’s immaterial aspects and body”. The </w:t>
      </w:r>
      <w:r>
        <w:rPr>
          <w:rStyle w:val="wwc-sesame"/>
        </w:rPr>
        <w:t>Seeds Discourse</w:t>
      </w:r>
      <w:r>
        <w:rPr/>
        <w:t xml:space="preserve"> even directly mentions rebirth (</w:t>
      </w:r>
      <w:r>
        <w:rPr>
          <w:rStyle w:val="wwc-pali"/>
        </w:rPr>
        <w:t>upapatti</w:t>
      </w:r>
      <w:r>
        <w:rPr/>
        <w:t>). Throughout the canon the main focus of the four nutriments also is rebirth. However, in the following I will also touch upon how they facilitate existence in the present life, how they maintain beings who are already born.</w:t>
      </w:r>
    </w:p>
    <w:p>
      <w:pPr>
        <w:pStyle w:val="WW-paragraph"/>
        <w:rPr/>
      </w:pPr>
      <w:r>
        <w:rPr/>
        <w:t xml:space="preserve">The four nutriments are edible food, sense impressions, intentions, and consciousness. The primary explanation of these nutriments in the Pāli Canon is the </w:t>
      </w:r>
      <w:r>
        <w:rPr>
          <w:rStyle w:val="wwc-sesame"/>
        </w:rPr>
        <w:t>Child’s Flesh Discourse</w:t>
      </w:r>
      <w:r>
        <w:rP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pPr>
        <w:pStyle w:val="WW-paragraph"/>
        <w:rPr/>
      </w:pPr>
      <w:r>
        <w:rPr/>
        <w:t>However, the similes for the nutriments of intentions and consciousness—respectively, being dragged into a charcoal pit and being stabbed by spears—</w:t>
      </w:r>
      <w:r>
        <w:rPr>
          <w:rStyle w:val="Emphasis"/>
        </w:rPr>
        <w:t>do</w:t>
      </w:r>
      <w:r>
        <w:rPr/>
        <w:t xml:space="preserve"> illustrate rebirth. And even though the similes for edible food and sense impressions concern those already born, in the </w:t>
      </w:r>
      <w:r>
        <w:rPr>
          <w:rStyle w:val="wwc-sesame"/>
        </w:rPr>
        <w:t>Child’s Flesh Discourse</w:t>
      </w:r>
      <w:r>
        <w:rPr/>
        <w:t xml:space="preserve"> the Buddha still explains, apart from the similes, how these two nutriments lead to rebirth.</w:t>
      </w:r>
    </w:p>
    <w:p>
      <w:pPr>
        <w:pStyle w:val="WW-table-caption"/>
        <w:rPr/>
      </w:pPr>
      <w:r>
        <w:rPr/>
        <w:t>{SimpleNoRowBorders}Table 14. Similes in the Child’s Flesh Discourse</w:t>
      </w:r>
    </w:p>
    <w:tbl>
      <w:tblPr>
        <w:tblW w:w="6144" w:type="dxa"/>
        <w:jc w:val="start"/>
        <w:tblInd w:w="30" w:type="dxa"/>
        <w:tblLayout w:type="fixed"/>
        <w:tblCellMar>
          <w:top w:w="0" w:type="dxa"/>
          <w:start w:w="0" w:type="dxa"/>
          <w:bottom w:w="0" w:type="dxa"/>
          <w:end w:w="0" w:type="dxa"/>
        </w:tblCellMar>
      </w:tblPr>
      <w:tblGrid>
        <w:gridCol w:w="1859"/>
        <w:gridCol w:w="3300"/>
        <w:gridCol w:w="985"/>
      </w:tblGrid>
      <w:tr>
        <w:trPr/>
        <w:tc>
          <w:tcPr>
            <w:tcW w:w="1859" w:type="dxa"/>
            <w:tcBorders/>
            <w:vAlign w:val="center"/>
          </w:tcPr>
          <w:p>
            <w:pPr>
              <w:pStyle w:val="WW-paragraph"/>
              <w:spacing w:before="170" w:after="170"/>
              <w:rPr/>
            </w:pPr>
            <w:r>
              <w:rPr>
                <w:rStyle w:val="Strong"/>
              </w:rPr>
              <w:t>Nutriment</w:t>
            </w:r>
          </w:p>
        </w:tc>
        <w:tc>
          <w:tcPr>
            <w:tcW w:w="3300" w:type="dxa"/>
            <w:tcBorders/>
            <w:vAlign w:val="center"/>
          </w:tcPr>
          <w:p>
            <w:pPr>
              <w:pStyle w:val="WW-paragraph"/>
              <w:spacing w:before="170" w:after="170"/>
              <w:rPr/>
            </w:pPr>
            <w:r>
              <w:rPr>
                <w:rStyle w:val="Strong"/>
              </w:rPr>
              <w:t>Simile</w:t>
            </w:r>
          </w:p>
        </w:tc>
        <w:tc>
          <w:tcPr>
            <w:tcW w:w="985" w:type="dxa"/>
            <w:tcBorders/>
            <w:vAlign w:val="center"/>
          </w:tcPr>
          <w:p>
            <w:pPr>
              <w:pStyle w:val="WW-paragraph"/>
              <w:spacing w:before="170" w:after="170"/>
              <w:rPr/>
            </w:pPr>
            <w:r>
              <w:rPr>
                <w:rStyle w:val="Strong"/>
              </w:rPr>
              <w:t>Is about</w:t>
            </w:r>
          </w:p>
        </w:tc>
      </w:tr>
      <w:tr>
        <w:trPr/>
        <w:tc>
          <w:tcPr>
            <w:tcW w:w="1859" w:type="dxa"/>
            <w:tcBorders/>
            <w:vAlign w:val="center"/>
          </w:tcPr>
          <w:p>
            <w:pPr>
              <w:pStyle w:val="WW-paragraph"/>
              <w:spacing w:before="170" w:after="170"/>
              <w:rPr/>
            </w:pPr>
            <w:r>
              <w:rPr/>
              <w:t>Edible food</w:t>
            </w:r>
          </w:p>
        </w:tc>
        <w:tc>
          <w:tcPr>
            <w:tcW w:w="3300" w:type="dxa"/>
            <w:tcBorders/>
            <w:vAlign w:val="center"/>
          </w:tcPr>
          <w:p>
            <w:pPr>
              <w:pStyle w:val="WW-paragraph"/>
              <w:spacing w:before="170" w:after="170"/>
              <w:rPr/>
            </w:pPr>
            <w:r>
              <w:rPr/>
              <w:t>Child’s flesh</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Sense impressions</w:t>
            </w:r>
          </w:p>
        </w:tc>
        <w:tc>
          <w:tcPr>
            <w:tcW w:w="3300" w:type="dxa"/>
            <w:tcBorders/>
            <w:vAlign w:val="center"/>
          </w:tcPr>
          <w:p>
            <w:pPr>
              <w:pStyle w:val="WW-paragraph"/>
              <w:spacing w:before="170" w:after="170"/>
              <w:rPr/>
            </w:pPr>
            <w:r>
              <w:rPr/>
              <w:t>Bitten cow</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Intentions</w:t>
            </w:r>
          </w:p>
        </w:tc>
        <w:tc>
          <w:tcPr>
            <w:tcW w:w="3300" w:type="dxa"/>
            <w:tcBorders/>
            <w:vAlign w:val="center"/>
          </w:tcPr>
          <w:p>
            <w:pPr>
              <w:pStyle w:val="WW-paragraph"/>
              <w:spacing w:before="170" w:after="170"/>
              <w:rPr/>
            </w:pPr>
            <w:r>
              <w:rPr/>
              <w:t>Being dragged into a charcoal pit</w:t>
            </w:r>
          </w:p>
        </w:tc>
        <w:tc>
          <w:tcPr>
            <w:tcW w:w="985" w:type="dxa"/>
            <w:tcBorders/>
            <w:vAlign w:val="center"/>
          </w:tcPr>
          <w:p>
            <w:pPr>
              <w:pStyle w:val="WW-paragraph"/>
              <w:spacing w:before="170" w:after="170"/>
              <w:rPr/>
            </w:pPr>
            <w:r>
              <w:rPr/>
              <w:t>Rebirth</w:t>
            </w:r>
          </w:p>
        </w:tc>
      </w:tr>
      <w:tr>
        <w:trPr/>
        <w:tc>
          <w:tcPr>
            <w:tcW w:w="1859" w:type="dxa"/>
            <w:tcBorders/>
            <w:vAlign w:val="center"/>
          </w:tcPr>
          <w:p>
            <w:pPr>
              <w:pStyle w:val="WW-paragraph"/>
              <w:spacing w:before="170" w:after="170"/>
              <w:rPr/>
            </w:pPr>
            <w:r>
              <w:rPr/>
              <w:t>Consciousness</w:t>
            </w:r>
          </w:p>
        </w:tc>
        <w:tc>
          <w:tcPr>
            <w:tcW w:w="3300" w:type="dxa"/>
            <w:tcBorders/>
            <w:vAlign w:val="center"/>
          </w:tcPr>
          <w:p>
            <w:pPr>
              <w:pStyle w:val="WW-paragraph"/>
              <w:spacing w:before="170" w:after="170"/>
              <w:rPr/>
            </w:pPr>
            <w:r>
              <w:rPr/>
              <w:t>Spears</w:t>
            </w:r>
          </w:p>
        </w:tc>
        <w:tc>
          <w:tcPr>
            <w:tcW w:w="985" w:type="dxa"/>
            <w:tcBorders/>
            <w:vAlign w:val="center"/>
          </w:tcPr>
          <w:p>
            <w:pPr>
              <w:pStyle w:val="WW-paragraph"/>
              <w:spacing w:before="170" w:after="170"/>
              <w:rPr/>
            </w:pPr>
            <w:r>
              <w:rPr/>
              <w:t>Rebirth</w:t>
            </w:r>
          </w:p>
        </w:tc>
      </w:tr>
    </w:tbl>
    <w:p>
      <w:pPr>
        <w:pStyle w:val="WW-chapter-section-1"/>
        <w:ind w:hanging="0" w:start="0"/>
        <w:rPr/>
      </w:pPr>
      <w:r>
        <w:rPr/>
        <w:t>The Child’s Flesh Discourse</w:t>
      </w:r>
    </w:p>
    <w:p>
      <w:pPr>
        <w:pStyle w:val="WW-paragraph"/>
        <w:rPr/>
      </w:pPr>
      <w:r>
        <w:rPr>
          <w:rStyle w:val="Strong"/>
        </w:rPr>
        <w:t>The nutriment of edible food</w:t>
      </w:r>
      <w:r>
        <w:rP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rP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rPr/>
        <w:t xml:space="preserve"> accordingly says:</w:t>
      </w:r>
    </w:p>
    <w:p>
      <w:pPr>
        <w:pStyle w:val="WW-named-section"/>
        <w:rPr/>
      </w:pPr>
      <w:r>
        <w:rPr/>
        <w:t>§58</w:t>
      </w:r>
    </w:p>
    <w:p>
      <w:pPr>
        <w:pStyle w:val="WW-blockquote"/>
        <w:rPr/>
      </w:pPr>
      <w:bookmarkStart w:id="61" w:name="bqseg58"/>
      <w:bookmarkEnd w:id="61"/>
      <w:r>
        <w:rP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6"/>
      </w:r>
    </w:p>
    <w:p>
      <w:pPr>
        <w:pStyle w:val="WW-paragraph"/>
        <w:rPr/>
      </w:pPr>
      <w:r>
        <w:rPr/>
        <w:t>The absence of any chain that binds one to this world refers to the non-returners, who have abandoned all desires for the five senses. They have removed the five chains (or ‘fetters’) that tie them to rebirth in the sensual realm.</w:t>
      </w:r>
    </w:p>
    <w:p>
      <w:pPr>
        <w:pStyle w:val="WW-space"/>
        <w:rPr/>
      </w:pPr>
      <w:r>
        <w:rPr/>
        <w:t>0</w:t>
      </w:r>
    </w:p>
    <w:p>
      <w:pPr>
        <w:pStyle w:val="WW-paragraph"/>
        <w:rPr/>
      </w:pPr>
      <w:r>
        <w:rPr>
          <w:rStyle w:val="Strong"/>
        </w:rPr>
        <w:t>The nutriment of sense impressions (or ‘contact’)</w:t>
      </w:r>
      <w:r>
        <w:rP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rPr/>
        <w:t xml:space="preserve"> says:</w:t>
      </w:r>
    </w:p>
    <w:p>
      <w:pPr>
        <w:pStyle w:val="WW-named-section"/>
        <w:rPr/>
      </w:pPr>
      <w:r>
        <w:rPr/>
        <w:t>§59</w:t>
      </w:r>
    </w:p>
    <w:p>
      <w:pPr>
        <w:pStyle w:val="WW-blockquote"/>
        <w:rPr/>
      </w:pPr>
      <w:bookmarkStart w:id="62" w:name="bqseg59"/>
      <w:bookmarkEnd w:id="62"/>
      <w:r>
        <w:rPr/>
        <w:t>When you fully understand the nutriment of sense impression, you fully understand the three kinds of sensations. When you, as a noble disciple, fully understand the three kinds of sensations, there is nothing further for you to do.</w:t>
      </w:r>
    </w:p>
    <w:p>
      <w:pPr>
        <w:pStyle w:val="WW-paragraph"/>
        <w:rPr/>
      </w:pPr>
      <w:r>
        <w:rP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7"/>
      </w:r>
    </w:p>
    <w:p>
      <w:pPr>
        <w:pStyle w:val="WW-space"/>
        <w:rPr/>
      </w:pPr>
      <w:r>
        <w:rPr/>
        <w:t>0</w:t>
      </w:r>
    </w:p>
    <w:p>
      <w:pPr>
        <w:pStyle w:val="WW-paragraph"/>
        <w:rPr/>
      </w:pPr>
      <w:r>
        <w:rPr>
          <w:rStyle w:val="Strong"/>
        </w:rPr>
        <w:t>The nutriment of intention</w:t>
      </w:r>
      <w:r>
        <w:rPr/>
        <w:t xml:space="preserve"> refers to willful actions, which at death steer the mind towards certain realms of rebirth. In the </w:t>
      </w:r>
      <w:r>
        <w:rPr>
          <w:rStyle w:val="wwc-sesame"/>
        </w:rPr>
        <w:t>Child’s Flesh Discourse</w:t>
      </w:r>
      <w:r>
        <w:rPr/>
        <w:t xml:space="preserve"> the nutriment of intention does have a simile for rebirth, although it is not very explicit so will benefit from some explanation afterwards:</w:t>
      </w:r>
    </w:p>
    <w:p>
      <w:pPr>
        <w:pStyle w:val="WW-named-section"/>
        <w:rPr/>
      </w:pPr>
      <w:r>
        <w:rPr/>
        <w:t>§60</w:t>
      </w:r>
    </w:p>
    <w:p>
      <w:pPr>
        <w:pStyle w:val="WW-blockquote"/>
        <w:rPr/>
      </w:pPr>
      <w:bookmarkStart w:id="63" w:name="bqseg60"/>
      <w:bookmarkEnd w:id="63"/>
      <w:r>
        <w:rP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pPr>
        <w:pStyle w:val="WW-figure"/>
        <w:rPr/>
      </w:pPr>
      <w:r>
        <w:rPr/>
        <w:t>./img/coalpit.png=Two muscled man pulling a third man towards a fire pit. The two men are labeled ‘good &amp; bad intentions’, the fire pit ‘rebirth’.=30=border</w:t>
        <w:br/>
        <w:t>Figure 11. A charcoal pit as a simile for rebirth</w:t>
      </w:r>
    </w:p>
    <w:p>
      <w:pPr>
        <w:pStyle w:val="WW-paragraph"/>
        <w:rPr/>
      </w:pPr>
      <w:r>
        <w:rP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8"/>
      </w:r>
      <w:r>
        <w:rPr/>
        <w:t xml:space="preserve"> These willful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pPr>
        <w:pStyle w:val="WW-paragraph"/>
        <w:rPr/>
      </w:pPr>
      <w:r>
        <w:rPr/>
        <w:t xml:space="preserve">The </w:t>
      </w:r>
      <w:r>
        <w:rPr>
          <w:rStyle w:val="wwc-sesame"/>
        </w:rPr>
        <w:t>Child’s Flesh Discourse</w:t>
      </w:r>
      <w:r>
        <w:rPr/>
        <w:t xml:space="preserve"> continues:</w:t>
      </w:r>
    </w:p>
    <w:p>
      <w:pPr>
        <w:pStyle w:val="WW-named-section"/>
        <w:rPr/>
      </w:pPr>
      <w:r>
        <w:rPr/>
        <w:t>§61</w:t>
      </w:r>
    </w:p>
    <w:p>
      <w:pPr>
        <w:pStyle w:val="WW-blockquote"/>
        <w:rPr/>
      </w:pPr>
      <w:bookmarkStart w:id="64" w:name="bqseg61"/>
      <w:bookmarkEnd w:id="64"/>
      <w:r>
        <w:rPr/>
        <w:t>When you fully understand the nutriment of intention, you fully understand the three kinds of craving. When you, as a noble disciple, fully understand the three kinds of craving, there is nothing further for you to do.</w:t>
      </w:r>
    </w:p>
    <w:p>
      <w:pPr>
        <w:pStyle w:val="WW-paragraph"/>
        <w:rPr/>
      </w:pPr>
      <w:r>
        <w:rP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9"/>
      </w:r>
      <w:r>
        <w:rPr/>
        <w:t xml:space="preserve"> Someone who fully understands these three types of craving that lead to a next life (</w:t>
      </w:r>
      <w:r>
        <w:rPr>
          <w:rStyle w:val="wwc-pali"/>
        </w:rPr>
        <w:t>puna-bhava</w:t>
      </w:r>
      <w:r>
        <w:rPr/>
        <w:t>) also understands how intentions (i.e. willful actions) lead to rebirth.</w:t>
      </w:r>
    </w:p>
    <w:p>
      <w:pPr>
        <w:pStyle w:val="WW-paragraph"/>
        <w:rPr/>
      </w:pPr>
      <w:r>
        <w:rPr/>
        <w:t xml:space="preserve">A comparable simile of a charcoal pit occurs in the </w:t>
      </w:r>
      <w:r>
        <w:rPr>
          <w:rStyle w:val="wwc-sesame"/>
        </w:rPr>
        <w:t>The Longer Discourse on the Lion’s Roar</w:t>
      </w:r>
      <w:r>
        <w:rPr/>
        <w:t>, where it more clearly represents rebirth, in particular rebirth in a low realm.</w:t>
      </w:r>
      <w:r>
        <w:rPr>
          <w:rStyle w:val="FootnoteReference"/>
        </w:rPr>
        <w:footnoteReference w:id="240"/>
      </w:r>
      <w:r>
        <w:rPr/>
        <w:t xml:space="preserve"> The simile is also referred to in verse by Venerable Migajāla, who connects it directly to Dependent Arising and deeds (</w:t>
      </w:r>
      <w:r>
        <w:rPr>
          <w:rStyle w:val="wwc-pali"/>
        </w:rPr>
        <w:t>kamma</w:t>
      </w:r>
      <w:r>
        <w:rPr/>
        <w:t>), and hence to intentions. More specifically, he mentions “the mechanism of deeds”, which is the process that creates rebirth through intentions.</w:t>
      </w:r>
      <w:r>
        <w:rPr>
          <w:rStyle w:val="FootnoteReference"/>
        </w:rPr>
        <w:footnoteReference w:id="241"/>
      </w:r>
      <w:r>
        <w:rPr/>
        <w:t xml:space="preserve"> Migajāla encourages us to contemplate existence to be like a charcoal pit. This reflection will cut off craving, which is also called a slaughterhouse, because it leads to repeated death.</w:t>
      </w:r>
      <w:r>
        <w:rPr>
          <w:rStyle w:val="FootnoteReference"/>
        </w:rPr>
        <w:footnoteReference w:id="242"/>
      </w:r>
      <w:r>
        <w:rPr/>
        <w:t xml:space="preserve"> He says, with reference to the eightfold path:</w:t>
      </w:r>
    </w:p>
    <w:p>
      <w:pPr>
        <w:pStyle w:val="WW-named-section"/>
        <w:rPr/>
      </w:pPr>
      <w:r>
        <w:rPr/>
        <w:t>§62</w:t>
      </w:r>
    </w:p>
    <w:p>
      <w:pPr>
        <w:pStyle w:val="WW-line-block"/>
        <w:rPr/>
      </w:pPr>
      <w:bookmarkStart w:id="65" w:name="bqseg62"/>
      <w:bookmarkEnd w:id="65"/>
      <w:r>
        <w:rPr/>
        <w:t>It is well-taught by the insightful one,</w:t>
        <w:br/>
        <w:t>the Awake One, Kinsman of the Sun,</w:t>
      </w:r>
      <w:r>
        <w:rPr>
          <w:rStyle w:val="FootnoteReference"/>
        </w:rPr>
        <w:footnoteReference w:id="243"/>
      </w:r>
      <w:r>
        <w:rPr/>
        <w:br/>
        <w:t>who transcended all chains,</w:t>
        <w:br/>
        <w:t>destroyed the whole cycle of rebirth.</w:t>
      </w:r>
    </w:p>
    <w:p>
      <w:pPr>
        <w:pStyle w:val="WW-line-block"/>
        <w:rPr/>
      </w:pPr>
      <w:r>
        <w:rPr/>
        <w:t>Emancipating, it leads across,</w:t>
        <w:br/>
        <w:t>withering the root of craving.</w:t>
        <w:br/>
        <w:t>Cutting off the poisonous root, the slaughterhouse,</w:t>
        <w:br/>
        <w:t>it guides us to extinguishment.</w:t>
      </w:r>
    </w:p>
    <w:p>
      <w:pPr>
        <w:pStyle w:val="WW-line-block"/>
        <w:rPr/>
      </w:pPr>
      <w:r>
        <w:rPr/>
        <w:t>By breaking the root of unknowing,</w:t>
        <w:br/>
        <w:t>it shatters the mechanism of deeds,</w:t>
        <w:br/>
        <w:t>and drops the thunderbolt of knowledge</w:t>
        <w:br/>
        <w:t>on the seizing of consciousnesses.</w:t>
      </w:r>
    </w:p>
    <w:p>
      <w:pPr>
        <w:pStyle w:val="WW-line-block"/>
        <w:rPr/>
      </w:pPr>
      <w:r>
        <w:rPr/>
        <w:t>Informing us about sensations,</w:t>
        <w:br/>
        <w:t>it liberates from taking up,</w:t>
        <w:br/>
        <w:t>those who meditate with knowledge</w:t>
        <w:br/>
        <w:t xml:space="preserve">on </w:t>
      </w:r>
      <w:r>
        <w:rPr>
          <w:rStyle w:val="Emphasis"/>
        </w:rPr>
        <w:t>existence as a charcoal pit</w:t>
      </w:r>
      <w:r>
        <w:rPr/>
        <w:t>.</w:t>
      </w:r>
    </w:p>
    <w:p>
      <w:pPr>
        <w:pStyle w:val="WW-line-block"/>
        <w:rPr/>
      </w:pPr>
      <w:r>
        <w:rPr/>
        <w:t>Very sweet and truly deep,</w:t>
        <w:br/>
        <w:t>obstructing birth and mortality:</w:t>
        <w:br/>
        <w:t>it is the noble eightfold path,</w:t>
        <w:br/>
        <w:t>the auspicious, the subsiding of suffering.</w:t>
      </w:r>
    </w:p>
    <w:p>
      <w:pPr>
        <w:pStyle w:val="WW-line-block"/>
        <w:rPr/>
      </w:pPr>
      <w:r>
        <w:rPr/>
        <w:t>When knowing deeds to be deeds,</w:t>
        <w:br/>
        <w:t>and results as results,</w:t>
        <w:br/>
        <w:t>seeing what has dependently arisen</w:t>
        <w:br/>
        <w:t>as if a light was shone on it,</w:t>
        <w:br/>
        <w:t>it excels at the end,</w:t>
        <w:br/>
        <w:t>bringing great safety and peace.</w:t>
      </w:r>
      <w:r>
        <w:rPr>
          <w:rStyle w:val="FootnoteReference"/>
        </w:rPr>
        <w:footnoteReference w:id="244"/>
      </w:r>
    </w:p>
    <w:p>
      <w:pPr>
        <w:pStyle w:val="WW-paragraph"/>
        <w:rPr/>
      </w:pPr>
      <w:r>
        <w:rP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rPr/>
        <w:t xml:space="preserve"> (plural), which context indicates refers to taking up future lives. As Hamilton stated: “Each ‘station’ [or ‘abode’] or life is sometimes simply referred to as ‘a consciousness’.”</w:t>
      </w:r>
      <w:r>
        <w:rPr>
          <w:rStyle w:val="FootnoteReference"/>
        </w:rPr>
        <w:footnoteReference w:id="245"/>
      </w:r>
      <w:r>
        <w:rPr/>
        <w:t xml:space="preserve"> This leads us nicely to the final nutriment.</w:t>
      </w:r>
    </w:p>
    <w:p>
      <w:pPr>
        <w:pStyle w:val="WW-space"/>
        <w:rPr/>
      </w:pPr>
      <w:r>
        <w:rPr/>
        <w:t>0</w:t>
      </w:r>
    </w:p>
    <w:p>
      <w:pPr>
        <w:pStyle w:val="WW-paragraph"/>
        <w:rPr/>
      </w:pPr>
      <w:r>
        <w:rPr>
          <w:rStyle w:val="Strong"/>
        </w:rPr>
        <w:t>The nutriment of consciousness</w:t>
      </w:r>
      <w:r>
        <w:rPr/>
        <w:t xml:space="preserve"> is described as follows:</w:t>
      </w:r>
    </w:p>
    <w:p>
      <w:pPr>
        <w:pStyle w:val="WW-named-section"/>
        <w:rPr/>
      </w:pPr>
      <w:r>
        <w:rPr/>
        <w:t>§63</w:t>
      </w:r>
    </w:p>
    <w:p>
      <w:pPr>
        <w:pStyle w:val="WW-blockquote"/>
        <w:rPr/>
      </w:pPr>
      <w:bookmarkStart w:id="66" w:name="bqseg63"/>
      <w:bookmarkEnd w:id="66"/>
      <w:r>
        <w:rPr/>
        <w:t>“</w:t>
      </w:r>
      <w:r>
        <w:rP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pPr>
        <w:pStyle w:val="WW-blockquote"/>
        <w:rPr/>
      </w:pPr>
      <w:r>
        <w:rPr/>
        <w:t>What do you think, mendicants? Would that man experience pain and suffering from being stabbed with three hundred spears on a single day?”</w:t>
      </w:r>
    </w:p>
    <w:p>
      <w:pPr>
        <w:pStyle w:val="WW-blockquote"/>
        <w:rPr/>
      </w:pPr>
      <w:r>
        <w:rPr/>
        <w:t>“</w:t>
      </w:r>
      <w:r>
        <w:rPr/>
        <w:t>Venerable sir, he would experience pain and suffering from being stabbed with just a single spear, let alone three hundred.”</w:t>
      </w:r>
    </w:p>
    <w:p>
      <w:pPr>
        <w:pStyle w:val="WW-blockquote"/>
        <w:rPr/>
      </w:pPr>
      <w:r>
        <w:rPr/>
        <w:t>“</w:t>
      </w:r>
      <w:r>
        <w:rPr/>
        <w:t>Mendicants, that is how you should look at the nutriment of consciousness, I tell you.”</w:t>
      </w:r>
    </w:p>
    <w:p>
      <w:pPr>
        <w:pStyle w:val="WW-figure"/>
        <w:rPr/>
      </w:pPr>
      <w:r>
        <w:rPr/>
        <w:t>./img/king.png=A king pointing at a tied up person. A knight aims a spear at the person’s chest. Behind the knight are many more spears leaning against a wall. The king is labeled ‘karma’, the spear ‘rebirth of consciousness’.=30=border</w:t>
        <w:br/>
        <w:t>Figure 12. Spears as a simile for the rebirth of consciousness</w:t>
      </w:r>
    </w:p>
    <w:p>
      <w:pPr>
        <w:pStyle w:val="WW-paragraph"/>
        <w:rPr/>
      </w:pPr>
      <w:r>
        <w:rPr/>
        <w:t xml:space="preserve">The simile of the spears does not explicitly refer to rebirth here, but elsewhere it more clearly does. In a discourse called </w:t>
      </w:r>
      <w:r>
        <w:rPr>
          <w:rStyle w:val="wwc-sesame"/>
        </w:rPr>
        <w:t>A Hundred Spears</w:t>
      </w:r>
      <w:r>
        <w:rP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6"/>
      </w:r>
      <w:r>
        <w:rPr/>
        <w:t xml:space="preserve"> The many spears you would avoid by taking the deal stand for the amount of potential rebirths you, as a stream winner, would no longer take. In the </w:t>
      </w:r>
      <w:r>
        <w:rPr>
          <w:rStyle w:val="wwc-sesame"/>
        </w:rPr>
        <w:t>Therīgātha</w:t>
      </w:r>
      <w:r>
        <w:rPr/>
        <w:t xml:space="preserve">, Venerable Sumedhā also refers to this simile. She says one should take the deal, because those who stay in </w:t>
      </w:r>
      <w:r>
        <w:rPr>
          <w:rStyle w:val="wwc-pali"/>
        </w:rPr>
        <w:t>saṁsāra</w:t>
      </w:r>
      <w:r>
        <w:rPr/>
        <w:t xml:space="preserve"> get killed again and again.</w:t>
      </w:r>
      <w:r>
        <w:rPr>
          <w:rStyle w:val="FootnoteReference"/>
        </w:rPr>
        <w:footnoteReference w:id="247"/>
      </w:r>
    </w:p>
    <w:p>
      <w:pPr>
        <w:pStyle w:val="WW-paragraph"/>
        <w:rPr/>
      </w:pPr>
      <w:r>
        <w:rPr/>
        <w:t xml:space="preserve">In the </w:t>
      </w:r>
      <w:r>
        <w:rPr>
          <w:rStyle w:val="wwc-sesame"/>
        </w:rPr>
        <w:t>Child’s Flesh Discourse</w:t>
      </w:r>
      <w:r>
        <w:rP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pPr>
        <w:pStyle w:val="WW-paragraph"/>
        <w:rPr/>
      </w:pPr>
      <w:r>
        <w:rPr/>
        <w:t xml:space="preserve">After giving the simile of the spears, the Buddha connects consciousness directly to </w:t>
      </w:r>
      <w:r>
        <w:rPr>
          <w:rStyle w:val="wwc-pali"/>
        </w:rPr>
        <w:t>nāmarūpa</w:t>
      </w:r>
      <w:r>
        <w:rPr/>
        <w:t>, the individual’s immaterial aspects and body:</w:t>
      </w:r>
    </w:p>
    <w:p>
      <w:pPr>
        <w:pStyle w:val="WW-named-section"/>
        <w:rPr/>
      </w:pPr>
      <w:r>
        <w:rPr/>
        <w:t>§64</w:t>
      </w:r>
    </w:p>
    <w:p>
      <w:pPr>
        <w:pStyle w:val="WW-blockquote"/>
        <w:rPr/>
      </w:pPr>
      <w:bookmarkStart w:id="67" w:name="bqseg64"/>
      <w:bookmarkEnd w:id="67"/>
      <w:r>
        <w:rPr/>
        <w:t>When you fully understand the nutriment of consciousness, you fully understand the immaterial aspects and body. When you, as a noble disciple, fully understand the immaterial aspects and body, there is nothing further for you to do.</w:t>
      </w:r>
    </w:p>
    <w:p>
      <w:pPr>
        <w:pStyle w:val="WW-paragraph"/>
        <w:rPr/>
      </w:pPr>
      <w:r>
        <w:rP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rPr/>
        <w:t>, and as later chapters will clarify. Helmut Hecker understood the simile in the same way: “[Consciousness] always nourishes rebirth, descending into a womb, and building a new name and form (</w:t>
      </w:r>
      <w:r>
        <w:rPr>
          <w:rStyle w:val="wwc-pali"/>
        </w:rPr>
        <w:t>nāmarūpa</w:t>
      </w:r>
      <w:r>
        <w:rPr/>
        <w:t xml:space="preserve">). Just as the robber in the simile did not die despite three hundred strokes, so, despite all the suffering of </w:t>
      </w:r>
      <w:r>
        <w:rPr>
          <w:rStyle w:val="wwc-pali"/>
        </w:rPr>
        <w:t>saṁsāra</w:t>
      </w:r>
      <w:r>
        <w:rPr/>
        <w:t>, consciousness does not die and does not want to. Again and again, it nourishes a mortal form (corporeality).”</w:t>
      </w:r>
      <w:r>
        <w:rPr>
          <w:rStyle w:val="FootnoteReference"/>
        </w:rPr>
        <w:footnoteReference w:id="248"/>
      </w:r>
    </w:p>
    <w:p>
      <w:pPr>
        <w:pStyle w:val="WW-chapter-section-1"/>
        <w:ind w:hanging="0" w:start="0"/>
        <w:rPr/>
      </w:pPr>
      <w:r>
        <w:rPr/>
        <w:t>The two functions of the nutriment of consciousness</w:t>
      </w:r>
    </w:p>
    <w:p>
      <w:pPr>
        <w:pStyle w:val="WW-paragraph"/>
        <w:rPr/>
      </w:pPr>
      <w:r>
        <w:rPr/>
        <w:t xml:space="preserve">In the above I mentioned that food and sense impressions themselves do not cause rebirth, that the </w:t>
      </w:r>
      <w:r>
        <w:rPr>
          <w:rStyle w:val="Emphasis"/>
        </w:rPr>
        <w:t>desire</w:t>
      </w:r>
      <w:r>
        <w:rP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9"/>
      </w:r>
      <w:r>
        <w:rPr/>
        <w:t xml:space="preserve"> This function of the nutriment of consciousness is also what the simile of the spears refers to, where each spear stands for a new rebirth.</w:t>
      </w:r>
    </w:p>
    <w:p>
      <w:pPr>
        <w:pStyle w:val="WW-paragraph"/>
        <w:rPr/>
      </w:pPr>
      <w:r>
        <w:rPr/>
        <w:t xml:space="preserve">This function of the nutriment of consciousness is also clarified in the </w:t>
      </w:r>
      <w:r>
        <w:rPr>
          <w:rStyle w:val="wwc-sesame"/>
        </w:rPr>
        <w:t>Nidāna Saṁyutta</w:t>
      </w:r>
      <w:r>
        <w:rPr/>
        <w:t>:</w:t>
      </w:r>
    </w:p>
    <w:p>
      <w:pPr>
        <w:pStyle w:val="WW-named-section"/>
        <w:rPr/>
      </w:pPr>
      <w:r>
        <w:rPr/>
        <w:t>§65</w:t>
      </w:r>
    </w:p>
    <w:p>
      <w:pPr>
        <w:pStyle w:val="WW-blockquote"/>
        <w:rPr/>
      </w:pPr>
      <w:bookmarkStart w:id="68" w:name="bqseg65"/>
      <w:bookmarkEnd w:id="68"/>
      <w:r>
        <w:rPr/>
        <w:t>The nutriment of consciousness is a prerequisite for the production of existence in a future life. When the being is born, there are the six senses. Dependent on the six senses, there are sense impressions.</w:t>
      </w:r>
      <w:r>
        <w:rPr>
          <w:rStyle w:val="FootnoteReference"/>
        </w:rPr>
        <w:footnoteReference w:id="250"/>
      </w:r>
    </w:p>
    <w:p>
      <w:pPr>
        <w:pStyle w:val="WW-paragraph"/>
        <w:rPr/>
      </w:pPr>
      <w:r>
        <w:rPr/>
        <w:t>Here the nutriment of consciousness stands for the consciousness that continues after death, or “the stream of consciousness coming from the preceding existence”, as Venerable Bodhi annotated this passage.</w:t>
      </w:r>
      <w:r>
        <w:rPr>
          <w:rStyle w:val="FootnoteReference"/>
        </w:rPr>
        <w:footnoteReference w:id="251"/>
      </w:r>
      <w:r>
        <w:rPr/>
        <w:t xml:space="preserve"> This reminds us that all birth is </w:t>
      </w:r>
      <w:r>
        <w:rPr>
          <w:rStyle w:val="Emphasis"/>
        </w:rPr>
        <w:t>re</w:t>
      </w:r>
      <w:r>
        <w:rPr/>
        <w:t>birth, that it does not happen out of nowhere but as a continuation of a past being’s consciousness.</w:t>
      </w:r>
    </w:p>
    <w:p>
      <w:pPr>
        <w:pStyle w:val="WW-paragraph"/>
        <w:rPr/>
      </w:pPr>
      <w:r>
        <w:rPr/>
        <w:t>It is worth pointing out that in this passage the phrase ‘the being is born’</w:t>
      </w:r>
      <w:r>
        <w:rPr>
          <w:rStyle w:val="FootnoteReference"/>
        </w:rPr>
        <w:footnoteReference w:id="252"/>
      </w:r>
      <w:r>
        <w:rPr/>
        <w:t xml:space="preserve"> is positioned where we usually find the individual’s immaterial aspects and body (</w:t>
      </w:r>
      <w:r>
        <w:rPr>
          <w:rStyle w:val="wwc-pali"/>
        </w:rPr>
        <w:t>nāmarūpa</w:t>
      </w:r>
      <w:r>
        <w:rPr/>
        <w:t xml:space="preserve">): between consciousness and the six senses. This confirms the ideas of </w:t>
      </w:r>
      <w:hyperlink w:anchor="chapter3">
        <w:r>
          <w:rPr>
            <w:rStyle w:val="Hyperlink"/>
          </w:rPr>
          <w:t>Chapter 3</w:t>
        </w:r>
      </w:hyperlink>
      <w:r>
        <w:rPr/>
        <w:t xml:space="preserve">, where </w:t>
      </w:r>
      <w:r>
        <w:rPr>
          <w:rStyle w:val="wwc-pali"/>
        </w:rPr>
        <w:t>nāmarūpa</w:t>
      </w:r>
      <w:r>
        <w:rPr/>
        <w:t xml:space="preserve"> was shown to refer to the being.</w:t>
      </w:r>
    </w:p>
    <w:p>
      <w:pPr>
        <w:pStyle w:val="WW-paragraph"/>
        <w:rPr/>
      </w:pPr>
      <w:r>
        <w:rPr/>
        <w:t xml:space="preserve">The discussion in that chapter also included a passage from the Aṅguttara Nikāya where the conception of a fetus was connected directly to </w:t>
      </w:r>
      <w:r>
        <w:rPr>
          <w:rStyle w:val="wwc-pali"/>
        </w:rPr>
        <w:t>nāmarūpa</w:t>
      </w:r>
      <w:r>
        <w:rPr/>
        <w:t xml:space="preserve"> (</w:t>
      </w:r>
      <w:hyperlink w:anchor="bqseg25">
        <w:r>
          <w:rPr>
            <w:rStyle w:val="Hyperlink"/>
          </w:rPr>
          <w:t>§25</w:t>
        </w:r>
      </w:hyperlink>
      <w:r>
        <w:rPr/>
        <w:t>). I abbreviated the passage there, not showing that consciousness is also involved. Here is a more complete quotation:</w:t>
      </w:r>
    </w:p>
    <w:p>
      <w:pPr>
        <w:pStyle w:val="WW-named-section"/>
        <w:rPr/>
      </w:pPr>
      <w:r>
        <w:rPr/>
        <w:t>§66</w:t>
      </w:r>
    </w:p>
    <w:p>
      <w:pPr>
        <w:pStyle w:val="WW-blockquote"/>
        <w:rPr/>
      </w:pPr>
      <w:bookmarkStart w:id="69" w:name="bqseg66"/>
      <w:bookmarkEnd w:id="69"/>
      <w:r>
        <w:rPr/>
        <w:t>These are these six elements: earth, water, fire, air, space, and consciousness. […] From the six elements there is a conception of a fetus.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3"/>
      </w:r>
    </w:p>
    <w:p>
      <w:pPr>
        <w:pStyle w:val="WW-paragraph"/>
        <w:rPr/>
      </w:pPr>
      <w:r>
        <w:rPr/>
        <w:t xml:space="preserve">Usually the suttas speak of just four elements, but here space and consciousness are added. The resulting six elements are also mentioned in the </w:t>
      </w:r>
      <w:r>
        <w:rPr>
          <w:rStyle w:val="wwc-sesame"/>
        </w:rPr>
        <w:t>Analysis of the Elements Discourse</w:t>
      </w:r>
      <w:r>
        <w:rPr/>
        <w:t>, where they are said to constitute a person.</w:t>
      </w:r>
      <w:r>
        <w:rPr>
          <w:rStyle w:val="FootnoteReference"/>
        </w:rPr>
        <w:footnoteReference w:id="254"/>
      </w:r>
      <w:r>
        <w:rPr/>
        <w:t xml:space="preserve"> This fits the above passage, where the six elements are conditions for the conception of the fetus, i.e. the person. The four standard elements together with space make up the body or form (</w:t>
      </w:r>
      <w:r>
        <w:rPr>
          <w:rStyle w:val="wwc-pali"/>
        </w:rPr>
        <w:t>rūpa</w:t>
      </w:r>
      <w:r>
        <w:rPr/>
        <w:t xml:space="preserve">) of the fetus. Relevant is the </w:t>
      </w:r>
      <w:r>
        <w:rPr>
          <w:rStyle w:val="wwc-sesame"/>
        </w:rPr>
        <w:t>Longer Discourse on Advice to Rāhula</w:t>
      </w:r>
      <w:r>
        <w:rPr/>
        <w:t>, which explains the four elements as various body parts and the “internal” space as the holes in the ears, the nose, the mouth, and so on.</w:t>
      </w:r>
      <w:r>
        <w:rPr>
          <w:rStyle w:val="FootnoteReference"/>
        </w:rPr>
        <w:footnoteReference w:id="255"/>
      </w:r>
      <w:r>
        <w:rPr/>
        <w:t xml:space="preserve"> While </w:t>
      </w:r>
      <w:r>
        <w:rPr>
          <w:rStyle w:val="wwc-pali"/>
        </w:rPr>
        <w:t>rūpa</w:t>
      </w:r>
      <w:r>
        <w:rPr/>
        <w:t xml:space="preserve"> is normally explained as the four elements, in these cases space is included as a fifth.</w:t>
      </w:r>
      <w:r>
        <w:rPr>
          <w:rStyle w:val="FootnoteReference"/>
        </w:rPr>
        <w:footnoteReference w:id="256"/>
      </w:r>
    </w:p>
    <w:p>
      <w:pPr>
        <w:pStyle w:val="WW-paragraph"/>
        <w:rPr/>
      </w:pPr>
      <w:r>
        <w:rP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rP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pPr>
        <w:pStyle w:val="WW-paragraph"/>
        <w:rPr/>
      </w:pPr>
      <w:r>
        <w:rPr/>
        <w:t xml:space="preserve">If we compare the two previous extracts to the default sequence of Dependent Arising, the function of the factor of consciousness in the sequence is clarified. In </w:t>
      </w:r>
      <w:hyperlink w:anchor="bqseg65">
        <w:r>
          <w:rPr>
            <w:rStyle w:val="Hyperlink"/>
          </w:rPr>
          <w:t>§65</w:t>
        </w:r>
      </w:hyperlink>
      <w:r>
        <w:rPr/>
        <w:t xml:space="preserve"> the nutriment of consciousness leads to the birth of a being; in </w:t>
      </w:r>
      <w:hyperlink w:anchor="bqseg66">
        <w:r>
          <w:rPr>
            <w:rStyle w:val="Hyperlink"/>
          </w:rPr>
          <w:t>§66</w:t>
        </w:r>
      </w:hyperlink>
      <w:r>
        <w:rP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pPr>
        <w:pStyle w:val="WW-table-caption"/>
        <w:rPr/>
      </w:pPr>
      <w:r>
        <w:rPr/>
        <w:t>{SimpleNoRowBorders}Table 15. Passages on consciousness alongside standard sequence</w:t>
      </w:r>
    </w:p>
    <w:tbl>
      <w:tblPr>
        <w:tblW w:w="7974" w:type="dxa"/>
        <w:jc w:val="start"/>
        <w:tblInd w:w="0" w:type="dxa"/>
        <w:tblLayout w:type="fixed"/>
        <w:tblCellMar>
          <w:top w:w="0" w:type="dxa"/>
          <w:start w:w="0" w:type="dxa"/>
          <w:bottom w:w="0" w:type="dxa"/>
          <w:end w:w="0" w:type="dxa"/>
        </w:tblCellMar>
      </w:tblPr>
      <w:tblGrid>
        <w:gridCol w:w="2412"/>
        <w:gridCol w:w="2515"/>
        <w:gridCol w:w="3047"/>
      </w:tblGrid>
      <w:tr>
        <w:trPr/>
        <w:tc>
          <w:tcPr>
            <w:tcW w:w="2412" w:type="dxa"/>
            <w:tcBorders/>
            <w:vAlign w:val="center"/>
          </w:tcPr>
          <w:p>
            <w:pPr>
              <w:pStyle w:val="WW-paragraph"/>
              <w:spacing w:before="170" w:after="170"/>
              <w:rPr/>
            </w:pPr>
            <w:r>
              <w:rPr>
                <w:rStyle w:val="Strong"/>
              </w:rPr>
              <w:t>Standard sequence</w:t>
            </w:r>
          </w:p>
        </w:tc>
        <w:tc>
          <w:tcPr>
            <w:tcW w:w="2515" w:type="dxa"/>
            <w:tcBorders/>
            <w:vAlign w:val="center"/>
          </w:tcPr>
          <w:p>
            <w:pPr>
              <w:pStyle w:val="WW-paragraph"/>
              <w:spacing w:before="170" w:after="170"/>
              <w:rPr/>
            </w:pPr>
            <w:hyperlink w:anchor="bqseg65">
              <w:r>
                <w:rPr>
                  <w:rStyle w:val="Hyperlink"/>
                  <w:b/>
                  <w:bCs/>
                </w:rPr>
                <w:t>§65</w:t>
              </w:r>
            </w:hyperlink>
          </w:p>
        </w:tc>
        <w:tc>
          <w:tcPr>
            <w:tcW w:w="3047" w:type="dxa"/>
            <w:tcBorders/>
            <w:vAlign w:val="center"/>
          </w:tcPr>
          <w:p>
            <w:pPr>
              <w:pStyle w:val="WW-paragraph"/>
              <w:spacing w:before="170" w:after="170"/>
              <w:rPr/>
            </w:pPr>
            <w:hyperlink w:anchor="bqseg66">
              <w:r>
                <w:rPr>
                  <w:rStyle w:val="Hyperlink"/>
                  <w:b/>
                  <w:bCs/>
                </w:rPr>
                <w:t>§66</w:t>
              </w:r>
            </w:hyperlink>
          </w:p>
        </w:tc>
      </w:tr>
      <w:tr>
        <w:trPr/>
        <w:tc>
          <w:tcPr>
            <w:tcW w:w="2412" w:type="dxa"/>
            <w:tcBorders/>
            <w:vAlign w:val="center"/>
          </w:tcPr>
          <w:p>
            <w:pPr>
              <w:pStyle w:val="WW-paragraph"/>
              <w:spacing w:before="170" w:after="170"/>
              <w:rPr/>
            </w:pPr>
            <w:r>
              <w:rPr/>
              <w:t>3. Consciousness</w:t>
              <w:br/>
              <w:br/>
              <w:t>4. Imm. aspects &amp; body</w:t>
            </w:r>
          </w:p>
        </w:tc>
        <w:tc>
          <w:tcPr>
            <w:tcW w:w="2515" w:type="dxa"/>
            <w:tcBorders/>
            <w:vAlign w:val="center"/>
          </w:tcPr>
          <w:p>
            <w:pPr>
              <w:pStyle w:val="WW-paragraph"/>
              <w:spacing w:before="170" w:after="170"/>
              <w:rPr/>
            </w:pPr>
            <w:r>
              <w:rPr/>
              <w:t xml:space="preserve">• </w:t>
            </w:r>
            <w:r>
              <w:rPr/>
              <w:t>Consciousness</w:t>
              <w:br/>
              <w:t>• Production of existence</w:t>
              <w:br/>
              <w:t>• Being is born</w:t>
            </w:r>
          </w:p>
        </w:tc>
        <w:tc>
          <w:tcPr>
            <w:tcW w:w="3047" w:type="dxa"/>
            <w:tcBorders/>
            <w:vAlign w:val="center"/>
          </w:tcPr>
          <w:p>
            <w:pPr>
              <w:pStyle w:val="WW-paragraph"/>
              <w:spacing w:before="170" w:after="170"/>
              <w:rPr/>
            </w:pPr>
            <w:r>
              <w:rPr/>
              <w:t xml:space="preserve">• </w:t>
            </w:r>
            <w:r>
              <w:rPr/>
              <w:t>Consciousness &amp; 5 elements</w:t>
              <w:br/>
              <w:t>• Conception of fetus</w:t>
              <w:br/>
              <w:t>• Immaterial aspects &amp; body</w:t>
            </w:r>
          </w:p>
        </w:tc>
      </w:tr>
      <w:tr>
        <w:trPr/>
        <w:tc>
          <w:tcPr>
            <w:tcW w:w="2412" w:type="dxa"/>
            <w:tcBorders/>
            <w:vAlign w:val="center"/>
          </w:tcPr>
          <w:p>
            <w:pPr>
              <w:pStyle w:val="WW-paragraph"/>
              <w:spacing w:before="170" w:after="170"/>
              <w:rPr/>
            </w:pPr>
            <w:r>
              <w:rPr/>
              <w:t>5. Six senses</w:t>
              <w:br/>
              <w:t>6. Sense impressions</w:t>
              <w:br/>
              <w:t>7. …</w:t>
            </w:r>
          </w:p>
        </w:tc>
        <w:tc>
          <w:tcPr>
            <w:tcW w:w="2515" w:type="dxa"/>
            <w:tcBorders/>
            <w:vAlign w:val="center"/>
          </w:tcPr>
          <w:p>
            <w:pPr>
              <w:pStyle w:val="WW-paragraph"/>
              <w:spacing w:before="170" w:after="170"/>
              <w:rPr/>
            </w:pPr>
            <w:r>
              <w:rPr/>
              <w:t xml:space="preserve">• </w:t>
            </w:r>
            <w:r>
              <w:rPr/>
              <w:t>Six senses</w:t>
              <w:br/>
              <w:t>• Sense impressions</w:t>
              <w:br/>
              <w:t>• …</w:t>
            </w:r>
          </w:p>
        </w:tc>
        <w:tc>
          <w:tcPr>
            <w:tcW w:w="3047" w:type="dxa"/>
            <w:tcBorders/>
            <w:vAlign w:val="center"/>
          </w:tcPr>
          <w:p>
            <w:pPr>
              <w:pStyle w:val="WW-paragraph"/>
              <w:spacing w:before="170" w:after="170"/>
              <w:rPr/>
            </w:pPr>
            <w:r>
              <w:rPr/>
              <w:t xml:space="preserve">• </w:t>
            </w:r>
            <w:r>
              <w:rPr/>
              <w:t>Six senses</w:t>
              <w:br/>
              <w:t>• Sense impressions</w:t>
              <w:br/>
              <w:t>• …</w:t>
            </w:r>
          </w:p>
        </w:tc>
      </w:tr>
    </w:tbl>
    <w:p>
      <w:pPr>
        <w:pStyle w:val="WW-paragraph"/>
        <w:rPr/>
      </w:pPr>
      <w:r>
        <w:rP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rPr/>
        <w:t xml:space="preserve"> for consciousness that fuels process of rebirth. This distinction may seem overly detailed now, but it may help in understanding the </w:t>
      </w:r>
      <w:r>
        <w:rPr>
          <w:rStyle w:val="wwc-sesame"/>
        </w:rPr>
        <w:t>Seeds Discourse</w:t>
      </w:r>
      <w:r>
        <w:rPr/>
        <w:t xml:space="preserve"> later.</w:t>
      </w:r>
    </w:p>
    <w:p>
      <w:pPr>
        <w:pStyle w:val="WW-chapter-section-1"/>
        <w:ind w:hanging="0" w:start="0"/>
        <w:rPr/>
      </w:pPr>
      <w:r>
        <w:rPr/>
        <w:t>Summary of the four nutriments</w:t>
      </w:r>
    </w:p>
    <w:p>
      <w:pPr>
        <w:pStyle w:val="WW-paragraph"/>
        <w:rPr/>
      </w:pPr>
      <w:r>
        <w:rPr/>
        <w:t>To recall the start of this chapter, the four nutriments have two functions: they (A) ensure the existence of beings who are born and (B) aid those to be reborn. With no intention to be comprehensive, this is how the four nutriments ensure existence (A):</w:t>
      </w:r>
    </w:p>
    <w:p>
      <w:pPr>
        <w:pStyle w:val="WW-paragraph"/>
        <w:numPr>
          <w:ilvl w:val="0"/>
          <w:numId w:val="4"/>
        </w:numPr>
        <w:rPr/>
      </w:pPr>
      <w:r>
        <w:rPr/>
        <w:t>The nutriment (</w:t>
      </w:r>
      <w:r>
        <w:rPr>
          <w:rStyle w:val="wwc-pali"/>
        </w:rPr>
        <w:t>āhāra</w:t>
      </w:r>
      <w:r>
        <w:rPr/>
        <w:t>) of edible food is physical food that beings need to consume to stay alive. The idea is simple: “The body depends on food (</w:t>
      </w:r>
      <w:r>
        <w:rPr>
          <w:rStyle w:val="wwc-pali"/>
        </w:rPr>
        <w:t>āhāra</w:t>
      </w:r>
      <w:r>
        <w:rPr/>
        <w:t>), and will die without it.”</w:t>
      </w:r>
      <w:r>
        <w:rPr>
          <w:rStyle w:val="FootnoteReference"/>
        </w:rPr>
        <w:footnoteReference w:id="257"/>
      </w:r>
    </w:p>
    <w:p>
      <w:pPr>
        <w:pStyle w:val="WW-paragraph"/>
        <w:numPr>
          <w:ilvl w:val="0"/>
          <w:numId w:val="4"/>
        </w:numPr>
        <w:rPr/>
      </w:pPr>
      <w:r>
        <w:rPr/>
        <w:t>The nutriment of sense impression gives rise to sensations, without which there is no existence. There are even gods who are said to feed on delight.</w:t>
      </w:r>
      <w:r>
        <w:rPr>
          <w:rStyle w:val="FootnoteReference"/>
        </w:rPr>
        <w:footnoteReference w:id="258"/>
      </w:r>
    </w:p>
    <w:p>
      <w:pPr>
        <w:pStyle w:val="WW-paragraph"/>
        <w:numPr>
          <w:ilvl w:val="0"/>
          <w:numId w:val="4"/>
        </w:numPr>
        <w:rPr/>
      </w:pPr>
      <w:r>
        <w:rPr/>
        <w:t>The nutriment of intention refers to the intentions that keep us alive, including the intentions to avoid deathly dangers and to look for food.</w:t>
      </w:r>
    </w:p>
    <w:p>
      <w:pPr>
        <w:pStyle w:val="WW-paragraph"/>
        <w:numPr>
          <w:ilvl w:val="0"/>
          <w:numId w:val="4"/>
        </w:numPr>
        <w:rPr/>
      </w:pPr>
      <w:r>
        <w:rPr/>
        <w:t>The nutriment of consciousness refers to the reestablishment of consciousness at birth, which results in the whole life that follows.</w:t>
      </w:r>
    </w:p>
    <w:p>
      <w:pPr>
        <w:pStyle w:val="WW-paragraph"/>
        <w:rPr/>
      </w:pPr>
      <w:r>
        <w:rPr/>
        <w:t>And this is how the four nutriments aid in rebirth (B):</w:t>
      </w:r>
    </w:p>
    <w:p>
      <w:pPr>
        <w:pStyle w:val="WW-paragraph"/>
        <w:numPr>
          <w:ilvl w:val="0"/>
          <w:numId w:val="14"/>
        </w:numPr>
        <w:rPr/>
      </w:pPr>
      <w:r>
        <w:rPr/>
        <w:t>The nutriment of edible food symbolically represents all sensual pleasures. Desire for them leads to rebirth in the sensual realm.</w:t>
      </w:r>
    </w:p>
    <w:p>
      <w:pPr>
        <w:pStyle w:val="WW-paragraph"/>
        <w:numPr>
          <w:ilvl w:val="0"/>
          <w:numId w:val="14"/>
        </w:numPr>
        <w:rPr/>
      </w:pPr>
      <w:r>
        <w:rPr/>
        <w:t>The nutriment of sense impression implies sensations. Desire for sensations leads to rebirth in any of the realms, including the non-sensual ones.</w:t>
      </w:r>
    </w:p>
    <w:p>
      <w:pPr>
        <w:pStyle w:val="WW-paragraph"/>
        <w:numPr>
          <w:ilvl w:val="0"/>
          <w:numId w:val="14"/>
        </w:numPr>
        <w:rPr/>
      </w:pPr>
      <w:r>
        <w:rPr/>
        <w:t>The nutriment of intention stands for willful actions, which result in rebirth in a place that aligns with those actions.</w:t>
      </w:r>
    </w:p>
    <w:p>
      <w:pPr>
        <w:pStyle w:val="WW-paragraph"/>
        <w:numPr>
          <w:ilvl w:val="0"/>
          <w:numId w:val="14"/>
        </w:numPr>
        <w:rPr/>
      </w:pPr>
      <w:r>
        <w:rPr/>
        <w:t>The nutriment of consciousness implies existence as a whole. Desire for further existence after death leads to rebirth of both consciousness and the immaterial aspects and body.</w:t>
      </w:r>
    </w:p>
    <w:p>
      <w:pPr>
        <w:pStyle w:val="WW-paragraph"/>
        <w:rPr/>
      </w:pPr>
      <w:r>
        <w:rPr/>
        <w:t xml:space="preserve">The reestablishment of consciousness at birth (A4) depends on the four nutriments when they function as causes for rebirth (B1–4). To jump ahead a bit, the </w:t>
      </w:r>
      <w:r>
        <w:rPr>
          <w:rStyle w:val="wwc-sesame"/>
        </w:rPr>
        <w:t>Seeds Discourse</w:t>
      </w:r>
      <w:r>
        <w:rP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rP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pPr>
        <w:pStyle w:val="WW-chapter-section-1"/>
        <w:ind w:hanging="0" w:start="0"/>
        <w:rPr/>
      </w:pPr>
      <w:r>
        <w:rPr/>
        <w:t>Food and life</w:t>
      </w:r>
    </w:p>
    <w:p>
      <w:pPr>
        <w:pStyle w:val="WW-paragraph"/>
        <w:rPr/>
      </w:pPr>
      <w:r>
        <w:rP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rPr/>
        <w:t>.</w:t>
      </w:r>
    </w:p>
    <w:p>
      <w:pPr>
        <w:pStyle w:val="WW-figure"/>
        <w:rPr/>
      </w:pPr>
      <w:r>
        <w:rPr/>
        <w:t>./img/food.png=A table with four types of fruit on it (a pear, an apple, grapes, and a banana). A fat man is eating them. The fruits are labeled ‘edible food’, ‘sense impressions’, ‘intentions’, and ‘consciousness’, the eating man ‘craving’, and his fat belly ‘more life’.=30=border</w:t>
        <w:br/>
        <w:t>Figure 13. The four nutriments as a metaphor for rebirth</w:t>
      </w:r>
    </w:p>
    <w:p>
      <w:pPr>
        <w:pStyle w:val="WW-paragraph"/>
        <w:rPr/>
      </w:pPr>
      <w:r>
        <w:rPr/>
        <w:t>As is quite well known, the word for ‘craving’ (</w:t>
      </w:r>
      <w:r>
        <w:rPr>
          <w:rStyle w:val="wwc-pali"/>
        </w:rPr>
        <w:t>taṇhā</w:t>
      </w:r>
      <w:r>
        <w:rPr/>
        <w:t xml:space="preserve">) literally means ‘thirst’. But </w:t>
      </w:r>
      <w:r>
        <w:rPr>
          <w:rStyle w:val="wwc-pali"/>
        </w:rPr>
        <w:t>taṇhā</w:t>
      </w:r>
      <w:r>
        <w:rPr/>
        <w:t xml:space="preserve"> is sometimes also compared to hunger. It is the hunger for existence that makes beings take up the five aspects of existence again at rebirth.</w:t>
      </w:r>
    </w:p>
    <w:p>
      <w:pPr>
        <w:pStyle w:val="WW-named-section"/>
        <w:rPr/>
      </w:pPr>
      <w:r>
        <w:rPr/>
        <w:t>§67</w:t>
      </w:r>
    </w:p>
    <w:p>
      <w:pPr>
        <w:pStyle w:val="WW-line-block"/>
        <w:rPr/>
      </w:pPr>
      <w:bookmarkStart w:id="70" w:name="bqseg67"/>
      <w:bookmarkEnd w:id="70"/>
      <w:r>
        <w:rPr/>
        <w:t>The five aspects of existence truly are burdens,</w:t>
        <w:br/>
        <w:t>and the person is their bearer.</w:t>
        <w:br/>
        <w:t>Picking up the burden creates the suffering in the world;</w:t>
        <w:br/>
        <w:t>putting it down creates ease.</w:t>
      </w:r>
    </w:p>
    <w:p>
      <w:pPr>
        <w:pStyle w:val="WW-line-block"/>
        <w:rPr/>
      </w:pPr>
      <w:r>
        <w:rPr/>
        <w:t>Putting this heavy burden down,</w:t>
        <w:br/>
        <w:t>and not picking up another,</w:t>
        <w:br/>
        <w:t>with craving and its root pulled out,</w:t>
        <w:br/>
        <w:t>hungerless, you get fully extinguished.</w:t>
      </w:r>
      <w:r>
        <w:rPr>
          <w:rStyle w:val="FootnoteReference"/>
        </w:rPr>
        <w:footnoteReference w:id="259"/>
      </w:r>
    </w:p>
    <w:p>
      <w:pPr>
        <w:pStyle w:val="WW-paragraph"/>
        <w:rPr/>
      </w:pPr>
      <w:r>
        <w:rPr/>
        <w:t>The Buddha also said:</w:t>
      </w:r>
    </w:p>
    <w:p>
      <w:pPr>
        <w:pStyle w:val="WW-named-section"/>
        <w:rPr/>
      </w:pPr>
      <w:r>
        <w:rPr/>
        <w:t>§68</w:t>
      </w:r>
    </w:p>
    <w:p>
      <w:pPr>
        <w:pStyle w:val="WW-blockquote"/>
        <w:rPr/>
      </w:pPr>
      <w:bookmarkStart w:id="71" w:name="bqseg68"/>
      <w:bookmarkEnd w:id="71"/>
      <w:r>
        <w:rPr/>
        <w:t>All beings are kept in existence by nutriment.</w:t>
      </w:r>
      <w:r>
        <w:rPr>
          <w:rStyle w:val="FootnoteReference"/>
        </w:rPr>
        <w:footnoteReference w:id="260"/>
      </w:r>
    </w:p>
    <w:p>
      <w:pPr>
        <w:pStyle w:val="WW-paragraph"/>
        <w:rPr/>
      </w:pPr>
      <w:r>
        <w:rPr/>
        <w:t xml:space="preserve">Considering that beings have to eat to survive, at first this may seem an obvious statement. However, it includes </w:t>
      </w:r>
      <w:r>
        <w:rPr>
          <w:rStyle w:val="Emphasis"/>
        </w:rPr>
        <w:t>all</w:t>
      </w:r>
      <w:r>
        <w:rPr/>
        <w:t xml:space="preserve"> beings, including the heavenly ones, so it refers to something more profound than just physical food. Let me explain.</w:t>
      </w:r>
    </w:p>
    <w:p>
      <w:pPr>
        <w:pStyle w:val="WW-paragraph"/>
        <w:rPr/>
      </w:pPr>
      <w:r>
        <w:rPr/>
        <w:t xml:space="preserve">The basic idea that all beings require food is not originally the Buddha’s. The early </w:t>
      </w:r>
      <w:r>
        <w:rPr>
          <w:rStyle w:val="wwc-sesame"/>
        </w:rPr>
        <w:t>Upaniṣads</w:t>
      </w:r>
      <w:r>
        <w:rPr/>
        <w:t xml:space="preserve"> state:</w:t>
      </w:r>
    </w:p>
    <w:p>
      <w:pPr>
        <w:pStyle w:val="WW-named-section"/>
        <w:rPr/>
      </w:pPr>
      <w:r>
        <w:rPr/>
        <w:t>§69</w:t>
      </w:r>
    </w:p>
    <w:p>
      <w:pPr>
        <w:pStyle w:val="WW-blockquote"/>
        <w:rPr/>
      </w:pPr>
      <w:bookmarkStart w:id="72" w:name="bqseg69"/>
      <w:bookmarkEnd w:id="72"/>
      <w:r>
        <w:rP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1"/>
      </w:r>
    </w:p>
    <w:p>
      <w:pPr>
        <w:pStyle w:val="WW-paragraph"/>
        <w:rPr/>
      </w:pPr>
      <w:r>
        <w:rPr/>
        <w:t xml:space="preserve">The idea that all beings rely on food is one of the major themes of the entire Vedic corpus, including the </w:t>
      </w:r>
      <w:r>
        <w:rPr>
          <w:rStyle w:val="wwc-sesame"/>
        </w:rPr>
        <w:t>Upaniṣads</w:t>
      </w:r>
      <w:r>
        <w:rPr/>
        <w:t>. “Life and society are understood by the Vedic poets in terms of the basic struggle of acquiring food”, wrote Carlos Lopez.</w:t>
      </w:r>
      <w:r>
        <w:rPr>
          <w:rStyle w:val="FootnoteReference"/>
        </w:rPr>
        <w:footnoteReference w:id="262"/>
      </w:r>
      <w:r>
        <w:rP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rP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3"/>
      </w:r>
    </w:p>
    <w:p>
      <w:pPr>
        <w:pStyle w:val="WW-paragraph"/>
        <w:rPr/>
      </w:pPr>
      <w:r>
        <w:rP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rPr/>
        <w:t xml:space="preserve"> [ancestors] needed offerings to continue their existence […]. The Buddha, however, speaks of four sorts of food [</w:t>
      </w:r>
      <w:r>
        <w:rPr>
          <w:rStyle w:val="wwc-pali"/>
        </w:rPr>
        <w:t>āhāra</w:t>
      </w:r>
      <w:r>
        <w:rPr/>
        <w:t>], which are instruments of continuity, and imply the future process of rebirth.”</w:t>
      </w:r>
      <w:r>
        <w:rPr>
          <w:rStyle w:val="FootnoteReference"/>
        </w:rPr>
        <w:footnoteReference w:id="264"/>
      </w:r>
      <w:r>
        <w:rP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pPr>
        <w:pStyle w:val="WW-named-section"/>
        <w:rPr/>
      </w:pPr>
      <w:r>
        <w:rPr/>
        <w:t>§70</w:t>
      </w:r>
    </w:p>
    <w:p>
      <w:pPr>
        <w:pStyle w:val="WW-line-block"/>
        <w:rPr/>
      </w:pPr>
      <w:bookmarkStart w:id="73" w:name="bqseg70"/>
      <w:bookmarkEnd w:id="73"/>
      <w:r>
        <w:rPr/>
        <w:t>Whatever suffering there may be,</w:t>
        <w:br/>
        <w:t>all originates dependent on intake of nutriments.</w:t>
        <w:br/>
        <w:t>If intake of nutriments ceases,</w:t>
        <w:br/>
        <w:t>no suffering will come to be.</w:t>
      </w:r>
      <w:r>
        <w:rPr>
          <w:rStyle w:val="FootnoteReference"/>
        </w:rPr>
        <w:footnoteReference w:id="265"/>
      </w:r>
    </w:p>
    <w:p>
      <w:pPr>
        <w:pStyle w:val="WW-paragraph"/>
        <w:rPr/>
      </w:pPr>
      <w:r>
        <w:rP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rPr/>
        <w:t>) of nutriments, which leads to the end of existence. This is stated in the cessation sequence as: “If craving ceases, fuel/taking up (</w:t>
      </w:r>
      <w:r>
        <w:rPr>
          <w:rStyle w:val="wwc-pali"/>
        </w:rPr>
        <w:t>upādāna</w:t>
      </w:r>
      <w:r>
        <w:rPr/>
        <w:t xml:space="preserve">) will cease. If fuel/taking up ceases, existence will cease.” Here </w:t>
      </w:r>
      <w:r>
        <w:rPr>
          <w:rStyle w:val="wwc-pali"/>
        </w:rPr>
        <w:t>upādāna</w:t>
      </w:r>
      <w:r>
        <w:rP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pPr>
        <w:pStyle w:val="WW-figure"/>
        <w:rPr/>
      </w:pPr>
      <w:r>
        <w:rPr/>
        <w:t>./img/foodno.png=A skinny man not eating the four fruits. He is labeled ‘no craving’ and his thin belly ‘no rebirth’.=30=border</w:t>
        <w:br/>
        <w:t>./img/fooddead.png=A dead skinny man labeled ‘no life’.=30=border</w:t>
        <w:br/>
        <w:t>Figure 14. Stopping nutrition as a simile for ending existence</w:t>
      </w:r>
    </w:p>
    <w:p>
      <w:pPr>
        <w:pStyle w:val="WW-paragraph"/>
        <w:rPr/>
      </w:pPr>
      <w:r>
        <w:rPr/>
        <w:t>The four nutriments have many more implications,</w:t>
      </w:r>
      <w:r>
        <w:rPr>
          <w:rStyle w:val="FootnoteReference"/>
        </w:rPr>
        <w:footnoteReference w:id="266"/>
      </w:r>
      <w:r>
        <w:rPr/>
        <w:t xml:space="preserve"> but what has been discussed so far will serve as a backdrop for the </w:t>
      </w:r>
      <w:r>
        <w:rPr>
          <w:rStyle w:val="wwc-sesame"/>
        </w:rPr>
        <w:t>If There is Desire Discourse</w:t>
      </w:r>
      <w:r>
        <w:rPr/>
        <w:t xml:space="preserve"> and the </w:t>
      </w:r>
      <w:r>
        <w:rPr>
          <w:rStyle w:val="wwc-sesame"/>
        </w:rPr>
        <w:t>Seeds Discourse</w:t>
      </w:r>
      <w:r>
        <w:rPr/>
        <w:t>, where the nutriments are mentioned without details.</w:t>
      </w:r>
      <w:r>
        <w:br w:type="page"/>
      </w:r>
    </w:p>
    <w:p>
      <w:pPr>
        <w:pStyle w:val="WW-Chapter"/>
        <w:spacing w:before="0" w:after="567"/>
        <w:ind w:hanging="0" w:start="0"/>
        <w:rPr/>
      </w:pPr>
      <w:r>
        <w:rPr/>
        <w:t>7. Plant life as a metaphor for sentient life</w:t>
      </w:r>
    </w:p>
    <w:p>
      <w:pPr>
        <w:pStyle w:val="WW-paragraph"/>
        <w:rPr/>
      </w:pPr>
      <w:r>
        <w:rPr/>
        <w:t xml:space="preserve">With the four nutriments, the Buddha used the life of a sentient being as a metaphor for continued existence after death, but he also frequently used the life of </w:t>
      </w:r>
      <w:r>
        <w:rPr>
          <w:rStyle w:val="Emphasis"/>
        </w:rPr>
        <w:t>plants</w:t>
      </w:r>
      <w:r>
        <w:rPr/>
        <w:t xml:space="preserve"> as a metaphor for these things. This chapter illustrates some of these metaphors, which shed a lot of light on the term </w:t>
      </w:r>
      <w:r>
        <w:rPr>
          <w:rStyle w:val="wwc-pali"/>
        </w:rPr>
        <w:t>patiṭṭhita viññāṇa</w:t>
      </w:r>
      <w:r>
        <w:rPr/>
        <w:t xml:space="preserve"> (‘consciousness is planted’).</w:t>
      </w:r>
    </w:p>
    <w:p>
      <w:pPr>
        <w:pStyle w:val="WW-chapter-section-1"/>
        <w:ind w:hanging="0" w:start="0"/>
        <w:rPr/>
      </w:pPr>
      <w:r>
        <w:rPr/>
        <w:t>Consciousness as a seed for rebirth</w:t>
      </w:r>
    </w:p>
    <w:p>
      <w:pPr>
        <w:pStyle w:val="WW-paragraph"/>
        <w:rPr/>
      </w:pPr>
      <w:r>
        <w:rP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rPr/>
        <w:t>, the Buddha describes it explicitly:</w:t>
      </w:r>
    </w:p>
    <w:p>
      <w:pPr>
        <w:pStyle w:val="WW-named-section"/>
        <w:rPr/>
      </w:pPr>
      <w:r>
        <w:rPr/>
        <w:t>§71</w:t>
      </w:r>
    </w:p>
    <w:p>
      <w:pPr>
        <w:pStyle w:val="WW-blockquote"/>
        <w:rPr/>
      </w:pPr>
      <w:bookmarkStart w:id="74" w:name="bqseg71"/>
      <w:bookmarkEnd w:id="74"/>
      <w:r>
        <w:rPr/>
        <w:t>Venerable Ānanda approached the Buddha, bowed to him, and sat down to a side. He then asked: “Venerable sir, you mentioned existence (</w:t>
      </w:r>
      <w:r>
        <w:rPr>
          <w:rStyle w:val="wwc-pali"/>
        </w:rPr>
        <w:t>bhava</w:t>
      </w:r>
      <w:r>
        <w:rPr/>
        <w:t>), but how is there existence?”</w:t>
      </w:r>
    </w:p>
    <w:p>
      <w:pPr>
        <w:pStyle w:val="WW-blockquote"/>
        <w:rPr/>
      </w:pPr>
      <w:r>
        <w:rPr/>
        <w:t>“</w:t>
      </w:r>
      <w:r>
        <w:rPr/>
        <w:t>Ānanda, would existence in the sensual worlds occur if there were no deeds that ripened [or ‘resulted’] in the sensual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lower realm. That is how existence in a future life is produced.</w:t>
      </w:r>
    </w:p>
    <w:p>
      <w:pPr>
        <w:pStyle w:val="WW-blockquote"/>
        <w:rPr/>
      </w:pPr>
      <w:r>
        <w:rPr/>
        <w:t>Would existence with [non-physical] form occur if there were no deeds that ripened in the form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middle realm. That is how existence in a future life is produced.</w:t>
      </w:r>
    </w:p>
    <w:p>
      <w:pPr>
        <w:pStyle w:val="WW-blockquote"/>
        <w:rPr/>
      </w:pPr>
      <w:r>
        <w:rPr/>
        <w:t>Would existence without form occur if there were no deeds that ripened in the formless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higher realm. That is how existence in a future life is produced.</w:t>
      </w:r>
    </w:p>
    <w:p>
      <w:pPr>
        <w:pStyle w:val="WW-blockquote"/>
        <w:rPr/>
      </w:pPr>
      <w:r>
        <w:rPr/>
        <w:t>Ānanda, that is how existence comes to be.”</w:t>
      </w:r>
      <w:r>
        <w:rPr>
          <w:rStyle w:val="FootnoteReference"/>
        </w:rPr>
        <w:footnoteReference w:id="267"/>
      </w:r>
    </w:p>
    <w:p>
      <w:pPr>
        <w:pStyle w:val="WW-paragraph"/>
        <w:rPr/>
      </w:pPr>
      <w:r>
        <w:rPr/>
        <w:t>The word I translate as ‘planted’ (</w:t>
      </w:r>
      <w:r>
        <w:rPr>
          <w:rStyle w:val="wwc-pali"/>
        </w:rPr>
        <w:t>patiṭṭhita</w:t>
      </w:r>
      <w:r>
        <w:rP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rPr/>
        <w:t>-ed” there. It is said, for example, that a farmer first ploughs his field and then plants (</w:t>
      </w:r>
      <w:r>
        <w:rPr>
          <w:rStyle w:val="wwc-pali"/>
        </w:rPr>
        <w:t>patiṭṭha</w:t>
      </w:r>
      <w:r>
        <w:rPr/>
        <w:t>) his seeds.</w:t>
      </w:r>
      <w:r>
        <w:rPr>
          <w:rStyle w:val="FootnoteReference"/>
        </w:rPr>
        <w:footnoteReference w:id="268"/>
      </w:r>
      <w:r>
        <w:rPr/>
        <w:t xml:space="preserve"> So the translation ‘planted’ gives a better sense of how people at the time would have understood the term in this context.</w:t>
      </w:r>
      <w:r>
        <w:rPr>
          <w:rStyle w:val="FootnoteReference"/>
        </w:rPr>
        <w:footnoteReference w:id="269"/>
      </w:r>
    </w:p>
    <w:p>
      <w:pPr>
        <w:pStyle w:val="WW-paragraph"/>
        <w:rPr/>
      </w:pPr>
      <w:r>
        <w:rPr/>
        <w:t xml:space="preserve">Using similar reasoning, I translate </w:t>
      </w:r>
      <w:r>
        <w:rPr>
          <w:rStyle w:val="wwc-pali"/>
        </w:rPr>
        <w:t>virūḷhi</w:t>
      </w:r>
      <w:r>
        <w:rP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rPr/>
        <w:t>)”.</w:t>
      </w:r>
      <w:r>
        <w:rPr>
          <w:rStyle w:val="FootnoteReference"/>
        </w:rPr>
        <w:footnoteReference w:id="270"/>
      </w:r>
      <w:r>
        <w:rPr/>
        <w:t xml:space="preserve"> Although in other contexts ‘growth’ might be a more suitable translation for </w:t>
      </w:r>
      <w:r>
        <w:rPr>
          <w:rStyle w:val="wwc-pali"/>
        </w:rPr>
        <w:t>virūḷhi</w:t>
      </w:r>
      <w:r>
        <w:rPr/>
        <w:t>, considering this passage, ‘sprouting’ must be the intended meaning in the seed simile.</w:t>
      </w:r>
    </w:p>
    <w:p>
      <w:pPr>
        <w:pStyle w:val="WW-paragraph"/>
        <w:rPr/>
      </w:pPr>
      <w:r>
        <w:rP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pPr>
        <w:pStyle w:val="WW-figure"/>
        <w:rPr/>
      </w:pPr>
      <w:r>
        <w:rPr/>
        <w:t>./img/seed0.png=A seed labeled ‘consciousness’ in the ground labeled ‘karma’ being watered by water labeled ‘craving’.=</w:t>
      </w:r>
      <w:r>
        <w:rPr>
          <w:lang w:val="en-US"/>
        </w:rPr>
        <w:t>3</w:t>
      </w:r>
      <w:r>
        <w:rPr/>
        <w:t>0=border</w:t>
        <w:br/>
        <w:t>Figure 15. A planted seed as a simile for rebirth</w:t>
      </w:r>
    </w:p>
    <w:p>
      <w:pPr>
        <w:pStyle w:val="WW-figure"/>
        <w:rPr/>
      </w:pPr>
      <w:r>
        <w:rPr/>
        <w:t>./img/seed1.png=A field with rocks and cracks labeled ‘bad karma’ with growing from it a small plant called ‘bad life’.=</w:t>
      </w:r>
      <w:r>
        <w:rPr>
          <w:lang w:val="en-US"/>
        </w:rPr>
        <w:t>3</w:t>
      </w:r>
      <w:r>
        <w:rPr/>
        <w:t>0=border</w:t>
        <w:br/>
        <w:t>./img/seed2.png=A field with some stones rocks labeled ‘medium karma’ with growing from it a medium-sized plant called ‘medium life’.=</w:t>
      </w:r>
      <w:r>
        <w:rPr>
          <w:lang w:val="en-US"/>
        </w:rPr>
        <w:t>3</w:t>
      </w:r>
      <w:r>
        <w:rPr/>
        <w:t>0=border</w:t>
        <w:br/>
        <w:t>./img/</w:t>
      </w:r>
      <w:r>
        <w:rPr>
          <w:lang w:val="en-US"/>
        </w:rPr>
        <w:t>seed3.png</w:t>
      </w:r>
      <w:r>
        <w:rPr/>
        <w:t>=A smooth dark field labeled ‘good karma’ with growing from it a beautiful flower called ‘good life’.=</w:t>
      </w:r>
      <w:r>
        <w:rPr>
          <w:lang w:val="en-US"/>
        </w:rPr>
        <w:t>3</w:t>
      </w:r>
      <w:r>
        <w:rPr/>
        <w:t>0=border</w:t>
        <w:br/>
        <w:t>Figure 16. Plants as a simile for the quality of rebirth</w:t>
      </w:r>
    </w:p>
    <w:p>
      <w:pPr>
        <w:pStyle w:val="WW-paragraph"/>
        <w:rPr/>
      </w:pPr>
      <w:r>
        <w:rP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rPr/>
        <w:t>, which lead to consciousness traveling on to the respective places.</w:t>
      </w:r>
    </w:p>
    <w:p>
      <w:pPr>
        <w:pStyle w:val="WW-paragraph"/>
        <w:rPr/>
      </w:pPr>
      <w:r>
        <w:rPr/>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pPr>
        <w:pStyle w:val="WW-figure"/>
        <w:rPr/>
      </w:pPr>
      <w:r>
        <w:rPr/>
        <w:t>./img/seed5.png=A plant with a seed hanging off. The seed is labeled ‘potential next life’.</w:t>
      </w:r>
      <w:r>
        <w:rPr>
          <w:lang w:val="en-US"/>
        </w:rPr>
        <w:t>=</w:t>
      </w:r>
      <w:r>
        <w:rPr/>
        <w:t>30=border</w:t>
        <w:br/>
        <w:t>./img/seed6.png=A dead plant with next to it a seed in the ground developing into a sapling. The sapling is labeled ‘next life’.</w:t>
      </w:r>
      <w:r>
        <w:rPr>
          <w:lang w:val="en-US"/>
        </w:rPr>
        <w:t>=</w:t>
      </w:r>
      <w:r>
        <w:rPr/>
        <w:t>30=border</w:t>
        <w:br/>
        <w:t>Figure 17. A plant developing a new seed as a simile for rebirth</w:t>
      </w:r>
    </w:p>
    <w:p>
      <w:pPr>
        <w:pStyle w:val="WW-paragraph"/>
        <w:rPr/>
      </w:pPr>
      <w:r>
        <w:rP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rPr/>
        <w:t>, a late text included in the Burmese canon:</w:t>
      </w:r>
    </w:p>
    <w:p>
      <w:pPr>
        <w:pStyle w:val="WW-named-section"/>
        <w:rPr/>
      </w:pPr>
      <w:r>
        <w:rPr/>
        <w:t>§72</w:t>
      </w:r>
    </w:p>
    <w:p>
      <w:pPr>
        <w:pStyle w:val="WW-blockquote"/>
        <w:rPr/>
      </w:pPr>
      <w:bookmarkStart w:id="75" w:name="bqseg72"/>
      <w:bookmarkEnd w:id="75"/>
      <w:r>
        <w:rPr/>
        <w:t>The king [Milinda] said: “Venerable Nāgasena, you speak of this ‘transmigration’ (</w:t>
      </w:r>
      <w:r>
        <w:rPr>
          <w:rStyle w:val="wwc-pali"/>
        </w:rPr>
        <w:t>saṁsāra</w:t>
      </w:r>
      <w:r>
        <w:rPr/>
        <w:t>). What is this transmigration?”</w:t>
      </w:r>
    </w:p>
    <w:p>
      <w:pPr>
        <w:pStyle w:val="WW-blockquote"/>
        <w:rPr/>
      </w:pPr>
      <w:r>
        <w:rPr/>
        <w:t>“</w:t>
      </w:r>
      <w:r>
        <w:rPr/>
        <w:t>Your Majesty, someone is born somewhere and dies there, and is reborn somewhere else. He is born there and dies there, and is reborn somewhere else again. That is how there is transmigration.”</w:t>
      </w:r>
    </w:p>
    <w:p>
      <w:pPr>
        <w:pStyle w:val="WW-blockquote"/>
        <w:rPr/>
      </w:pPr>
      <w:r>
        <w:rPr/>
        <w:t>“</w:t>
      </w:r>
      <w:r>
        <w:rPr/>
        <w:t>Can you give a simile?”</w:t>
      </w:r>
    </w:p>
    <w:p>
      <w:pPr>
        <w:pStyle w:val="WW-blockquote"/>
        <w:rPr/>
      </w:pPr>
      <w:r>
        <w:rPr/>
        <w:t>“</w:t>
      </w:r>
      <w:r>
        <w:rPr/>
        <w:t>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somewhere and dies there, and is reborn somewhere else. He is born there and dies there, and is reborn somewhere else again. That is how there is transmigration.”</w:t>
      </w:r>
      <w:r>
        <w:rPr>
          <w:rStyle w:val="FootnoteReference"/>
        </w:rPr>
        <w:footnoteReference w:id="271"/>
      </w:r>
    </w:p>
    <w:p>
      <w:pPr>
        <w:pStyle w:val="WW-paragraph"/>
        <w:rPr/>
      </w:pPr>
      <w:r>
        <w:rP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rPr/>
        <w:t xml:space="preserve"> uses the same simile in context of </w:t>
      </w:r>
      <w:r>
        <w:rPr>
          <w:rStyle w:val="wwc-pali"/>
        </w:rPr>
        <w:t>anatta</w:t>
      </w:r>
      <w:r>
        <w:rPr/>
        <w:t>, reminding us there is no self involved in the process of rebirth, just like no part of the original tree is found in its ancestors.</w:t>
      </w:r>
      <w:r>
        <w:rPr>
          <w:rStyle w:val="FootnoteReference"/>
        </w:rPr>
        <w:footnoteReference w:id="272"/>
      </w:r>
    </w:p>
    <w:p>
      <w:pPr>
        <w:pStyle w:val="WW-chapter-section-1"/>
        <w:ind w:hanging="0" w:start="0"/>
        <w:rPr/>
      </w:pPr>
      <w:r>
        <w:rPr/>
        <w:t>Verses on the seed simile</w:t>
      </w:r>
    </w:p>
    <w:p>
      <w:pPr>
        <w:pStyle w:val="WW-paragraph"/>
        <w:rPr/>
      </w:pPr>
      <w:r>
        <w:rPr/>
        <w:t>Throughout the Pāli Canon there are a number of verses that refer to the seed simile, in each case connecting it directly to rebirth. The first example is a set of verses spoken by the nun Selā:</w:t>
      </w:r>
    </w:p>
    <w:p>
      <w:pPr>
        <w:pStyle w:val="WW-named-section"/>
        <w:rPr/>
      </w:pPr>
      <w:r>
        <w:rPr/>
        <w:t>§73</w:t>
      </w:r>
    </w:p>
    <w:p>
      <w:pPr>
        <w:pStyle w:val="WW-line-block"/>
        <w:rPr/>
      </w:pPr>
      <w:bookmarkStart w:id="76" w:name="bqseg73"/>
      <w:bookmarkEnd w:id="76"/>
      <w:r>
        <w:rPr/>
        <w:t>This puppet [i.e. being] is not made by oneself;</w:t>
        <w:br/>
        <w:t>this misery is not made by another.</w:t>
        <w:br/>
        <w:t>It has come into being dependent on conditions,</w:t>
        <w:br/>
        <w:t>and ceases by the destruction of those conditions.</w:t>
      </w:r>
    </w:p>
    <w:p>
      <w:pPr>
        <w:pStyle w:val="WW-line-block"/>
        <w:rPr/>
      </w:pPr>
      <w:r>
        <w:rPr/>
        <w:t>Just as a seed sprouts</w:t>
        <w:br/>
        <w:t>when sown in a field,</w:t>
        <w:br/>
        <w:t>based on two things:</w:t>
        <w:br/>
        <w:t>nutriments in the earth and moisture,</w:t>
      </w:r>
    </w:p>
    <w:p>
      <w:pPr>
        <w:pStyle w:val="WW-line-block"/>
        <w:rPr/>
      </w:pPr>
      <w:r>
        <w:rPr/>
        <w:t>so the aspects of existence and the elements,</w:t>
        <w:br/>
        <w:t>and these six senses too,</w:t>
        <w:br/>
        <w:t>have come into being dependent on conditions,</w:t>
        <w:br/>
        <w:t>and cease by the destruction of those conditions.</w:t>
      </w:r>
      <w:r>
        <w:rPr>
          <w:rStyle w:val="FootnoteReference"/>
        </w:rPr>
        <w:footnoteReference w:id="273"/>
      </w:r>
    </w:p>
    <w:p>
      <w:pPr>
        <w:pStyle w:val="WW-paragraph"/>
        <w:rPr/>
      </w:pPr>
      <w:r>
        <w:rP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pPr>
        <w:pStyle w:val="WW-paragraph"/>
        <w:rPr/>
      </w:pPr>
      <w:r>
        <w:rPr/>
        <w:t xml:space="preserve">By saying that the being is not made by oneself and that it is just the aspects of existence, Selā also refers to the concept of </w:t>
      </w:r>
      <w:r>
        <w:rPr>
          <w:rStyle w:val="wwc-pali"/>
        </w:rPr>
        <w:t>anatta</w:t>
      </w:r>
      <w:r>
        <w:rPr/>
        <w:t>,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lives—it’s not a completely separate being after all—but nothing of essence, such as a soul, transfers from one life to the next.</w:t>
      </w:r>
    </w:p>
    <w:p>
      <w:pPr>
        <w:pStyle w:val="WW-paragraph"/>
        <w:rPr/>
      </w:pPr>
      <w:r>
        <w:rPr/>
        <w:t xml:space="preserve">The well-known </w:t>
      </w:r>
      <w:r>
        <w:rPr>
          <w:rStyle w:val="wwc-sesame"/>
        </w:rPr>
        <w:t>Ratana Sutta</w:t>
      </w:r>
      <w:r>
        <w:rP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pPr>
        <w:pStyle w:val="WW-named-section"/>
        <w:rPr/>
      </w:pPr>
      <w:r>
        <w:rPr/>
        <w:t>§74</w:t>
      </w:r>
    </w:p>
    <w:p>
      <w:pPr>
        <w:pStyle w:val="WW-line-block"/>
        <w:rPr/>
      </w:pPr>
      <w:bookmarkStart w:id="77" w:name="bqseg74"/>
      <w:bookmarkEnd w:id="77"/>
      <w:r>
        <w:rPr/>
        <w:t>The old ended, and nothing new comes to be:</w:t>
        <w:br/>
        <w:t>with minds that lost the desire for future existence,</w:t>
        <w:br/>
        <w:t>having ended the seed, not wishing to sprout,</w:t>
        <w:br/>
        <w:t>bright people get extinguished just like this lamp.</w:t>
      </w:r>
      <w:r>
        <w:rPr>
          <w:rStyle w:val="FootnoteReference"/>
        </w:rPr>
        <w:footnoteReference w:id="274"/>
      </w:r>
    </w:p>
    <w:p>
      <w:pPr>
        <w:pStyle w:val="WW-paragraph"/>
        <w:rPr/>
      </w:pPr>
      <w:r>
        <w:rPr/>
        <w:t xml:space="preserve">A less famous set of verses in the </w:t>
      </w:r>
      <w:r>
        <w:rPr>
          <w:rStyle w:val="wwc-sesame"/>
        </w:rPr>
        <w:t>Suttanipāta</w:t>
      </w:r>
      <w:r>
        <w:rPr/>
        <w:t xml:space="preserve"> describes the same ideas. The moisture still represents craving here, but the ground now represents the various realms of rebirth instead of karma:</w:t>
      </w:r>
      <w:r>
        <w:rPr>
          <w:rStyle w:val="FootnoteReference"/>
        </w:rPr>
        <w:footnoteReference w:id="275"/>
      </w:r>
    </w:p>
    <w:p>
      <w:pPr>
        <w:pStyle w:val="WW-named-section"/>
        <w:rPr/>
      </w:pPr>
      <w:r>
        <w:rPr/>
        <w:t>§75</w:t>
      </w:r>
    </w:p>
    <w:p>
      <w:pPr>
        <w:pStyle w:val="WW-line-block"/>
        <w:rPr/>
      </w:pPr>
      <w:bookmarkStart w:id="78" w:name="bqseg75"/>
      <w:bookmarkEnd w:id="78"/>
      <w:r>
        <w:rPr/>
        <w:t>Those who cut down what is born and do not resow it,</w:t>
        <w:br/>
        <w:t>who do not nurture what gets born,</w:t>
        <w:br/>
        <w:t>they are called solitary sages.</w:t>
        <w:br/>
        <w:t>Such great seers have seen the place of peace.</w:t>
      </w:r>
      <w:r>
        <w:rPr>
          <w:rStyle w:val="FootnoteReference"/>
        </w:rPr>
        <w:footnoteReference w:id="276"/>
      </w:r>
    </w:p>
    <w:p>
      <w:pPr>
        <w:pStyle w:val="WW-line-block"/>
        <w:rPr/>
      </w:pPr>
      <w:r>
        <w:rPr/>
        <w:t>Having surveyed the grounds and crushed the seed,</w:t>
        <w:br/>
        <w:t>they wouldn’t nurture it with moisture.</w:t>
        <w:br/>
        <w:t>Truly, those sages who see the final end of birth,</w:t>
        <w:br/>
        <w:t>having abandoned speculation, can’t be compared.</w:t>
      </w:r>
    </w:p>
    <w:p>
      <w:pPr>
        <w:pStyle w:val="WW-line-block"/>
        <w:rPr/>
      </w:pPr>
      <w:r>
        <w:rPr/>
        <w:t>Having understood all abodes [i.e. realms],</w:t>
        <w:br/>
        <w:t>not wanting a single one of them:</w:t>
        <w:br/>
        <w:t>truly, those greedless sages free from greed</w:t>
        <w:br/>
        <w:t>no longer strive, for they’ve reached the other shore.</w:t>
      </w:r>
      <w:r>
        <w:rPr>
          <w:rStyle w:val="FootnoteReference"/>
        </w:rPr>
        <w:footnoteReference w:id="277"/>
      </w:r>
    </w:p>
    <w:p>
      <w:pPr>
        <w:pStyle w:val="WW-paragraph"/>
        <w:rPr/>
      </w:pPr>
      <w:r>
        <w:rPr/>
        <w:t>All these verses did not mention consciousness to be the seed. We have a more basic metaphor, where the seed represents the possibility for rebirth more generally.</w:t>
      </w:r>
    </w:p>
    <w:p>
      <w:pPr>
        <w:pStyle w:val="WW-chapter-section-1"/>
        <w:ind w:hanging="0" w:start="0"/>
        <w:rPr/>
      </w:pPr>
      <w:r>
        <w:rPr/>
        <w:t>The Seeds Discourse</w:t>
      </w:r>
    </w:p>
    <w:p>
      <w:pPr>
        <w:pStyle w:val="WW-paragraph"/>
        <w:rPr/>
      </w:pPr>
      <w:r>
        <w:rPr/>
        <w:t>Another text which equates consciousness to a seed is the Seeds Discourse. It has the same basic simile as the exchange with Ānanda on how existence comes to be (</w:t>
      </w:r>
      <w:hyperlink w:anchor="bqseg71">
        <w:r>
          <w:rPr>
            <w:rStyle w:val="Hyperlink"/>
          </w:rPr>
          <w:t>§71</w:t>
        </w:r>
      </w:hyperlink>
      <w:r>
        <w:rPr/>
        <w:t>) but it differs in some details:</w:t>
      </w:r>
    </w:p>
    <w:p>
      <w:pPr>
        <w:pStyle w:val="WW-paragraph"/>
        <w:numPr>
          <w:ilvl w:val="0"/>
          <w:numId w:val="15"/>
        </w:numPr>
        <w:rPr/>
      </w:pPr>
      <w:r>
        <w:rPr/>
        <w:t>Consciousness is still said to be the seed, but now it is joined by the four nutriments.</w:t>
      </w:r>
    </w:p>
    <w:p>
      <w:pPr>
        <w:pStyle w:val="WW-paragraph"/>
        <w:numPr>
          <w:ilvl w:val="0"/>
          <w:numId w:val="15"/>
        </w:numPr>
        <w:rPr/>
      </w:pPr>
      <w:r>
        <w:rPr/>
        <w:t>The seed is still said to be watered, now not by craving but by desire and enjoyment, which are just different manifestations of craving.</w:t>
      </w:r>
    </w:p>
    <w:p>
      <w:pPr>
        <w:pStyle w:val="WW-paragraph"/>
        <w:numPr>
          <w:ilvl w:val="0"/>
          <w:numId w:val="15"/>
        </w:numPr>
        <w:rPr/>
      </w:pPr>
      <w:r>
        <w:rP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pPr>
        <w:pStyle w:val="WW-paragraph"/>
        <w:rPr/>
      </w:pPr>
      <w:r>
        <w:rPr/>
        <w:t xml:space="preserve">The discourse also specifically mentions the situation where the seed is </w:t>
      </w:r>
      <w:r>
        <w:rPr>
          <w:rStyle w:val="Emphasis"/>
        </w:rPr>
        <w:t>not</w:t>
      </w:r>
      <w:r>
        <w:rPr/>
        <w:t xml:space="preserve"> planted (</w:t>
      </w:r>
      <w:r>
        <w:rPr>
          <w:rStyle w:val="wwc-pali"/>
        </w:rPr>
        <w:t>appatiṭṭhita</w:t>
      </w:r>
      <w:r>
        <w:rP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pPr>
        <w:pStyle w:val="WW-paragraph"/>
        <w:rPr/>
      </w:pPr>
      <w:r>
        <w:rPr/>
        <w:t xml:space="preserve">With all that in mind, here is the </w:t>
      </w:r>
      <w:r>
        <w:rPr>
          <w:rStyle w:val="wwc-sesame"/>
        </w:rPr>
        <w:t>Seeds Discourse</w:t>
      </w:r>
      <w:r>
        <w:rPr/>
        <w:t>:</w:t>
      </w:r>
    </w:p>
    <w:p>
      <w:pPr>
        <w:pStyle w:val="WW-named-section"/>
        <w:rPr/>
      </w:pPr>
      <w:r>
        <w:rPr/>
        <w:t>§76</w:t>
      </w:r>
    </w:p>
    <w:p>
      <w:pPr>
        <w:pStyle w:val="WW-blockquote"/>
        <w:rPr/>
      </w:pPr>
      <w:bookmarkStart w:id="79" w:name="bqseg76"/>
      <w:bookmarkEnd w:id="79"/>
      <w:r>
        <w:rPr/>
        <w:t>“</w:t>
      </w:r>
      <w:r>
        <w:rP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pPr>
        <w:pStyle w:val="WW-blockquote"/>
        <w:rPr/>
      </w:pPr>
      <w:r>
        <w:rPr/>
        <w:t>“</w:t>
      </w:r>
      <w:r>
        <w:rPr/>
        <w:t>No, sir.”</w:t>
      </w:r>
    </w:p>
    <w:p>
      <w:pPr>
        <w:pStyle w:val="WW-blockquote"/>
        <w:rPr/>
      </w:pPr>
      <w:r>
        <w:rPr/>
        <w:t>“</w:t>
      </w:r>
      <w:r>
        <w:rPr/>
        <w:t>If these seeds are fertile and well-preserved—not broken, spoiled, or damaged by the wind or sun—and they have earth and water, would they develop, sprout, and mature?”</w:t>
      </w:r>
    </w:p>
    <w:p>
      <w:pPr>
        <w:pStyle w:val="WW-blockquote"/>
        <w:rPr/>
      </w:pPr>
      <w:r>
        <w:rPr/>
        <w:t>“</w:t>
      </w:r>
      <w:r>
        <w:rPr/>
        <w:t>Yes, sir.”</w:t>
      </w:r>
      <w:r>
        <w:rPr>
          <w:rStyle w:val="FootnoteReference"/>
        </w:rPr>
        <w:footnoteReference w:id="278"/>
      </w:r>
    </w:p>
    <w:p>
      <w:pPr>
        <w:pStyle w:val="WW-blockquote"/>
        <w:rPr/>
      </w:pPr>
      <w:r>
        <w:rPr/>
        <w:t>“</w:t>
      </w:r>
      <w:r>
        <w:rPr/>
        <w:t>Mendicants, the four supports for consciousness [i.e. the four other aspects of existence] should be seen as the earth. Enjoyment and desire should be seen as the water. Consciousness with its nutriments should be seen as the five kinds of seeds.</w:t>
      </w:r>
    </w:p>
    <w:p>
      <w:pPr>
        <w:pStyle w:val="WW-blockquote"/>
        <w:rPr/>
      </w:pPr>
      <w:r>
        <w:rP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9"/>
      </w:r>
      <w:r>
        <w:rPr/>
        <w:t xml:space="preserve"> there will be no support for the planting of consciousness, because when desire is abandoned, its foundation is destroyed. Not planted, consciousness will not sprout [i.e. be reborn].</w:t>
      </w:r>
    </w:p>
    <w:p>
      <w:pPr>
        <w:pStyle w:val="WW-blockquote"/>
        <w:rPr/>
      </w:pPr>
      <w:r>
        <w:rPr/>
        <w:t>And not willfully creating anything, the mind is liberated.</w:t>
      </w:r>
      <w:r>
        <w:rPr>
          <w:rStyle w:val="FootnoteReference"/>
        </w:rPr>
        <w:footnoteReference w:id="280"/>
      </w:r>
      <w:r>
        <w:rPr/>
        <w:t xml:space="preserve">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281"/>
      </w:r>
    </w:p>
    <w:p>
      <w:pPr>
        <w:pStyle w:val="WW-paragraph"/>
        <w:rPr/>
      </w:pPr>
      <w:r>
        <w:rPr/>
        <w:t>Because this discourse is very helpful to understand what the planting and not planting of consciousness imply, allow me to explain it in detail. The following illustration visualizes the main ideas:</w:t>
      </w:r>
    </w:p>
    <w:p>
      <w:pPr>
        <w:pStyle w:val="WW-figure"/>
        <w:rPr/>
      </w:pPr>
      <w:bookmarkStart w:id="80" w:name="figure18"/>
      <w:bookmarkEnd w:id="80"/>
      <w:r>
        <w:rPr/>
        <w:t>./img/seedsuttaa.png</w:t>
      </w:r>
      <w:r>
        <w:rPr>
          <w:lang w:val="en-US"/>
        </w:rPr>
        <w:t>=A big planted seed with four small ones being watered by a watering can. The ground is labeled ‘4 khandhas’, the seeds ‘consciousness &amp; four nutriments’, the can ‘desire &amp; enjoyment’.=30=border</w:t>
      </w:r>
      <w:r>
        <w:rPr/>
        <w:br/>
        <w:t>./img/seedsuttab.png</w:t>
      </w:r>
      <w:r>
        <w:rPr>
          <w:lang w:val="en-US"/>
        </w:rPr>
        <w:t>=A seed sprouting labeled ‘sprouting of the next life’.=30=border</w:t>
      </w:r>
      <w:r>
        <w:rPr/>
        <w:br/>
        <w:t>Figure 18. The seed simile in the Seeds Discourse</w:t>
      </w:r>
    </w:p>
    <w:p>
      <w:pPr>
        <w:pStyle w:val="WW-paragraph"/>
        <w:rPr/>
      </w:pPr>
      <w:r>
        <w:rPr/>
        <w:t>The discourse is centered around rebirth, which is particularly evident when it mentions “the departing or arriving of consciousness, its passing on or rebirth”. The words ‘passing on’ (</w:t>
      </w:r>
      <w:r>
        <w:rPr>
          <w:rStyle w:val="Emphasis"/>
        </w:rPr>
        <w:t>cuti</w:t>
      </w:r>
      <w:r>
        <w:rPr/>
        <w:t>) and ‘rebirth’ (</w:t>
      </w:r>
      <w:r>
        <w:rPr>
          <w:rStyle w:val="wwc-pali"/>
        </w:rPr>
        <w:t>upapatti</w:t>
      </w:r>
      <w:r>
        <w:rP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pPr>
        <w:pStyle w:val="WW-named-section"/>
        <w:rPr/>
      </w:pPr>
      <w:r>
        <w:rPr/>
        <w:t>§77</w:t>
      </w:r>
    </w:p>
    <w:p>
      <w:pPr>
        <w:pStyle w:val="WW-blockquote"/>
        <w:rPr/>
      </w:pPr>
      <w:bookmarkStart w:id="81" w:name="bqseg77"/>
      <w:bookmarkEnd w:id="81"/>
      <w:r>
        <w:rP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rPr/>
        <w:t xml:space="preserve"> from there, and </w:t>
      </w:r>
      <w:r>
        <w:rPr>
          <w:rStyle w:val="Emphasis"/>
        </w:rPr>
        <w:t>being reborn</w:t>
      </w:r>
      <w:r>
        <w:rP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pPr>
        <w:pStyle w:val="WW-blockquote"/>
        <w:rPr/>
      </w:pPr>
      <w:r>
        <w:rPr/>
        <w:t xml:space="preserve">You direct [your mind] to knowing the </w:t>
      </w:r>
      <w:r>
        <w:rPr>
          <w:rStyle w:val="Emphasis"/>
        </w:rPr>
        <w:t>passing on</w:t>
      </w:r>
      <w:r>
        <w:rPr/>
        <w:t xml:space="preserve"> and </w:t>
      </w:r>
      <w:r>
        <w:rPr>
          <w:rStyle w:val="Emphasis"/>
        </w:rPr>
        <w:t>rebirth</w:t>
      </w:r>
      <w:r>
        <w:rP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2"/>
      </w:r>
    </w:p>
    <w:p>
      <w:pPr>
        <w:pStyle w:val="WW-paragraph"/>
        <w:rPr/>
      </w:pPr>
      <w:r>
        <w:rP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rPr/>
        <w:t xml:space="preserve"> from here and </w:t>
      </w:r>
      <w:r>
        <w:rPr>
          <w:rStyle w:val="Emphasis"/>
        </w:rPr>
        <w:t>being reborn</w:t>
      </w:r>
      <w:r>
        <w:rPr/>
        <w:t xml:space="preserve"> there.”</w:t>
      </w:r>
      <w:r>
        <w:rPr>
          <w:rStyle w:val="FootnoteReference"/>
        </w:rPr>
        <w:footnoteReference w:id="283"/>
      </w:r>
      <w:r>
        <w:rPr/>
        <w:t xml:space="preserve"> In the definition of death at </w:t>
      </w:r>
      <w:hyperlink w:anchor="bqseg20">
        <w:r>
          <w:rPr>
            <w:rStyle w:val="Hyperlink"/>
          </w:rPr>
          <w:t>§20</w:t>
        </w:r>
      </w:hyperlink>
      <w:r>
        <w:rPr/>
        <w:t xml:space="preserve"> he mentioned, “the </w:t>
      </w:r>
      <w:r>
        <w:rPr>
          <w:rStyle w:val="Emphasis"/>
        </w:rPr>
        <w:t>passing on</w:t>
      </w:r>
      <w:r>
        <w:rPr/>
        <w:t xml:space="preserve"> of any kind of being from any order of beings—their passing away, deceasing, dying […]” Still elsewhere he said: “A being laid down their body and is not yet </w:t>
      </w:r>
      <w:r>
        <w:rPr>
          <w:rStyle w:val="Emphasis"/>
        </w:rPr>
        <w:t>reborn</w:t>
      </w:r>
      <w:r>
        <w:rPr/>
        <w:t xml:space="preserve"> in another body.”</w:t>
      </w:r>
      <w:r>
        <w:rPr>
          <w:rStyle w:val="FootnoteReference"/>
        </w:rPr>
        <w:footnoteReference w:id="284"/>
      </w:r>
    </w:p>
    <w:p>
      <w:pPr>
        <w:pStyle w:val="WW-paragraph"/>
        <w:rPr/>
      </w:pPr>
      <w:r>
        <w:rPr/>
        <w:t>The terms ‘departing’ (</w:t>
      </w:r>
      <w:r>
        <w:rPr>
          <w:rStyle w:val="Emphasis"/>
        </w:rPr>
        <w:t>gati</w:t>
      </w:r>
      <w:r>
        <w:rPr/>
        <w:t>) and ‘arriving’ (</w:t>
      </w:r>
      <w:r>
        <w:rPr>
          <w:rStyle w:val="Emphasis"/>
        </w:rPr>
        <w:t>āgati</w:t>
      </w:r>
      <w:r>
        <w:rPr/>
        <w:t>)—also translated as ‘going’ and ‘coming’—are euphemisms for passing on and rebirth.</w:t>
      </w:r>
      <w:r>
        <w:rPr>
          <w:rStyle w:val="FootnoteReference"/>
        </w:rPr>
        <w:footnoteReference w:id="285"/>
      </w:r>
      <w:r>
        <w:rPr/>
        <w:t xml:space="preserve"> When Anuruddha spoke of his divine sight, he said: “I see the passing on and rebirth of beings, their </w:t>
      </w:r>
      <w:r>
        <w:rPr>
          <w:rStyle w:val="Emphasis"/>
        </w:rPr>
        <w:t>departing</w:t>
      </w:r>
      <w:r>
        <w:rPr/>
        <w:t xml:space="preserve"> and </w:t>
      </w:r>
      <w:r>
        <w:rPr>
          <w:rStyle w:val="Emphasis"/>
        </w:rPr>
        <w:t>arriving</w:t>
      </w:r>
      <w:r>
        <w:rPr/>
        <w:t xml:space="preserve">, going from one state of existence to another.” In The </w:t>
      </w:r>
      <w:r>
        <w:rPr>
          <w:rStyle w:val="wwc-sesame"/>
        </w:rPr>
        <w:t>Great Lion’s Roar Discourse</w:t>
      </w:r>
      <w:r>
        <w:rPr/>
        <w:t xml:space="preserve"> the Buddha used the same ability to see renunciants (</w:t>
      </w:r>
      <w:r>
        <w:rPr>
          <w:rStyle w:val="wwc-pali"/>
        </w:rPr>
        <w:t>samaṇas</w:t>
      </w:r>
      <w:r>
        <w:rPr/>
        <w:t xml:space="preserve">) traveling to heavens and hells and said: “I know the </w:t>
      </w:r>
      <w:r>
        <w:rPr>
          <w:rStyle w:val="Emphasis"/>
        </w:rPr>
        <w:t>departure</w:t>
      </w:r>
      <w:r>
        <w:rPr/>
        <w:t xml:space="preserve"> and </w:t>
      </w:r>
      <w:r>
        <w:rPr>
          <w:rStyle w:val="Emphasis"/>
        </w:rPr>
        <w:t>arrival</w:t>
      </w:r>
      <w:r>
        <w:rPr/>
        <w:t xml:space="preserve">, the passing on and rebirth of those renunciants.” More down to earth, Paṭācārā talked about the death of her son, saying: “He passed away having a human body and will go on transmigrating. As he </w:t>
      </w:r>
      <w:r>
        <w:rPr>
          <w:rStyle w:val="Emphasis"/>
        </w:rPr>
        <w:t>arrived</w:t>
      </w:r>
      <w:r>
        <w:rPr/>
        <w:t xml:space="preserve">, so he </w:t>
      </w:r>
      <w:r>
        <w:rPr>
          <w:rStyle w:val="Emphasis"/>
        </w:rPr>
        <w:t>departed</w:t>
      </w:r>
      <w:r>
        <w:rPr/>
        <w:t>: why grieve over that?”</w:t>
      </w:r>
      <w:r>
        <w:rPr>
          <w:rStyle w:val="FootnoteReference"/>
        </w:rPr>
        <w:footnoteReference w:id="286"/>
      </w:r>
    </w:p>
    <w:p>
      <w:pPr>
        <w:pStyle w:val="WW-paragraph"/>
        <w:rPr/>
      </w:pPr>
      <w:r>
        <w:rP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7"/>
      </w:r>
      <w:r>
        <w:rP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8"/>
      </w:r>
      <w:r>
        <w:rPr/>
        <w:t xml:space="preserve"> The three individual terms might refer to different stages of the rebirth process, like entering a womb, getting born, and growing up, but this is not clarified anywhere. They could also be synonyms.</w:t>
      </w:r>
    </w:p>
    <w:p>
      <w:pPr>
        <w:pStyle w:val="WW-paragraph"/>
        <w:rPr/>
      </w:pPr>
      <w:r>
        <w:rPr/>
        <w:t xml:space="preserve">In any event, it indicates that an earlier statement in the </w:t>
      </w:r>
      <w:r>
        <w:rPr>
          <w:rStyle w:val="wwc-sesame"/>
        </w:rPr>
        <w:t>Seeds Discourse</w:t>
      </w:r>
      <w:r>
        <w:rP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9"/>
      </w:r>
      <w:r>
        <w:rPr/>
        <w:t xml:space="preserve"> But that ‘consciousness would continue to exist’ implies rebirth is also reflected in the following:</w:t>
      </w:r>
    </w:p>
    <w:p>
      <w:pPr>
        <w:pStyle w:val="WW-named-section"/>
        <w:rPr/>
      </w:pPr>
      <w:r>
        <w:rPr/>
        <w:t>§78</w:t>
      </w:r>
    </w:p>
    <w:p>
      <w:pPr>
        <w:pStyle w:val="WW-blockquote"/>
        <w:rPr/>
      </w:pPr>
      <w:bookmarkStart w:id="82" w:name="bqseg78"/>
      <w:bookmarkEnd w:id="82"/>
      <w:r>
        <w:rP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rP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90"/>
      </w:r>
    </w:p>
    <w:p>
      <w:pPr>
        <w:pStyle w:val="WW-paragraph"/>
        <w:rPr/>
      </w:pPr>
      <w:r>
        <w:rPr/>
        <w:t>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So the five seeds are:</w:t>
      </w:r>
    </w:p>
    <w:p>
      <w:pPr>
        <w:pStyle w:val="WW-paragraph"/>
        <w:numPr>
          <w:ilvl w:val="0"/>
          <w:numId w:val="16"/>
        </w:numPr>
        <w:rPr/>
      </w:pPr>
      <w:r>
        <w:rPr/>
        <w:t>Desire for the five senses (the nutriment of edible food)</w:t>
      </w:r>
    </w:p>
    <w:p>
      <w:pPr>
        <w:pStyle w:val="WW-paragraph"/>
        <w:numPr>
          <w:ilvl w:val="0"/>
          <w:numId w:val="16"/>
        </w:numPr>
        <w:rPr/>
      </w:pPr>
      <w:r>
        <w:rPr/>
        <w:t>Desire for sensations (the nutriment of sense impressions)</w:t>
      </w:r>
    </w:p>
    <w:p>
      <w:pPr>
        <w:pStyle w:val="WW-paragraph"/>
        <w:numPr>
          <w:ilvl w:val="0"/>
          <w:numId w:val="16"/>
        </w:numPr>
        <w:rPr/>
      </w:pPr>
      <w:r>
        <w:rPr/>
        <w:t>Willful actions that lead to rebirth (the nutriment of intentions)</w:t>
      </w:r>
    </w:p>
    <w:p>
      <w:pPr>
        <w:pStyle w:val="WW-paragraph"/>
        <w:numPr>
          <w:ilvl w:val="0"/>
          <w:numId w:val="16"/>
        </w:numPr>
        <w:rPr/>
      </w:pPr>
      <w:r>
        <w:rPr/>
        <w:t>Desire for existence (the nutriment of consciousness in one sense)</w:t>
      </w:r>
    </w:p>
    <w:p>
      <w:pPr>
        <w:pStyle w:val="WW-paragraph"/>
        <w:numPr>
          <w:ilvl w:val="0"/>
          <w:numId w:val="16"/>
        </w:numPr>
        <w:rPr/>
      </w:pPr>
      <w:r>
        <w:rPr/>
        <w:t>The stream of consciousness (the nutriment of consciousness in the second sense)</w:t>
      </w:r>
    </w:p>
    <w:p>
      <w:pPr>
        <w:pStyle w:val="WW-paragraph"/>
        <w:rPr/>
      </w:pPr>
      <w:r>
        <w:rP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rPr/>
        <w:t xml:space="preserve"> I drew one big seed surrounded by four smaller ones.</w:t>
      </w:r>
    </w:p>
    <w:p>
      <w:pPr>
        <w:pStyle w:val="WW-paragraph"/>
        <w:rPr/>
      </w:pPr>
      <w:r>
        <w:rPr/>
        <w:t xml:space="preserve">To return to my main point, there are many indications the </w:t>
      </w:r>
      <w:r>
        <w:rPr>
          <w:rStyle w:val="wwc-sesame"/>
        </w:rPr>
        <w:t>Seeds Discourse</w:t>
      </w:r>
      <w:r>
        <w:rPr/>
        <w:t xml:space="preserve"> is about rebirth: the similarity with the exchange with Ānanda on the seeds for existence (</w:t>
      </w:r>
      <w:hyperlink w:anchor="bqseg71">
        <w:r>
          <w:rPr>
            <w:rStyle w:val="Hyperlink"/>
          </w:rPr>
          <w:t>§71</w:t>
        </w:r>
      </w:hyperlink>
      <w:r>
        <w:rP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rPr/>
        <w:t xml:space="preserve"> is also misunderstood. What this refers to, is explained next.</w:t>
      </w:r>
    </w:p>
    <w:p>
      <w:pPr>
        <w:pStyle w:val="WW-chapter-section-1"/>
        <w:ind w:hanging="0" w:start="0"/>
        <w:rPr/>
      </w:pPr>
      <w:r>
        <w:rPr/>
        <w:t>Not planting the seed</w:t>
      </w:r>
    </w:p>
    <w:p>
      <w:pPr>
        <w:pStyle w:val="WW-paragraph"/>
        <w:rPr/>
      </w:pPr>
      <w:r>
        <w:rPr/>
        <w:t xml:space="preserve">The </w:t>
      </w:r>
      <w:r>
        <w:rPr>
          <w:rStyle w:val="wwc-sesame"/>
        </w:rPr>
        <w:t>Seeds Discourse</w:t>
      </w:r>
      <w:r>
        <w:rPr/>
        <w:t xml:space="preserve"> compares the four aspects of existence (</w:t>
      </w:r>
      <w:r>
        <w:rPr>
          <w:rStyle w:val="wwc-pali"/>
        </w:rPr>
        <w:t>khandhas</w:t>
      </w:r>
      <w:r>
        <w:rP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rPr/>
        <w:t>), so the desire for any type of sensation or perception is always accompanied by a desire for consciousness.</w:t>
      </w:r>
    </w:p>
    <w:p>
      <w:pPr>
        <w:pStyle w:val="WW-paragraph"/>
        <w:rPr/>
      </w:pPr>
      <w:r>
        <w:rP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rPr/>
        <w:t>), consciousness will not sprout [i.e. be reborn].” See also the following illustration:</w:t>
      </w:r>
    </w:p>
    <w:p>
      <w:pPr>
        <w:pStyle w:val="WW-figure"/>
        <w:rPr/>
      </w:pPr>
      <w:r>
        <w:rPr/>
        <w:t>./img/seedsuttac.png</w:t>
      </w:r>
      <w:r>
        <w:rPr>
          <w:lang w:val="en-US"/>
        </w:rPr>
        <w:t>=A broken seed next to a spade next to a a hole dug in the ground. The hole is labeled ‘no khandhas, no rebirth’.=30=border</w:t>
      </w:r>
      <w:r>
        <w:rPr/>
        <w:br/>
        <w:t>Figure 19. Not planting consciousness as a simile for the end of rebirth</w:t>
      </w:r>
    </w:p>
    <w:p>
      <w:pPr>
        <w:pStyle w:val="WW-paragraph"/>
        <w:rPr/>
      </w:pPr>
      <w:r>
        <w:rPr/>
        <w:t xml:space="preserve">So the suggestion that </w:t>
      </w:r>
      <w:r>
        <w:rPr>
          <w:rStyle w:val="wwc-pali"/>
        </w:rPr>
        <w:t>appatiṭṭhita viññāṇa</w:t>
      </w:r>
      <w:r>
        <w:rP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pPr>
        <w:pStyle w:val="WW-chapter-section-1"/>
        <w:ind w:hanging="0" w:start="0"/>
        <w:rPr/>
      </w:pPr>
      <w:r>
        <w:rPr/>
        <w:t>Other botanical similes for rebirth</w:t>
      </w:r>
    </w:p>
    <w:p>
      <w:pPr>
        <w:pStyle w:val="WW-paragraph"/>
        <w:rPr/>
      </w:pPr>
      <w:r>
        <w:rPr/>
        <w:t>There are still more discourses that connect seeds to rebirth, like some that call noble ones who will be reborn only once more ‘one-seeders’.</w:t>
      </w:r>
      <w:r>
        <w:rPr>
          <w:rStyle w:val="FootnoteReference"/>
        </w:rPr>
        <w:footnoteReference w:id="291"/>
      </w:r>
      <w:r>
        <w:rPr/>
        <w:t xml:space="preserve"> But I want to introduce instead three discourses that use other botanical similes for rebirth, for they are more helpful in explaining the principles of Dependent Arising.</w:t>
      </w:r>
    </w:p>
    <w:p>
      <w:pPr>
        <w:pStyle w:val="WW-paragraph"/>
        <w:rPr/>
      </w:pPr>
      <w:r>
        <w:rP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pPr>
        <w:pStyle w:val="WW-named-section"/>
        <w:rPr/>
      </w:pPr>
      <w:r>
        <w:rPr/>
        <w:t>§79</w:t>
      </w:r>
    </w:p>
    <w:p>
      <w:pPr>
        <w:pStyle w:val="WW-blockquote"/>
        <w:rPr/>
      </w:pPr>
      <w:bookmarkStart w:id="83" w:name="bqseg79"/>
      <w:bookmarkEnd w:id="83"/>
      <w:r>
        <w:rP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pPr>
        <w:pStyle w:val="WW-blockquote"/>
        <w:rPr/>
      </w:pPr>
      <w:r>
        <w:rP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pPr>
        <w:pStyle w:val="WW-blockquote"/>
        <w:rPr/>
      </w:pPr>
      <w:r>
        <w:rP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pPr>
        <w:pStyle w:val="WW-blockquote"/>
        <w:rPr/>
      </w:pPr>
      <w:r>
        <w:rPr/>
        <w:t>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2"/>
      </w:r>
    </w:p>
    <w:p>
      <w:pPr>
        <w:pStyle w:val="WW-paragraph"/>
        <w:rPr/>
      </w:pPr>
      <w:r>
        <w:rPr/>
        <w:t xml:space="preserve">The life of the plant is a metaphor for the existence of the being. A plant can only stay alive if it is given water. Likewise, existence can only continue in </w:t>
      </w:r>
      <w:r>
        <w:rPr>
          <w:rStyle w:val="wwc-pali"/>
        </w:rPr>
        <w:t>saṁsāra</w:t>
      </w:r>
      <w:r>
        <w:rPr/>
        <w:t xml:space="preserve"> as long as there is craving. But when the problems with existence are understood, craving will cease, and there will be no more fuel for the continuance of existence after death.</w:t>
      </w:r>
    </w:p>
    <w:p>
      <w:pPr>
        <w:pStyle w:val="WW-figure"/>
        <w:rPr/>
      </w:pPr>
      <w:r>
        <w:rPr/>
        <w:t>./img/sapling.png</w:t>
      </w:r>
      <w:r>
        <w:rPr>
          <w:lang w:val="en-US"/>
        </w:rPr>
        <w:t>=A sapling being watered by a watering can. The sapling is labeled ‘existence’, the can ‘craving’.=30=border</w:t>
      </w:r>
      <w:r>
        <w:rPr/>
        <w:br/>
        <w:t>./img/saplingno.png</w:t>
      </w:r>
      <w:r>
        <w:rPr>
          <w:lang w:val="en-US"/>
        </w:rPr>
        <w:t>=A person letting ashes be blown away by the wind. On the ground next to him are a shovel, an axe, and a burned out fire. The ashes are labeled ‘no existence’, the person ‘no craving problems’.=30=border</w:t>
      </w:r>
      <w:r>
        <w:rPr/>
        <w:br/>
        <w:t>Figure 20. Watering a sapling as a simile for rebirth</w:t>
      </w:r>
    </w:p>
    <w:p>
      <w:pPr>
        <w:pStyle w:val="WW-paragraph"/>
        <w:rPr/>
      </w:pPr>
      <w:r>
        <w:rPr/>
        <w:t xml:space="preserve">The word for ‘fuel’ is </w:t>
      </w:r>
      <w:r>
        <w:rPr>
          <w:rStyle w:val="wwc-pali"/>
        </w:rPr>
        <w:t>upādāna</w:t>
      </w:r>
      <w:r>
        <w:rP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rPr/>
        <w:t>) for the plant. This stands for craving, which acts as the fuel for rebirth.</w:t>
      </w:r>
    </w:p>
    <w:p>
      <w:pPr>
        <w:pStyle w:val="WW-paragraph"/>
        <w:rPr/>
      </w:pPr>
      <w:r>
        <w:rPr/>
        <w:t xml:space="preserve">The metaphor of fuel is more famously applied to fires, but the Buddha also used it with reference to plants, as we see here. This is one reason I translate the verbal meaning of </w:t>
      </w:r>
      <w:r>
        <w:rPr>
          <w:rStyle w:val="wwc-pali"/>
        </w:rPr>
        <w:t>upādāna</w:t>
      </w:r>
      <w:r>
        <w:rPr/>
        <w:t xml:space="preserve"> as ‘taking up’ instead of the more common ‘clinging’ or ‘grasping’, which I think are slightly inaccurate.</w:t>
      </w:r>
      <w:r>
        <w:rPr>
          <w:rStyle w:val="FootnoteReference"/>
        </w:rPr>
        <w:footnoteReference w:id="293"/>
      </w:r>
      <w:r>
        <w:rPr/>
        <w:t xml:space="preserve"> Plants are also said to ‘take up’ (</w:t>
      </w:r>
      <w:r>
        <w:rPr>
          <w:rStyle w:val="wwc-pali"/>
        </w:rPr>
        <w:t>upādiyati</w:t>
      </w:r>
      <w:r>
        <w:rPr/>
        <w:t>) nutrients from the soil.</w:t>
      </w:r>
      <w:r>
        <w:rPr>
          <w:rStyle w:val="FootnoteReference"/>
        </w:rPr>
        <w:footnoteReference w:id="294"/>
      </w:r>
      <w:r>
        <w:rPr/>
        <w:t xml:space="preserve"> They don’t ‘cling to’ or ‘grasp’ such nutriments. So when the Buddha instructs his followers to stop </w:t>
      </w:r>
      <w:r>
        <w:rPr>
          <w:rStyle w:val="wwc-pali"/>
        </w:rPr>
        <w:t>upādāna</w:t>
      </w:r>
      <w:r>
        <w:rPr/>
        <w:t xml:space="preserve">, one implication is that we should no longer </w:t>
      </w:r>
      <w:r>
        <w:rPr>
          <w:rStyle w:val="Emphasis"/>
        </w:rPr>
        <w:t>take up</w:t>
      </w:r>
      <w:r>
        <w:rPr/>
        <w:t xml:space="preserve"> the five aspects of existence through craving, especially not at the end of life.</w:t>
      </w:r>
    </w:p>
    <w:p>
      <w:pPr>
        <w:pStyle w:val="WW-paragraph"/>
        <w:rPr/>
      </w:pPr>
      <w:r>
        <w:rPr/>
        <w:t>The next text illustrates this concept more explicitly. It describes a tree that draws up (or takes up) sap through its roots. The life of the tree stands for the continuation of existence, just like the life of the sapling in the previous discourse.</w:t>
      </w:r>
    </w:p>
    <w:p>
      <w:pPr>
        <w:pStyle w:val="WW-named-section"/>
        <w:rPr/>
      </w:pPr>
      <w:r>
        <w:rPr/>
        <w:t>§80</w:t>
      </w:r>
    </w:p>
    <w:p>
      <w:pPr>
        <w:pStyle w:val="WW-blockquote"/>
        <w:rPr/>
      </w:pPr>
      <w:bookmarkStart w:id="84" w:name="bqseg80"/>
      <w:bookmarkEnd w:id="84"/>
      <w:r>
        <w:rPr/>
        <w:t>Mendicants, for those who</w:t>
      </w:r>
      <w:r>
        <w:rPr>
          <w:rStyle w:val="FootnoteReference"/>
        </w:rPr>
        <w:footnoteReference w:id="295"/>
      </w:r>
      <w:r>
        <w:rP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pPr>
        <w:pStyle w:val="WW-blockquote"/>
        <w:rPr/>
      </w:pPr>
      <w:r>
        <w:rP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pPr>
        <w:pStyle w:val="WW-blockquote"/>
        <w:rPr/>
      </w:pPr>
      <w:r>
        <w:rP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6"/>
      </w:r>
    </w:p>
    <w:p>
      <w:pPr>
        <w:pStyle w:val="WW-paragraph"/>
        <w:rPr/>
      </w:pPr>
      <w:r>
        <w:rPr/>
        <w:t xml:space="preserve">Here the focusing on gratification is not followed by the craving sequence as in </w:t>
      </w:r>
      <w:hyperlink w:anchor="bqseg79">
        <w:r>
          <w:rPr>
            <w:rStyle w:val="Hyperlink"/>
          </w:rPr>
          <w:t>§79</w:t>
        </w:r>
      </w:hyperlink>
      <w:r>
        <w:rP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rP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pPr>
        <w:pStyle w:val="WW-named-section"/>
        <w:rPr/>
      </w:pPr>
      <w:r>
        <w:rPr/>
        <w:t>§81</w:t>
      </w:r>
    </w:p>
    <w:p>
      <w:pPr>
        <w:pStyle w:val="WW-blockquote"/>
        <w:rPr/>
      </w:pPr>
      <w:bookmarkStart w:id="85" w:name="bqseg81"/>
      <w:bookmarkEnd w:id="85"/>
      <w:r>
        <w:rP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pPr>
        <w:pStyle w:val="WW-blockquote"/>
        <w:rPr/>
      </w:pPr>
      <w:r>
        <w:rP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pPr>
        <w:pStyle w:val="WW-blockquote"/>
        <w:rPr/>
      </w:pPr>
      <w:r>
        <w:rPr/>
        <w:t xml:space="preserve">Imagine a big tree. A man would come along carrying a spade and basket. [Continued as </w:t>
      </w:r>
      <w:hyperlink w:anchor="bqseg80">
        <w:r>
          <w:rPr>
            <w:rStyle w:val="Hyperlink"/>
          </w:rPr>
          <w:t>§80</w:t>
        </w:r>
      </w:hyperlink>
      <w:r>
        <w:rP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7"/>
      </w:r>
    </w:p>
    <w:p>
      <w:pPr>
        <w:pStyle w:val="WW-figure"/>
        <w:rPr/>
      </w:pPr>
      <w:r>
        <w:rPr/>
        <w:t>./img/greattree.png</w:t>
      </w:r>
      <w:r>
        <w:rPr>
          <w:lang w:val="en-US"/>
        </w:rPr>
        <w:t>=A tree sucking up sap. The tree is labeled ‘consciousness &amp; immaterial aspects and body’, the moisture in the ground ‘focusing on gratification’.=30=border</w:t>
      </w:r>
      <w:r>
        <w:rPr/>
        <w:br/>
        <w:t>./img/greattreeno.png</w:t>
      </w:r>
      <w:r>
        <w:rPr>
          <w:lang w:val="en-US"/>
        </w:rPr>
        <w:t>=A person letting ashes be blown away by the wind. On the ground next to him are a shovel, an axe, and a burned out fire. The ashes are labeled ‘no conception, no consciousness, no immaterial aspects and body’, the person ‘focusing on problems’. =30=border</w:t>
      </w:r>
      <w:r>
        <w:rPr/>
        <w:br/>
        <w:t>Figure 21. A tree as a simile for existence</w:t>
      </w:r>
    </w:p>
    <w:p>
      <w:pPr>
        <w:pStyle w:val="WW-paragraph"/>
        <w:rPr/>
      </w:pPr>
      <w:r>
        <w:rP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rPr/>
        <w:t xml:space="preserve"> in the previous discourse also refers to rebirth, which is relevant to our primary text, the </w:t>
      </w:r>
      <w:r>
        <w:rPr>
          <w:rStyle w:val="wwc-sesame"/>
        </w:rPr>
        <w:t>If There is Desire Discourse</w:t>
      </w:r>
      <w:r>
        <w:rPr/>
        <w:t>, because it contains the same phrase.</w:t>
      </w:r>
    </w:p>
    <w:p>
      <w:pPr>
        <w:pStyle w:val="WW-paragraph"/>
        <w:rPr/>
      </w:pPr>
      <w:r>
        <w:rP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pPr>
        <w:pStyle w:val="WW-table-caption"/>
        <w:rPr/>
      </w:pPr>
      <w:r>
        <w:rPr/>
        <w:t>Table 16. Parallel descriptions of rebirth in ‘gratification’ suttas</w:t>
      </w:r>
    </w:p>
    <w:tbl>
      <w:tblPr>
        <w:tblW w:w="7898" w:type="dxa"/>
        <w:jc w:val="start"/>
        <w:tblInd w:w="0" w:type="dxa"/>
        <w:tblLayout w:type="fixed"/>
        <w:tblCellMar>
          <w:top w:w="0" w:type="dxa"/>
          <w:start w:w="0" w:type="dxa"/>
          <w:bottom w:w="0" w:type="dxa"/>
          <w:end w:w="0" w:type="dxa"/>
        </w:tblCellMar>
      </w:tblPr>
      <w:tblGrid>
        <w:gridCol w:w="2464"/>
        <w:gridCol w:w="2355"/>
        <w:gridCol w:w="3079"/>
      </w:tblGrid>
      <w:tr>
        <w:trPr/>
        <w:tc>
          <w:tcPr>
            <w:tcW w:w="2464" w:type="dxa"/>
            <w:tcBorders/>
            <w:vAlign w:val="center"/>
          </w:tcPr>
          <w:p>
            <w:pPr>
              <w:pStyle w:val="WW-paragraph"/>
              <w:spacing w:before="170" w:after="170"/>
              <w:rPr/>
            </w:pPr>
            <w:hyperlink w:anchor="bqseg79">
              <w:r>
                <w:rPr>
                  <w:rStyle w:val="Hyperlink"/>
                  <w:b/>
                  <w:bCs/>
                </w:rPr>
                <w:t>§79</w:t>
              </w:r>
            </w:hyperlink>
          </w:p>
        </w:tc>
        <w:tc>
          <w:tcPr>
            <w:tcW w:w="2355" w:type="dxa"/>
            <w:tcBorders/>
            <w:vAlign w:val="center"/>
          </w:tcPr>
          <w:p>
            <w:pPr>
              <w:pStyle w:val="WW-paragraph"/>
              <w:spacing w:before="170" w:after="170"/>
              <w:rPr/>
            </w:pPr>
            <w:hyperlink w:anchor="bqseg80">
              <w:r>
                <w:rPr>
                  <w:rStyle w:val="Hyperlink"/>
                  <w:b/>
                  <w:bCs/>
                </w:rPr>
                <w:t>§80</w:t>
              </w:r>
            </w:hyperlink>
          </w:p>
        </w:tc>
        <w:tc>
          <w:tcPr>
            <w:tcW w:w="3079" w:type="dxa"/>
            <w:tcBorders/>
            <w:vAlign w:val="center"/>
          </w:tcPr>
          <w:p>
            <w:pPr>
              <w:pStyle w:val="WW-paragraph"/>
              <w:spacing w:before="170" w:after="170"/>
              <w:rPr/>
            </w:pPr>
            <w:hyperlink w:anchor="bqseg81">
              <w:r>
                <w:rPr>
                  <w:rStyle w:val="Hyperlink"/>
                  <w:b/>
                  <w:bCs/>
                </w:rPr>
                <w:t>§81</w:t>
              </w:r>
            </w:hyperlink>
          </w:p>
        </w:tc>
      </w:tr>
      <w:tr>
        <w:trPr/>
        <w:tc>
          <w:tcPr>
            <w:tcW w:w="2464" w:type="dxa"/>
            <w:tcBorders/>
            <w:vAlign w:val="center"/>
          </w:tcPr>
          <w:p>
            <w:pPr>
              <w:pStyle w:val="WW-paragraph"/>
              <w:spacing w:before="170" w:after="170"/>
              <w:rPr/>
            </w:pPr>
            <w:r>
              <w:rPr/>
              <w:t xml:space="preserve">• </w:t>
            </w:r>
            <w:r>
              <w:rPr/>
              <w:t>Focus on gratification</w:t>
              <w:br/>
              <w:t>• Craving</w:t>
              <w:br/>
              <w:t>• Fuel</w:t>
            </w:r>
          </w:p>
        </w:tc>
        <w:tc>
          <w:tcPr>
            <w:tcW w:w="2355" w:type="dxa"/>
            <w:tcBorders/>
            <w:vAlign w:val="center"/>
          </w:tcPr>
          <w:p>
            <w:pPr>
              <w:pStyle w:val="WW-paragraph"/>
              <w:spacing w:before="170" w:after="170"/>
              <w:rPr/>
            </w:pPr>
            <w:r>
              <w:rPr/>
              <w:t xml:space="preserve">• </w:t>
            </w:r>
            <w:r>
              <w:rPr/>
              <w:t>Focus on gratification</w:t>
              <w:br/>
              <w:br/>
              <w:t>• (Fuel)</w:t>
            </w:r>
          </w:p>
        </w:tc>
        <w:tc>
          <w:tcPr>
            <w:tcW w:w="3079" w:type="dxa"/>
            <w:tcBorders/>
            <w:vAlign w:val="center"/>
          </w:tcPr>
          <w:p>
            <w:pPr>
              <w:pStyle w:val="WW-paragraph"/>
              <w:spacing w:before="170" w:after="170"/>
              <w:rPr/>
            </w:pPr>
            <w:r>
              <w:rPr/>
              <w:t xml:space="preserve">• </w:t>
            </w:r>
            <w:r>
              <w:rPr/>
              <w:t>Focus on gratification</w:t>
              <w:br/>
              <w:br/>
              <w:t>• (Fuel)</w:t>
            </w:r>
          </w:p>
        </w:tc>
      </w:tr>
      <w:tr>
        <w:trPr/>
        <w:tc>
          <w:tcPr>
            <w:tcW w:w="2464" w:type="dxa"/>
            <w:tcBorders/>
            <w:vAlign w:val="center"/>
          </w:tcPr>
          <w:p>
            <w:pPr>
              <w:pStyle w:val="WW-paragraph"/>
              <w:spacing w:before="170" w:after="170"/>
              <w:rPr/>
            </w:pPr>
            <w:r>
              <w:rPr/>
              <w:t xml:space="preserve">• </w:t>
            </w:r>
            <w:r>
              <w:rPr/>
              <w:t>Existence</w:t>
              <w:br/>
              <w:t>• Birth</w:t>
            </w:r>
          </w:p>
        </w:tc>
        <w:tc>
          <w:tcPr>
            <w:tcW w:w="2355" w:type="dxa"/>
            <w:tcBorders/>
            <w:vAlign w:val="center"/>
          </w:tcPr>
          <w:p>
            <w:pPr>
              <w:pStyle w:val="WW-paragraph"/>
              <w:spacing w:before="170" w:after="170"/>
              <w:rPr/>
            </w:pPr>
            <w:r>
              <w:rPr/>
              <w:br/>
              <w:t>• Conception of imm.</w:t>
              <w:br/>
              <w:t>  aspects and body</w:t>
            </w:r>
          </w:p>
        </w:tc>
        <w:tc>
          <w:tcPr>
            <w:tcW w:w="3079" w:type="dxa"/>
            <w:tcBorders/>
            <w:vAlign w:val="center"/>
          </w:tcPr>
          <w:p>
            <w:pPr>
              <w:pStyle w:val="WW-paragraph"/>
              <w:spacing w:before="170" w:after="170"/>
              <w:rPr/>
            </w:pPr>
            <w:r>
              <w:rPr/>
              <w:t xml:space="preserve">• </w:t>
            </w:r>
            <w:r>
              <w:rPr/>
              <w:t>Conception of consciousness</w:t>
              <w:br/>
              <w:t>• Immaterial aspects &amp; body</w:t>
            </w:r>
          </w:p>
        </w:tc>
      </w:tr>
      <w:tr>
        <w:trPr/>
        <w:tc>
          <w:tcPr>
            <w:tcW w:w="2464" w:type="dxa"/>
            <w:tcBorders/>
            <w:vAlign w:val="center"/>
          </w:tcPr>
          <w:p>
            <w:pPr>
              <w:pStyle w:val="TableContents"/>
              <w:rPr/>
            </w:pPr>
            <w:r>
              <w:rPr/>
              <w:t xml:space="preserve">• </w:t>
            </w:r>
            <w:r>
              <w:rPr/>
              <w:t>Suffering,</w:t>
              <w:br/>
              <w:t>  incl. old age and death</w:t>
            </w:r>
          </w:p>
        </w:tc>
        <w:tc>
          <w:tcPr>
            <w:tcW w:w="2355" w:type="dxa"/>
            <w:tcBorders/>
            <w:vAlign w:val="center"/>
          </w:tcPr>
          <w:p>
            <w:pPr>
              <w:pStyle w:val="TableContents"/>
              <w:rPr/>
            </w:pPr>
            <w:r>
              <w:rPr/>
              <w:t xml:space="preserve">• </w:t>
            </w:r>
            <w:r>
              <w:rPr/>
              <w:t>Six senses</w:t>
              <w:br/>
              <w:t>• …</w:t>
            </w:r>
          </w:p>
        </w:tc>
        <w:tc>
          <w:tcPr>
            <w:tcW w:w="3079" w:type="dxa"/>
            <w:tcBorders/>
            <w:vAlign w:val="center"/>
          </w:tcPr>
          <w:p>
            <w:pPr>
              <w:pStyle w:val="TableContents"/>
              <w:rPr/>
            </w:pPr>
            <w:r>
              <w:rPr/>
              <w:t xml:space="preserve">• </w:t>
            </w:r>
            <w:r>
              <w:rPr/>
              <w:t>Six senses</w:t>
              <w:br/>
              <w:t>• …</w:t>
            </w:r>
          </w:p>
        </w:tc>
      </w:tr>
    </w:tbl>
    <w:p>
      <w:pPr>
        <w:pStyle w:val="WW-paragraph"/>
        <w:rPr/>
      </w:pPr>
      <w:r>
        <w:rP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pPr>
        <w:pStyle w:val="WW-space"/>
        <w:rPr/>
      </w:pPr>
      <w:r>
        <w:rPr/>
        <w:t>0</w:t>
      </w:r>
    </w:p>
    <w:p>
      <w:pPr>
        <w:pStyle w:val="WW-paragraph"/>
        <w:spacing w:before="170" w:after="170"/>
        <w:rPr/>
      </w:pPr>
      <w:r>
        <w:rPr/>
        <w:t>To repeat the main points of this chapter, the similes of the seeds and plants visualize the continuation of existence through rebirth. The planting (</w:t>
      </w:r>
      <w:r>
        <w:rPr>
          <w:rStyle w:val="wwc-pali"/>
        </w:rPr>
        <w:t>patiṭṭhita</w:t>
      </w:r>
      <w:r>
        <w:rPr/>
        <w:t>) of the seed of consciousness stands for taking rebirth in a certain place, and it not being planted (</w:t>
      </w:r>
      <w:r>
        <w:rPr>
          <w:rStyle w:val="wwc-pali"/>
        </w:rPr>
        <w:t>appatiṭṭhita</w:t>
      </w:r>
      <w:r>
        <w:rPr/>
        <w:t xml:space="preserve">) means not being reborn. Similarly, the conception of consciousness and </w:t>
      </w:r>
      <w:r>
        <w:rPr>
          <w:rStyle w:val="wwc-pali"/>
        </w:rPr>
        <w:t>nāmarūpa</w:t>
      </w:r>
      <w:r>
        <w:rPr/>
        <w:t xml:space="preserve"> refers to the start of a life, and when they are not conceived again, it means they will both cease.</w:t>
      </w:r>
      <w:r>
        <w:br w:type="page"/>
      </w:r>
    </w:p>
    <w:p>
      <w:pPr>
        <w:pStyle w:val="WW-Chapter"/>
        <w:spacing w:before="0" w:after="567"/>
        <w:ind w:hanging="0" w:start="0"/>
        <w:rPr/>
      </w:pPr>
      <w:bookmarkStart w:id="86" w:name="chapter8"/>
      <w:bookmarkEnd w:id="86"/>
      <w:r>
        <w:rPr/>
        <w:t>8. Consciousness and nāmarūpa</w:t>
      </w:r>
    </w:p>
    <w:p>
      <w:pPr>
        <w:pStyle w:val="WW-chapter-section-1"/>
        <w:ind w:hanging="0" w:start="0"/>
        <w:rPr/>
      </w:pPr>
      <w:r>
        <w:rPr/>
        <w:t>The dependency of consciousness on the khandhas</w:t>
      </w:r>
    </w:p>
    <w:p>
      <w:pPr>
        <w:pStyle w:val="WW-paragraph"/>
        <w:rPr/>
      </w:pPr>
      <w:r>
        <w:rPr/>
        <w:t xml:space="preserve">The </w:t>
      </w:r>
      <w:r>
        <w:rPr>
          <w:rStyle w:val="wwc-sesame"/>
        </w:rPr>
        <w:t>Seeds Discourse</w:t>
      </w:r>
      <w:r>
        <w:rP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pPr>
        <w:pStyle w:val="WW-named-section"/>
        <w:rPr/>
      </w:pPr>
      <w:r>
        <w:rPr/>
        <w:t>§82</w:t>
      </w:r>
    </w:p>
    <w:p>
      <w:pPr>
        <w:pStyle w:val="WW-blockquote"/>
        <w:rPr/>
      </w:pPr>
      <w:bookmarkStart w:id="87" w:name="bqseg82"/>
      <w:bookmarkEnd w:id="87"/>
      <w:r>
        <w:rP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8"/>
      </w:r>
    </w:p>
    <w:p>
      <w:pPr>
        <w:pStyle w:val="WW-paragraph"/>
        <w:rPr/>
      </w:pPr>
      <w:r>
        <w:rPr/>
        <w:t>The Truth</w:t>
        <w:softHyphen/>
        <w:t>finder (</w:t>
      </w:r>
      <w:r>
        <w:rPr>
          <w:rStyle w:val="wwc-pali"/>
        </w:rPr>
        <w:t>tathāgata</w:t>
      </w:r>
      <w:r>
        <w:rPr/>
        <w:t>) is then said to be without a shelter. Without any desire for the aspects of existence they “cut them at the roots, made them like a palm stump, so that they will not rearise in the future”, which means the aspect of existence won’t reoccur in a next life.</w:t>
      </w:r>
    </w:p>
    <w:p>
      <w:pPr>
        <w:pStyle w:val="WW-paragraph"/>
        <w:rPr/>
      </w:pPr>
      <w:r>
        <w:rPr/>
        <w:t xml:space="preserve">Wijesekara already concluded that in this passage consciousness is “the surviving factor of an individual [which produces] repeated births resulting in what is generally known as </w:t>
      </w:r>
      <w:r>
        <w:rPr>
          <w:rStyle w:val="wwc-pali"/>
        </w:rPr>
        <w:t>saṁsāra</w:t>
      </w:r>
      <w:r>
        <w:rPr/>
        <w:t>.”</w:t>
      </w:r>
      <w:r>
        <w:rPr>
          <w:rStyle w:val="FootnoteReference"/>
        </w:rPr>
        <w:footnoteReference w:id="299"/>
      </w:r>
      <w:r>
        <w:rPr/>
        <w:t xml:space="preserve"> But he does not note that the word </w:t>
      </w:r>
      <w:r>
        <w:rPr>
          <w:rStyle w:val="wwc-pali"/>
        </w:rPr>
        <w:t>sārin</w:t>
      </w:r>
      <w:r>
        <w:rPr/>
        <w:t xml:space="preserve"> (migrant) comes from the same root as </w:t>
      </w:r>
      <w:r>
        <w:rPr>
          <w:rStyle w:val="wwc-pali"/>
        </w:rPr>
        <w:t>saṁsāra</w:t>
      </w:r>
      <w:r>
        <w:rP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pPr>
        <w:pStyle w:val="WW-paragraph"/>
        <w:rPr/>
      </w:pPr>
      <w:r>
        <w:rPr/>
        <w:t xml:space="preserve">Both the </w:t>
      </w:r>
      <w:r>
        <w:rPr>
          <w:rStyle w:val="wwc-sesame"/>
        </w:rPr>
        <w:t>Seeds Discourse</w:t>
      </w:r>
      <w:r>
        <w:rPr/>
        <w:t xml:space="preserve"> and this passage also uniquely call the aspects of existence ‘elements’ (</w:t>
      </w:r>
      <w:r>
        <w:rPr>
          <w:rStyle w:val="wwc-pali"/>
        </w:rPr>
        <w:t>dhātus</w:t>
      </w:r>
      <w:r>
        <w:rP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pPr>
        <w:pStyle w:val="WW-chapter-section-1"/>
        <w:ind w:hanging="0" w:start="0"/>
        <w:rPr/>
      </w:pPr>
      <w:r>
        <w:rPr/>
        <w:t>The mutual dependency of consciousness and nāmarūpa</w:t>
      </w:r>
    </w:p>
    <w:p>
      <w:pPr>
        <w:pStyle w:val="WW-paragraph"/>
        <w:rPr/>
      </w:pPr>
      <w:r>
        <w:rPr/>
        <w:t>In some discourses on Dependent Arising, consciousness is said to be dependent not on the other four aspects of existence but on the immaterial aspects and body (</w:t>
      </w:r>
      <w:r>
        <w:rPr>
          <w:rStyle w:val="wwc-pali"/>
        </w:rPr>
        <w:t>nāmarūpa</w:t>
      </w:r>
      <w:r>
        <w:rPr/>
        <w:t xml:space="preserve">), which then effectively stand for these aspects of existence. The </w:t>
      </w:r>
      <w:r>
        <w:rPr>
          <w:rStyle w:val="wwc-sesame"/>
        </w:rPr>
        <w:t>City Discourse</w:t>
      </w:r>
      <w:r>
        <w:rPr/>
        <w:t xml:space="preserve"> is one example:</w:t>
      </w:r>
    </w:p>
    <w:p>
      <w:pPr>
        <w:pStyle w:val="WW-named-section"/>
        <w:rPr/>
      </w:pPr>
      <w:r>
        <w:rPr/>
        <w:t>§83</w:t>
      </w:r>
    </w:p>
    <w:p>
      <w:pPr>
        <w:pStyle w:val="WW-blockquote"/>
        <w:rPr/>
      </w:pPr>
      <w:bookmarkStart w:id="88" w:name="bqseg83"/>
      <w:bookmarkEnd w:id="88"/>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 xml:space="preserve">[As </w:t>
      </w:r>
      <w:hyperlink w:anchor="bqseg11">
        <w:r>
          <w:rPr>
            <w:rStyle w:val="Hyperlink"/>
          </w:rPr>
          <w:t>§11</w:t>
        </w:r>
      </w:hyperlink>
      <w:r>
        <w:rPr/>
        <w:t>.]</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pPr>
        <w:pStyle w:val="WW-blockquote"/>
        <w:rPr/>
      </w:pPr>
      <w:r>
        <w:rP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300"/>
      </w:r>
    </w:p>
    <w:p>
      <w:pPr>
        <w:pStyle w:val="WW-paragraph"/>
        <w:rPr/>
      </w:pPr>
      <w:r>
        <w:rPr/>
        <w:t xml:space="preserve">The Buddha says consciousness always turns back to </w:t>
      </w:r>
      <w:r>
        <w:rPr>
          <w:rStyle w:val="wwc-pali"/>
        </w:rPr>
        <w:t>nāmarūpa</w:t>
      </w:r>
      <w:r>
        <w:rPr/>
        <w:t xml:space="preserve">, which means wherever it exists or is reborn, there are always other aspects of existence. Afterwards he goes through the cessation sequence, concluding that </w:t>
      </w:r>
      <w:r>
        <w:rPr>
          <w:rStyle w:val="wwc-pali"/>
        </w:rPr>
        <w:t>nāmarūpa</w:t>
      </w:r>
      <w:r>
        <w:rPr/>
        <w:t xml:space="preserve"> ceases when consciousness ceases and vice versa.</w:t>
      </w:r>
    </w:p>
    <w:p>
      <w:pPr>
        <w:pStyle w:val="WW-paragraph"/>
        <w:rPr/>
      </w:pPr>
      <w:r>
        <w:rP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rPr/>
        <w:t xml:space="preserve"> explains both these dependencies in more detail. For ease of reference I label them </w:t>
      </w:r>
      <w:r>
        <w:rPr>
          <w:rStyle w:val="Strong"/>
        </w:rPr>
        <w:t>1</w:t>
      </w:r>
      <w:r>
        <w:rPr/>
        <w:t xml:space="preserve"> and </w:t>
      </w:r>
      <w:r>
        <w:rPr>
          <w:rStyle w:val="Strong"/>
        </w:rPr>
        <w:t>2</w:t>
      </w:r>
      <w:r>
        <w:rPr/>
        <w:t>.</w:t>
      </w:r>
    </w:p>
    <w:p>
      <w:pPr>
        <w:pStyle w:val="WW-named-section"/>
        <w:rPr/>
      </w:pPr>
      <w:r>
        <w:rPr/>
        <w:t>§84</w:t>
      </w:r>
    </w:p>
    <w:p>
      <w:pPr>
        <w:pStyle w:val="WW-blockquote"/>
        <w:rPr/>
      </w:pPr>
      <w:bookmarkStart w:id="89" w:name="bqseg84"/>
      <w:bookmarkEnd w:id="89"/>
      <w:r>
        <w:rPr>
          <w:rStyle w:val="wwc-list-margin"/>
        </w:rPr>
        <w:t>[1]</w:t>
      </w:r>
      <w:r>
        <w:rP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pPr>
        <w:pStyle w:val="WW-blockquote"/>
        <w:rPr/>
      </w:pPr>
      <w:r>
        <w:rPr>
          <w:rStyle w:val="wwc-list-margin"/>
        </w:rPr>
        <w:t>[2]</w:t>
      </w:r>
      <w:r>
        <w:rPr/>
        <w:t xml:space="preserve"> If you are asked whether consciousness depends on something, you should answer that it does. And if you are asked what consciousness depends on, you should answer that consciousness depends on the individual’s immaterial aspects and body. […]</w:t>
      </w:r>
    </w:p>
    <w:p>
      <w:pPr>
        <w:pStyle w:val="WW-blockquote"/>
        <w:rPr/>
      </w:pPr>
      <w:r>
        <w:rPr>
          <w:rStyle w:val="wwc-list-margin"/>
        </w:rPr>
        <w:t>[1]</w:t>
      </w:r>
      <w:r>
        <w:rPr/>
        <w:t xml:space="preserve"> Ānanda, I said the individual’s immaterial aspects and body depend on consciousness, which is to be understood as follows: If consciousness is not conceived in [or ‘does not enter’, </w:t>
      </w:r>
      <w:r>
        <w:rPr>
          <w:rStyle w:val="wwc-pali"/>
        </w:rPr>
        <w:t>avakkanti</w:t>
      </w:r>
      <w:r>
        <w:rPr/>
        <w:t>] the mother’s womb, would the individual’s immaterial aspects and body take shape there?”</w:t>
      </w:r>
    </w:p>
    <w:p>
      <w:pPr>
        <w:pStyle w:val="WW-blockquote"/>
        <w:rPr/>
      </w:pPr>
      <w:r>
        <w:rPr/>
        <w:t>“</w:t>
      </w:r>
      <w:r>
        <w:rPr/>
        <w:t>No, venerable sir.”</w:t>
      </w:r>
    </w:p>
    <w:p>
      <w:pPr>
        <w:pStyle w:val="WW-blockquote"/>
        <w:rPr/>
      </w:pPr>
      <w:r>
        <w:rPr/>
        <w:t>“</w:t>
      </w:r>
      <w:r>
        <w:rPr/>
        <w:t>And if, after being conceived in the womb, consciousness is misconceived [or ‘departs’], would the individual’s immaterial aspects and body be produced further so as to start the life here?”</w:t>
      </w:r>
    </w:p>
    <w:p>
      <w:pPr>
        <w:pStyle w:val="WW-blockquote"/>
        <w:rPr/>
      </w:pPr>
      <w:r>
        <w:rPr/>
        <w:t>“</w:t>
      </w:r>
      <w:r>
        <w:rPr/>
        <w:t>No, sir.”</w:t>
      </w:r>
    </w:p>
    <w:p>
      <w:pPr>
        <w:pStyle w:val="WW-blockquote"/>
        <w:rPr/>
      </w:pPr>
      <w:r>
        <w:rPr/>
        <w:t>“</w:t>
      </w:r>
      <w:r>
        <w:rPr/>
        <w:t>And if the consciousness of the little boy or girl is cut off, would the individual’s immaterial aspects and body develop, sprout, and mature?”</w:t>
      </w:r>
    </w:p>
    <w:p>
      <w:pPr>
        <w:pStyle w:val="WW-blockquote"/>
        <w:rPr/>
      </w:pPr>
      <w:r>
        <w:rPr/>
        <w:t>“</w:t>
      </w:r>
      <w:r>
        <w:rPr/>
        <w:t>No, sir.”</w:t>
      </w:r>
    </w:p>
    <w:p>
      <w:pPr>
        <w:pStyle w:val="WW-blockquote"/>
        <w:rPr/>
      </w:pPr>
      <w:r>
        <w:rPr/>
        <w:t>“</w:t>
      </w:r>
      <w:r>
        <w:rPr/>
        <w:t>Therefore, the condition, source, origin, and requirement for the individual’s immaterial aspects and body is consciousness.</w:t>
      </w:r>
    </w:p>
    <w:p>
      <w:pPr>
        <w:pStyle w:val="WW-blockquote"/>
        <w:rPr/>
      </w:pPr>
      <w:r>
        <w:rPr>
          <w:rStyle w:val="wwc-list-margin"/>
        </w:rPr>
        <w:t>[2]</w:t>
      </w:r>
      <w:r>
        <w:rP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pPr>
        <w:pStyle w:val="WW-blockquote"/>
        <w:rPr/>
      </w:pPr>
      <w:r>
        <w:rPr/>
        <w:t>“</w:t>
      </w:r>
      <w:r>
        <w:rPr/>
        <w:t>No, sir.”</w:t>
      </w:r>
    </w:p>
    <w:p>
      <w:pPr>
        <w:pStyle w:val="WW-blockquote"/>
        <w:rPr/>
      </w:pPr>
      <w:r>
        <w:rPr/>
        <w:t>“</w:t>
      </w:r>
      <w:r>
        <w:rPr/>
        <w:t>Therefore, the condition, source, origin, and requirement for consciousness is the individual’s immaterial aspects and body.</w:t>
      </w:r>
    </w:p>
    <w:p>
      <w:pPr>
        <w:pStyle w:val="WW-blockquote"/>
        <w:rPr/>
      </w:pPr>
      <w:r>
        <w:rP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1"/>
      </w:r>
    </w:p>
    <w:p>
      <w:pPr>
        <w:pStyle w:val="WW-paragraph"/>
        <w:rPr/>
      </w:pPr>
      <w:r>
        <w:rPr/>
        <w:t xml:space="preserve">Throughout both the </w:t>
      </w:r>
      <w:r>
        <w:rPr>
          <w:rStyle w:val="wwc-sesame"/>
        </w:rPr>
        <w:t>City Discourse</w:t>
      </w:r>
      <w:r>
        <w:rPr/>
        <w:t xml:space="preserve"> and this passage of the </w:t>
      </w:r>
      <w:r>
        <w:rPr>
          <w:rStyle w:val="wwc-sesame"/>
        </w:rPr>
        <w:t>Mahānidāna Sutta</w:t>
      </w:r>
      <w:r>
        <w:rP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rPr/>
        <w:t xml:space="preserve"> concerns the process of rebirth and the life that results from it, not momentary states of mind or processes of recognition, as some have suggested.</w:t>
      </w:r>
      <w:r>
        <w:rPr>
          <w:rStyle w:val="FootnoteReference"/>
        </w:rPr>
        <w:footnoteReference w:id="302"/>
      </w:r>
    </w:p>
    <w:p>
      <w:pPr>
        <w:pStyle w:val="WW-paragraph"/>
        <w:rPr/>
      </w:pPr>
      <w:r>
        <w:rP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rPr/>
        <w:t>, old age, disease, death, and dukkha?”</w:t>
      </w:r>
      <w:r>
        <w:rPr>
          <w:rStyle w:val="FootnoteReference"/>
        </w:rPr>
        <w:footnoteReference w:id="303"/>
      </w:r>
      <w:r>
        <w:rP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4"/>
      </w:r>
      <w:r>
        <w:rPr/>
        <w:t xml:space="preserve"> Both parallels tie the establishing of consciousness directly to rebirth. Its abiding and residing in </w:t>
      </w:r>
      <w:r>
        <w:rPr>
          <w:rStyle w:val="wwc-pali"/>
        </w:rPr>
        <w:t>nāmarūpa</w:t>
      </w:r>
      <w:r>
        <w:rPr/>
        <w:t xml:space="preserve"> refers to its continuation in a new existence.</w:t>
      </w:r>
    </w:p>
    <w:p>
      <w:pPr>
        <w:pStyle w:val="WW-paragraph"/>
        <w:rPr/>
      </w:pPr>
      <w:r>
        <w:rPr/>
        <w:t xml:space="preserve">Because there can be no sentient existence without consciousness and </w:t>
      </w:r>
      <w:r>
        <w:rPr>
          <w:rStyle w:val="wwc-pali"/>
        </w:rPr>
        <w:t>nāmarūpa</w:t>
      </w:r>
      <w:r>
        <w:rPr/>
        <w:t>, they are the extent to which there is birth and death, “the extent to which the cycle of rebirth continues so life here (</w:t>
      </w:r>
      <w:r>
        <w:rPr>
          <w:rStyle w:val="wwc-pali"/>
        </w:rPr>
        <w:t>itthatta</w:t>
      </w:r>
      <w:r>
        <w:rPr/>
        <w:t xml:space="preserve">) manifests”. This statement links back to an earlier sentence in the passage: “Would the individual’s immaterial aspects and body be produced further (or ‘be reborn’, </w:t>
      </w:r>
      <w:r>
        <w:rPr>
          <w:rStyle w:val="wwc-pali"/>
        </w:rPr>
        <w:t>abhinibbatti</w:t>
      </w:r>
      <w:r>
        <w:rPr/>
        <w:t>) so as to start the life here (</w:t>
      </w:r>
      <w:r>
        <w:rPr>
          <w:rStyle w:val="wwc-pali"/>
        </w:rPr>
        <w:t>itthatta</w:t>
      </w:r>
      <w:r>
        <w:rPr/>
        <w:t xml:space="preserve">)?” The term </w:t>
      </w:r>
      <w:r>
        <w:rPr>
          <w:rStyle w:val="wwc-pali"/>
        </w:rPr>
        <w:t>itthatta</w:t>
      </w:r>
      <w:r>
        <w:rPr/>
        <w:t xml:space="preserve"> is difficult to translate consistently, but it means a life in a certain place, not a state of “thisness” or “a concept of a something”.</w:t>
      </w:r>
      <w:r>
        <w:rPr>
          <w:rStyle w:val="FootnoteReference"/>
        </w:rPr>
        <w:footnoteReference w:id="305"/>
      </w:r>
      <w:r>
        <w:rPr/>
        <w:t xml:space="preserve"> In this sutta the term specifically refers to a human life, but it can also refer to other forms of existence.</w:t>
      </w:r>
      <w:r>
        <w:rPr>
          <w:rStyle w:val="FootnoteReference"/>
        </w:rPr>
        <w:footnoteReference w:id="306"/>
      </w:r>
    </w:p>
    <w:p>
      <w:pPr>
        <w:pStyle w:val="WW-paragraph"/>
        <w:rPr/>
      </w:pPr>
      <w:r>
        <w:rPr/>
        <w:t xml:space="preserve">The </w:t>
      </w:r>
      <w:r>
        <w:rPr>
          <w:rStyle w:val="wwc-sesame"/>
        </w:rPr>
        <w:t>Mahānidāna Sutta</w:t>
      </w:r>
      <w:r>
        <w:rPr/>
        <w:t xml:space="preserve"> contains two more abstract statements as well. The Buddha says that outside of consciousness and </w:t>
      </w:r>
      <w:r>
        <w:rPr>
          <w:rStyle w:val="wwc-pali"/>
        </w:rPr>
        <w:t>nāmarūpa</w:t>
      </w:r>
      <w:r>
        <w:rPr/>
        <w:t xml:space="preserve"> there is (a) no way for designation, language, and descriptions (three terms which are pragmatically synonymous)</w:t>
      </w:r>
      <w:r>
        <w:rPr>
          <w:rStyle w:val="FootnoteReference"/>
        </w:rPr>
        <w:footnoteReference w:id="307"/>
      </w:r>
      <w:r>
        <w:rPr/>
        <w:t xml:space="preserve"> and (b) no realm of understanding. Before further explaining the individual dependencies between consciousness and </w:t>
      </w:r>
      <w:r>
        <w:rPr>
          <w:rStyle w:val="wwc-pali"/>
        </w:rPr>
        <w:t>nāmarūpa</w:t>
      </w:r>
      <w:r>
        <w:rPr/>
        <w:t>, I want to address these two statements first.</w:t>
      </w:r>
    </w:p>
    <w:p>
      <w:pPr>
        <w:pStyle w:val="WW-chapter-section-1"/>
        <w:ind w:hanging="0" w:start="0"/>
        <w:rPr/>
      </w:pPr>
      <w:r>
        <w:rPr/>
        <w:t>The extent of language and understanding</w:t>
      </w:r>
    </w:p>
    <w:p>
      <w:pPr>
        <w:pStyle w:val="WW-paragraph"/>
        <w:rPr/>
      </w:pPr>
      <w:r>
        <w:rPr/>
        <w:t xml:space="preserve">Although the statements on the extent of language and understanding are present in the </w:t>
      </w:r>
      <w:r>
        <w:rPr>
          <w:rStyle w:val="wwc-sesame"/>
        </w:rPr>
        <w:t>Mahānidāna Sutta</w:t>
      </w:r>
      <w:r>
        <w:rPr/>
        <w:t xml:space="preserve">, they do not occur in the </w:t>
      </w:r>
      <w:r>
        <w:rPr>
          <w:rStyle w:val="wwc-sesame"/>
        </w:rPr>
        <w:t>City Discourse</w:t>
      </w:r>
      <w:r>
        <w:rPr/>
        <w:t xml:space="preserve">, which only mentions that consciousness with </w:t>
      </w:r>
      <w:r>
        <w:rPr>
          <w:rStyle w:val="wwc-pali"/>
        </w:rPr>
        <w:t>nāmarūpa</w:t>
      </w:r>
      <w:r>
        <w:rPr/>
        <w:t xml:space="preserve"> is the extent to which there is rebirth and death. A virtually identical passage in the </w:t>
      </w:r>
      <w:r>
        <w:rPr>
          <w:rStyle w:val="wwc-sesame"/>
        </w:rPr>
        <w:t>Mahāpadāna Sutta</w:t>
      </w:r>
      <w:r>
        <w:rPr/>
        <w:t xml:space="preserve"> does the same.</w:t>
      </w:r>
      <w:r>
        <w:rPr>
          <w:rStyle w:val="FootnoteReference"/>
        </w:rPr>
        <w:footnoteReference w:id="308"/>
      </w:r>
      <w:r>
        <w:rPr/>
        <w:t xml:space="preserve"> The Dharmaguptaka parallel to the </w:t>
      </w:r>
      <w:r>
        <w:rPr>
          <w:rStyle w:val="wwc-sesame"/>
        </w:rPr>
        <w:t>Mahānidāna Sutta</w:t>
      </w:r>
      <w:r>
        <w:rPr/>
        <w:t xml:space="preserve"> also lacks the statements on language and understanding.</w:t>
      </w:r>
      <w:r>
        <w:rPr>
          <w:rStyle w:val="FootnoteReference"/>
        </w:rPr>
        <w:footnoteReference w:id="309"/>
      </w:r>
      <w:r>
        <w:rPr/>
        <w:t xml:space="preserve"> On these and other bases Vetter concluded these statements to be late additions to the Pāli version.</w:t>
      </w:r>
      <w:r>
        <w:rPr>
          <w:rStyle w:val="FootnoteReference"/>
        </w:rPr>
        <w:footnoteReference w:id="310"/>
      </w:r>
      <w:r>
        <w:rPr/>
        <w:t xml:space="preserve"> They are possibly brought in from a later passage in the discourse, where they fit the context much better, since it speaks of the limitations of using the word ‘truth</w:t>
        <w:softHyphen/>
        <w:t>finder’ (</w:t>
      </w:r>
      <w:r>
        <w:rPr>
          <w:rStyle w:val="wwc-pali"/>
        </w:rPr>
        <w:t>tathāgata</w:t>
      </w:r>
      <w:r>
        <w:rPr/>
        <w:t>) to describe what happens to an enlightened being after death.</w:t>
      </w:r>
      <w:r>
        <w:rPr>
          <w:rStyle w:val="FootnoteReference"/>
        </w:rPr>
        <w:footnoteReference w:id="311"/>
      </w:r>
      <w:r>
        <w:rPr/>
        <w:t xml:space="preserve"> (</w:t>
      </w:r>
      <w:hyperlink w:anchor="chapter12">
        <w:r>
          <w:rPr>
            <w:rStyle w:val="Hyperlink"/>
          </w:rPr>
          <w:t>Chapter 12</w:t>
        </w:r>
      </w:hyperlink>
      <w:r>
        <w:rPr/>
        <w:t xml:space="preserve"> will expand on this.)</w:t>
      </w:r>
    </w:p>
    <w:p>
      <w:pPr>
        <w:pStyle w:val="WW-paragraph"/>
        <w:rPr/>
      </w:pPr>
      <w:r>
        <w:rPr/>
        <w:t xml:space="preserve">Putting their questionable authenticity aside, the statements on the limited extent of language and understanding can be understood once we recognize that without consciousness and </w:t>
      </w:r>
      <w:r>
        <w:rPr>
          <w:rStyle w:val="wwc-pali"/>
        </w:rPr>
        <w:t>nāmarūpa</w:t>
      </w:r>
      <w:r>
        <w:rPr/>
        <w:t xml:space="preserve"> there simply is no existence at all. Outside of them there is only the cessation of existence, also known as </w:t>
      </w:r>
      <w:r>
        <w:rPr>
          <w:rStyle w:val="wwc-pali"/>
        </w:rPr>
        <w:t>parinibbāna</w:t>
      </w:r>
      <w:r>
        <w:rPr/>
        <w:t xml:space="preserve"> (full extinguishment). With this in mind, I think there are two possible interpretations of statement </w:t>
      </w:r>
      <w:r>
        <w:rPr>
          <w:rStyle w:val="Emphasis"/>
        </w:rPr>
        <w:t>a</w:t>
      </w:r>
      <w:r>
        <w:rPr/>
        <w:t xml:space="preserve">, on there being no way for language without consciousness and </w:t>
      </w:r>
      <w:r>
        <w:rPr>
          <w:rStyle w:val="wwc-pali"/>
        </w:rPr>
        <w:t>nāmarūpa</w:t>
      </w:r>
      <w:r>
        <w:rPr/>
        <w:t>.</w:t>
      </w:r>
    </w:p>
    <w:p>
      <w:pPr>
        <w:pStyle w:val="WW-paragraph"/>
        <w:rPr/>
      </w:pPr>
      <w:r>
        <w:rPr/>
        <w:t xml:space="preserve">The first option takes what we could call a third-person perspective on </w:t>
      </w:r>
      <w:r>
        <w:rPr>
          <w:rStyle w:val="wwc-pali"/>
        </w:rPr>
        <w:t>parinibbāna</w:t>
      </w:r>
      <w:r>
        <w:rPr/>
        <w:t xml:space="preserve">, looking at it from the point of view of a person who has </w:t>
      </w:r>
      <w:r>
        <w:rPr>
          <w:rStyle w:val="Emphasis"/>
        </w:rPr>
        <w:t>not</w:t>
      </w:r>
      <w:r>
        <w:rPr/>
        <w:t xml:space="preserve"> attained it. It argues that after the full extinguishment of someone else (or of oneself projected into the future) there is no longer anything to be named or described.</w:t>
      </w:r>
      <w:r>
        <w:rPr>
          <w:rStyle w:val="FootnoteReference"/>
        </w:rPr>
        <w:footnoteReference w:id="312"/>
      </w:r>
      <w:r>
        <w:rP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3"/>
      </w:r>
      <w:r>
        <w:rPr/>
        <w:t xml:space="preserve"> This is certainly true in general. However, throughout the discourses the Buddha does describe </w:t>
      </w:r>
      <w:r>
        <w:rPr>
          <w:rStyle w:val="wwc-pali"/>
        </w:rPr>
        <w:t>parinibbāna</w:t>
      </w:r>
      <w:r>
        <w:rPr/>
        <w:t xml:space="preserve"> in various ways—the cessation of consciousness along with </w:t>
      </w:r>
      <w:r>
        <w:rPr>
          <w:rStyle w:val="wwc-pali"/>
        </w:rPr>
        <w:t>nāmarūpa</w:t>
      </w:r>
      <w:r>
        <w:rPr/>
        <w:t xml:space="preserve"> being in fact one of these ways—so clearly it is not fully indescribable.</w:t>
      </w:r>
    </w:p>
    <w:p>
      <w:pPr>
        <w:pStyle w:val="WW-paragraph"/>
        <w:rPr/>
      </w:pPr>
      <w:r>
        <w:rP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rPr/>
        <w:t xml:space="preserve"> language. In other words, after the cessation of consciousness and </w:t>
      </w:r>
      <w:r>
        <w:rPr>
          <w:rStyle w:val="wwc-pali"/>
        </w:rPr>
        <w:t>nāmarūpa</w:t>
      </w:r>
      <w:r>
        <w:rP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4"/>
      </w:r>
      <w:r>
        <w:rPr/>
        <w:t xml:space="preserve"> Without such a mental body (or ‘immaterial aspects’) there is no longer a way to use language.</w:t>
      </w:r>
    </w:p>
    <w:p>
      <w:pPr>
        <w:pStyle w:val="WW-paragraph"/>
        <w:rPr/>
      </w:pPr>
      <w:r>
        <w:rPr/>
        <w:t xml:space="preserve">The veracity of this interpretation is backed up by statement </w:t>
      </w:r>
      <w:r>
        <w:rPr>
          <w:rStyle w:val="Emphasis"/>
        </w:rPr>
        <w:t>b</w:t>
      </w:r>
      <w:r>
        <w:rPr/>
        <w:t xml:space="preserve">, on there being no understanding (or ‘wisdom’, </w:t>
      </w:r>
      <w:r>
        <w:rPr>
          <w:rStyle w:val="wwc-pali"/>
        </w:rPr>
        <w:t>paññā</w:t>
      </w:r>
      <w:r>
        <w:rPr/>
        <w:t xml:space="preserve">) outside of consciousness and </w:t>
      </w:r>
      <w:r>
        <w:rPr>
          <w:rStyle w:val="wwc-pali"/>
        </w:rPr>
        <w:t>nāmarūpa</w:t>
      </w:r>
      <w:r>
        <w:rPr/>
        <w:t xml:space="preserve">. We can’t take the third-person perspective here. That is to say, this can't mean that understanding only reaches as far as consciousness and </w:t>
      </w:r>
      <w:r>
        <w:rPr>
          <w:rStyle w:val="wwc-pali"/>
        </w:rPr>
        <w:t>nāmarūpa</w:t>
      </w:r>
      <w:r>
        <w:rPr/>
        <w:t xml:space="preserve"> go, because what lies beyond them—i.e. </w:t>
      </w:r>
      <w:r>
        <w:rPr>
          <w:rStyle w:val="wwc-pali"/>
        </w:rPr>
        <w:t>parinibbāna</w:t>
      </w:r>
      <w:r>
        <w:rPr/>
        <w:t xml:space="preserve">—can also be understood. In this case it must mean that after the cessation of consciousness and </w:t>
      </w:r>
      <w:r>
        <w:rPr>
          <w:rStyle w:val="wwc-pali"/>
        </w:rPr>
        <w:t>nāmarūpa</w:t>
      </w:r>
      <w:r>
        <w:rPr/>
        <w:t xml:space="preserve"> there is no understanding anymore, simply because there is nothing left to </w:t>
      </w:r>
      <w:r>
        <w:rPr>
          <w:rStyle w:val="Emphasis"/>
        </w:rPr>
        <w:t>have</w:t>
      </w:r>
      <w:r>
        <w:rPr/>
        <w:t xml:space="preserve"> the understanding. Put differently, when the enlightened being passes away, their mental faculty to understand things passes away as well. Understanding only exists as long as consciousness and </w:t>
      </w:r>
      <w:r>
        <w:rPr>
          <w:rStyle w:val="wwc-pali"/>
        </w:rPr>
        <w:t>nāmarūpa</w:t>
      </w:r>
      <w:r>
        <w:rPr/>
        <w:t xml:space="preserve"> exist. This is supported by </w:t>
      </w:r>
      <w:hyperlink w:anchor="bqseg92">
        <w:r>
          <w:rPr>
            <w:rStyle w:val="Hyperlink"/>
          </w:rPr>
          <w:t>§92</w:t>
        </w:r>
      </w:hyperlink>
      <w:r>
        <w:rPr/>
        <w:t xml:space="preserve">, where it is said that understanding ceases when consciousness and </w:t>
      </w:r>
      <w:r>
        <w:rPr>
          <w:rStyle w:val="wwc-pali"/>
        </w:rPr>
        <w:t>nāmarūpa</w:t>
      </w:r>
      <w:r>
        <w:rPr/>
        <w:t xml:space="preserve"> cease. The </w:t>
      </w:r>
      <w:r>
        <w:rPr>
          <w:rStyle w:val="wwc-sesame"/>
        </w:rPr>
        <w:t>Cūḷaniddesa</w:t>
      </w:r>
      <w:r>
        <w:rPr/>
        <w:t xml:space="preserve"> comments on this: “When the enlightened one is fully extinguished by the kind of extinguishment which leaves no remnant (</w:t>
      </w:r>
      <w:r>
        <w:rPr>
          <w:rStyle w:val="wwc-pali"/>
        </w:rPr>
        <w:t>anupādisesa nibbānadhātu</w:t>
      </w:r>
      <w:r>
        <w:rPr/>
        <w:t>), with the cessation of their final consciousness, understanding and the immaterial aspects and body cease too.”</w:t>
      </w:r>
      <w:r>
        <w:rPr>
          <w:rStyle w:val="FootnoteReference"/>
        </w:rPr>
        <w:footnoteReference w:id="315"/>
      </w:r>
    </w:p>
    <w:p>
      <w:pPr>
        <w:pStyle w:val="WW-paragraph"/>
        <w:rPr/>
      </w:pPr>
      <w:r>
        <w:rPr/>
        <w:t>This interpretation might not have the intricate implications others have derived from these terse and, frankly, rather unexplanatory statements on the extent of language and understanding.</w:t>
      </w:r>
      <w:r>
        <w:rPr>
          <w:rStyle w:val="FootnoteReference"/>
        </w:rPr>
        <w:footnoteReference w:id="316"/>
      </w:r>
      <w:r>
        <w:rP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rPr/>
        <w:t xml:space="preserve"> are the extent to which beings can exist, and with the passage on the womb which contains these statements, where </w:t>
      </w:r>
      <w:r>
        <w:rPr>
          <w:rStyle w:val="wwc-pali"/>
        </w:rPr>
        <w:t>nāmarūpa</w:t>
      </w:r>
      <w:r>
        <w:rPr/>
        <w:t xml:space="preserve"> refers to the being, not to concepts or cognitive processes. The idea is simple: life, including language and understanding, only exists as long as there is consciousness and </w:t>
      </w:r>
      <w:r>
        <w:rPr>
          <w:rStyle w:val="wwc-pali"/>
        </w:rPr>
        <w:t>nāmarūpa</w:t>
      </w:r>
      <w:r>
        <w:rPr/>
        <w:t xml:space="preserve">. When consciousness and </w:t>
      </w:r>
      <w:r>
        <w:rPr>
          <w:rStyle w:val="wwc-pali"/>
        </w:rPr>
        <w:t>nāmarūpa</w:t>
      </w:r>
      <w:r>
        <w:rPr/>
        <w:t xml:space="preserve"> cease, these things can no longer be.</w:t>
      </w:r>
      <w:r>
        <w:rPr>
          <w:rStyle w:val="FootnoteReference"/>
        </w:rPr>
        <w:footnoteReference w:id="317"/>
      </w:r>
    </w:p>
    <w:p>
      <w:pPr>
        <w:pStyle w:val="WW-paragraph"/>
        <w:rPr/>
      </w:pPr>
      <w:r>
        <w:rPr/>
        <w:t>With those two statements addressed, hopefully to some satisfaction, we can consider the actual dependencies between consciousness and individual’s immaterial aspects and body.</w:t>
      </w:r>
    </w:p>
    <w:p>
      <w:pPr>
        <w:pStyle w:val="WW-chapter-section-1"/>
        <w:ind w:hanging="0" w:start="0"/>
        <w:rPr/>
      </w:pPr>
      <w:r>
        <w:rPr/>
        <w:t>The dependency of consciousness on nāmarūpa</w:t>
      </w:r>
    </w:p>
    <w:p>
      <w:pPr>
        <w:pStyle w:val="WW-paragraph"/>
        <w:rPr/>
      </w:pPr>
      <w:r>
        <w:rPr/>
        <w:t xml:space="preserve">We start with </w:t>
      </w:r>
      <w:r>
        <w:rPr>
          <w:rStyle w:val="Strong"/>
        </w:rPr>
        <w:t>dependency 2</w:t>
      </w:r>
      <w:r>
        <w:rP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rPr/>
        <w:t>.</w:t>
      </w:r>
      <w:r>
        <w:rPr>
          <w:rStyle w:val="FootnoteReference"/>
        </w:rPr>
        <w:footnoteReference w:id="318"/>
      </w:r>
      <w:r>
        <w:rP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9"/>
      </w:r>
      <w:r>
        <w:rPr/>
        <w:t xml:space="preserve"> The </w:t>
      </w:r>
      <w:r>
        <w:rPr>
          <w:rStyle w:val="wwc-sesame"/>
        </w:rPr>
        <w:t>Seeds Discourse</w:t>
      </w:r>
      <w:r>
        <w:rP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rPr/>
        <w:t xml:space="preserve"> can indeed stand for the other four aspects of existence.</w:t>
      </w:r>
    </w:p>
    <w:p>
      <w:pPr>
        <w:pStyle w:val="WW-paragraph"/>
        <w:rPr/>
      </w:pPr>
      <w:r>
        <w:rP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rPr/>
        <w:t xml:space="preserve"> and </w:t>
      </w:r>
      <w:r>
        <w:rPr>
          <w:rStyle w:val="wwc-pali"/>
        </w:rPr>
        <w:t>viññāṇa</w:t>
      </w:r>
      <w:r>
        <w:rPr/>
        <w:t xml:space="preserve"> […] is established in order to prevent independent existence being ascribed to </w:t>
      </w:r>
      <w:r>
        <w:rPr>
          <w:rStyle w:val="wwc-pali"/>
        </w:rPr>
        <w:t>viññāṇa</w:t>
      </w:r>
      <w:r>
        <w:rPr/>
        <w:t>.”</w:t>
      </w:r>
      <w:r>
        <w:rPr>
          <w:rStyle w:val="FootnoteReference"/>
        </w:rPr>
        <w:footnoteReference w:id="320"/>
      </w:r>
      <w:r>
        <w:rPr/>
        <w:t xml:space="preserve"> This is why consciousness together with </w:t>
      </w:r>
      <w:r>
        <w:rPr>
          <w:rStyle w:val="wwc-pali"/>
        </w:rPr>
        <w:t>nāmarūpa</w:t>
      </w:r>
      <w:r>
        <w:rPr/>
        <w:t xml:space="preserve"> is the extent to which there is existence, “the extent to which the cycle of rebirth continues so life here manifests”.</w:t>
      </w:r>
    </w:p>
    <w:p>
      <w:pPr>
        <w:pStyle w:val="WW-paragraph"/>
        <w:rPr/>
      </w:pPr>
      <w:r>
        <w:rPr/>
        <w:t xml:space="preserve">The </w:t>
      </w:r>
      <w:r>
        <w:rPr>
          <w:rStyle w:val="wwc-sesame"/>
        </w:rPr>
        <w:t>Mahānidāna Sutta</w:t>
      </w:r>
      <w:r>
        <w:rPr/>
        <w:t xml:space="preserve"> explains the </w:t>
      </w:r>
      <w:r>
        <w:rPr>
          <w:rStyle w:val="Emphasis"/>
        </w:rPr>
        <w:t>origination</w:t>
      </w:r>
      <w:r>
        <w:rPr/>
        <w:t xml:space="preserve"> of consciousness along with </w:t>
      </w:r>
      <w:r>
        <w:rPr>
          <w:rStyle w:val="wwc-pali"/>
        </w:rPr>
        <w:t>nāmarūpa</w:t>
      </w:r>
      <w:r>
        <w:rPr/>
        <w:t xml:space="preserve">, which refers specifically to birth. This should be kept in mind when contemplating the </w:t>
      </w:r>
      <w:r>
        <w:rPr>
          <w:rStyle w:val="Emphasis"/>
        </w:rPr>
        <w:t>origination</w:t>
      </w:r>
      <w:r>
        <w:rPr/>
        <w:t xml:space="preserve"> sequence of Dependent Arising. However, the mutual dependency between consciousness and </w:t>
      </w:r>
      <w:r>
        <w:rPr>
          <w:rStyle w:val="wwc-pali"/>
        </w:rPr>
        <w:t>nāmarūpa</w:t>
      </w:r>
      <w:r>
        <w:rPr/>
        <w:t xml:space="preserve"> continues after birth as well. Venerable Bodhi stated: “Consciousness requires mentality-materiality [</w:t>
      </w:r>
      <w:r>
        <w:rPr>
          <w:rStyle w:val="wwc-pali"/>
        </w:rPr>
        <w:t>nāmarūpa</w:t>
      </w:r>
      <w:r>
        <w:rP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1"/>
      </w:r>
      <w:r>
        <w:rPr/>
        <w:t xml:space="preserve"> Langer likewise concluded: “An obvious explanation for the dependence of </w:t>
      </w:r>
      <w:r>
        <w:rPr>
          <w:rStyle w:val="wwc-pali"/>
        </w:rPr>
        <w:t>viññāṇa</w:t>
      </w:r>
      <w:r>
        <w:rPr/>
        <w:t xml:space="preserve"> on </w:t>
      </w:r>
      <w:r>
        <w:rPr>
          <w:rStyle w:val="wwc-pali"/>
        </w:rPr>
        <w:t>nāmarūpa</w:t>
      </w:r>
      <w:r>
        <w:rPr/>
        <w:t xml:space="preserve"> is that—at least in the sensual realm—the process of consciousness takes place with the sense organs as its basis […] and therefore a functioning </w:t>
      </w:r>
      <w:r>
        <w:rPr>
          <w:rStyle w:val="wwc-pali"/>
        </w:rPr>
        <w:t>viññāṇa</w:t>
      </w:r>
      <w:r>
        <w:rPr/>
        <w:t xml:space="preserve"> […] requires a body.”</w:t>
      </w:r>
      <w:r>
        <w:rPr>
          <w:rStyle w:val="FootnoteReference"/>
        </w:rPr>
        <w:footnoteReference w:id="322"/>
      </w:r>
      <w:r>
        <w:rPr/>
        <w:t xml:space="preserve"> In simple terms, for consciousness to be reborn and continue to function, there needs to be other stuff, there need to be ‘immaterial aspects and body’.</w:t>
      </w:r>
    </w:p>
    <w:p>
      <w:pPr>
        <w:pStyle w:val="WW-paragraph"/>
        <w:rPr/>
      </w:pPr>
      <w:r>
        <w:rPr/>
        <w:t>This might all sound very abstract, but some discourses ask the meditator to reflect on this as follows:</w:t>
      </w:r>
    </w:p>
    <w:p>
      <w:pPr>
        <w:pStyle w:val="WW-named-section"/>
        <w:rPr/>
      </w:pPr>
      <w:r>
        <w:rPr/>
        <w:t>§85</w:t>
      </w:r>
    </w:p>
    <w:p>
      <w:pPr>
        <w:pStyle w:val="WW-blockquote"/>
        <w:rPr/>
      </w:pPr>
      <w:bookmarkStart w:id="90" w:name="bqseg85"/>
      <w:bookmarkEnd w:id="90"/>
      <w:r>
        <w:rP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rPr/>
        <w:t>) which is made of form (</w:t>
      </w:r>
      <w:r>
        <w:rPr>
          <w:rStyle w:val="wwc-pali"/>
        </w:rPr>
        <w:t>rūpa</w:t>
      </w:r>
      <w:r>
        <w:rPr/>
        <w:t>), made up of the four elements, created by my mother and father, built from rice and porridge, of a temporary nature, of the nature to deteriorate and degenerate, to decay and fall apart. And this is my consciousness which is bound and tied to it.’</w:t>
      </w:r>
    </w:p>
    <w:p>
      <w:pPr>
        <w:pStyle w:val="WW-blockquote"/>
        <w:rPr/>
      </w:pPr>
      <w:r>
        <w:rP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pPr>
        <w:pStyle w:val="WW-blockquote"/>
        <w:rPr/>
      </w:pPr>
      <w:r>
        <w:rPr/>
        <w:t>Likewise, when your mind has been unified in this way […] you direct it to knowledge and insight, reflecting: ‘This is my body […] And this is my consciousness which is bound and tied to it.’</w:t>
      </w:r>
      <w:r>
        <w:rPr>
          <w:rStyle w:val="FootnoteReference"/>
        </w:rPr>
        <w:footnoteReference w:id="323"/>
      </w:r>
    </w:p>
    <w:p>
      <w:pPr>
        <w:pStyle w:val="WW-paragraph"/>
        <w:rPr/>
      </w:pPr>
      <w:r>
        <w:rPr/>
        <w:t>When a similar simile occurs elsewhere, it is about the rebirth of the Bodhisattva or, when used by non-Buddhist, about a self that survives death.</w:t>
      </w:r>
      <w:r>
        <w:rPr>
          <w:rStyle w:val="FootnoteReference"/>
        </w:rPr>
        <w:footnoteReference w:id="324"/>
      </w:r>
      <w:r>
        <w:rP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pPr>
        <w:pStyle w:val="WW-figure"/>
        <w:rPr/>
      </w:pPr>
      <w:r>
        <w:rPr/>
        <w:t>./img/gem.png=A gemstone with a green thread running through it. Beside it lay four other different color threads. The gem is labeled ‘the mind (consciousness)’, the green thread ‘this body’, and the other threads ‘other bodies’.=30=border</w:t>
        <w:br/>
        <w:t>Figure 22. A threaded gem as a simile for consciousness being tied to the body</w:t>
      </w:r>
    </w:p>
    <w:p>
      <w:pPr>
        <w:pStyle w:val="WW-paragraph"/>
        <w:rPr/>
      </w:pPr>
      <w:r>
        <w:rPr/>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pPr>
        <w:pStyle w:val="WW-paragraph"/>
        <w:rPr/>
      </w:pPr>
      <w:r>
        <w:rP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rPr/>
        <w:t xml:space="preserve"> has pragmatic relevance even before deeper insight develops. It is a start to directly seeing the mechanisms of rebirth and therefore Dependent Arising.</w:t>
      </w:r>
    </w:p>
    <w:p>
      <w:pPr>
        <w:pStyle w:val="WW-space"/>
        <w:rPr/>
      </w:pPr>
      <w:r>
        <w:rPr/>
        <w:t>0</w:t>
      </w:r>
    </w:p>
    <w:p>
      <w:pPr>
        <w:pStyle w:val="WW-paragraph"/>
        <w:rPr/>
      </w:pPr>
      <w:r>
        <w:rPr/>
        <w:t xml:space="preserve">So, consciousness depends on </w:t>
      </w:r>
      <w:r>
        <w:rPr>
          <w:rStyle w:val="wwc-pali"/>
        </w:rPr>
        <w:t>nāmarūpa</w:t>
      </w:r>
      <w:r>
        <w:rPr/>
        <w:t xml:space="preserve"> throughout life. However, in the origination sequence, which describes its </w:t>
      </w:r>
      <w:r>
        <w:rPr>
          <w:rStyle w:val="Emphasis"/>
        </w:rPr>
        <w:t>arising</w:t>
      </w:r>
      <w:r>
        <w:rPr/>
        <w:t>, the terms refer specifically to rebirth, which is why the Buddha explains the dependency by describing the conception of a fetus in a womb. The cessation sequence accordingly refers to the end of life:</w:t>
      </w:r>
    </w:p>
    <w:p>
      <w:pPr>
        <w:pStyle w:val="WW-named-section"/>
        <w:rPr/>
      </w:pPr>
      <w:r>
        <w:rPr/>
        <w:t>§86</w:t>
      </w:r>
    </w:p>
    <w:p>
      <w:pPr>
        <w:pStyle w:val="WW-blockquote"/>
        <w:rPr/>
      </w:pPr>
      <w:bookmarkStart w:id="91" w:name="bqseg86"/>
      <w:bookmarkEnd w:id="91"/>
      <w:r>
        <w:rP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5"/>
      </w:r>
    </w:p>
    <w:p>
      <w:pPr>
        <w:pStyle w:val="WW-paragraph"/>
        <w:rPr/>
      </w:pPr>
      <w:r>
        <w:rPr/>
        <w:t xml:space="preserve">When </w:t>
      </w:r>
      <w:r>
        <w:rPr>
          <w:rStyle w:val="wwc-pali"/>
        </w:rPr>
        <w:t>nāmarūpa</w:t>
      </w:r>
      <w:r>
        <w:rPr/>
        <w:t xml:space="preserve"> ceases, consciousness ceases too, and so do the six senses, sense impressions, and sensations. A later passage on the difference between the foolish and the wise (</w:t>
      </w:r>
      <w:hyperlink w:anchor="bqseg108">
        <w:r>
          <w:rPr>
            <w:rStyle w:val="Hyperlink"/>
          </w:rPr>
          <w:t>§108</w:t>
        </w:r>
      </w:hyperlink>
      <w:r>
        <w:rPr/>
        <w:t>) shows that enlightened beings still have these things, so this cessation only happens when they pass away.</w:t>
      </w:r>
    </w:p>
    <w:p>
      <w:pPr>
        <w:pStyle w:val="WW-chapter-section-1"/>
        <w:ind w:hanging="0" w:start="0"/>
        <w:rPr/>
      </w:pPr>
      <w:r>
        <w:rPr/>
        <w:t>Brahmanic beliefs in nāmarūpa-less consciousness</w:t>
      </w:r>
    </w:p>
    <w:p>
      <w:pPr>
        <w:pStyle w:val="WW-paragraph"/>
        <w:rPr/>
      </w:pPr>
      <w:r>
        <w:rPr/>
        <w:t xml:space="preserve">Before addressing the other dependency—depencency 1, that of </w:t>
      </w:r>
      <w:r>
        <w:rPr>
          <w:rStyle w:val="wwc-pali"/>
        </w:rPr>
        <w:t>nāmarūpa</w:t>
      </w:r>
      <w:r>
        <w:rP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r>
        <w:rPr>
          <w:rStyle w:val="wwc-pali"/>
        </w:rPr>
        <w:t>nāmarūpa</w:t>
      </w:r>
      <w:r>
        <w:rP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6"/>
      </w:r>
      <w:r>
        <w:rPr/>
        <w:t xml:space="preserve"> and was summarized by Venerable Sujato as follows:</w:t>
      </w:r>
    </w:p>
    <w:p>
      <w:pPr>
        <w:pStyle w:val="WW-blockquote"/>
        <w:rPr/>
      </w:pPr>
      <w:r>
        <w:rPr/>
        <w:t xml:space="preserve">The terminology of </w:t>
      </w:r>
      <w:r>
        <w:rPr>
          <w:rStyle w:val="wwc-pali"/>
        </w:rPr>
        <w:t>nāmarūpa</w:t>
      </w:r>
      <w:r>
        <w:rPr/>
        <w:t xml:space="preserve"> was adopted by the Buddha from the pre-Buddhist Upaniṣadic philosophy. In the Upaniṣads, </w:t>
      </w:r>
      <w:r>
        <w:rPr>
          <w:rStyle w:val="wwc-pali"/>
        </w:rPr>
        <w:t>nāmarūpa</w:t>
      </w:r>
      <w:r>
        <w:rP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rPr/>
        <w:t>, the Buddha was turning this Upaniṣadic idea on its head. Consciousness is not an independent metaphysical absolute, but a part of everyday empirical reality, as fragile and dependent as anything else.</w:t>
      </w:r>
      <w:r>
        <w:rPr>
          <w:rStyle w:val="FootnoteReference"/>
        </w:rPr>
        <w:footnoteReference w:id="327"/>
      </w:r>
    </w:p>
    <w:p>
      <w:pPr>
        <w:pStyle w:val="WW-paragraph"/>
        <w:rPr/>
      </w:pPr>
      <w:r>
        <w:rP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rPr/>
        <w:t>, Maryla Falk explained that the process was believed to happen in two steps. First one’s form, one’s body, was abandoned, thereafter one’s name:</w:t>
      </w:r>
    </w:p>
    <w:p>
      <w:pPr>
        <w:pStyle w:val="WW-blockquote"/>
        <w:rPr/>
      </w:pPr>
      <w:r>
        <w:rP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8"/>
      </w:r>
    </w:p>
    <w:p>
      <w:pPr>
        <w:pStyle w:val="WW-paragraph"/>
        <w:rPr/>
      </w:pPr>
      <w:r>
        <w:rPr/>
        <w:t>Unlike Buddhism, the Upaniṣads were not the creation of a single person but of various spiritual leaders, who did not always have the exact same ideas.</w:t>
      </w:r>
      <w:r>
        <w:rPr>
          <w:rStyle w:val="FootnoteReference"/>
        </w:rPr>
        <w:footnoteReference w:id="329"/>
      </w:r>
      <w:r>
        <w:rPr/>
        <w:t xml:space="preserve"> As a result this process of liberation may be detailed variously throughout the Upaniṣads. Not all Brahmins aimed for the absolution of </w:t>
      </w:r>
      <w:r>
        <w:rPr>
          <w:rStyle w:val="wwc-pali"/>
        </w:rPr>
        <w:t>nāmarūpa</w:t>
      </w:r>
      <w:r>
        <w:rPr/>
        <w:t xml:space="preserve"> either. Many pursued more worldly aims or still the older Vedic goal of an eternal afterlife amongst one’s forefathers. But the ultimate goal of at least </w:t>
      </w:r>
      <w:r>
        <w:rPr>
          <w:rStyle w:val="Emphasis"/>
        </w:rPr>
        <w:t>some</w:t>
      </w:r>
      <w:r>
        <w:rPr/>
        <w:t xml:space="preserve"> Brahmins was to release themselves from “name and form” so that only pure consciousness remained, in an everlasting state of unity with the heavenly “Person”, also known as </w:t>
      </w:r>
      <w:r>
        <w:rPr>
          <w:rStyle w:val="wwc-pali"/>
        </w:rPr>
        <w:t>brahman</w:t>
      </w:r>
      <w:r>
        <w:rP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rPr/>
        <w:t>.</w:t>
      </w:r>
    </w:p>
    <w:p>
      <w:pPr>
        <w:pStyle w:val="WW-paragraph"/>
        <w:rPr/>
      </w:pPr>
      <w:r>
        <w:rPr/>
        <w:t>For clarification, here are some relevant passages from the Upaniṣads, translated by Patrick Olivelle:</w:t>
      </w:r>
    </w:p>
    <w:p>
      <w:pPr>
        <w:pStyle w:val="WW-named-section"/>
        <w:rPr/>
      </w:pPr>
      <w:r>
        <w:rPr/>
        <w:t>§87</w:t>
      </w:r>
    </w:p>
    <w:p>
      <w:pPr>
        <w:pStyle w:val="WW-line-block"/>
        <w:rPr/>
      </w:pPr>
      <w:bookmarkStart w:id="92" w:name="bqseg87"/>
      <w:bookmarkEnd w:id="92"/>
      <w:r>
        <w:rPr/>
        <w:t>As the rivers flow on and enter into the ocean</w:t>
        <w:br/>
        <w:t>giving up their names and appearances [</w:t>
      </w:r>
      <w:r>
        <w:rPr>
          <w:rStyle w:val="wwc-pali"/>
        </w:rPr>
        <w:t>nāmarūpa</w:t>
      </w:r>
      <w:r>
        <w:rPr/>
        <w:t>];</w:t>
        <w:br/>
        <w:t>So the knower [i.e consciousness], freed from [its] name and appearance,</w:t>
        <w:br/>
        <w:t>reaches the heavenly Person, beyond the very highest.</w:t>
      </w:r>
      <w:r>
        <w:rPr>
          <w:rStyle w:val="FootnoteReference"/>
        </w:rPr>
        <w:footnoteReference w:id="330"/>
      </w:r>
    </w:p>
    <w:p>
      <w:pPr>
        <w:pStyle w:val="WW-space"/>
        <w:rPr/>
      </w:pPr>
      <w:r>
        <w:rPr/>
        <w:t>0</w:t>
      </w:r>
    </w:p>
    <w:p>
      <w:pPr>
        <w:pStyle w:val="WW-named-section"/>
        <w:rPr/>
      </w:pPr>
      <w:r>
        <w:rPr/>
        <w:t>§88</w:t>
      </w:r>
    </w:p>
    <w:p>
      <w:pPr>
        <w:pStyle w:val="WW-blockquote"/>
        <w:rPr/>
      </w:pPr>
      <w:bookmarkStart w:id="93" w:name="bqseg88"/>
      <w:bookmarkEnd w:id="93"/>
      <w:r>
        <w:rP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1"/>
      </w:r>
    </w:p>
    <w:p>
      <w:pPr>
        <w:pStyle w:val="WW-space"/>
        <w:rPr/>
      </w:pPr>
      <w:r>
        <w:rPr/>
        <w:t>0</w:t>
      </w:r>
    </w:p>
    <w:p>
      <w:pPr>
        <w:pStyle w:val="WW-named-section"/>
        <w:rPr/>
      </w:pPr>
      <w:r>
        <w:rPr/>
        <w:t>§89</w:t>
      </w:r>
    </w:p>
    <w:p>
      <w:pPr>
        <w:pStyle w:val="WW-blockquote"/>
        <w:rPr/>
      </w:pPr>
      <w:bookmarkStart w:id="94" w:name="bqseg89"/>
      <w:bookmarkEnd w:id="94"/>
      <w:r>
        <w:rP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rPr/>
        <w:t>).</w:t>
      </w:r>
      <w:r>
        <w:rPr>
          <w:rStyle w:val="FootnoteReference"/>
        </w:rPr>
        <w:footnoteReference w:id="332"/>
      </w:r>
    </w:p>
    <w:p>
      <w:pPr>
        <w:pStyle w:val="WW-paragraph"/>
        <w:rPr/>
      </w:pPr>
      <w:r>
        <w:rPr/>
        <w:t xml:space="preserve">After introducing </w:t>
      </w:r>
      <w:r>
        <w:rPr>
          <w:rStyle w:val="wwc-pali"/>
        </w:rPr>
        <w:t>nāmarūpa</w:t>
      </w:r>
      <w:r>
        <w:rPr/>
        <w:t xml:space="preserve"> in </w:t>
      </w:r>
      <w:hyperlink w:anchor="chapter3">
        <w:r>
          <w:rPr>
            <w:rStyle w:val="Hyperlink"/>
          </w:rPr>
          <w:t>Chapter 3</w:t>
        </w:r>
      </w:hyperlink>
      <w:r>
        <w:rPr/>
        <w:t xml:space="preserve">, I mentioned that in the Upaniṣads the term can also refer to the names and forms of </w:t>
      </w:r>
      <w:r>
        <w:rPr>
          <w:rStyle w:val="Emphasis"/>
        </w:rPr>
        <w:t>objects</w:t>
      </w:r>
      <w:r>
        <w:rP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rPr/>
        <w:t xml:space="preserve">, the </w:t>
      </w:r>
      <w:r>
        <w:rPr>
          <w:rStyle w:val="wwc-sesame"/>
        </w:rPr>
        <w:t>Chāndogya</w:t>
      </w:r>
      <w:r>
        <w:rPr/>
        <w:t xml:space="preserve">. Since </w:t>
      </w:r>
      <w:r>
        <w:rPr>
          <w:rStyle w:val="wwc-pali"/>
        </w:rPr>
        <w:t>nāmarūpa</w:t>
      </w:r>
      <w:r>
        <w:rPr/>
        <w:t xml:space="preserve"> refers to certain aspects of the individual here, this is likely what is referred to in the other two passages as well.</w:t>
      </w:r>
      <w:r>
        <w:rPr>
          <w:rStyle w:val="FootnoteReference"/>
        </w:rPr>
        <w:footnoteReference w:id="333"/>
      </w:r>
      <w:r>
        <w:rPr/>
        <w:t xml:space="preserve"> This is reinforced by the second passage mentioning “parts of the person” losing their names and appearances.</w:t>
      </w:r>
    </w:p>
    <w:p>
      <w:pPr>
        <w:pStyle w:val="WW-paragraph"/>
        <w:rPr/>
      </w:pPr>
      <w:r>
        <w:rPr/>
        <w:t xml:space="preserve">The Buddha never quotes the </w:t>
      </w:r>
      <w:r>
        <w:rPr>
          <w:rStyle w:val="wwc-sesame"/>
        </w:rPr>
        <w:t>Upaniṣads</w:t>
      </w:r>
      <w:r>
        <w:rP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rPr/>
        <w:t>) instead of a universal consciousness.</w:t>
      </w:r>
      <w:r>
        <w:rPr>
          <w:rStyle w:val="FootnoteReference"/>
        </w:rPr>
        <w:footnoteReference w:id="334"/>
      </w:r>
      <w:r>
        <w:rPr/>
        <w:t xml:space="preserve"> About the supposed conscious self which constitutes the whole world (or ‘universe’, </w:t>
      </w:r>
      <w:r>
        <w:rPr>
          <w:rStyle w:val="wwc-pali"/>
        </w:rPr>
        <w:t>loka</w:t>
      </w:r>
      <w:r>
        <w:rPr/>
        <w:t>) he said:</w:t>
      </w:r>
    </w:p>
    <w:p>
      <w:pPr>
        <w:pStyle w:val="WW-named-section"/>
        <w:rPr/>
      </w:pPr>
      <w:r>
        <w:rPr/>
        <w:t>§90</w:t>
      </w:r>
    </w:p>
    <w:p>
      <w:pPr>
        <w:pStyle w:val="WW-blockquote"/>
        <w:rPr/>
      </w:pPr>
      <w:bookmarkStart w:id="95" w:name="bqseg90"/>
      <w:bookmarkEnd w:id="95"/>
      <w:r>
        <w:rP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5"/>
      </w:r>
    </w:p>
    <w:p>
      <w:pPr>
        <w:pStyle w:val="WW-paragraph"/>
        <w:rPr/>
      </w:pPr>
      <w:r>
        <w:rPr/>
        <w:t xml:space="preserve">This statement, which reflects the standard eternalist belief in the Canon, directly refutes Brahmanical ideas about a universal self. With the dependency of consciousness on </w:t>
      </w:r>
      <w:r>
        <w:rPr>
          <w:rStyle w:val="wwc-pali"/>
        </w:rPr>
        <w:t>nāmarūpa</w:t>
      </w:r>
      <w:r>
        <w:rPr/>
        <w:t xml:space="preserve"> the Buddha was also addressing such ideas. While Brahmins believed that the abandonment of </w:t>
      </w:r>
      <w:r>
        <w:rPr>
          <w:rStyle w:val="wwc-pali"/>
        </w:rPr>
        <w:t>nāmarūpa</w:t>
      </w:r>
      <w:r>
        <w:rPr/>
        <w:t xml:space="preserve"> would result in a state of transcendent consciousness, the Buddha taught that consciousness is intrinsically dependent on </w:t>
      </w:r>
      <w:r>
        <w:rPr>
          <w:rStyle w:val="wwc-pali"/>
        </w:rPr>
        <w:t>nāma</w:t>
      </w:r>
      <w:r>
        <w:rPr/>
        <w:t xml:space="preserve"> and </w:t>
      </w:r>
      <w:r>
        <w:rPr>
          <w:rStyle w:val="wwc-pali"/>
        </w:rPr>
        <w:t>rūpa</w:t>
      </w:r>
      <w:r>
        <w:rPr/>
        <w:t xml:space="preserve">, so that their abandonment results in the cessation of consciousness. Existence is always a combination of consciousness </w:t>
      </w:r>
      <w:r>
        <w:rPr>
          <w:rStyle w:val="Strong"/>
        </w:rPr>
        <w:t>and</w:t>
      </w:r>
      <w:r>
        <w:rPr/>
        <w:t xml:space="preserve"> </w:t>
      </w:r>
      <w:r>
        <w:rPr>
          <w:rStyle w:val="wwc-pali"/>
        </w:rPr>
        <w:t>nāmarūpa</w:t>
      </w:r>
      <w:r>
        <w:rPr/>
        <w:t>. Hence it is said, in the words of a deity named Ghaṭikara:</w:t>
      </w:r>
    </w:p>
    <w:p>
      <w:pPr>
        <w:pStyle w:val="WW-named-section"/>
        <w:rPr/>
      </w:pPr>
      <w:r>
        <w:rPr/>
        <w:t>§91</w:t>
      </w:r>
    </w:p>
    <w:p>
      <w:pPr>
        <w:pStyle w:val="WW-line-block"/>
        <w:rPr/>
      </w:pPr>
      <w:bookmarkStart w:id="96" w:name="bqseg91"/>
      <w:bookmarkEnd w:id="96"/>
      <w:r>
        <w:rPr/>
        <w:t>Where the immaterial aspects and body</w:t>
        <w:br/>
        <w:t>completely come to cease:</w:t>
        <w:br/>
        <w:t>they who understanding this teaching,</w:t>
        <w:br/>
        <w:t>cut their bonds to existence.</w:t>
      </w:r>
      <w:r>
        <w:rPr>
          <w:rStyle w:val="FootnoteReference"/>
        </w:rPr>
        <w:footnoteReference w:id="336"/>
      </w:r>
    </w:p>
    <w:p>
      <w:pPr>
        <w:pStyle w:val="WW-paragraph"/>
        <w:rPr/>
      </w:pPr>
      <w:r>
        <w:rPr/>
        <w:t xml:space="preserve">Later in the sutta, in his reply to Ghaṭikara the Buddha says that those who understand this statement bear their final body, meaning the life of the enlightened being is their final </w:t>
      </w:r>
      <w:r>
        <w:rPr>
          <w:rStyle w:val="wwc-pali"/>
        </w:rPr>
        <w:t>nāmarūpa</w:t>
      </w:r>
      <w:r>
        <w:rPr/>
        <w:t>.</w:t>
      </w:r>
    </w:p>
    <w:p>
      <w:pPr>
        <w:pStyle w:val="WW-paragraph"/>
        <w:rPr/>
      </w:pPr>
      <w:r>
        <w:rPr/>
        <w:t xml:space="preserve">The </w:t>
      </w:r>
      <w:r>
        <w:rPr>
          <w:rStyle w:val="wwc-sesame"/>
        </w:rPr>
        <w:t>Pārāyana Vagga</w:t>
      </w:r>
      <w:r>
        <w:rPr/>
        <w:t xml:space="preserve"> confirms that these teachings specifically addressed Brahmanical ideas. In this text a Brahmin student named Ajita asks the Buddha how to end </w:t>
      </w:r>
      <w:r>
        <w:rPr>
          <w:rStyle w:val="wwc-pali"/>
        </w:rPr>
        <w:t>nāmarūpa</w:t>
      </w:r>
      <w:r>
        <w:rPr/>
        <w:t xml:space="preserve">. By this he meant, according to Lauren Bausch, “a conditioned form of existence [which is] an idea already found in the </w:t>
      </w:r>
      <w:r>
        <w:rPr>
          <w:rStyle w:val="wwc-sesame"/>
        </w:rPr>
        <w:t>Kāṇva Śatapatha Brāhmaṇa</w:t>
      </w:r>
      <w:r>
        <w:rPr/>
        <w:t xml:space="preserve">”, a text preceding the </w:t>
      </w:r>
      <w:r>
        <w:rPr>
          <w:rStyle w:val="wwc-sesame"/>
        </w:rPr>
        <w:t>Upaniṣads</w:t>
      </w:r>
      <w:r>
        <w:rPr/>
        <w:t>.</w:t>
      </w:r>
      <w:r>
        <w:rPr>
          <w:rStyle w:val="FootnoteReference"/>
        </w:rPr>
        <w:footnoteReference w:id="337"/>
      </w:r>
      <w:r>
        <w:rPr/>
        <w:t xml:space="preserve"> The Buddha replies that these conditioned parts of existence only cease when consciousness ceases too:</w:t>
      </w:r>
    </w:p>
    <w:p>
      <w:pPr>
        <w:pStyle w:val="WW-named-section"/>
        <w:rPr/>
      </w:pPr>
      <w:r>
        <w:rPr/>
        <w:t>§92</w:t>
      </w:r>
    </w:p>
    <w:p>
      <w:pPr>
        <w:pStyle w:val="WW-blockquote"/>
        <w:rPr/>
      </w:pPr>
      <w:bookmarkStart w:id="97" w:name="bqseg92"/>
      <w:bookmarkEnd w:id="97"/>
      <w:r>
        <w:rPr/>
        <w:t>&lt;Ajita asked:</w:t>
      </w:r>
    </w:p>
    <w:p>
      <w:pPr>
        <w:pStyle w:val="WW-line-block"/>
        <w:rPr/>
      </w:pPr>
      <w:r>
        <w:rPr/>
        <w:t>“</w:t>
      </w:r>
      <w:r>
        <w:rPr/>
        <w:t>Understanding and memory,</w:t>
        <w:br/>
        <w:t>and the immaterial aspects and body,</w:t>
        <w:br/>
        <w:t>please tell me, sir, I ask:</w:t>
        <w:br/>
        <w:t>where do these come to cease?”</w:t>
      </w:r>
    </w:p>
    <w:p>
      <w:pPr>
        <w:pStyle w:val="WW-blockquote"/>
        <w:rPr/>
      </w:pPr>
      <w:r>
        <w:rPr/>
        <w:t>&lt;The Buddha replied:</w:t>
      </w:r>
    </w:p>
    <w:p>
      <w:pPr>
        <w:pStyle w:val="WW-line-block"/>
        <w:rPr/>
      </w:pPr>
      <w:r>
        <w:rPr/>
        <w:t>“</w:t>
      </w:r>
      <w:r>
        <w:rPr/>
        <w:t>The question you asked, Ajita,</w:t>
        <w:br/>
        <w:t>I can answer.</w:t>
        <w:br/>
        <w:t>As to where the immaterial aspects and body</w:t>
        <w:br/>
        <w:t>fully come to cease:</w:t>
        <w:br/>
        <w:t>when consciousness ceases,</w:t>
        <w:br/>
        <w:t>then those come to cease.”</w:t>
      </w:r>
      <w:r>
        <w:rPr>
          <w:rStyle w:val="FootnoteReference"/>
        </w:rPr>
        <w:footnoteReference w:id="338"/>
      </w:r>
    </w:p>
    <w:p>
      <w:pPr>
        <w:pStyle w:val="WW-paragraph"/>
        <w:rPr/>
      </w:pPr>
      <w:r>
        <w:rPr/>
        <w:t xml:space="preserve">The same essential teaching is given in the </w:t>
      </w:r>
      <w:r>
        <w:rPr>
          <w:rStyle w:val="wwc-sesame"/>
        </w:rPr>
        <w:t>Kevaddha Sutta</w:t>
      </w:r>
      <w:r>
        <w:rPr/>
        <w:t>, which I discussed at length in a previous essay, although without detailing its connections to Brahmanism.</w:t>
      </w:r>
      <w:r>
        <w:rPr>
          <w:rStyle w:val="FootnoteReference"/>
        </w:rPr>
        <w:footnoteReference w:id="339"/>
      </w:r>
      <w:r>
        <w:rPr/>
        <w:t xml:space="preserve"> The discourse stems from the first section of </w:t>
      </w:r>
      <w:r>
        <w:rPr>
          <w:rStyle w:val="wwc-sesame"/>
        </w:rPr>
        <w:t>Dīgha Nikāya</w:t>
      </w:r>
      <w:r>
        <w:rPr/>
        <w:t xml:space="preserve">, the </w:t>
      </w:r>
      <w:r>
        <w:rPr>
          <w:rStyle w:val="wwc-sesame"/>
        </w:rPr>
        <w:t>Sīlakkhandha Vagga</w:t>
      </w:r>
      <w:r>
        <w:rPr/>
        <w:t>, which is aimed at converting outsiders, Brahmins in particular.</w:t>
      </w:r>
      <w:r>
        <w:rPr>
          <w:rStyle w:val="FootnoteReference"/>
        </w:rPr>
        <w:footnoteReference w:id="340"/>
      </w:r>
      <w:r>
        <w:rP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pPr>
        <w:pStyle w:val="WW-paragraph"/>
        <w:rPr/>
      </w:pPr>
      <w:r>
        <w:rPr/>
        <w:t>In the story the Buddha speaks the following verses to the monk:</w:t>
      </w:r>
    </w:p>
    <w:p>
      <w:pPr>
        <w:pStyle w:val="WW-named-section"/>
        <w:rPr/>
      </w:pPr>
      <w:r>
        <w:rPr/>
        <w:t>§93</w:t>
      </w:r>
    </w:p>
    <w:p>
      <w:pPr>
        <w:pStyle w:val="WW-line-block"/>
        <w:rPr/>
      </w:pPr>
      <w:bookmarkStart w:id="98" w:name="bqseg93"/>
      <w:bookmarkEnd w:id="98"/>
      <w:r>
        <w:rPr>
          <w:rStyle w:val="wwc-list-margin"/>
        </w:rPr>
        <w:t>[1]</w:t>
      </w:r>
      <w:r>
        <w:rPr/>
        <w:t>Where do earth, water,</w:t>
        <w:br/>
        <w:t>fire, and air find no footing?</w:t>
        <w:br/>
      </w:r>
      <w:r>
        <w:rPr>
          <w:rStyle w:val="wwc-list-margin"/>
        </w:rPr>
        <w:t>[2]</w:t>
      </w:r>
      <w:r>
        <w:rPr/>
        <w:t>Where do the long and short,</w:t>
        <w:br/>
        <w:t>the fine and coarse, the fair and ugly—</w:t>
        <w:br/>
        <w:t>where do the immaterial aspects and body</w:t>
        <w:br/>
        <w:t>fully come to cease?</w:t>
      </w:r>
    </w:p>
    <w:p>
      <w:pPr>
        <w:pStyle w:val="WW-blockquote"/>
        <w:rPr/>
      </w:pPr>
      <w:r>
        <w:rPr/>
        <w:t>The explanation for that is:</w:t>
      </w:r>
    </w:p>
    <w:p>
      <w:pPr>
        <w:pStyle w:val="WW-line-block"/>
        <w:rPr/>
      </w:pPr>
      <w:r>
        <w:rPr>
          <w:rStyle w:val="wwc-list-margin"/>
        </w:rPr>
        <w:t>[1]</w:t>
      </w:r>
      <w:r>
        <w:rPr/>
        <w:t>Unbounded consciousness,</w:t>
        <w:br/>
        <w:t>without appearance, all-shining:</w:t>
        <w:br/>
        <w:t>here earth, water,</w:t>
        <w:br/>
        <w:t>fire, and air find no footing.</w:t>
      </w:r>
    </w:p>
    <w:p>
      <w:pPr>
        <w:pStyle w:val="WW-line-block"/>
        <w:rPr/>
      </w:pPr>
      <w:r>
        <w:rPr>
          <w:rStyle w:val="wwc-list-margin"/>
        </w:rPr>
        <w:t>[2]</w:t>
      </w:r>
      <w:r>
        <w:rPr/>
        <w:t>Here the long and short,</w:t>
        <w:br/>
        <w:t>the fine and coarse, the fair and foul—</w:t>
        <w:br/>
        <w:t>here the immaterial aspects and body</w:t>
        <w:br/>
        <w:t>fully come to cease:</w:t>
        <w:br/>
        <w:t>when consciousness ceases,</w:t>
        <w:br/>
        <w:t>then those come to cease.</w:t>
      </w:r>
      <w:r>
        <w:rPr>
          <w:rStyle w:val="FootnoteReference"/>
        </w:rPr>
        <w:footnoteReference w:id="341"/>
      </w:r>
    </w:p>
    <w:p>
      <w:pPr>
        <w:pStyle w:val="WW-paragraph"/>
        <w:rPr/>
      </w:pPr>
      <w:r>
        <w:rP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2"/>
      </w:r>
      <w:r>
        <w:rPr/>
        <w:t xml:space="preserve"> The second answer describes the cessation of all consciousness, including unbounded consciousness, at which time </w:t>
      </w:r>
      <w:r>
        <w:rPr>
          <w:rStyle w:val="wwc-pali"/>
        </w:rPr>
        <w:t>nāmarūpa</w:t>
      </w:r>
      <w:r>
        <w:rPr/>
        <w:t xml:space="preserve"> ceases too. This reflects the standard dependency of </w:t>
      </w:r>
      <w:r>
        <w:rPr>
          <w:rStyle w:val="wwc-pali"/>
        </w:rPr>
        <w:t>nāmarūpa</w:t>
      </w:r>
      <w:r>
        <w:rPr/>
        <w:t xml:space="preserve"> on consciousness, just as taught to Ajita.</w:t>
      </w:r>
    </w:p>
    <w:p>
      <w:pPr>
        <w:pStyle w:val="WW-paragraph"/>
        <w:rPr/>
      </w:pPr>
      <w:r>
        <w:rPr/>
        <w:t xml:space="preserve">Richard Gombrich already observed that “the opening statement of the answer seems </w:t>
      </w:r>
      <w:r>
        <w:rPr>
          <w:rStyle w:val="Emphasis"/>
        </w:rPr>
        <w:t>prima facie</w:t>
      </w:r>
      <w:r>
        <w:rPr/>
        <w:t xml:space="preserve"> to reify consciousness and the language sounds as if it could come from an </w:t>
      </w:r>
      <w:r>
        <w:rPr>
          <w:rStyle w:val="wwc-sesame"/>
        </w:rPr>
        <w:t>Upaniṣad</w:t>
      </w:r>
      <w:r>
        <w:rPr/>
        <w:t>”.</w:t>
      </w:r>
      <w:r>
        <w:rPr>
          <w:rStyle w:val="FootnoteReference"/>
        </w:rPr>
        <w:footnoteReference w:id="343"/>
      </w:r>
      <w:r>
        <w:rPr/>
        <w:t xml:space="preserve"> He did not provide further sources, but I have no doubt these verses indeed reference Brahmanic ideas. In the </w:t>
      </w:r>
      <w:r>
        <w:rPr>
          <w:rStyle w:val="wwc-sesame"/>
        </w:rPr>
        <w:t>Bṛhadāraṇyaka Upaniṣad</w:t>
      </w:r>
      <w:r>
        <w:rP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rPr/>
        <w:t>.</w:t>
      </w:r>
      <w:r>
        <w:rPr>
          <w:rStyle w:val="FootnoteReference"/>
        </w:rPr>
        <w:footnoteReference w:id="344"/>
      </w:r>
      <w:r>
        <w:rPr/>
        <w:t xml:space="preserve"> He also describes this form of existence as being different from, and uninfluenced by, the four elements.</w:t>
      </w:r>
      <w:r>
        <w:rPr>
          <w:rStyle w:val="FootnoteReference"/>
        </w:rPr>
        <w:footnoteReference w:id="345"/>
      </w:r>
      <w:r>
        <w:rPr/>
        <w:t xml:space="preserve"> Further, the Taittirīya Upaniṣad calls this highest essence “invisible”, i.e., without appearance.</w:t>
      </w:r>
      <w:r>
        <w:rPr>
          <w:rStyle w:val="FootnoteReference"/>
        </w:rPr>
        <w:footnoteReference w:id="346"/>
      </w:r>
    </w:p>
    <w:p>
      <w:pPr>
        <w:pStyle w:val="WW-paragraph"/>
        <w:rPr/>
      </w:pPr>
      <w:r>
        <w:rPr/>
        <w:t>It is a bit more speculative, but the term ‘all-shining’ (</w:t>
      </w:r>
      <w:r>
        <w:rPr>
          <w:rStyle w:val="wwc-pali"/>
        </w:rPr>
        <w:t>sabbato pabhaṁ</w:t>
      </w:r>
      <w:r>
        <w:rPr/>
        <w:t xml:space="preserve">) might have a link with a statement from the </w:t>
      </w:r>
      <w:r>
        <w:rPr>
          <w:rStyle w:val="wwc-sesame"/>
        </w:rPr>
        <w:t>Chāndogya Upaniṣad</w:t>
      </w:r>
      <w:r>
        <w:rPr/>
        <w:t xml:space="preserve">: “Far above here [is </w:t>
      </w:r>
      <w:r>
        <w:rPr>
          <w:rStyle w:val="wwc-pali"/>
        </w:rPr>
        <w:t>brahman</w:t>
      </w:r>
      <w:r>
        <w:rPr/>
        <w:t>] the light that shines from heaven on the backs of everything, on the backs of all (</w:t>
      </w:r>
      <w:r>
        <w:rPr>
          <w:rStyle w:val="wwc-pali"/>
        </w:rPr>
        <w:t>sabba</w:t>
      </w:r>
      <w:r>
        <w:rPr/>
        <w:t>) things, in the very highest of the high worlds—it is clearly this very same light here within a man. […] This self of mine that lies deep within my heart—it is made of mind, […] luminous is its appearance.”</w:t>
      </w:r>
      <w:r>
        <w:rPr>
          <w:rStyle w:val="FootnoteReference"/>
        </w:rPr>
        <w:footnoteReference w:id="347"/>
      </w:r>
      <w:r>
        <w:rP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8"/>
      </w:r>
    </w:p>
    <w:p>
      <w:pPr>
        <w:pStyle w:val="WW-paragraph"/>
        <w:rPr/>
      </w:pPr>
      <w:r>
        <w:rPr/>
        <w:t xml:space="preserve">Yājñavalkya’s unbounded consciousness likely differed from the Buddha’s, not only philosophically but also in practice, because the </w:t>
      </w:r>
      <w:r>
        <w:rPr>
          <w:rStyle w:val="wwc-sesame"/>
        </w:rPr>
        <w:t>Upaniṣads</w:t>
      </w:r>
      <w:r>
        <w:rPr/>
        <w:t xml:space="preserve"> seem to indicate Yājñavalkya arrived at it through reason rather than meditation.</w:t>
      </w:r>
      <w:r>
        <w:rPr>
          <w:rStyle w:val="FootnoteReference"/>
        </w:rPr>
        <w:footnoteReference w:id="349"/>
      </w:r>
      <w:r>
        <w:rPr/>
        <w:t xml:space="preserve"> But regardless, the Buddha did use the exact same terminology, which indicates he (or whoever composed the </w:t>
      </w:r>
      <w:r>
        <w:rPr>
          <w:rStyle w:val="wwc-sesame"/>
        </w:rPr>
        <w:t>Kevaddha Sutta</w:t>
      </w:r>
      <w:r>
        <w:rPr/>
        <w:t>) was very familiar with these Brahmanic ideas and was addressing them directly.</w:t>
      </w:r>
    </w:p>
    <w:p>
      <w:pPr>
        <w:pStyle w:val="WW-paragraph"/>
        <w:rPr/>
      </w:pPr>
      <w:r>
        <w:rPr/>
        <w:t>Before I explain exactly how the Buddha responded to these ideas, it is worth noting that although Brahmins called the highest goal a self (</w:t>
      </w:r>
      <w:r>
        <w:rPr>
          <w:rStyle w:val="wwc-pali"/>
        </w:rPr>
        <w:t>ātman</w:t>
      </w:r>
      <w:r>
        <w:rPr/>
        <w:t xml:space="preserve">), this did not mean that the person continued forever as a separate individual, a personal self. The term </w:t>
      </w:r>
      <w:r>
        <w:rPr>
          <w:rStyle w:val="wwc-pali"/>
        </w:rPr>
        <w:t>ātman</w:t>
      </w:r>
      <w:r>
        <w:rP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50"/>
      </w:r>
      <w:r>
        <w:rP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1"/>
      </w:r>
      <w:r>
        <w:rPr/>
        <w:t xml:space="preserve"> This supposed eternal, unborn, immeasurable experience, although called a self, therefore was also in a sense self-less. That is exactly why in order to attain it, one’s personal name and form had to be abandoned, leaving only unbounded consciousness.</w:t>
      </w:r>
    </w:p>
    <w:p>
      <w:pPr>
        <w:pStyle w:val="WW-paragraph"/>
        <w:rPr/>
      </w:pPr>
      <w:r>
        <w:rPr/>
        <w:t xml:space="preserve">Gombrich also commented on the </w:t>
      </w:r>
      <w:r>
        <w:rPr>
          <w:rStyle w:val="wwc-sesame"/>
        </w:rPr>
        <w:t>Kevaddha Sutta</w:t>
      </w:r>
      <w:r>
        <w:rPr/>
        <w:t xml:space="preserve"> that “it is a bit risky to take a riddle or its solution as a philosophical tenet or argument”.</w:t>
      </w:r>
      <w:r>
        <w:rPr>
          <w:rStyle w:val="FootnoteReference"/>
        </w:rPr>
        <w:footnoteReference w:id="352"/>
      </w:r>
      <w:r>
        <w:rPr/>
        <w:t xml:space="preserve"> I wholeheartedly embrace this sentiment in general, but in this particular case the overall meaning seems clear enough to me. My interpretation of these verses is also a safe one, for rather than taking them as a unique statement on the nature of </w:t>
      </w:r>
      <w:r>
        <w:rPr>
          <w:rStyle w:val="wwc-pali"/>
        </w:rPr>
        <w:t>nibbāna</w:t>
      </w:r>
      <w:r>
        <w:rP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rPr/>
        <w:t xml:space="preserve"> those come to cease”. While Yājñavalkya’s goal was a type of consciousness free from name and form, his goal was the cessation of consciousness.</w:t>
      </w:r>
    </w:p>
    <w:p>
      <w:pPr>
        <w:pStyle w:val="WW-paragraph"/>
        <w:rPr/>
      </w:pPr>
      <w:r>
        <w:rPr/>
        <w:t xml:space="preserve">However, some suggest the Buddha’s final goal was </w:t>
      </w:r>
      <w:r>
        <w:rPr>
          <w:rStyle w:val="Emphasis"/>
        </w:rPr>
        <w:t>also</w:t>
      </w:r>
      <w:r>
        <w:rP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pPr>
        <w:pStyle w:val="WW-paragraph"/>
        <w:rPr/>
      </w:pPr>
      <w:r>
        <w:rP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rPr/>
        <w:t xml:space="preserve"> is a good example. If the Buddha were to teach in our day and age, he would not speak about “name and form”, since most of us aren’t Brahmins aiming to leave our “name and form” behind to reach a state of unconditioned consciousness.</w:t>
      </w:r>
    </w:p>
    <w:p>
      <w:pPr>
        <w:pStyle w:val="WW-paragraph"/>
        <w:rPr/>
      </w:pPr>
      <w:r>
        <w:rP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3"/>
      </w:r>
      <w:r>
        <w:rPr/>
        <w:t xml:space="preserve"> But it was the Brahmins who did so, not the Buddha. The Buddha said all consciousness is dependently arisen. Or, as he chose to put it, consciousness depends on </w:t>
      </w:r>
      <w:r>
        <w:rPr>
          <w:rStyle w:val="wwc-pali"/>
        </w:rPr>
        <w:t>nāmarūpa</w:t>
      </w:r>
      <w:r>
        <w:rPr/>
        <w:t>.</w:t>
      </w:r>
    </w:p>
    <w:p>
      <w:pPr>
        <w:pStyle w:val="WW-chapter-section-1"/>
        <w:ind w:hanging="0" w:start="0"/>
        <w:rPr/>
      </w:pPr>
      <w:r>
        <w:rPr/>
        <w:t>The dependency of nāmarūpa on consciousness</w:t>
      </w:r>
    </w:p>
    <w:p>
      <w:pPr>
        <w:pStyle w:val="WW-paragraph"/>
        <w:rPr/>
      </w:pPr>
      <w:r>
        <w:rPr/>
        <w:t xml:space="preserve">Also connected to some ancient concepts, although to a lesser extent, is </w:t>
      </w:r>
      <w:r>
        <w:rPr>
          <w:rStyle w:val="Strong"/>
        </w:rPr>
        <w:t>dependency 1</w:t>
      </w:r>
      <w:r>
        <w:rPr/>
        <w:t xml:space="preserve">, that of </w:t>
      </w:r>
      <w:r>
        <w:rPr>
          <w:rStyle w:val="wwc-pali"/>
        </w:rPr>
        <w:t>nāmarūpa</w:t>
      </w:r>
      <w:r>
        <w:rP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rPr/>
        <w:t>).” In isolation this statement is rather non-explanatory, so how should it be understood?</w:t>
      </w:r>
    </w:p>
    <w:p>
      <w:pPr>
        <w:pStyle w:val="WW-paragraph"/>
        <w:rPr/>
      </w:pPr>
      <w:r>
        <w:rPr/>
        <w:t xml:space="preserve">The passage of the </w:t>
      </w:r>
      <w:r>
        <w:rPr>
          <w:rStyle w:val="wwc-sesame"/>
        </w:rPr>
        <w:t>Mahānidāna Sutta</w:t>
      </w:r>
      <w:r>
        <w:rPr/>
        <w:t xml:space="preserve"> on conception in the womb (</w:t>
      </w:r>
      <w:hyperlink w:anchor="bqseg84">
        <w:r>
          <w:rPr>
            <w:rStyle w:val="Hyperlink"/>
          </w:rPr>
          <w:t>§84</w:t>
        </w:r>
      </w:hyperlink>
      <w:r>
        <w:rP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rPr/>
        <w:t xml:space="preserve">), which is to be understood </w:t>
      </w:r>
      <w:r>
        <w:rPr>
          <w:rStyle w:val="Emphasis"/>
        </w:rPr>
        <w:t>as follows</w:t>
      </w:r>
      <w:r>
        <w:rPr/>
        <w:t xml:space="preserve">.” This indicates that whenever the phrase </w:t>
      </w:r>
      <w:r>
        <w:rPr>
          <w:rStyle w:val="wwc-pali"/>
        </w:rPr>
        <w:t>viññāṇapaccayā nāmarūpaṁ</w:t>
      </w:r>
      <w:r>
        <w:rPr/>
        <w:t xml:space="preserve"> occurs, such as in the standard sequence, it should be understood in line with the explanation given in the Mahānidāna Sutta. Since there is no other direct explanation of this dependency in the canon, this passage should not be lightly swept aside. It is not merely an example of the dependency of </w:t>
      </w:r>
      <w:r>
        <w:rPr>
          <w:rStyle w:val="wwc-pali"/>
        </w:rPr>
        <w:t>nāmarūpa</w:t>
      </w:r>
      <w:r>
        <w:rPr/>
        <w:t xml:space="preserve"> on consciousness,</w:t>
      </w:r>
      <w:r>
        <w:rPr>
          <w:rStyle w:val="FootnoteReference"/>
        </w:rPr>
        <w:footnoteReference w:id="354"/>
      </w:r>
      <w:r>
        <w:rPr/>
        <w:t xml:space="preserve"> but the foremost explanation in the canon.</w:t>
      </w:r>
    </w:p>
    <w:p>
      <w:pPr>
        <w:pStyle w:val="WW-paragraph"/>
        <w:rPr/>
      </w:pPr>
      <w:r>
        <w:rPr/>
        <w:t xml:space="preserve">In </w:t>
      </w:r>
      <w:hyperlink w:anchor="chapter3">
        <w:r>
          <w:rPr>
            <w:rStyle w:val="Hyperlink"/>
          </w:rPr>
          <w:t>Chapter 3</w:t>
        </w:r>
      </w:hyperlink>
      <w:r>
        <w:rPr/>
        <w:t xml:space="preserve"> I showed that </w:t>
      </w:r>
      <w:r>
        <w:rPr>
          <w:rStyle w:val="wwc-pali"/>
        </w:rPr>
        <w:t>nāmarūpa</w:t>
      </w:r>
      <w:r>
        <w:rPr/>
        <w:t xml:space="preserve"> refers to the individual being, and in the last chapter I discussed the rebirth of consciousness. In this passage these two ideas come together. The Buddha describes the “entry” (or ‘conception’, </w:t>
      </w:r>
      <w:r>
        <w:rPr>
          <w:rStyle w:val="wwc-pali"/>
        </w:rPr>
        <w:t>avakkanti</w:t>
      </w:r>
      <w:r>
        <w:rPr/>
        <w:t>) of consciousness at the immaterial aspects and body inside the mother’s womb, mentioning various words already familiar to us: ‘produced’, ‘conception’, ‘consciousness is planted’, and even ‘develop, sprout, and mature’, which all refer to rebirth.</w:t>
      </w:r>
    </w:p>
    <w:p>
      <w:pPr>
        <w:pStyle w:val="WW-paragraph"/>
        <w:rPr/>
      </w:pPr>
      <w:r>
        <w:rP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5"/>
      </w:r>
    </w:p>
    <w:p>
      <w:pPr>
        <w:pStyle w:val="WW-paragraph"/>
        <w:rPr/>
      </w:pPr>
      <w:r>
        <w:rP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pPr>
        <w:pStyle w:val="WW-chapter-section-1"/>
        <w:ind w:hanging="0" w:start="0"/>
        <w:rPr/>
      </w:pPr>
      <w:r>
        <w:rPr/>
        <w:t>Consciousness as the carrier of life</w:t>
      </w:r>
    </w:p>
    <w:p>
      <w:pPr>
        <w:pStyle w:val="WW-paragraph"/>
        <w:rPr/>
      </w:pPr>
      <w:r>
        <w:rP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rPr/>
        <w:t xml:space="preserve"> has a wider meaning than just consciousness in the sense of awareness.</w:t>
      </w:r>
    </w:p>
    <w:p>
      <w:pPr>
        <w:pStyle w:val="WW-paragraph"/>
        <w:rPr/>
      </w:pPr>
      <w:r>
        <w:rPr/>
        <w:t xml:space="preserve">First of all, </w:t>
      </w:r>
      <w:r>
        <w:rPr>
          <w:rStyle w:val="wwc-pali"/>
        </w:rPr>
        <w:t>viññāṇa</w:t>
      </w:r>
      <w:r>
        <w:rPr/>
        <w:t xml:space="preserve"> can also stand for the mind more generally. In some instances it is used as a direct synonym for </w:t>
      </w:r>
      <w:r>
        <w:rPr>
          <w:rStyle w:val="wwc-pali"/>
        </w:rPr>
        <w:t>citta</w:t>
      </w:r>
      <w:r>
        <w:rPr/>
        <w:t xml:space="preserve"> and </w:t>
      </w:r>
      <w:r>
        <w:rPr>
          <w:rStyle w:val="wwc-pali"/>
        </w:rPr>
        <w:t>mano</w:t>
      </w:r>
      <w:r>
        <w:rPr/>
        <w:t>, both commonly translated as ‘mind’.</w:t>
      </w:r>
      <w:r>
        <w:rPr>
          <w:rStyle w:val="FootnoteReference"/>
        </w:rPr>
        <w:footnoteReference w:id="356"/>
      </w:r>
      <w:r>
        <w:rPr/>
        <w:t xml:space="preserve"> It is also said that the consciousness of the unenlightened becomes preoccupied with change.</w:t>
      </w:r>
      <w:r>
        <w:rPr>
          <w:rStyle w:val="FootnoteReference"/>
        </w:rPr>
        <w:footnoteReference w:id="357"/>
      </w:r>
      <w:r>
        <w:rP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r>
        <w:rPr>
          <w:rStyle w:val="wwc-pali"/>
        </w:rPr>
        <w:t>viññāṇa</w:t>
      </w:r>
      <w:r>
        <w:rPr/>
        <w:t xml:space="preserve"> where other editions have </w:t>
      </w:r>
      <w:r>
        <w:rPr>
          <w:rStyle w:val="wwc-pali"/>
        </w:rPr>
        <w:t>citta</w:t>
      </w:r>
      <w:r>
        <w:rPr/>
        <w:t>.</w:t>
      </w:r>
      <w:r>
        <w:rPr>
          <w:rStyle w:val="FootnoteReference"/>
        </w:rPr>
        <w:footnoteReference w:id="358"/>
      </w:r>
      <w:r>
        <w:rPr/>
        <w:t xml:space="preserve"> The Āgamas sometimes also use ‘mind’ (</w:t>
      </w:r>
      <w:r>
        <w:rPr/>
        <w:t>心</w:t>
      </w:r>
      <w:r>
        <w:rPr/>
        <w:t xml:space="preserve">) as a translation for what must in the original have been </w:t>
      </w:r>
      <w:r>
        <w:rPr>
          <w:rStyle w:val="wwc-pali"/>
        </w:rPr>
        <w:t>viññāṇa</w:t>
      </w:r>
      <w:r>
        <w:rPr/>
        <w:t xml:space="preserve"> or its Sanskrit equivalent </w:t>
      </w:r>
      <w:r>
        <w:rPr>
          <w:rStyle w:val="wwc-sanskrit"/>
        </w:rPr>
        <w:t>vijñāna</w:t>
      </w:r>
      <w:r>
        <w:rPr/>
        <w:t>.</w:t>
      </w:r>
      <w:r>
        <w:rPr>
          <w:rStyle w:val="FootnoteReference"/>
        </w:rPr>
        <w:footnoteReference w:id="359"/>
      </w:r>
      <w:r>
        <w:rPr/>
        <w:t xml:space="preserve"> Also deserving consideration is a discourse in the </w:t>
      </w:r>
      <w:r>
        <w:rPr>
          <w:rStyle w:val="wwc-sesame"/>
        </w:rPr>
        <w:t>Satipaṭṭhāna Saṁyutta</w:t>
      </w:r>
      <w:r>
        <w:rPr/>
        <w:t xml:space="preserve"> where not </w:t>
      </w:r>
      <w:r>
        <w:rPr>
          <w:rStyle w:val="wwc-pali"/>
        </w:rPr>
        <w:t>viññāṇa</w:t>
      </w:r>
      <w:r>
        <w:rPr/>
        <w:t xml:space="preserve"> but </w:t>
      </w:r>
      <w:r>
        <w:rPr>
          <w:rStyle w:val="wwc-pali"/>
        </w:rPr>
        <w:t>citta</w:t>
      </w:r>
      <w:r>
        <w:rPr/>
        <w:t xml:space="preserve"> is said to depend on </w:t>
      </w:r>
      <w:r>
        <w:rPr>
          <w:rStyle w:val="wwc-pali"/>
        </w:rPr>
        <w:t>nāmarūpa</w:t>
      </w:r>
      <w:r>
        <w:rPr/>
        <w:t>: “The mind (</w:t>
      </w:r>
      <w:r>
        <w:rPr>
          <w:rStyle w:val="wwc-pali"/>
        </w:rPr>
        <w:t>citta</w:t>
      </w:r>
      <w:r>
        <w:rPr/>
        <w:t>) originates from the immaterial aspects and body. The mind will disappear if the immaterial aspects and body cease.”</w:t>
      </w:r>
      <w:r>
        <w:rPr>
          <w:rStyle w:val="FootnoteReference"/>
        </w:rPr>
        <w:footnoteReference w:id="360"/>
      </w:r>
      <w:r>
        <w:rPr/>
        <w:t xml:space="preserve"> The context here is a little different, but it is an alternative way to phrase the dependency of consciousness on </w:t>
      </w:r>
      <w:r>
        <w:rPr>
          <w:rStyle w:val="wwc-pali"/>
        </w:rPr>
        <w:t>nāmarūpa</w:t>
      </w:r>
      <w:r>
        <w:rPr/>
        <w:t xml:space="preserve">, with </w:t>
      </w:r>
      <w:r>
        <w:rPr>
          <w:rStyle w:val="wwc-pali"/>
        </w:rPr>
        <w:t>citta</w:t>
      </w:r>
      <w:r>
        <w:rPr/>
        <w:t xml:space="preserve"> being a synonym for </w:t>
      </w:r>
      <w:r>
        <w:rPr>
          <w:rStyle w:val="wwc-pali"/>
        </w:rPr>
        <w:t>viññāṇa</w:t>
      </w:r>
      <w:r>
        <w:rPr/>
        <w:t>.</w:t>
      </w:r>
    </w:p>
    <w:p>
      <w:pPr>
        <w:pStyle w:val="WW-paragraph"/>
        <w:rPr/>
      </w:pPr>
      <w:r>
        <w:rPr/>
        <w:t xml:space="preserve">Aside from referring to the mind in general, </w:t>
      </w:r>
      <w:r>
        <w:rPr>
          <w:rStyle w:val="wwc-pali"/>
        </w:rPr>
        <w:t>viññāṇa</w:t>
      </w:r>
      <w:r>
        <w:rPr/>
        <w:t xml:space="preserve"> was also a name for the surviving aspect of the being, or as Venerable Anālayo describes it, “what provides the transition from one body to another”.</w:t>
      </w:r>
      <w:r>
        <w:rPr>
          <w:rStyle w:val="FootnoteReference"/>
        </w:rPr>
        <w:footnoteReference w:id="361"/>
      </w:r>
      <w:r>
        <w:rP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2"/>
      </w:r>
      <w:r>
        <w:rPr/>
        <w:t xml:space="preserve"> It is also said that consciousness roams and transmigrates in </w:t>
      </w:r>
      <w:r>
        <w:rPr>
          <w:rStyle w:val="wwc-pali"/>
        </w:rPr>
        <w:t>saṁsāra</w:t>
      </w:r>
      <w:r>
        <w:rPr/>
        <w:t xml:space="preserve">; that it passes on and gets reborn; that it travels on after death; and, in the </w:t>
      </w:r>
      <w:r>
        <w:rPr>
          <w:rStyle w:val="wwc-sesame"/>
        </w:rPr>
        <w:t>Mahānidāna Sutta</w:t>
      </w:r>
      <w:r>
        <w:rPr/>
        <w:t>, that it enters the womb.</w:t>
      </w:r>
      <w:r>
        <w:rPr>
          <w:rStyle w:val="FootnoteReference"/>
        </w:rPr>
        <w:footnoteReference w:id="363"/>
      </w:r>
    </w:p>
    <w:p>
      <w:pPr>
        <w:pStyle w:val="WW-paragraph"/>
        <w:rPr/>
      </w:pPr>
      <w:r>
        <w:rPr/>
        <w:t xml:space="preserve">The PTS Pāli-English Dictionary therefore glosses under </w:t>
      </w:r>
      <w:r>
        <w:rPr>
          <w:rStyle w:val="wwc-pali"/>
        </w:rPr>
        <w:t>viññāṇa</w:t>
      </w:r>
      <w:r>
        <w:rP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rPr/>
        <w:t>, because there is much difference between the old Buddhist and our modern points of view, and there is a varying use of the term in the Canon itself.”</w:t>
      </w:r>
      <w:r>
        <w:rPr>
          <w:rStyle w:val="FootnoteReference"/>
        </w:rPr>
        <w:footnoteReference w:id="364"/>
      </w:r>
      <w:r>
        <w:rPr/>
        <w:t xml:space="preserve"> Many scholars have echoed these observations,</w:t>
      </w:r>
      <w:r>
        <w:rPr>
          <w:rStyle w:val="FootnoteReference"/>
        </w:rPr>
        <w:footnoteReference w:id="365"/>
      </w:r>
      <w:r>
        <w:rPr/>
        <w:t xml:space="preserve"> and Kalupahana summarized: “At least three important uses of </w:t>
      </w:r>
      <w:r>
        <w:rPr>
          <w:rStyle w:val="wwc-pali"/>
        </w:rPr>
        <w:t>viññāṇa</w:t>
      </w:r>
      <w:r>
        <w:rPr/>
        <w:t xml:space="preserve"> can be clearly distinguished. First, it is used to denote psychic phenomena in general, synonymous with the terms </w:t>
      </w:r>
      <w:r>
        <w:rPr>
          <w:rStyle w:val="wwc-pali"/>
        </w:rPr>
        <w:t>citta</w:t>
      </w:r>
      <w:r>
        <w:rPr/>
        <w:t xml:space="preserve">, ‘mind’, and </w:t>
      </w:r>
      <w:r>
        <w:rPr>
          <w:rStyle w:val="wwc-pali"/>
        </w:rPr>
        <w:t>mano</w:t>
      </w:r>
      <w:r>
        <w:rPr/>
        <w:t>, ‘thought’. Second, it is used to describe a complete act of perception or cognition [i.e. instances of awareness]; and third, it stands for the connecting link between two lives.”</w:t>
      </w:r>
      <w:r>
        <w:rPr>
          <w:rStyle w:val="FootnoteReference"/>
        </w:rPr>
        <w:footnoteReference w:id="366"/>
      </w:r>
    </w:p>
    <w:p>
      <w:pPr>
        <w:pStyle w:val="WW-paragraph"/>
        <w:rPr/>
      </w:pPr>
      <w:r>
        <w:rPr/>
        <w:t xml:space="preserve">The reason </w:t>
      </w:r>
      <w:r>
        <w:rPr>
          <w:rStyle w:val="wwc-pali"/>
        </w:rPr>
        <w:t>viññāṇa</w:t>
      </w:r>
      <w:r>
        <w:rPr/>
        <w:t xml:space="preserve"> was used to indicate what travels between lives, is that awareness seems to be a constant.</w:t>
      </w:r>
      <w:r>
        <w:rPr>
          <w:rStyle w:val="FootnoteReference"/>
        </w:rPr>
        <w:footnoteReference w:id="367"/>
      </w:r>
      <w:r>
        <w:rP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rPr/>
        <w:t xml:space="preserve">, he did not introduce the term </w:t>
      </w:r>
      <w:r>
        <w:rPr>
          <w:rStyle w:val="wwc-pali"/>
        </w:rPr>
        <w:t>viññāṇa</w:t>
      </w:r>
      <w:r>
        <w:rP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8"/>
      </w:r>
      <w:r>
        <w:rPr/>
        <w:t xml:space="preserve"> In this case, the audience was already familiar with using </w:t>
      </w:r>
      <w:r>
        <w:rPr>
          <w:rStyle w:val="wwc-pali"/>
        </w:rPr>
        <w:t>viññāṇa</w:t>
      </w:r>
      <w:r>
        <w:rPr/>
        <w:t xml:space="preserve"> to refer to what survives death.</w:t>
      </w:r>
    </w:p>
    <w:p>
      <w:pPr>
        <w:pStyle w:val="WW-paragraph"/>
        <w:rPr/>
      </w:pPr>
      <w:r>
        <w:rPr/>
        <w:t xml:space="preserve">The Thai nowadays also use </w:t>
      </w:r>
      <w:r>
        <w:rPr>
          <w:rStyle w:val="wwc-pali"/>
        </w:rPr>
        <w:t>viññāṇa</w:t>
      </w:r>
      <w:r>
        <w:rPr/>
        <w:t xml:space="preserve"> (</w:t>
      </w:r>
      <w:r>
        <w:rPr/>
        <w:t>วิญญาณ</w:t>
      </w:r>
      <w:r>
        <w:rPr/>
        <w:t>) to refer to the surviving spirit. The English word ‘consciousness’ ill fits such contexts,</w:t>
      </w:r>
      <w:r>
        <w:rPr>
          <w:rStyle w:val="FootnoteReference"/>
        </w:rPr>
        <w:footnoteReference w:id="369"/>
      </w:r>
      <w:r>
        <w:rPr/>
        <w:t xml:space="preserve"> and according to Schmithausen might even be considered misleading: “This </w:t>
      </w:r>
      <w:r>
        <w:rPr>
          <w:rStyle w:val="wwc-pali"/>
        </w:rPr>
        <w:t>viññāṇa</w:t>
      </w:r>
      <w:r>
        <w:rPr/>
        <w:t xml:space="preserve"> [of Dependent Arising] is somewhat misleadingly rendered as ‘Wahrnehmung’ [‘consciousness/awareness’], because it primarily concerns a subtle carrier of life.”</w:t>
      </w:r>
      <w:r>
        <w:rPr>
          <w:rStyle w:val="FootnoteReference"/>
        </w:rPr>
        <w:footnoteReference w:id="370"/>
      </w:r>
      <w:r>
        <w:rP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pPr>
        <w:pStyle w:val="WW-paragraph"/>
        <w:rPr/>
      </w:pPr>
      <w:r>
        <w:rPr/>
        <w:t xml:space="preserve">This meaning of consciousness applies not only to its links with </w:t>
      </w:r>
      <w:r>
        <w:rPr>
          <w:rStyle w:val="wwc-pali"/>
        </w:rPr>
        <w:t>nāmarūpa</w:t>
      </w:r>
      <w:r>
        <w:rPr/>
        <w:t xml:space="preserve"> but also to its link with willful actions. As Frauwallner stated: “Out of these passages we get the valuable information that knowledge [Frauwallner’s translation of </w:t>
      </w:r>
      <w:r>
        <w:rPr>
          <w:rStyle w:val="wwc-pali"/>
        </w:rPr>
        <w:t>viññāṇa</w:t>
      </w:r>
      <w:r>
        <w:rP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rPr/>
        <w:t>) as the cause of knowledge (</w:t>
      </w:r>
      <w:r>
        <w:rPr>
          <w:rStyle w:val="wwc-pali"/>
        </w:rPr>
        <w:t>viññāṇa</w:t>
      </w:r>
      <w:r>
        <w:rPr/>
        <w:t xml:space="preserve">) do </w:t>
      </w:r>
      <w:r>
        <w:rPr>
          <w:rStyle w:val="Emphasis"/>
        </w:rPr>
        <w:t>not</w:t>
      </w:r>
      <w:r>
        <w:rPr/>
        <w:t xml:space="preserve"> call forth knowledge itself [in the moment] but </w:t>
      </w:r>
      <w:r>
        <w:rPr>
          <w:rStyle w:val="Emphasis"/>
        </w:rPr>
        <w:t>only</w:t>
      </w:r>
      <w:r>
        <w:rPr/>
        <w:t xml:space="preserve"> bring about its entry into the mother’s womb.”</w:t>
      </w:r>
      <w:r>
        <w:rPr>
          <w:rStyle w:val="FootnoteReference"/>
        </w:rPr>
        <w:footnoteReference w:id="371"/>
      </w:r>
      <w:r>
        <w:rPr/>
        <w:t xml:space="preserve"> In </w:t>
      </w:r>
      <w:hyperlink w:anchor="bqseg55">
        <w:r>
          <w:rPr>
            <w:rStyle w:val="Hyperlink"/>
          </w:rPr>
          <w:t>§55</w:t>
        </w:r>
      </w:hyperlink>
      <w:r>
        <w:rPr/>
        <w:t xml:space="preserve"> &amp; </w:t>
      </w:r>
      <w:hyperlink w:anchor="bqseg56">
        <w:r>
          <w:rPr>
            <w:rStyle w:val="Hyperlink"/>
          </w:rPr>
          <w:t>§56</w:t>
        </w:r>
      </w:hyperlink>
      <w:r>
        <w:rPr/>
        <w:t xml:space="preserve"> consciousness was said to travel on to a certain place after death depending on one’s willful actions. This rebirth of consciousness is what Frauwallner is talking about.</w:t>
      </w:r>
    </w:p>
    <w:p>
      <w:pPr>
        <w:pStyle w:val="WW-paragraph"/>
        <w:rPr/>
      </w:pPr>
      <w:r>
        <w:rPr/>
        <w:t xml:space="preserve">The same general principle also applies to the planting or establishing of consciousness in a certain realm. Hamilton wrote: “The individual life is sometimes expressed by stating that </w:t>
      </w:r>
      <w:r>
        <w:rPr>
          <w:rStyle w:val="wwc-pali"/>
        </w:rPr>
        <w:t>viññāṇa</w:t>
      </w:r>
      <w:r>
        <w:rPr/>
        <w:t xml:space="preserve"> is ‘stationed’ [or ‘planted’]: the centrality of consciousness allows it to be used as a general metaphor for an entire life.”</w:t>
      </w:r>
      <w:r>
        <w:rPr>
          <w:rStyle w:val="FootnoteReference"/>
        </w:rPr>
        <w:footnoteReference w:id="372"/>
      </w:r>
    </w:p>
    <w:p>
      <w:pPr>
        <w:pStyle w:val="WW-paragraph"/>
        <w:rPr/>
      </w:pPr>
      <w:r>
        <w:rP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3"/>
      </w:r>
      <w:r>
        <w:rPr/>
        <w:t xml:space="preserve"> Therefore, the phrase “if willful actions cease, consciousness will cease” means that consciousness will cease </w:t>
      </w:r>
      <w:r>
        <w:rPr>
          <w:rStyle w:val="Emphasis"/>
        </w:rPr>
        <w:t>at death</w:t>
      </w:r>
      <w:r>
        <w:rP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4"/>
      </w:r>
    </w:p>
    <w:p>
      <w:pPr>
        <w:pStyle w:val="WW-paragraph"/>
        <w:rPr/>
      </w:pPr>
      <w:r>
        <w:rPr/>
        <w:t>All that said, I think the commentaries get too technical when specifically calling the consciousness of Dependent Arising ‘linking consciousness’ (</w:t>
      </w:r>
      <w:r>
        <w:rPr>
          <w:rStyle w:val="wwc-pali"/>
        </w:rPr>
        <w:t>paṭisandhi-viññāṇa</w:t>
      </w:r>
      <w:r>
        <w:rPr/>
        <w:t>), by which they mean it links the past life to the new one.</w:t>
      </w:r>
      <w:r>
        <w:rPr>
          <w:rStyle w:val="FootnoteReference"/>
        </w:rPr>
        <w:footnoteReference w:id="375"/>
      </w:r>
      <w:r>
        <w:rPr/>
        <w:t xml:space="preserve"> The commentaries correctly understand that the factor of </w:t>
      </w:r>
      <w:r>
        <w:rPr>
          <w:rStyle w:val="wwc-pali"/>
        </w:rPr>
        <w:t>viññāṇa</w:t>
      </w:r>
      <w:r>
        <w:rP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willful actions is the general continuation of this aspect of existence into a next life, not a separate type of ‘linking consciousness’ that exists only for a moment or so.</w:t>
      </w:r>
    </w:p>
    <w:p>
      <w:pPr>
        <w:pStyle w:val="WW-paragraph"/>
        <w:rPr/>
      </w:pPr>
      <w:r>
        <w:rP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rPr/>
        <w:t xml:space="preserve">. However, such technical considerations about the in-between state are not what the standard sequence intends to convey, where the arising of consciousness and </w:t>
      </w:r>
      <w:r>
        <w:rPr>
          <w:rStyle w:val="wwc-pali"/>
        </w:rPr>
        <w:t>nāmarūpa</w:t>
      </w:r>
      <w:r>
        <w:rPr/>
        <w:t xml:space="preserve"> concerns their continuance into a new life.</w:t>
      </w:r>
    </w:p>
    <w:p>
      <w:pPr>
        <w:pStyle w:val="WW-chapter-section-1"/>
        <w:ind w:hanging="0" w:start="0"/>
        <w:rPr/>
      </w:pPr>
      <w:r>
        <w:rPr/>
        <w:t>Consciousness as a stream</w:t>
      </w:r>
    </w:p>
    <w:p>
      <w:pPr>
        <w:pStyle w:val="WW-paragraph"/>
        <w:rPr/>
      </w:pPr>
      <w:r>
        <w:rP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rPr/>
        <w:t xml:space="preserve"> tradition took the </w:t>
      </w:r>
      <w:r>
        <w:rPr>
          <w:rStyle w:val="wwc-pali"/>
        </w:rPr>
        <w:t>vijñāna</w:t>
      </w:r>
      <w:r>
        <w:rPr/>
        <w:t xml:space="preserve"> as the surviving factor at death in the metaphysical sense of an </w:t>
      </w:r>
      <w:r>
        <w:rPr>
          <w:rStyle w:val="wwc-pali"/>
        </w:rPr>
        <w:t>ātman</w:t>
      </w:r>
      <w:r>
        <w:rPr/>
        <w:t xml:space="preserve"> [self] that leaves the body at death”, wrote Wijesekera. “Thus it is easy to see how the Buddhist theory of </w:t>
      </w:r>
      <w:r>
        <w:rPr>
          <w:rStyle w:val="wwc-pali"/>
        </w:rPr>
        <w:t>viññāṇa</w:t>
      </w:r>
      <w:r>
        <w:rPr/>
        <w:t xml:space="preserve"> as the surviving factor shows a distinct difference from the parallel Upaniṣadic concept.”</w:t>
      </w:r>
      <w:r>
        <w:rPr>
          <w:rStyle w:val="FootnoteReference"/>
        </w:rPr>
        <w:footnoteReference w:id="376"/>
      </w:r>
      <w:r>
        <w:rPr/>
        <w:t xml:space="preserve"> The difference being that the Buddhist </w:t>
      </w:r>
      <w:r>
        <w:rPr>
          <w:rStyle w:val="wwc-pali"/>
        </w:rPr>
        <w:t>viññāṇa</w:t>
      </w:r>
      <w:r>
        <w:rPr/>
        <w:t xml:space="preserve"> lacks any constancy or self.</w:t>
      </w:r>
    </w:p>
    <w:p>
      <w:pPr>
        <w:pStyle w:val="WW-paragraph"/>
        <w:rPr/>
      </w:pPr>
      <w:r>
        <w:rPr/>
        <w:t xml:space="preserve">It is not strange the Brahmins had such absolutist ideas. As said earlier, for unenlightened beings there is this </w:t>
      </w:r>
      <w:r>
        <w:rPr>
          <w:rStyle w:val="Emphasis"/>
        </w:rPr>
        <w:t>sense</w:t>
      </w:r>
      <w:r>
        <w:rP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rPr/>
        <w:t xml:space="preserve"> in this sense before the Buddha appeared on the scene. He then challenged these preexisting ideas in various ways but without completely changing the terminology.</w:t>
      </w:r>
    </w:p>
    <w:p>
      <w:pPr>
        <w:pStyle w:val="WW-paragraph"/>
        <w:rPr/>
      </w:pPr>
      <w:r>
        <w:rPr/>
        <w:t xml:space="preserve">Here is an example from the </w:t>
      </w:r>
      <w:r>
        <w:rPr>
          <w:rStyle w:val="wwc-sesame"/>
        </w:rPr>
        <w:t>Upaniṣads</w:t>
      </w:r>
      <w:r>
        <w:rPr/>
        <w:t>:</w:t>
      </w:r>
    </w:p>
    <w:p>
      <w:pPr>
        <w:pStyle w:val="WW-named-section"/>
        <w:rPr/>
      </w:pPr>
      <w:r>
        <w:rPr/>
        <w:t>§94</w:t>
      </w:r>
    </w:p>
    <w:p>
      <w:pPr>
        <w:pStyle w:val="WW-blockquote"/>
        <w:rPr/>
      </w:pPr>
      <w:bookmarkStart w:id="99" w:name="bqseg94"/>
      <w:bookmarkEnd w:id="99"/>
      <w:r>
        <w:rPr/>
        <w:t>What is that self? It is this person—the one that consists of consciousness (</w:t>
      </w:r>
      <w:r>
        <w:rPr>
          <w:rStyle w:val="wwc-pali"/>
        </w:rPr>
        <w:t>vijñāna</w:t>
      </w:r>
      <w:r>
        <w:rP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7"/>
      </w:r>
    </w:p>
    <w:p>
      <w:pPr>
        <w:pStyle w:val="WW-paragraph"/>
        <w:rPr/>
      </w:pPr>
      <w:r>
        <w:rPr/>
        <w:t xml:space="preserve">In the </w:t>
      </w:r>
      <w:r>
        <w:rPr>
          <w:rStyle w:val="wwc-sesame"/>
        </w:rPr>
        <w:t>Longer Discourse on the Ending of Craving</w:t>
      </w:r>
      <w:r>
        <w:rPr/>
        <w:t>, a monk named Sāti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8"/>
      </w:r>
      <w:r>
        <w:rPr/>
        <w:t xml:space="preserve"> The Buddha rebukes Sāti, saying consciousness is not an unchanging entity. It is inconstant and fluctuating, with its contents depending on changing objects of awareness. As Vetter explained:</w:t>
      </w:r>
    </w:p>
    <w:p>
      <w:pPr>
        <w:pStyle w:val="WW-blockquote"/>
        <w:rPr/>
      </w:pPr>
      <w:r>
        <w:rPr/>
        <w:t xml:space="preserve">Perception [Vetter’s translation of </w:t>
      </w:r>
      <w:r>
        <w:rPr>
          <w:rStyle w:val="wwc-pali"/>
        </w:rPr>
        <w:t>viññāṇa</w:t>
      </w:r>
      <w:r>
        <w:rP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9"/>
      </w:r>
    </w:p>
    <w:p>
      <w:pPr>
        <w:pStyle w:val="WW-paragraph"/>
        <w:rPr/>
      </w:pPr>
      <w:r>
        <w:rPr/>
        <w:t>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illustrates.) The Buddha effectively tells Sāti that consciousness is not a constant entity but an ever-changing stream of unique instances that succeed one another.</w:t>
      </w:r>
    </w:p>
    <w:p>
      <w:pPr>
        <w:pStyle w:val="WW-paragraph"/>
        <w:rPr/>
      </w:pPr>
      <w:r>
        <w:rPr/>
        <w:t xml:space="preserve">In the </w:t>
      </w:r>
      <w:r>
        <w:rPr>
          <w:rStyle w:val="wwc-sesame"/>
        </w:rPr>
        <w:t>Sampasādanīya Sutta</w:t>
      </w:r>
      <w:r>
        <w:rPr/>
        <w:t>, although the passage is abstract and lacks context, Sāriputta indeed mentions a stream of consciousness (</w:t>
      </w:r>
      <w:r>
        <w:rPr>
          <w:rStyle w:val="wwc-pali"/>
        </w:rPr>
        <w:t>viññāṇasota</w:t>
      </w:r>
      <w:r>
        <w:rPr/>
        <w:t>) that can be planted in this world or another world.</w:t>
      </w:r>
      <w:r>
        <w:rPr>
          <w:rStyle w:val="FootnoteReference"/>
        </w:rPr>
        <w:footnoteReference w:id="380"/>
      </w:r>
      <w:r>
        <w:rP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rPr/>
        <w:t xml:space="preserve"> to be continuous, but in reality it constantly changes.</w:t>
      </w:r>
      <w:r>
        <w:rPr>
          <w:rStyle w:val="FootnoteReference"/>
        </w:rPr>
        <w:footnoteReference w:id="381"/>
      </w:r>
      <w:r>
        <w:rPr/>
        <w:t xml:space="preserve"> As the Buddha said: “What is called ‘mind’, ‘sentience’, and also ‘consciousness’, that arises as one thing and ceases as another by day and night.”</w:t>
      </w:r>
      <w:r>
        <w:rPr>
          <w:rStyle w:val="FootnoteReference"/>
        </w:rPr>
        <w:footnoteReference w:id="382"/>
      </w:r>
    </w:p>
    <w:p>
      <w:pPr>
        <w:pStyle w:val="WW-paragraph"/>
        <w:rPr/>
      </w:pPr>
      <w:r>
        <w:rP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3"/>
      </w:r>
      <w:r>
        <w:rP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4"/>
      </w:r>
      <w:r>
        <w:rPr/>
        <w:t xml:space="preserve"> As already observed by the PTS Pāli-English Dictionary more than a century ago: “It was [by Sāti] also held to be an immutable, persistent substance, a view strongly condemned [by the Buddha]. Since, however, the persistence of </w:t>
      </w:r>
      <w:r>
        <w:rPr>
          <w:rStyle w:val="wwc-pali"/>
        </w:rPr>
        <w:t>viññāṇa</w:t>
      </w:r>
      <w:r>
        <w:rPr/>
        <w:t xml:space="preserve"> from life to life is declared […], we must judge that it is </w:t>
      </w:r>
      <w:r>
        <w:rPr>
          <w:rStyle w:val="Emphasis"/>
        </w:rPr>
        <w:t>only</w:t>
      </w:r>
      <w:r>
        <w:rPr/>
        <w:t xml:space="preserve"> the immutable persistence that is condemned.”</w:t>
      </w:r>
      <w:r>
        <w:rPr>
          <w:rStyle w:val="FootnoteReference"/>
        </w:rPr>
        <w:footnoteReference w:id="385"/>
      </w:r>
    </w:p>
    <w:p>
      <w:pPr>
        <w:pStyle w:val="WW-paragraph"/>
        <w:rPr/>
      </w:pPr>
      <w:r>
        <w:rP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rPr/>
        <w:t xml:space="preserve"> as the six types of consciousness (</w:t>
      </w:r>
      <w:hyperlink w:anchor="bqseg2">
        <w:r>
          <w:rPr>
            <w:rStyle w:val="Hyperlink"/>
          </w:rPr>
          <w:t>§2</w:t>
        </w:r>
      </w:hyperlink>
      <w:r>
        <w:rP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rPr/>
        <w:t xml:space="preserve"> similar in function to the definitions of </w:t>
      </w:r>
      <w:r>
        <w:rPr>
          <w:rStyle w:val="wwc-pali"/>
        </w:rPr>
        <w:t>nāma</w:t>
      </w:r>
      <w:r>
        <w:rPr/>
        <w:t xml:space="preserve"> and </w:t>
      </w:r>
      <w:r>
        <w:rPr>
          <w:rStyle w:val="wwc-pali"/>
        </w:rPr>
        <w:t>rūpa</w:t>
      </w:r>
      <w:r>
        <w:rPr/>
        <w:t xml:space="preserve">. Rather than being a technical explanation of the word, it was meant to challenge existing notions about what a person is. As Olalde summarized: “[The Buddha’s] reinterpretation of </w:t>
      </w:r>
      <w:r>
        <w:rPr>
          <w:rStyle w:val="wwc-pali"/>
        </w:rPr>
        <w:t>nāma</w:t>
      </w:r>
      <w:r>
        <w:rPr/>
        <w:t xml:space="preserve"> mirrors that of </w:t>
      </w:r>
      <w:r>
        <w:rPr>
          <w:rStyle w:val="wwc-pali"/>
        </w:rPr>
        <w:t>viññāṇa</w:t>
      </w:r>
      <w:r>
        <w:rPr/>
        <w:t xml:space="preserve">, in which the older notion of </w:t>
      </w:r>
      <w:r>
        <w:rPr>
          <w:rStyle w:val="wwc-pali"/>
        </w:rPr>
        <w:t>viññāṇa</w:t>
      </w:r>
      <w:r>
        <w:rPr/>
        <w:t xml:space="preserve"> as a transmigrating entity was eventually replaced by the sixfold [consciousness].”</w:t>
      </w:r>
      <w:r>
        <w:rPr>
          <w:rStyle w:val="FootnoteReference"/>
        </w:rPr>
        <w:footnoteReference w:id="386"/>
      </w:r>
      <w:r>
        <w:rP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pPr>
        <w:pStyle w:val="WW-chapter-section-1"/>
        <w:ind w:hanging="0" w:start="0"/>
        <w:rPr/>
      </w:pPr>
      <w:r>
        <w:rPr/>
        <w:t>The simile of the bundles of reeds</w:t>
      </w:r>
    </w:p>
    <w:p>
      <w:pPr>
        <w:pStyle w:val="WW-paragraph"/>
        <w:rPr/>
      </w:pPr>
      <w:r>
        <w:rP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rPr/>
        <w:t>.</w:t>
      </w:r>
    </w:p>
    <w:p>
      <w:pPr>
        <w:pStyle w:val="WW-named-section"/>
        <w:rPr/>
      </w:pPr>
      <w:r>
        <w:rPr/>
        <w:t>§95</w:t>
      </w:r>
    </w:p>
    <w:p>
      <w:pPr>
        <w:pStyle w:val="WW-blockquote"/>
        <w:rPr/>
      </w:pPr>
      <w:bookmarkStart w:id="100" w:name="bqseg95"/>
      <w:bookmarkEnd w:id="100"/>
      <w:r>
        <w:rPr/>
        <w:t>[Koṭṭhita the Great:] “Tell me, Venerable Sāriputta, are the individual’s immaterial aspects and body made by oneself? Or by another? Or by both oneself and another? Or do they arise at random, being made by neither oneself nor another?”</w:t>
      </w:r>
    </w:p>
    <w:p>
      <w:pPr>
        <w:pStyle w:val="WW-blockquote"/>
        <w:rPr/>
      </w:pPr>
      <w:r>
        <w:rPr/>
        <w:t>“</w:t>
      </w:r>
      <w:r>
        <w:rP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pPr>
        <w:pStyle w:val="WW-blockquote"/>
        <w:rPr/>
      </w:pPr>
      <w:r>
        <w:rPr/>
        <w:t>“</w:t>
      </w:r>
      <w:r>
        <w:rPr/>
        <w:t>Tell me, is consciousness made by oneself? Or by another? Or by both oneself and another? Or does it arise at random, being made by neither oneself nor another?”</w:t>
      </w:r>
    </w:p>
    <w:p>
      <w:pPr>
        <w:pStyle w:val="WW-blockquote"/>
        <w:rPr/>
      </w:pPr>
      <w:r>
        <w:rPr/>
        <w:t>“</w:t>
      </w:r>
      <w:r>
        <w:rPr/>
        <w:t>Consciousness is not made by oneself, nor by another, nor by both oneself and another, nor does it arise at random, being made by neither oneself nor another. Rather, consciousness depends on the individual’s immaterial aspects and body.”</w:t>
      </w:r>
    </w:p>
    <w:p>
      <w:pPr>
        <w:pStyle w:val="WW-blockquote"/>
        <w:rPr/>
      </w:pPr>
      <w:r>
        <w:rPr/>
        <w:t>“</w:t>
      </w:r>
      <w:r>
        <w:rPr/>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pPr>
        <w:pStyle w:val="WW-blockquote"/>
        <w:rPr/>
      </w:pPr>
      <w:r>
        <w:rPr/>
        <w:t>“</w:t>
      </w:r>
      <w:r>
        <w:rP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7"/>
      </w:r>
    </w:p>
    <w:p>
      <w:pPr>
        <w:pStyle w:val="WW-paragraph"/>
        <w:rPr/>
      </w:pPr>
      <w:r>
        <w:rP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8"/>
      </w:r>
      <w:r>
        <w:rPr/>
        <w:t xml:space="preserve"> So again these teachings on consciousness and </w:t>
      </w:r>
      <w:r>
        <w:rPr>
          <w:rStyle w:val="wwc-pali"/>
        </w:rPr>
        <w:t>nāmarūpa</w:t>
      </w:r>
      <w:r>
        <w:rPr/>
        <w:t xml:space="preserve"> may be addressing Brahmin views. The terms ‘made by oneself’ and ‘made by another’ to Brahmins would have meant made by the person’s own self or by higher powers in the universe, like a creator god or </w:t>
      </w:r>
      <w:r>
        <w:rPr>
          <w:rStyle w:val="wwc-pali"/>
        </w:rPr>
        <w:t>brahman</w:t>
      </w:r>
      <w:r>
        <w:rPr/>
        <w:t>.</w:t>
      </w:r>
      <w:r>
        <w:rPr>
          <w:rStyle w:val="FootnoteReference"/>
        </w:rPr>
        <w:footnoteReference w:id="389"/>
      </w:r>
      <w:r>
        <w:rPr/>
        <w:t xml:space="preserve"> Sāriputta explains that no self or higher power underlies consciousness or the immaterial aspects and body. Instead, they rely on one another, like bundles of reeds leaning against each other.</w:t>
      </w:r>
    </w:p>
    <w:p>
      <w:pPr>
        <w:pStyle w:val="WW-paragraph"/>
        <w:rPr/>
      </w:pPr>
      <w:r>
        <w:rP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rPr/>
        <w:t>, however, if one ends, the other also completely ceases.</w:t>
      </w:r>
    </w:p>
    <w:p>
      <w:pPr>
        <w:pStyle w:val="WW-figure"/>
        <w:rPr/>
      </w:pPr>
      <w:r>
        <w:rPr/>
        <w:t>./img/reedslean.png=Two bundles of reeds leaning against one another with the sun shining on them. The left bundle is labeled ‘consciousness’, the right ‘immaterial aspects and body’.= 30=border</w:t>
        <w:br/>
        <w:t>./img/reedsfall.png=The two bundles fallen on the ground. Above is a caption ‘no rebirth, no consciousness’.=30=border</w:t>
        <w:br/>
        <w:t>Figure 23. The bundles of reeds simile</w:t>
      </w:r>
    </w:p>
    <w:p>
      <w:pPr>
        <w:pStyle w:val="WW-paragraph"/>
        <w:rPr/>
      </w:pPr>
      <w:r>
        <w:rPr/>
        <w:t>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Although there is no self, where the being is reborn is not random, because it is still determined by actions and intentions.</w:t>
      </w:r>
    </w:p>
    <w:p>
      <w:pPr>
        <w:pStyle w:val="WW-paragraph"/>
        <w:rPr/>
      </w:pPr>
      <w:r>
        <w:rP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pPr>
        <w:pStyle w:val="WW-figure"/>
        <w:rPr/>
      </w:pPr>
      <w:r>
        <w:rPr/>
        <w:t>./img/bricksreeds.png=A stack of bricks. From the bottom: two bricks lying flat on one another, then two bricks leaning against one another, then another eight bricks. The bricks leaning against one another are labeled ‘consciousness’ and ‘immaterial aspects and body’.=30=border</w:t>
        <w:br/>
        <w:t xml:space="preserve">Figure 24. The dependency of consciousness and </w:t>
      </w:r>
      <w:r>
        <w:rPr>
          <w:rStyle w:val="wwc-pali"/>
        </w:rPr>
        <w:t>nāmarūpa</w:t>
      </w:r>
      <w:r>
        <w:rPr/>
        <w:t xml:space="preserve"> on willful actions</w:t>
      </w:r>
    </w:p>
    <w:p>
      <w:pPr>
        <w:pStyle w:val="WW-chapter-section-1"/>
        <w:ind w:hanging="0" w:start="0"/>
        <w:rPr/>
      </w:pPr>
      <w:r>
        <w:rPr/>
        <w:t>The cessation of nāmarūpa</w:t>
      </w:r>
    </w:p>
    <w:p>
      <w:pPr>
        <w:pStyle w:val="WW-paragraph"/>
        <w:rPr/>
      </w:pPr>
      <w:r>
        <w:rP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rPr/>
        <w:t>. Being verses, they are unsurprisingly somewhat cryptic and may have multiple intended meanings, but the basic message still shines through.</w:t>
      </w:r>
    </w:p>
    <w:p>
      <w:pPr>
        <w:pStyle w:val="WW-named-section"/>
        <w:rPr/>
      </w:pPr>
      <w:r>
        <w:rPr/>
        <w:t>§96</w:t>
      </w:r>
    </w:p>
    <w:p>
      <w:pPr>
        <w:pStyle w:val="WW-line-block"/>
        <w:ind w:hanging="0" w:start="709"/>
        <w:rPr/>
      </w:pPr>
      <w:bookmarkStart w:id="101" w:name="bqseg96"/>
      <w:bookmarkEnd w:id="101"/>
      <w:r>
        <w:rPr/>
        <w:t>Look at the world with its gods,</w:t>
        <w:br/>
        <w:t>resorting to immaterial aspects and bodies,</w:t>
        <w:br/>
        <w:t>imagining what has no self to have a self,</w:t>
        <w:br/>
        <w:t>imagining they know the truth.</w:t>
      </w:r>
      <w:r>
        <w:rPr>
          <w:rStyle w:val="FootnoteReference"/>
        </w:rPr>
        <w:footnoteReference w:id="390"/>
      </w:r>
    </w:p>
    <w:p>
      <w:pPr>
        <w:pStyle w:val="WW-line-block"/>
        <w:ind w:hanging="0" w:start="709"/>
        <w:rPr/>
      </w:pPr>
      <w:r>
        <w:rPr/>
        <w:t>For whatever they imagine it is,</w:t>
        <w:br/>
        <w:t>it is different from that.</w:t>
        <w:br/>
        <w:t>That is indeed their falsity,</w:t>
        <w:br/>
        <w:t>for the ephemeral is delusive in nature.</w:t>
      </w:r>
    </w:p>
    <w:p>
      <w:pPr>
        <w:pStyle w:val="WW-line-block"/>
        <w:ind w:hanging="0" w:start="709"/>
        <w:rPr/>
      </w:pPr>
      <w:r>
        <w:rPr/>
        <w:t>But extinguishment has a non-delusive nature:</w:t>
        <w:br/>
        <w:t>the noble ones know it as truth.</w:t>
        <w:br/>
        <w:t>By comprehending the truth,</w:t>
        <w:br/>
        <w:t>they are hungerless, extinguished.</w:t>
      </w:r>
      <w:r>
        <w:rPr>
          <w:rStyle w:val="FootnoteReference"/>
        </w:rPr>
        <w:footnoteReference w:id="391"/>
      </w:r>
    </w:p>
    <w:p>
      <w:pPr>
        <w:pStyle w:val="WW-space"/>
        <w:rPr/>
      </w:pPr>
      <w:r>
        <w:rPr/>
        <w:t>0</w:t>
      </w:r>
    </w:p>
    <w:p>
      <w:pPr>
        <w:pStyle w:val="WW-named-section"/>
        <w:rPr/>
      </w:pPr>
      <w:r>
        <w:rPr/>
        <w:t>§97</w:t>
      </w:r>
    </w:p>
    <w:p>
      <w:pPr>
        <w:pStyle w:val="WW-blockquote"/>
        <w:rPr/>
      </w:pPr>
      <w:bookmarkStart w:id="102" w:name="bqseg97"/>
      <w:bookmarkEnd w:id="102"/>
      <w:r>
        <w:rP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pPr>
        <w:pStyle w:val="WW-blockquote"/>
        <w:rPr/>
      </w:pPr>
      <w:r>
        <w:rPr/>
        <w:t>That is what the Buddha said, and this is said about it:</w:t>
      </w:r>
    </w:p>
    <w:p>
      <w:pPr>
        <w:pStyle w:val="WW-line-block"/>
        <w:ind w:hanging="0" w:start="709"/>
        <w:rPr/>
      </w:pPr>
      <w:r>
        <w:rPr/>
        <w:t>“</w:t>
      </w:r>
      <w:r>
        <w:rPr/>
        <w:t>Look at the world with its gods,</w:t>
        <w:br/>
        <w:t>resorting to immaterial aspects and bodies,</w:t>
      </w:r>
      <w:r>
        <w:rPr>
          <w:rStyle w:val="FootnoteReference"/>
        </w:rPr>
        <w:footnoteReference w:id="392"/>
      </w:r>
      <w:r>
        <w:rPr/>
        <w:br/>
        <w:t>deprived of understanding,</w:t>
        <w:br/>
        <w:t>imagining they know the truth.</w:t>
      </w:r>
    </w:p>
    <w:p>
      <w:pPr>
        <w:pStyle w:val="WW-line-block"/>
        <w:ind w:hanging="0" w:start="709"/>
        <w:rPr/>
      </w:pPr>
      <w:r>
        <w:rPr/>
        <w:t>The best thing in the world is understanding,</w:t>
        <w:br/>
        <w:t>as it leads to penetration</w:t>
        <w:br/>
        <w:t>with which you correctly understand</w:t>
        <w:br/>
        <w:t>the end of rebirth and existence.</w:t>
      </w:r>
    </w:p>
    <w:p>
      <w:pPr>
        <w:pStyle w:val="WW-line-block"/>
        <w:ind w:hanging="0" w:start="709"/>
        <w:rPr/>
      </w:pPr>
      <w:r>
        <w:rPr/>
        <w:t>Gods and humans envy them,</w:t>
        <w:br/>
        <w:t>the awake ones, who are non-forgetful,</w:t>
        <w:br/>
        <w:t>and who with joyful understanding</w:t>
        <w:br/>
        <w:t>bear their final body.”</w:t>
      </w:r>
      <w:r>
        <w:rPr>
          <w:rStyle w:val="FootnoteReference"/>
        </w:rPr>
        <w:footnoteReference w:id="393"/>
      </w:r>
    </w:p>
    <w:p>
      <w:pPr>
        <w:pStyle w:val="WW-paragraph"/>
        <w:rPr/>
      </w:pPr>
      <w:r>
        <w:rPr/>
        <w:t xml:space="preserve">Let me rephrase all that. The world thinks existence including </w:t>
      </w:r>
      <w:r>
        <w:rPr>
          <w:rStyle w:val="wwc-pali"/>
        </w:rPr>
        <w:t>nāmarūpa</w:t>
      </w:r>
      <w:r>
        <w:rP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pPr>
        <w:pStyle w:val="WW-paragraph"/>
        <w:rPr/>
      </w:pPr>
      <w:r>
        <w:rPr/>
        <w:t xml:space="preserve">Another discourse which mentions the cessation of ignorance and </w:t>
      </w:r>
      <w:r>
        <w:rPr>
          <w:rStyle w:val="wwc-pali"/>
        </w:rPr>
        <w:t>nāmarūpa</w:t>
      </w:r>
      <w:r>
        <w:rPr/>
        <w:t xml:space="preserve"> is the Tangle Discourse, which is quite well known for introducing and closing the </w:t>
      </w:r>
      <w:r>
        <w:rPr>
          <w:rStyle w:val="wwc-sesame"/>
        </w:rPr>
        <w:t>Visuddhimagga</w:t>
      </w:r>
      <w:r>
        <w:rPr/>
        <w:t>:</w:t>
      </w:r>
    </w:p>
    <w:p>
      <w:pPr>
        <w:pStyle w:val="WW-named-section"/>
        <w:rPr/>
      </w:pPr>
      <w:r>
        <w:rPr/>
        <w:t>§98</w:t>
      </w:r>
    </w:p>
    <w:p>
      <w:pPr>
        <w:pStyle w:val="WW-blockquote"/>
        <w:rPr/>
      </w:pPr>
      <w:bookmarkStart w:id="103" w:name="bqseg98"/>
      <w:bookmarkEnd w:id="103"/>
      <w:r>
        <w:rPr/>
        <w:t>The brahmin Bhāradvāja Tangled-Hair</w:t>
      </w:r>
      <w:r>
        <w:rPr>
          <w:rStyle w:val="FootnoteReference"/>
        </w:rPr>
        <w:footnoteReference w:id="394"/>
      </w:r>
      <w:r>
        <w:rPr/>
        <w:t xml:space="preserve"> went to the Buddha and exchanged greetings with him. After a friendly greeting and exchange he sat down to a side. He then addressed him in verse:</w:t>
      </w:r>
    </w:p>
    <w:p>
      <w:pPr>
        <w:pStyle w:val="WW-line-block"/>
        <w:ind w:hanging="0" w:start="709"/>
        <w:rPr/>
      </w:pPr>
      <w:r>
        <w:rPr/>
        <w:t>“</w:t>
      </w:r>
      <w:r>
        <w:rPr/>
        <w:t>In an inner tangle and outer tangle:</w:t>
        <w:br/>
        <w:t>people are entangled in a tangle.</w:t>
        <w:br/>
        <w:t>I ask you this, Gotama:</w:t>
        <w:br/>
        <w:t>who can untangle this tangle?”</w:t>
      </w:r>
    </w:p>
    <w:p>
      <w:pPr>
        <w:pStyle w:val="WW-line-block"/>
        <w:ind w:hanging="0" w:start="709"/>
        <w:rPr/>
      </w:pPr>
      <w:r>
        <w:rPr/>
        <w:t>“</w:t>
      </w:r>
      <w:r>
        <w:rPr/>
        <w:t>A wise man grounded in virtue,</w:t>
        <w:br/>
        <w:t>developing the mind and understanding,</w:t>
        <w:br/>
        <w:t>a motivated and heedful mendicant:</w:t>
        <w:br/>
        <w:t>he can untangle this tangle.</w:t>
      </w:r>
    </w:p>
    <w:p>
      <w:pPr>
        <w:pStyle w:val="WW-line-block"/>
        <w:ind w:hanging="0" w:start="709"/>
        <w:rPr/>
      </w:pPr>
      <w:r>
        <w:rPr/>
        <w:t>They whose desire, anger,</w:t>
        <w:br/>
        <w:t>and ignorance are removed,</w:t>
        <w:br/>
        <w:t>enlightened ones free from defilements:</w:t>
        <w:br/>
        <w:t>they have untangled the tangle.</w:t>
      </w:r>
    </w:p>
    <w:p>
      <w:pPr>
        <w:pStyle w:val="WW-line-block"/>
        <w:ind w:hanging="0" w:start="709"/>
        <w:rPr/>
      </w:pPr>
      <w:r>
        <w:rPr/>
        <w:t>When the immaterial aspects and body</w:t>
        <w:br/>
        <w:t>completely cease</w:t>
        <w:br/>
        <w:t>along with impingement and perceptions of form:</w:t>
        <w:br/>
        <w:t>then the tangle is cut.”</w:t>
      </w:r>
      <w:r>
        <w:rPr>
          <w:rStyle w:val="FootnoteReference"/>
        </w:rPr>
        <w:footnoteReference w:id="395"/>
      </w:r>
    </w:p>
    <w:p>
      <w:pPr>
        <w:pStyle w:val="WW-paragraph"/>
        <w:rPr/>
      </w:pPr>
      <w:r>
        <w:rP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rP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rPr/>
        <w:t xml:space="preserve"> refers to this, saying people are entangled like string, knotted like a ball of thread, being stuck in </w:t>
      </w:r>
      <w:r>
        <w:rPr>
          <w:rStyle w:val="wwc-pali"/>
        </w:rPr>
        <w:t>saṁsāra</w:t>
      </w:r>
      <w:r>
        <w:rPr/>
        <w:t>.</w:t>
      </w:r>
      <w:r>
        <w:rPr>
          <w:rStyle w:val="FootnoteReference"/>
        </w:rPr>
        <w:footnoteReference w:id="396"/>
      </w:r>
      <w:r>
        <w:rPr/>
        <w:t xml:space="preserve"> There are two different tangles, then, but since they are closely connected, the rest of the discourse refers to them just as ‘the tangle’.</w:t>
      </w:r>
    </w:p>
    <w:p>
      <w:pPr>
        <w:pStyle w:val="WW-paragraph"/>
        <w:rPr/>
      </w:pPr>
      <w:r>
        <w:rPr/>
        <w:t xml:space="preserve">Bhāradvāja only asks who </w:t>
      </w:r>
      <w:r>
        <w:rPr>
          <w:rStyle w:val="Emphasis"/>
        </w:rPr>
        <w:t>can</w:t>
      </w:r>
      <w:r>
        <w:rP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rPr/>
        <w:t xml:space="preserve">. The trainee </w:t>
      </w:r>
      <w:r>
        <w:rPr>
          <w:rStyle w:val="Emphasis"/>
        </w:rPr>
        <w:t>can</w:t>
      </w:r>
      <w:r>
        <w:rPr/>
        <w:t xml:space="preserve"> untangle the tangle, but the enlightened one </w:t>
      </w:r>
      <w:r>
        <w:rPr>
          <w:rStyle w:val="Emphasis"/>
        </w:rPr>
        <w:t>has</w:t>
      </w:r>
      <w:r>
        <w:rPr/>
        <w:t xml:space="preserve"> untangled it. In the third verse the tangle is not just untangled: it is completely </w:t>
      </w:r>
      <w:r>
        <w:rPr>
          <w:rStyle w:val="Emphasis"/>
        </w:rPr>
        <w:t>cut</w:t>
      </w:r>
      <w:r>
        <w:rPr/>
        <w:t xml:space="preserve">. This refers to </w:t>
      </w:r>
      <w:r>
        <w:rPr>
          <w:rStyle w:val="wwc-pali"/>
        </w:rPr>
        <w:t>parinibbāna</w:t>
      </w:r>
      <w:r>
        <w:rPr/>
        <w:t xml:space="preserve">, the end of existence, when </w:t>
      </w:r>
      <w:r>
        <w:rPr>
          <w:rStyle w:val="wwc-pali"/>
        </w:rPr>
        <w:t>nāmarūpa</w:t>
      </w:r>
      <w:r>
        <w:rPr/>
        <w:t xml:space="preserve"> ceases along with consciousness.</w:t>
      </w:r>
    </w:p>
    <w:p>
      <w:pPr>
        <w:pStyle w:val="WW-paragraph"/>
        <w:rPr/>
      </w:pPr>
      <w:r>
        <w:rPr/>
        <w:t xml:space="preserve">The latter is referred to as ‘perceptions of form’, but other perceptions are also implied. One </w:t>
      </w:r>
      <w:r>
        <w:rPr>
          <w:rStyle w:val="wwc-sesame"/>
        </w:rPr>
        <w:t>Saṁyukta Āgama</w:t>
      </w:r>
      <w:r>
        <w:rPr/>
        <w:t xml:space="preserve"> parallel indeed more simply says that along with </w:t>
      </w:r>
      <w:r>
        <w:rPr>
          <w:rStyle w:val="wwc-pali"/>
        </w:rPr>
        <w:t>nāmarūpa</w:t>
      </w:r>
      <w:r>
        <w:rPr/>
        <w:t xml:space="preserve"> all types of consciousness cease.</w:t>
      </w:r>
      <w:r>
        <w:rPr>
          <w:rStyle w:val="FootnoteReference"/>
        </w:rPr>
        <w:footnoteReference w:id="397"/>
      </w:r>
      <w:r>
        <w:rPr/>
        <w:t xml:space="preserve"> Another says the mind ceases, but as pointed out before, these parallels sometimes use ‘mind’ (</w:t>
      </w:r>
      <w:r>
        <w:rPr/>
        <w:t>心</w:t>
      </w:r>
      <w:r>
        <w:rPr/>
        <w:t>) as a substitute for ‘consciousness’.</w:t>
      </w:r>
      <w:r>
        <w:rPr>
          <w:rStyle w:val="FootnoteReference"/>
        </w:rPr>
        <w:footnoteReference w:id="398"/>
      </w:r>
    </w:p>
    <w:p>
      <w:pPr>
        <w:pStyle w:val="WW-chapter-section-1"/>
        <w:ind w:hanging="0" w:start="0"/>
        <w:rPr/>
      </w:pPr>
      <w:r>
        <w:rPr/>
        <w:t>Summary on consciousness and nāmarūpa</w:t>
      </w:r>
    </w:p>
    <w:p>
      <w:pPr>
        <w:pStyle w:val="WW-paragraph"/>
        <w:rPr/>
      </w:pPr>
      <w:r>
        <w:rPr/>
        <w:t>In brief, the two dependencies are:</w:t>
      </w:r>
    </w:p>
    <w:p>
      <w:pPr>
        <w:pStyle w:val="WW-paragraph"/>
        <w:numPr>
          <w:ilvl w:val="0"/>
          <w:numId w:val="3"/>
        </w:numPr>
        <w:rPr/>
      </w:pPr>
      <w:r>
        <w:rPr>
          <w:rStyle w:val="Strong"/>
        </w:rPr>
        <w:t>The individual’s immaterial aspects and body depend on consciousness.</w:t>
      </w:r>
      <w:r>
        <w:rP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pPr>
        <w:pStyle w:val="WW-paragraph"/>
        <w:numPr>
          <w:ilvl w:val="0"/>
          <w:numId w:val="3"/>
        </w:numPr>
        <w:rPr/>
      </w:pPr>
      <w:r>
        <w:rPr>
          <w:rStyle w:val="Strong"/>
        </w:rPr>
        <w:t>Consciousness depends on the individual’s immaterial aspects and body.</w:t>
      </w:r>
      <w:r>
        <w:rP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9"/>
      </w:r>
      <w:r>
        <w:rPr/>
        <w:t xml:space="preserve"> If someone abandons the immaterial aspects and body—or abandons the other four aspects of existence, we might alternatively say—then consciousness can’t possibly continue, and it must also cease.</w:t>
      </w:r>
    </w:p>
    <w:p>
      <w:pPr>
        <w:pStyle w:val="WW-paragraph"/>
        <w:spacing w:before="170" w:after="170"/>
        <w:rPr/>
      </w:pPr>
      <w:r>
        <w:rPr/>
        <w:t xml:space="preserve">As Rita Langer summarized in </w:t>
      </w:r>
      <w:r>
        <w:rPr>
          <w:rStyle w:val="Emphasis"/>
        </w:rPr>
        <w:t>Das Bewußtsein als Träger des Leben</w:t>
      </w:r>
      <w:r>
        <w:rPr/>
        <w:t xml:space="preserve"> (</w:t>
      </w:r>
      <w:r>
        <w:rPr>
          <w:rStyle w:val="Emphasis"/>
        </w:rPr>
        <w:t>Consciousness as the Carrier of Life</w:t>
      </w:r>
      <w:r>
        <w:rPr/>
        <w:t xml:space="preserve">): “At conception </w:t>
      </w:r>
      <w:r>
        <w:rPr>
          <w:rStyle w:val="wwc-pali"/>
        </w:rPr>
        <w:t>viññāṇa</w:t>
      </w:r>
      <w:r>
        <w:rPr/>
        <w:t xml:space="preserve"> acts as the animating and life-carrying principle, which is why it is called the condition for the living body (</w:t>
      </w:r>
      <w:r>
        <w:rPr>
          <w:rStyle w:val="wwc-pali"/>
        </w:rPr>
        <w:t>nāmarūpa</w:t>
      </w:r>
      <w:r>
        <w:rPr/>
        <w:t xml:space="preserve">). Vice versa, the living body is a condition for </w:t>
      </w:r>
      <w:r>
        <w:rPr>
          <w:rStyle w:val="wwc-pali"/>
        </w:rPr>
        <w:t>viññāṇa</w:t>
      </w:r>
      <w:r>
        <w:rPr/>
        <w:t>: on the one hand because it functions as a support for the life-carrying principle (</w:t>
      </w:r>
      <w:r>
        <w:rPr>
          <w:rStyle w:val="wwc-pali"/>
        </w:rPr>
        <w:t>viññāṇa</w:t>
      </w:r>
      <w:r>
        <w:rPr/>
        <w:t>) which only leaves it again at death; on the other hand because acts of consciousness generally rely on the (physical) sense organs.”</w:t>
      </w:r>
      <w:r>
        <w:rPr>
          <w:rStyle w:val="FootnoteReference"/>
        </w:rPr>
        <w:footnoteReference w:id="400"/>
      </w:r>
      <w:r>
        <w:rPr/>
        <w:t xml:space="preserve"> To put the two together, sentient life is always a combination of consciousness and </w:t>
      </w:r>
      <w:r>
        <w:rPr>
          <w:rStyle w:val="wwc-pali"/>
        </w:rPr>
        <w:t>nāmarūpa</w:t>
      </w:r>
      <w:r>
        <w:rPr/>
        <w:t>. It is never just one of the two.</w:t>
      </w:r>
      <w:r>
        <w:rPr>
          <w:rStyle w:val="FootnoteReference"/>
        </w:rPr>
        <w:footnoteReference w:id="401"/>
      </w:r>
      <w:r>
        <w:br w:type="page"/>
      </w:r>
    </w:p>
    <w:p>
      <w:pPr>
        <w:pStyle w:val="WW-Chapter"/>
        <w:spacing w:before="0" w:after="567"/>
        <w:ind w:hanging="0" w:start="0"/>
        <w:rPr/>
      </w:pPr>
      <w:bookmarkStart w:id="104" w:name="chapter9"/>
      <w:bookmarkEnd w:id="104"/>
      <w:r>
        <w:rPr/>
        <w:t>9. The dual nature of consciousness</w:t>
      </w:r>
    </w:p>
    <w:p>
      <w:pPr>
        <w:pStyle w:val="WW-paragraph"/>
        <w:rPr/>
      </w:pPr>
      <w:r>
        <w:rPr/>
        <w:t xml:space="preserve">This book focuses on consciousness as the third factor in the standard sequence of Dependent Arising, and I hope to have shown that in this context ‘consciousness’ refers to the general existence of the </w:t>
      </w:r>
      <w:r>
        <w:rPr>
          <w:rStyle w:val="Emphasis"/>
        </w:rPr>
        <w:t>whole</w:t>
      </w:r>
      <w:r>
        <w:rP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rPr/>
        <w:t xml:space="preserve"> this aspect of existence. This so-called momentary arising of consciousness forms the subject of this chapter.</w:t>
      </w:r>
    </w:p>
    <w:p>
      <w:pPr>
        <w:pStyle w:val="WW-paragraph"/>
        <w:rPr/>
      </w:pPr>
      <w:r>
        <w:rPr/>
        <w:t xml:space="preserve">A little point on linguistics before we start. Some authors suggest the aspect of existence of </w:t>
      </w:r>
      <w:r>
        <w:rPr>
          <w:rStyle w:val="wwc-pali"/>
        </w:rPr>
        <w:t>viññāṇa</w:t>
      </w:r>
      <w:r>
        <w:rP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rPr/>
        <w:t xml:space="preserve"> called </w:t>
      </w:r>
      <w:r>
        <w:rPr>
          <w:rStyle w:val="wwc-pali"/>
        </w:rPr>
        <w:t>viññāṇa</w:t>
      </w:r>
      <w:r>
        <w:rPr/>
        <w:t>).</w:t>
      </w:r>
      <w:r>
        <w:rPr>
          <w:rStyle w:val="FootnoteReference"/>
        </w:rPr>
        <w:footnoteReference w:id="402"/>
      </w:r>
      <w:r>
        <w:rPr/>
        <w:t xml:space="preserve"> Their argument is based on etymology, taking the prefix </w:t>
      </w:r>
      <w:r>
        <w:rPr>
          <w:rStyle w:val="wwc-pali"/>
        </w:rPr>
        <w:t>vi</w:t>
      </w:r>
      <w:r>
        <w:rPr>
          <w:rStyle w:val="Emphasis"/>
        </w:rPr>
        <w:t>-</w:t>
      </w:r>
      <w:r>
        <w:rPr/>
        <w:t xml:space="preserve"> to indicate separation or division. But firstly, as Venerable Sujato already responded to such views, this is not the only use of the prefix.</w:t>
      </w:r>
      <w:r>
        <w:rPr>
          <w:rStyle w:val="FootnoteReference"/>
        </w:rPr>
        <w:footnoteReference w:id="403"/>
      </w:r>
      <w:r>
        <w:rPr/>
        <w:t xml:space="preserve"> The word </w:t>
      </w:r>
      <w:r>
        <w:rPr>
          <w:rStyle w:val="wwc-pali"/>
        </w:rPr>
        <w:t>visuddhi</w:t>
      </w:r>
      <w:r>
        <w:rPr/>
        <w:t xml:space="preserve"> for example, literally means ‘very pure’, not ‘divided pure’, although it is more fitting to regard the prefix as effectively meaningless here. In </w:t>
      </w:r>
      <w:r>
        <w:rPr>
          <w:rStyle w:val="wwc-pali"/>
        </w:rPr>
        <w:t>viññāṇa</w:t>
      </w:r>
      <w:r>
        <w:rPr/>
        <w:t xml:space="preserve"> the prefix likewise has no distinct meaning. Secondly, ‘divided knowing’ does not fit the use of the word in various texts, including the non-Buddhist. In the Upaniṣads, </w:t>
      </w:r>
      <w:r>
        <w:rPr>
          <w:rStyle w:val="wwc-pali"/>
        </w:rPr>
        <w:t>vijñāna</w:t>
      </w:r>
      <w:r>
        <w:rPr/>
        <w:t xml:space="preserve"> is used for the awareness Brahmins believed to experience when they were unified with </w:t>
      </w:r>
      <w:r>
        <w:rPr>
          <w:rStyle w:val="wwc-pali"/>
        </w:rPr>
        <w:t>brahman</w:t>
      </w:r>
      <w:r>
        <w:rPr/>
        <w:t xml:space="preserve">, and in the suttas a state of </w:t>
      </w:r>
      <w:r>
        <w:rPr>
          <w:rStyle w:val="wwc-pali"/>
        </w:rPr>
        <w:t>samādhi</w:t>
      </w:r>
      <w:r>
        <w:rPr/>
        <w:t xml:space="preserve"> (unification) is called ‘unbounded </w:t>
      </w:r>
      <w:r>
        <w:rPr>
          <w:rStyle w:val="wwc-pali"/>
        </w:rPr>
        <w:t>viññāṇa</w:t>
      </w:r>
      <w:r>
        <w:rP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rPr/>
        <w:t>.</w:t>
      </w:r>
      <w:r>
        <w:rPr>
          <w:rStyle w:val="FootnoteReference"/>
        </w:rPr>
        <w:footnoteReference w:id="404"/>
      </w:r>
    </w:p>
    <w:p>
      <w:pPr>
        <w:pStyle w:val="WW-paragraph"/>
        <w:rPr/>
      </w:pPr>
      <w:r>
        <w:rPr/>
        <w:t xml:space="preserve">The discriminative part of cognition is generally called </w:t>
      </w:r>
      <w:r>
        <w:rPr>
          <w:rStyle w:val="wwc-pali"/>
        </w:rPr>
        <w:t>saññā</w:t>
      </w:r>
      <w:r>
        <w:rPr/>
        <w:t xml:space="preserve"> instead, although the term has some more nuanced meanings too. </w:t>
      </w:r>
      <w:r>
        <w:rPr>
          <w:rStyle w:val="wwc-pali"/>
        </w:rPr>
        <w:t>Viññāṇa</w:t>
      </w:r>
      <w:r>
        <w:rPr/>
        <w:t xml:space="preserve"> as an aspect of existence is just the basic knowing, the uninterpreted awareness of things—what in modern discourse might be called phenomenal consciousness.</w:t>
      </w:r>
      <w:r>
        <w:rPr>
          <w:rStyle w:val="FootnoteReference"/>
        </w:rPr>
        <w:footnoteReference w:id="405"/>
      </w:r>
      <w:r>
        <w:rP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rPr/>
        <w:t xml:space="preserve"> was used to signify what travels from life to life, for instance.</w:t>
      </w:r>
    </w:p>
    <w:p>
      <w:pPr>
        <w:pStyle w:val="WW-paragraph"/>
        <w:rPr/>
      </w:pPr>
      <w:r>
        <w:rP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rPr/>
        <w:t xml:space="preserve"> something, that it always depends on an object. There isn’t any type of consciousness free from this conditioning. Consciousness without features or content is nothing but “an artificial abstraction”, as Venerable Ñānamoli called it, with no basis in reality.</w:t>
      </w:r>
      <w:r>
        <w:rPr>
          <w:rStyle w:val="FootnoteReference"/>
        </w:rPr>
        <w:footnoteReference w:id="406"/>
      </w:r>
    </w:p>
    <w:p>
      <w:pPr>
        <w:pStyle w:val="WW-chapter-section-1"/>
        <w:ind w:hanging="0" w:start="0"/>
        <w:rPr/>
      </w:pPr>
      <w:r>
        <w:rPr/>
        <w:t>Two different uses of ‘the arising of consciousness’</w:t>
      </w:r>
    </w:p>
    <w:p>
      <w:pPr>
        <w:pStyle w:val="WW-paragraph"/>
        <w:rPr/>
      </w:pPr>
      <w:r>
        <w:rPr/>
        <w:t xml:space="preserve">As I pointed out in the very first chapter, the aspect of existence of consciousness is a collection of different types of consciousness. To abbreviate the definition of </w:t>
      </w:r>
      <w:hyperlink w:anchor="bqseg2">
        <w:r>
          <w:rPr>
            <w:rStyle w:val="Hyperlink"/>
          </w:rPr>
          <w:t>§2</w:t>
        </w:r>
      </w:hyperlink>
      <w:r>
        <w:rP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rPr/>
        <w:t xml:space="preserve"> of consciousness”.</w:t>
      </w:r>
      <w:r>
        <w:rPr>
          <w:rStyle w:val="FootnoteReference"/>
        </w:rPr>
        <w:footnoteReference w:id="407"/>
      </w:r>
      <w:r>
        <w:rPr/>
        <w:t xml:space="preserve"> This use has to be kept separate from the arising of the individual instances (or “acts”) of consciousness within that faculty. The arising of instances of consciousness is not the outcome of willful actions but the result of sense impressions.</w:t>
      </w:r>
    </w:p>
    <w:p>
      <w:pPr>
        <w:pStyle w:val="WW-paragraph"/>
        <w:rPr/>
      </w:pPr>
      <w:r>
        <w:rPr/>
        <w:t xml:space="preserve">The difference between the two uses will become very apparent in </w:t>
      </w:r>
      <w:hyperlink w:anchor="bqseg108">
        <w:r>
          <w:rPr>
            <w:rStyle w:val="Hyperlink"/>
          </w:rPr>
          <w:t>§108</w:t>
        </w:r>
      </w:hyperlink>
      <w:r>
        <w:rP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pPr>
        <w:pStyle w:val="WW-paragraph"/>
        <w:rPr/>
      </w:pPr>
      <w:r>
        <w:rPr/>
        <w:t>A simile adopted from Venerable Ajahn Brahm may clarify matters.</w:t>
      </w:r>
      <w:r>
        <w:rPr>
          <w:rStyle w:val="FootnoteReference"/>
        </w:rPr>
        <w:footnoteReference w:id="408"/>
      </w:r>
      <w:r>
        <w:rP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rPr/>
        <w:t xml:space="preserve"> to be aware that starts at birth and the arising of consciousness as a result of sense impressions to </w:t>
      </w:r>
      <w:r>
        <w:rPr>
          <w:rStyle w:val="Emphasis"/>
        </w:rPr>
        <w:t>specific contents</w:t>
      </w:r>
      <w:r>
        <w:rPr/>
        <w:t xml:space="preserve"> of awareness. (At the same time, the overall ability to have sense impressions and sensations is also the result of birth.)</w:t>
      </w:r>
      <w:r>
        <w:rPr>
          <w:rStyle w:val="FootnoteReference"/>
        </w:rPr>
        <w:footnoteReference w:id="409"/>
      </w:r>
      <w:r>
        <w:rPr/>
        <w:t xml:space="preserve"> See the following overview for clarity:</w:t>
      </w:r>
    </w:p>
    <w:p>
      <w:pPr>
        <w:pStyle w:val="WW-table-caption"/>
        <w:rPr/>
      </w:pPr>
      <w:r>
        <w:rPr/>
        <w:t>{SimpleNoRowBorders}Table 17. Different uses of ‘the arising of consciousness’</w:t>
      </w:r>
    </w:p>
    <w:tbl>
      <w:tblPr>
        <w:tblW w:w="7918" w:type="dxa"/>
        <w:jc w:val="start"/>
        <w:tblInd w:w="0" w:type="dxa"/>
        <w:tblLayout w:type="fixed"/>
        <w:tblCellMar>
          <w:top w:w="0" w:type="dxa"/>
          <w:start w:w="0" w:type="dxa"/>
          <w:bottom w:w="0" w:type="dxa"/>
          <w:end w:w="0" w:type="dxa"/>
        </w:tblCellMar>
      </w:tblPr>
      <w:tblGrid>
        <w:gridCol w:w="4137"/>
        <w:gridCol w:w="3781"/>
      </w:tblGrid>
      <w:tr>
        <w:trPr/>
        <w:tc>
          <w:tcPr>
            <w:tcW w:w="4137" w:type="dxa"/>
            <w:tcBorders/>
            <w:vAlign w:val="center"/>
          </w:tcPr>
          <w:p>
            <w:pPr>
              <w:pStyle w:val="WW-paragraph"/>
              <w:spacing w:before="170" w:after="170"/>
              <w:rPr/>
            </w:pPr>
            <w:r>
              <w:rPr>
                <w:rStyle w:val="Strong"/>
              </w:rPr>
              <w:t>Factor in Dependent Arising</w:t>
            </w:r>
          </w:p>
        </w:tc>
        <w:tc>
          <w:tcPr>
            <w:tcW w:w="3781" w:type="dxa"/>
            <w:tcBorders/>
            <w:vAlign w:val="center"/>
          </w:tcPr>
          <w:p>
            <w:pPr>
              <w:pStyle w:val="WW-paragraph"/>
              <w:spacing w:before="170" w:after="170"/>
              <w:rPr/>
            </w:pPr>
            <w:r>
              <w:rPr>
                <w:rStyle w:val="Strong"/>
              </w:rPr>
              <w:t>‘</w:t>
            </w:r>
            <w:r>
              <w:rPr>
                <w:rStyle w:val="Strong"/>
              </w:rPr>
              <w:t>Arising of consciousness’ refers to:</w:t>
            </w:r>
          </w:p>
        </w:tc>
      </w:tr>
      <w:tr>
        <w:trPr/>
        <w:tc>
          <w:tcPr>
            <w:tcW w:w="4137" w:type="dxa"/>
            <w:tcBorders/>
            <w:vAlign w:val="center"/>
          </w:tcPr>
          <w:p>
            <w:pPr>
              <w:pStyle w:val="WW-paragraph"/>
              <w:spacing w:before="170" w:after="170"/>
              <w:rPr/>
            </w:pPr>
            <w:r>
              <w:rPr/>
              <w:t>1. Ignorance</w:t>
              <w:br/>
              <w:t>2. Willful actions</w:t>
              <w:br/>
              <w:t>3. Consciousness</w:t>
              <w:br/>
              <w:t>4. Immaterial aspects &amp; body</w:t>
              <w:br/>
              <w:t>5. Six senses</w:t>
              <w:br/>
              <w:t>6. Sense impressions</w:t>
              <w:br/>
              <w:t>7. Sensations / Six types of consciousness</w:t>
              <w:br/>
              <w:t>8. …</w:t>
            </w:r>
          </w:p>
        </w:tc>
        <w:tc>
          <w:tcPr>
            <w:tcW w:w="3781" w:type="dxa"/>
            <w:tcBorders/>
            <w:vAlign w:val="center"/>
          </w:tcPr>
          <w:p>
            <w:pPr>
              <w:pStyle w:val="WW-paragraph"/>
              <w:spacing w:before="170" w:after="170"/>
              <w:rPr/>
            </w:pPr>
            <w:r>
              <w:rPr/>
              <w:br/>
              <w:br/>
              <w:t>– Overall aggregate of consciousness</w:t>
              <w:br/>
              <w:br/>
              <w:br/>
              <w:br/>
              <w:t>– Instances of consciousness</w:t>
            </w:r>
          </w:p>
        </w:tc>
      </w:tr>
    </w:tbl>
    <w:p>
      <w:pPr>
        <w:pStyle w:val="WW-paragraph"/>
        <w:rPr/>
      </w:pPr>
      <w:r>
        <w:rPr/>
        <w:t xml:space="preserve">In the standard sequence, sense impressions are followed by sensations (or ‘feelings’, </w:t>
      </w:r>
      <w:r>
        <w:rPr>
          <w:rStyle w:val="wwc-pali"/>
        </w:rPr>
        <w:t>vedanā</w:t>
      </w:r>
      <w:r>
        <w:rP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rPr/>
        <w:t xml:space="preserve"> of awareness; they are not distinct entities. Venerable Sāriputta explains:</w:t>
      </w:r>
    </w:p>
    <w:p>
      <w:pPr>
        <w:pStyle w:val="WW-named-section"/>
        <w:rPr/>
      </w:pPr>
      <w:r>
        <w:rPr/>
        <w:t>§99</w:t>
      </w:r>
    </w:p>
    <w:p>
      <w:pPr>
        <w:pStyle w:val="WW-blockquote"/>
        <w:rPr/>
      </w:pPr>
      <w:bookmarkStart w:id="105" w:name="bqseg99"/>
      <w:bookmarkEnd w:id="105"/>
      <w:r>
        <w:rPr/>
        <w:t>[Koṭṭhita the Great:] “Are sensations, perceptions, and consciousness connected or are they separable? Is it possible to disconnect these from one another and point out the exact difference between them?”</w:t>
      </w:r>
    </w:p>
    <w:p>
      <w:pPr>
        <w:pStyle w:val="WW-blockquote"/>
        <w:rPr/>
      </w:pPr>
      <w:r>
        <w:rP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10"/>
      </w:r>
    </w:p>
    <w:p>
      <w:pPr>
        <w:pStyle w:val="WW-paragraph"/>
        <w:rPr/>
      </w:pPr>
      <w:r>
        <w:rP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pPr>
        <w:pStyle w:val="WW-chapter-section-1"/>
        <w:ind w:hanging="0" w:start="0"/>
        <w:rPr/>
      </w:pPr>
      <w:r>
        <w:rPr/>
        <w:t>Sense impressions</w:t>
      </w:r>
    </w:p>
    <w:p>
      <w:pPr>
        <w:pStyle w:val="WW-paragraph"/>
        <w:rPr/>
      </w:pPr>
      <w:r>
        <w:rPr/>
        <w:t xml:space="preserve">The previous chapter showed that consciousness can’t exist in isolation. It always exists alongside other parts of the being which the Buddha called </w:t>
      </w:r>
      <w:r>
        <w:rPr>
          <w:rStyle w:val="wwc-pali"/>
        </w:rPr>
        <w:t>nāmarūpa</w:t>
      </w:r>
      <w:r>
        <w:rPr/>
        <w:t xml:space="preserve">. The dependency of consciousness on sense impressions teaches a similar principle, but it has a different focus. While the dependency of consciousness on </w:t>
      </w:r>
      <w:r>
        <w:rPr>
          <w:rStyle w:val="wwc-pali"/>
        </w:rPr>
        <w:t>nāmarūpa</w:t>
      </w:r>
      <w:r>
        <w:rPr/>
        <w:t xml:space="preserve"> primarily teaches us there is no realm where consciousness can be reborn on its own, the dependency on sense impressions teaches us that even in this life instances of consciousness always depend on other things.</w:t>
      </w:r>
    </w:p>
    <w:p>
      <w:pPr>
        <w:pStyle w:val="WW-paragraph"/>
        <w:rPr/>
      </w:pPr>
      <w:r>
        <w:rPr/>
        <w:t xml:space="preserve">The word I translate as ‘sense impression’ is </w:t>
      </w:r>
      <w:r>
        <w:rPr>
          <w:rStyle w:val="wwc-pali"/>
        </w:rPr>
        <w:t>phassa</w:t>
      </w:r>
      <w:r>
        <w:rPr/>
        <w:t>. It is usually translated as ‘contact’, but more literally means ‘touch’. Just like the body touches external objects, in Pāli the nose “touches” smells, the tongue “touches” flavors, and so on. When there is such “touching”, a specific type of consciousness can arise:</w:t>
      </w:r>
    </w:p>
    <w:p>
      <w:pPr>
        <w:pStyle w:val="WW-named-section"/>
        <w:rPr/>
      </w:pPr>
      <w:r>
        <w:rPr/>
        <w:t>§100</w:t>
      </w:r>
    </w:p>
    <w:p>
      <w:pPr>
        <w:pStyle w:val="WW-blockquote"/>
        <w:rPr/>
      </w:pPr>
      <w:bookmarkStart w:id="106" w:name="bqseg100"/>
      <w:bookmarkEnd w:id="106"/>
      <w:r>
        <w:rP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1"/>
      </w:r>
    </w:p>
    <w:p>
      <w:pPr>
        <w:pStyle w:val="WW-paragraph"/>
        <w:rPr/>
      </w:pPr>
      <w:r>
        <w:rP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rPr/>
        <w:t>, which literally means ‘bringing together’, so it might also be a synonym for sense impression (or ‘contact’), in which case this passage doesn’t really add a third condition.</w:t>
      </w:r>
      <w:r>
        <w:rPr>
          <w:rStyle w:val="FootnoteReference"/>
        </w:rPr>
        <w:footnoteReference w:id="412"/>
      </w:r>
    </w:p>
    <w:p>
      <w:pPr>
        <w:pStyle w:val="WW-named-section"/>
        <w:rPr/>
      </w:pPr>
      <w:r>
        <w:rPr/>
        <w:t>§101</w:t>
      </w:r>
    </w:p>
    <w:p>
      <w:pPr>
        <w:pStyle w:val="WW-blockquote"/>
        <w:rPr/>
      </w:pPr>
      <w:bookmarkStart w:id="107" w:name="bqseg101"/>
      <w:bookmarkEnd w:id="107"/>
      <w:r>
        <w:rP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3"/>
      </w:r>
    </w:p>
    <w:p>
      <w:pPr>
        <w:pStyle w:val="WW-paragraph"/>
        <w:rPr/>
      </w:pPr>
      <w:r>
        <w:rPr/>
        <w:t>The corresponding sections of consciousness mentioned by Sāriputta are the types of consciousness corresponding to the particular types of sense impression: sight-consciousness, hearing-consciousness, and so forth. For each of the six senses, a different type of consciousness arises, as listed in the table below.</w:t>
      </w:r>
    </w:p>
    <w:p>
      <w:pPr>
        <w:pStyle w:val="WW-table-caption"/>
        <w:rPr/>
      </w:pPr>
      <w:r>
        <w:rPr/>
        <w:t>{SimpleNoRowBorders}Table 18. The six types of consciousness with their senses and objects</w:t>
      </w:r>
    </w:p>
    <w:tbl>
      <w:tblPr>
        <w:tblW w:w="6027" w:type="dxa"/>
        <w:jc w:val="start"/>
        <w:tblInd w:w="0" w:type="dxa"/>
        <w:tblLayout w:type="fixed"/>
        <w:tblCellMar>
          <w:top w:w="0" w:type="dxa"/>
          <w:start w:w="0" w:type="dxa"/>
          <w:bottom w:w="0" w:type="dxa"/>
          <w:end w:w="0" w:type="dxa"/>
        </w:tblCellMar>
      </w:tblPr>
      <w:tblGrid>
        <w:gridCol w:w="1459"/>
        <w:gridCol w:w="1952"/>
        <w:gridCol w:w="2616"/>
      </w:tblGrid>
      <w:tr>
        <w:trPr/>
        <w:tc>
          <w:tcPr>
            <w:tcW w:w="1459" w:type="dxa"/>
            <w:tcBorders/>
            <w:vAlign w:val="center"/>
          </w:tcPr>
          <w:p>
            <w:pPr>
              <w:pStyle w:val="WW-paragraph"/>
              <w:spacing w:before="170" w:after="170"/>
              <w:rPr/>
            </w:pPr>
            <w:r>
              <w:rPr>
                <w:rStyle w:val="Strong"/>
              </w:rPr>
              <w:t>Sense faculty</w:t>
            </w:r>
          </w:p>
        </w:tc>
        <w:tc>
          <w:tcPr>
            <w:tcW w:w="1952" w:type="dxa"/>
            <w:tcBorders/>
            <w:vAlign w:val="center"/>
          </w:tcPr>
          <w:p>
            <w:pPr>
              <w:pStyle w:val="WW-paragraph"/>
              <w:spacing w:before="170" w:after="170"/>
              <w:rPr/>
            </w:pPr>
            <w:r>
              <w:rPr>
                <w:rStyle w:val="Strong"/>
              </w:rPr>
              <w:t>Object</w:t>
            </w:r>
          </w:p>
        </w:tc>
        <w:tc>
          <w:tcPr>
            <w:tcW w:w="2616" w:type="dxa"/>
            <w:tcBorders/>
            <w:vAlign w:val="center"/>
          </w:tcPr>
          <w:p>
            <w:pPr>
              <w:pStyle w:val="WW-paragraph"/>
              <w:spacing w:before="170" w:after="170"/>
              <w:rPr/>
            </w:pPr>
            <w:r>
              <w:rPr>
                <w:rStyle w:val="Strong"/>
              </w:rPr>
              <w:t>Section of consciousness</w:t>
            </w:r>
          </w:p>
        </w:tc>
      </w:tr>
      <w:tr>
        <w:trPr/>
        <w:tc>
          <w:tcPr>
            <w:tcW w:w="1459" w:type="dxa"/>
            <w:tcBorders/>
            <w:vAlign w:val="center"/>
          </w:tcPr>
          <w:p>
            <w:pPr>
              <w:pStyle w:val="WW-paragraph"/>
              <w:spacing w:before="170" w:after="170"/>
              <w:rPr/>
            </w:pPr>
            <w:r>
              <w:rPr/>
              <w:t>Sight</w:t>
            </w:r>
          </w:p>
        </w:tc>
        <w:tc>
          <w:tcPr>
            <w:tcW w:w="1952" w:type="dxa"/>
            <w:tcBorders/>
            <w:vAlign w:val="center"/>
          </w:tcPr>
          <w:p>
            <w:pPr>
              <w:pStyle w:val="WW-paragraph"/>
              <w:spacing w:before="170" w:after="170"/>
              <w:rPr/>
            </w:pPr>
            <w:r>
              <w:rPr/>
              <w:t>Sights</w:t>
            </w:r>
          </w:p>
        </w:tc>
        <w:tc>
          <w:tcPr>
            <w:tcW w:w="2616" w:type="dxa"/>
            <w:tcBorders/>
            <w:vAlign w:val="center"/>
          </w:tcPr>
          <w:p>
            <w:pPr>
              <w:pStyle w:val="WW-paragraph"/>
              <w:spacing w:before="170" w:after="170"/>
              <w:rPr/>
            </w:pPr>
            <w:r>
              <w:rPr/>
              <w:t>Sight-consciousness</w:t>
            </w:r>
          </w:p>
        </w:tc>
      </w:tr>
      <w:tr>
        <w:trPr/>
        <w:tc>
          <w:tcPr>
            <w:tcW w:w="1459" w:type="dxa"/>
            <w:tcBorders/>
            <w:vAlign w:val="center"/>
          </w:tcPr>
          <w:p>
            <w:pPr>
              <w:pStyle w:val="WW-paragraph"/>
              <w:spacing w:before="170" w:after="170"/>
              <w:rPr/>
            </w:pPr>
            <w:r>
              <w:rPr/>
              <w:t>Hearing</w:t>
            </w:r>
          </w:p>
        </w:tc>
        <w:tc>
          <w:tcPr>
            <w:tcW w:w="1952" w:type="dxa"/>
            <w:tcBorders/>
            <w:vAlign w:val="center"/>
          </w:tcPr>
          <w:p>
            <w:pPr>
              <w:pStyle w:val="WW-paragraph"/>
              <w:spacing w:before="170" w:after="170"/>
              <w:rPr/>
            </w:pPr>
            <w:r>
              <w:rPr/>
              <w:t>Sounds</w:t>
            </w:r>
          </w:p>
        </w:tc>
        <w:tc>
          <w:tcPr>
            <w:tcW w:w="2616" w:type="dxa"/>
            <w:tcBorders/>
            <w:vAlign w:val="center"/>
          </w:tcPr>
          <w:p>
            <w:pPr>
              <w:pStyle w:val="WW-paragraph"/>
              <w:spacing w:before="170" w:after="170"/>
              <w:rPr/>
            </w:pPr>
            <w:r>
              <w:rPr/>
              <w:t>Hearing-consciousness</w:t>
            </w:r>
          </w:p>
        </w:tc>
      </w:tr>
      <w:tr>
        <w:trPr/>
        <w:tc>
          <w:tcPr>
            <w:tcW w:w="1459" w:type="dxa"/>
            <w:tcBorders/>
            <w:vAlign w:val="center"/>
          </w:tcPr>
          <w:p>
            <w:pPr>
              <w:pStyle w:val="WW-paragraph"/>
              <w:spacing w:before="170" w:after="170"/>
              <w:rPr/>
            </w:pPr>
            <w:r>
              <w:rPr/>
              <w:t>Smell</w:t>
            </w:r>
          </w:p>
        </w:tc>
        <w:tc>
          <w:tcPr>
            <w:tcW w:w="1952" w:type="dxa"/>
            <w:tcBorders/>
            <w:vAlign w:val="center"/>
          </w:tcPr>
          <w:p>
            <w:pPr>
              <w:pStyle w:val="WW-paragraph"/>
              <w:spacing w:before="170" w:after="170"/>
              <w:rPr/>
            </w:pPr>
            <w:r>
              <w:rPr/>
              <w:t>Smells</w:t>
            </w:r>
          </w:p>
        </w:tc>
        <w:tc>
          <w:tcPr>
            <w:tcW w:w="2616" w:type="dxa"/>
            <w:tcBorders/>
            <w:vAlign w:val="center"/>
          </w:tcPr>
          <w:p>
            <w:pPr>
              <w:pStyle w:val="WW-paragraph"/>
              <w:spacing w:before="170" w:after="170"/>
              <w:rPr/>
            </w:pPr>
            <w:r>
              <w:rPr/>
              <w:t>Smell-consciousness</w:t>
            </w:r>
          </w:p>
        </w:tc>
      </w:tr>
      <w:tr>
        <w:trPr/>
        <w:tc>
          <w:tcPr>
            <w:tcW w:w="1459" w:type="dxa"/>
            <w:tcBorders/>
            <w:vAlign w:val="center"/>
          </w:tcPr>
          <w:p>
            <w:pPr>
              <w:pStyle w:val="WW-paragraph"/>
              <w:spacing w:before="170" w:after="170"/>
              <w:rPr/>
            </w:pPr>
            <w:r>
              <w:rPr/>
              <w:t>Taste</w:t>
            </w:r>
          </w:p>
        </w:tc>
        <w:tc>
          <w:tcPr>
            <w:tcW w:w="1952" w:type="dxa"/>
            <w:tcBorders/>
            <w:vAlign w:val="center"/>
          </w:tcPr>
          <w:p>
            <w:pPr>
              <w:pStyle w:val="WW-paragraph"/>
              <w:spacing w:before="170" w:after="170"/>
              <w:rPr/>
            </w:pPr>
            <w:r>
              <w:rPr/>
              <w:t>Flavors</w:t>
            </w:r>
          </w:p>
        </w:tc>
        <w:tc>
          <w:tcPr>
            <w:tcW w:w="2616" w:type="dxa"/>
            <w:tcBorders/>
            <w:vAlign w:val="center"/>
          </w:tcPr>
          <w:p>
            <w:pPr>
              <w:pStyle w:val="WW-paragraph"/>
              <w:spacing w:before="170" w:after="170"/>
              <w:rPr/>
            </w:pPr>
            <w:r>
              <w:rPr/>
              <w:t>Taste-consciousness</w:t>
            </w:r>
          </w:p>
        </w:tc>
      </w:tr>
      <w:tr>
        <w:trPr/>
        <w:tc>
          <w:tcPr>
            <w:tcW w:w="1459" w:type="dxa"/>
            <w:tcBorders/>
            <w:vAlign w:val="center"/>
          </w:tcPr>
          <w:p>
            <w:pPr>
              <w:pStyle w:val="WW-paragraph"/>
              <w:spacing w:before="170" w:after="170"/>
              <w:rPr/>
            </w:pPr>
            <w:r>
              <w:rPr/>
              <w:t>Touch</w:t>
            </w:r>
          </w:p>
        </w:tc>
        <w:tc>
          <w:tcPr>
            <w:tcW w:w="1952" w:type="dxa"/>
            <w:tcBorders/>
            <w:vAlign w:val="center"/>
          </w:tcPr>
          <w:p>
            <w:pPr>
              <w:pStyle w:val="WW-paragraph"/>
              <w:spacing w:before="170" w:after="170"/>
              <w:rPr/>
            </w:pPr>
            <w:r>
              <w:rPr/>
              <w:t>Tangibles</w:t>
            </w:r>
          </w:p>
        </w:tc>
        <w:tc>
          <w:tcPr>
            <w:tcW w:w="2616" w:type="dxa"/>
            <w:tcBorders/>
            <w:vAlign w:val="center"/>
          </w:tcPr>
          <w:p>
            <w:pPr>
              <w:pStyle w:val="WW-paragraph"/>
              <w:spacing w:before="170" w:after="170"/>
              <w:rPr/>
            </w:pPr>
            <w:r>
              <w:rPr/>
              <w:t>Touch-consciousness</w:t>
            </w:r>
          </w:p>
        </w:tc>
      </w:tr>
      <w:tr>
        <w:trPr/>
        <w:tc>
          <w:tcPr>
            <w:tcW w:w="1459" w:type="dxa"/>
            <w:tcBorders/>
            <w:vAlign w:val="center"/>
          </w:tcPr>
          <w:p>
            <w:pPr>
              <w:pStyle w:val="WW-paragraph"/>
              <w:spacing w:before="170" w:after="170"/>
              <w:rPr/>
            </w:pPr>
            <w:r>
              <w:rPr/>
              <w:t>Mind</w:t>
            </w:r>
          </w:p>
        </w:tc>
        <w:tc>
          <w:tcPr>
            <w:tcW w:w="1952" w:type="dxa"/>
            <w:tcBorders/>
            <w:vAlign w:val="center"/>
          </w:tcPr>
          <w:p>
            <w:pPr>
              <w:pStyle w:val="WW-paragraph"/>
              <w:spacing w:before="170" w:after="170"/>
              <w:rPr/>
            </w:pPr>
            <w:r>
              <w:rPr/>
              <w:t>Mental phenomena</w:t>
            </w:r>
          </w:p>
        </w:tc>
        <w:tc>
          <w:tcPr>
            <w:tcW w:w="2616" w:type="dxa"/>
            <w:tcBorders/>
            <w:vAlign w:val="center"/>
          </w:tcPr>
          <w:p>
            <w:pPr>
              <w:pStyle w:val="WW-paragraph"/>
              <w:spacing w:before="170" w:after="170"/>
              <w:rPr/>
            </w:pPr>
            <w:r>
              <w:rPr/>
              <w:t>Mind-consciousness</w:t>
            </w:r>
          </w:p>
        </w:tc>
      </w:tr>
    </w:tbl>
    <w:p>
      <w:pPr>
        <w:pStyle w:val="WW-paragraph"/>
        <w:rPr/>
      </w:pPr>
      <w:r>
        <w:rPr/>
        <w:t xml:space="preserve">In the </w:t>
      </w:r>
      <w:r>
        <w:rPr>
          <w:rStyle w:val="wwc-sesame"/>
        </w:rPr>
        <w:t>Longer Discourse on the Ending of Craving</w:t>
      </w:r>
      <w:r>
        <w:rPr/>
        <w:t>, the Buddha compares sense impressions to fires:</w:t>
      </w:r>
    </w:p>
    <w:p>
      <w:pPr>
        <w:pStyle w:val="WW-named-section"/>
        <w:rPr/>
      </w:pPr>
      <w:r>
        <w:rPr/>
        <w:t>§102</w:t>
      </w:r>
    </w:p>
    <w:p>
      <w:pPr>
        <w:pStyle w:val="WW-blockquote"/>
        <w:rPr/>
      </w:pPr>
      <w:bookmarkStart w:id="108" w:name="bqseg102"/>
      <w:bookmarkEnd w:id="108"/>
      <w:r>
        <w:rP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4"/>
      </w:r>
    </w:p>
    <w:p>
      <w:pPr>
        <w:pStyle w:val="WW-paragraph"/>
        <w:rPr/>
      </w:pPr>
      <w:r>
        <w:rPr/>
        <w:t>The Buddha then explains that if the nutriment—a synonym for fuel</w:t>
      </w:r>
      <w:r>
        <w:rPr>
          <w:rStyle w:val="FootnoteReference"/>
        </w:rPr>
        <w:footnoteReference w:id="415"/>
      </w:r>
      <w:r>
        <w:rPr/>
        <w:t>—ceases, the thing that depends on it also ceases:</w:t>
      </w:r>
    </w:p>
    <w:p>
      <w:pPr>
        <w:pStyle w:val="WW-named-section"/>
        <w:rPr/>
      </w:pPr>
      <w:r>
        <w:rPr/>
        <w:t>§103</w:t>
      </w:r>
    </w:p>
    <w:p>
      <w:pPr>
        <w:pStyle w:val="WW-blockquote"/>
        <w:rPr/>
      </w:pPr>
      <w:bookmarkStart w:id="109" w:name="bqseg103"/>
      <w:bookmarkEnd w:id="109"/>
      <w:r>
        <w:rPr/>
        <w:t>“</w:t>
      </w:r>
      <w:r>
        <w:rPr/>
        <w:t>Mendicants, do you see that this has come to be?”</w:t>
      </w:r>
    </w:p>
    <w:p>
      <w:pPr>
        <w:pStyle w:val="WW-blockquote"/>
        <w:rPr/>
      </w:pPr>
      <w:r>
        <w:rPr/>
        <w:t>“</w:t>
      </w:r>
      <w:r>
        <w:rPr/>
        <w:t>Yes, sir.”</w:t>
      </w:r>
    </w:p>
    <w:p>
      <w:pPr>
        <w:pStyle w:val="WW-blockquote"/>
        <w:rPr/>
      </w:pPr>
      <w:r>
        <w:rPr/>
        <w:t>“</w:t>
      </w:r>
      <w:r>
        <w:rPr/>
        <w:t>Do you see that it originated from that nutriment [i.e. fuel]?”</w:t>
      </w:r>
    </w:p>
    <w:p>
      <w:pPr>
        <w:pStyle w:val="WW-blockquote"/>
        <w:rPr/>
      </w:pPr>
      <w:r>
        <w:rPr/>
        <w:t>“</w:t>
      </w:r>
      <w:r>
        <w:rPr/>
        <w:t>Yes, sir.”</w:t>
      </w:r>
    </w:p>
    <w:p>
      <w:pPr>
        <w:pStyle w:val="WW-blockquote"/>
        <w:rPr/>
      </w:pPr>
      <w:r>
        <w:rPr/>
        <w:t>“</w:t>
      </w:r>
      <w:r>
        <w:rPr/>
        <w:t>Do you see that if that nutriment ceases, what has come to be is also bound to cease?”</w:t>
      </w:r>
    </w:p>
    <w:p>
      <w:pPr>
        <w:pStyle w:val="WW-blockquote"/>
        <w:rPr/>
      </w:pPr>
      <w:r>
        <w:rPr/>
        <w:t>“</w:t>
      </w:r>
      <w:r>
        <w:rPr/>
        <w:t>Yes, sir.”</w:t>
      </w:r>
    </w:p>
    <w:p>
      <w:pPr>
        <w:pStyle w:val="WW-paragraph"/>
        <w:rPr/>
      </w:pPr>
      <w:r>
        <w:rPr/>
        <w:t>Without nutriment, without fuel, there can be no fire. As Sāriputta said elsewhere, a fire that runs out of fuel is impermanent, of the nature to end and vanish.</w:t>
      </w:r>
      <w:r>
        <w:rPr>
          <w:rStyle w:val="FootnoteReference"/>
        </w:rPr>
        <w:footnoteReference w:id="416"/>
      </w:r>
      <w:r>
        <w:rPr/>
        <w:t xml:space="preserve"> So the point of the simile that, just like fire can’t exist without fuel, consciousness can’t exist without an object. In other words, consciousness is always conscious </w:t>
      </w:r>
      <w:r>
        <w:rPr>
          <w:rStyle w:val="Emphasis"/>
        </w:rPr>
        <w:t>of</w:t>
      </w:r>
      <w:r>
        <w:rPr/>
        <w:t xml:space="preserve"> something.</w:t>
      </w:r>
      <w:r>
        <w:rPr>
          <w:rStyle w:val="FootnoteReference"/>
        </w:rPr>
        <w:footnoteReference w:id="417"/>
      </w:r>
    </w:p>
    <w:p>
      <w:pPr>
        <w:pStyle w:val="WW-figure"/>
        <w:rPr/>
      </w:pPr>
      <w:r>
        <w:rPr/>
        <w:t>./img/fires.png=Six fires burning different substances (logs, twigs, grass, dung, chaff, and rubbish) labeled ‘sight’, ‘hearing’, smell’, ‘taste’, ‘touch’ and ‘mind’. Next to it is a pile of ashes labeled ‘no senses’.=80=border</w:t>
        <w:br/>
        <w:t>Figure 25. Fire as a simile for the six types of consciousness</w:t>
      </w:r>
    </w:p>
    <w:p>
      <w:pPr>
        <w:pStyle w:val="WW-paragraph"/>
        <w:rPr/>
      </w:pPr>
      <w:r>
        <w:rPr/>
        <w:t>Venerable Nandaka and a group of nuns once discussed the same simile, also making a connection between consciousness and sensation. They concluded that, just like there can be no fire without fuel, there can be no sensation or consciousness without any object:</w:t>
      </w:r>
    </w:p>
    <w:p>
      <w:pPr>
        <w:pStyle w:val="WW-named-section"/>
        <w:rPr/>
      </w:pPr>
      <w:r>
        <w:rPr/>
        <w:t>§104</w:t>
      </w:r>
    </w:p>
    <w:p>
      <w:pPr>
        <w:pStyle w:val="WW-blockquote"/>
        <w:rPr/>
      </w:pPr>
      <w:bookmarkStart w:id="110" w:name="bqseg104"/>
      <w:bookmarkEnd w:id="110"/>
      <w:r>
        <w:rPr/>
        <w:t>“</w:t>
      </w:r>
      <w:r>
        <w:rPr/>
        <w:t>Venerable [Nandaka], by correctly understanding things in line with reality, we have seen that the six types of consciousness are temporary (</w:t>
      </w:r>
      <w:r>
        <w:rPr>
          <w:rStyle w:val="wwc-pali"/>
        </w:rPr>
        <w:t>anicca</w:t>
      </w:r>
      <w:r>
        <w:rPr/>
        <w:t>).”</w:t>
      </w:r>
    </w:p>
    <w:p>
      <w:pPr>
        <w:pStyle w:val="WW-blockquote"/>
        <w:rPr/>
      </w:pPr>
      <w:r>
        <w:rPr/>
        <w:t>“</w:t>
      </w:r>
      <w:r>
        <w:rP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pPr>
        <w:pStyle w:val="WW-blockquote"/>
        <w:rPr/>
      </w:pPr>
      <w:r>
        <w:rPr/>
        <w:t>“</w:t>
      </w:r>
      <w:r>
        <w:rPr/>
        <w:t>No, sir. Why? Because the oil, wick, and flame are all temporary and changing, let alone the light.”</w:t>
      </w:r>
    </w:p>
    <w:p>
      <w:pPr>
        <w:pStyle w:val="WW-blockquote"/>
        <w:rPr/>
      </w:pPr>
      <w:r>
        <w:rPr/>
        <w:t>“</w:t>
      </w:r>
      <w:r>
        <w:rPr/>
        <w:t>Likewise, if someone said the six senses are temporary and changing, but the sensations that depend on the six senses—whether pleasant, painful, or neutral—are permanent, constant, eternal, and unchanging, would they be right?”</w:t>
      </w:r>
    </w:p>
    <w:p>
      <w:pPr>
        <w:pStyle w:val="WW-blockquote"/>
        <w:rPr/>
      </w:pPr>
      <w:r>
        <w:rPr/>
        <w:t>“</w:t>
      </w:r>
      <w:r>
        <w:rPr/>
        <w:t>No, sir. Why? Because every sensation [and hence every consciousness] arises dependent on corresponding requirements. When the requirements cease, the corresponding sensation ceases too.”</w:t>
      </w:r>
    </w:p>
    <w:p>
      <w:pPr>
        <w:pStyle w:val="WW-blockquote"/>
        <w:rPr/>
      </w:pPr>
      <w:r>
        <w:rPr/>
        <w:t>“</w:t>
      </w:r>
      <w:r>
        <w:rPr/>
        <w:t>Very good, Sisters! That is what noble disciples see when they correctly understand things in line with reality.”</w:t>
      </w:r>
      <w:r>
        <w:rPr>
          <w:rStyle w:val="FootnoteReference"/>
        </w:rPr>
        <w:footnoteReference w:id="418"/>
      </w:r>
    </w:p>
    <w:p>
      <w:pPr>
        <w:pStyle w:val="WW-paragraph"/>
        <w:rPr/>
      </w:pPr>
      <w:r>
        <w:rPr/>
        <w:t>The conditions for consciousness here are two: the sense faculty and its objects. The Buddha therefore also said instances of consciousness depend on a pair (</w:t>
      </w:r>
      <w:r>
        <w:rPr>
          <w:rStyle w:val="wwc-pali"/>
        </w:rPr>
        <w:t>dvaya</w:t>
      </w:r>
      <w:r>
        <w:rPr/>
        <w:t>):</w:t>
      </w:r>
    </w:p>
    <w:p>
      <w:pPr>
        <w:pStyle w:val="WW-named-section"/>
        <w:rPr/>
      </w:pPr>
      <w:r>
        <w:rPr/>
        <w:t>§105</w:t>
      </w:r>
    </w:p>
    <w:p>
      <w:pPr>
        <w:pStyle w:val="WW-blockquote"/>
        <w:rPr/>
      </w:pPr>
      <w:bookmarkStart w:id="111" w:name="bqseg105"/>
      <w:bookmarkEnd w:id="111"/>
      <w:r>
        <w:rPr/>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9"/>
      </w:r>
    </w:p>
    <w:p>
      <w:pPr>
        <w:pStyle w:val="WW-space"/>
        <w:rPr/>
      </w:pPr>
      <w:r>
        <w:rPr/>
        <w:t>0</w:t>
      </w:r>
    </w:p>
    <w:p>
      <w:pPr>
        <w:pStyle w:val="WW-named-section"/>
        <w:rPr/>
      </w:pPr>
      <w:r>
        <w:rPr/>
        <w:t>§106</w:t>
      </w:r>
    </w:p>
    <w:p>
      <w:pPr>
        <w:pStyle w:val="WW-blockquote"/>
        <w:rPr/>
      </w:pPr>
      <w:bookmarkStart w:id="112" w:name="bqseg106"/>
      <w:bookmarkEnd w:id="112"/>
      <w:r>
        <w:rP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pPr>
        <w:pStyle w:val="WW-blockquote"/>
        <w:rPr/>
      </w:pPr>
      <w:r>
        <w:rPr/>
        <w:t>Sight-consciousness is temporary, changing, and fluctuating. The conditions and requirements for the arising of sight-consciousness are temporary, changing, and fluctuating, so, since sight-consciousness arises dependent on temporary requirements, how could it be permanent?</w:t>
      </w:r>
    </w:p>
    <w:p>
      <w:pPr>
        <w:pStyle w:val="WW-blockquote"/>
        <w:rPr/>
      </w:pPr>
      <w:r>
        <w:rP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A hearing-consciousness … a smell-consciousness … a taste-consciousness … a touch-consciousness […]</w:t>
      </w:r>
    </w:p>
    <w:p>
      <w:pPr>
        <w:pStyle w:val="WW-blockquote"/>
        <w:rPr/>
      </w:pPr>
      <w:r>
        <w:rPr/>
        <w:t>A mind-consciousness arises dependent on the mind and mental phenomena. The mind is temporary, changing, and fluctuating; mental phenomena are temporary, changing, and fluctuating. So this pair sways and wavers; it is temporary, changing, and fluctuating.</w:t>
      </w:r>
    </w:p>
    <w:p>
      <w:pPr>
        <w:pStyle w:val="WW-blockquote"/>
        <w:rPr/>
      </w:pPr>
      <w:r>
        <w:rPr/>
        <w:t>Mind-consciousness is temporary, changing, and fluctuating. The conditions and requirements for the arising of mind-consciousness are temporary, changing, and fluctuating, so, since mind-consciousness arises dependent on temporary requirements, how could it be permanent?</w:t>
      </w:r>
    </w:p>
    <w:p>
      <w:pPr>
        <w:pStyle w:val="WW-blockquote"/>
        <w:rPr/>
      </w:pPr>
      <w:r>
        <w:rP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That is how consciousness originates dependent on a pair.</w:t>
      </w:r>
      <w:r>
        <w:rPr>
          <w:rStyle w:val="FootnoteReference"/>
        </w:rPr>
        <w:footnoteReference w:id="420"/>
      </w:r>
    </w:p>
    <w:p>
      <w:pPr>
        <w:pStyle w:val="WW-paragraph"/>
        <w:rPr/>
      </w:pPr>
      <w:r>
        <w:rP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pPr>
        <w:pStyle w:val="WW-chapter-section-1"/>
        <w:ind w:hanging="0" w:start="0"/>
        <w:rPr/>
      </w:pPr>
      <w:r>
        <w:rPr/>
        <w:t>Understanding sense impressions through meditation</w:t>
      </w:r>
    </w:p>
    <w:p>
      <w:pPr>
        <w:pStyle w:val="WW-paragraph"/>
        <w:rPr/>
      </w:pPr>
      <w:r>
        <w:rP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pPr>
        <w:pStyle w:val="WW-paragraph"/>
        <w:rPr/>
      </w:pPr>
      <w:r>
        <w:rP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1"/>
      </w:r>
      <w:r>
        <w:rPr/>
        <w:t xml:space="preserve"> But the Buddha said: “Any sensation coming from sense impression of the mind […] is subject to disintegration.”</w:t>
      </w:r>
      <w:r>
        <w:rPr>
          <w:rStyle w:val="FootnoteReference"/>
        </w:rPr>
        <w:footnoteReference w:id="422"/>
      </w:r>
      <w:r>
        <w:rPr/>
        <w:t xml:space="preserve"> The </w:t>
      </w:r>
      <w:r>
        <w:rPr>
          <w:rStyle w:val="wwc-sesame"/>
        </w:rPr>
        <w:t>Sappurisa Sutta</w:t>
      </w:r>
      <w:r>
        <w:rPr/>
        <w:t xml:space="preserve"> also says that a worthy person reflects: “The Buddha has said to not identify with the attainment of the first jhāna. For whatever you imagine it is, it is different from that.”</w:t>
      </w:r>
      <w:r>
        <w:rPr>
          <w:rStyle w:val="FootnoteReference"/>
        </w:rPr>
        <w:footnoteReference w:id="423"/>
      </w:r>
    </w:p>
    <w:p>
      <w:pPr>
        <w:pStyle w:val="WW-paragraph"/>
        <w:rPr/>
      </w:pPr>
      <w:r>
        <w:rP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4"/>
      </w:r>
      <w:r>
        <w:rP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pPr>
        <w:pStyle w:val="WW-chapter-section-1"/>
        <w:ind w:hanging="0" w:start="0"/>
        <w:rPr/>
      </w:pPr>
      <w:r>
        <w:rPr/>
        <w:t>Sense impressions depending on external nāmarūpa</w:t>
      </w:r>
    </w:p>
    <w:p>
      <w:pPr>
        <w:pStyle w:val="WW-paragraph"/>
        <w:rPr/>
      </w:pPr>
      <w:r>
        <w:rP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pPr>
        <w:pStyle w:val="WW-named-section"/>
        <w:rPr/>
      </w:pPr>
      <w:r>
        <w:rPr/>
        <w:t>§107</w:t>
      </w:r>
    </w:p>
    <w:p>
      <w:pPr>
        <w:pStyle w:val="WW-blockquote"/>
        <w:rPr/>
      </w:pPr>
      <w:bookmarkStart w:id="113" w:name="bqseg107"/>
      <w:bookmarkEnd w:id="113"/>
      <w:r>
        <w:rPr/>
        <w:t>“</w:t>
      </w:r>
      <w:r>
        <w:rPr/>
        <w:t>When learned [enlightened] noble disciples are impinged by painful physical sensations, they do not sorrow, mourn, and grief, and cry beating their chest, all confused.”</w:t>
      </w:r>
      <w:r>
        <w:rPr>
          <w:rStyle w:val="FootnoteReference"/>
        </w:rPr>
        <w:footnoteReference w:id="425"/>
      </w:r>
    </w:p>
    <w:p>
      <w:pPr>
        <w:pStyle w:val="WW-paragraph"/>
        <w:rPr/>
      </w:pPr>
      <w:r>
        <w:rPr/>
        <w:t>The discourse later clarifies that the learned noble disciple in this case refers to the enlightened one, for they are said to have overcome rebirth.</w:t>
      </w:r>
    </w:p>
    <w:p>
      <w:pPr>
        <w:pStyle w:val="WW-paragraph"/>
        <w:rPr/>
      </w:pPr>
      <w:r>
        <w:rPr/>
        <w:t xml:space="preserve">That sense impressions and sensations do not cease at enlightenment is also mentioned in the </w:t>
      </w:r>
      <w:r>
        <w:rPr>
          <w:rStyle w:val="wwc-sesame"/>
        </w:rPr>
        <w:t>Discourse on the Foolish and Wise</w:t>
      </w:r>
      <w:r>
        <w:rPr/>
        <w:t xml:space="preserve"> in the </w:t>
      </w:r>
      <w:r>
        <w:rPr>
          <w:rStyle w:val="wwc-sesame"/>
        </w:rPr>
        <w:t>Nidāna Saṁyutta</w:t>
      </w:r>
      <w:r>
        <w:rPr/>
        <w:t xml:space="preserve">, where the Buddha describes the perspectives of the unenlightened (the foolish) and the enlightened (the wise). </w:t>
      </w:r>
      <w:r>
        <w:rPr>
          <w:rStyle w:val="Emphasis"/>
        </w:rPr>
        <w:t>Both</w:t>
      </w:r>
      <w:r>
        <w:rP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rPr/>
        <w:t xml:space="preserve">”, the latter half of which contains a unique use of the word </w:t>
      </w:r>
      <w:r>
        <w:rPr>
          <w:rStyle w:val="wwc-pali"/>
        </w:rPr>
        <w:t>nāmarūpa</w:t>
      </w:r>
      <w:r>
        <w:rPr/>
        <w:t>. I render it ‘external things with their names and forms’, which I will explain afterwards.</w:t>
      </w:r>
    </w:p>
    <w:p>
      <w:pPr>
        <w:pStyle w:val="WW-named-section"/>
        <w:rPr/>
      </w:pPr>
      <w:r>
        <w:rPr/>
        <w:t>§108</w:t>
      </w:r>
    </w:p>
    <w:p>
      <w:pPr>
        <w:pStyle w:val="WW-blockquote"/>
        <w:rPr/>
      </w:pPr>
      <w:bookmarkStart w:id="114" w:name="bqseg108"/>
      <w:bookmarkEnd w:id="114"/>
      <w:r>
        <w:rPr/>
        <w:t>“</w:t>
      </w:r>
      <w:r>
        <w:rP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pPr>
        <w:pStyle w:val="WW-blockquote"/>
        <w:rPr/>
      </w:pPr>
      <w:r>
        <w:rP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rPr/>
        <w:t xml:space="preserve"> feels pleasure and pain.</w:t>
      </w:r>
    </w:p>
    <w:p>
      <w:pPr>
        <w:pStyle w:val="WW-blockquote"/>
        <w:rPr/>
      </w:pPr>
      <w:r>
        <w:rPr/>
        <w:t>What then is the difference between the foolish and the wise?”</w:t>
      </w:r>
    </w:p>
    <w:p>
      <w:pPr>
        <w:pStyle w:val="WW-blockquote"/>
        <w:rPr/>
      </w:pPr>
      <w:r>
        <w:rPr/>
        <w:t>“</w:t>
      </w:r>
      <w:r>
        <w:rPr/>
        <w:t>Venerable sir, it would be good if you would explain that yourself, since you, the Buddha, are the root of our teachings and our guide and refuge for them. After we hear it from you, we will remember it.”</w:t>
      </w:r>
    </w:p>
    <w:p>
      <w:pPr>
        <w:pStyle w:val="WW-blockquote"/>
        <w:rPr/>
      </w:pPr>
      <w:r>
        <w:rPr/>
        <w:t>“</w:t>
      </w:r>
      <w:r>
        <w:rPr/>
        <w:t>Then please listen and pay close attention to what I shall say.”</w:t>
      </w:r>
    </w:p>
    <w:p>
      <w:pPr>
        <w:pStyle w:val="WW-blockquote"/>
        <w:rPr/>
      </w:pPr>
      <w:r>
        <w:rPr/>
        <w:t>“</w:t>
      </w:r>
      <w:r>
        <w:rPr/>
        <w:t>Yes, sir,” the mendicants replied.</w:t>
      </w:r>
    </w:p>
    <w:p>
      <w:pPr>
        <w:pStyle w:val="WW-blockquote"/>
        <w:rPr/>
      </w:pPr>
      <w:r>
        <w:rP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pPr>
        <w:pStyle w:val="WW-blockquote"/>
        <w:rPr/>
      </w:pPr>
      <w:r>
        <w:rP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6"/>
      </w:r>
    </w:p>
    <w:p>
      <w:pPr>
        <w:pStyle w:val="WW-paragraph"/>
        <w:rPr/>
      </w:pPr>
      <w:r>
        <w:rPr/>
        <w:t>The Pāli version mentions only ‘body’ as one part of the pair (the other part being the external things), but the Sanskrit and Chinese parallels mention ‘the body with its consciousness’.</w:t>
      </w:r>
      <w:r>
        <w:rPr>
          <w:rStyle w:val="FootnoteReference"/>
        </w:rPr>
        <w:footnoteReference w:id="427"/>
      </w:r>
      <w:r>
        <w:rPr/>
        <w:t xml:space="preserve"> This expression refers to the whole being, with consciousness standing for the mind. It basically stands for the six senses, which the </w:t>
      </w:r>
      <w:r>
        <w:rPr>
          <w:rStyle w:val="wwc-sesame"/>
        </w:rPr>
        <w:t>Discourse on the Foolish and Wise</w:t>
      </w:r>
      <w:r>
        <w:rPr/>
        <w:t xml:space="preserve"> indeed mentions as a synonym. Elsewhere the Pāli Canon also mentions ‘the body with its consciousness’,</w:t>
      </w:r>
      <w:r>
        <w:rPr>
          <w:rStyle w:val="FootnoteReference"/>
        </w:rPr>
        <w:footnoteReference w:id="428"/>
      </w:r>
      <w:r>
        <w:rPr/>
        <w:t xml:space="preserve"> always in combination with ‘all external objects’ (or ‘all external marks’, </w:t>
      </w:r>
      <w:r>
        <w:rPr>
          <w:rStyle w:val="wwc-pali"/>
        </w:rPr>
        <w:t>bahiddhā sabbanimittā</w:t>
      </w:r>
      <w:r>
        <w:rPr/>
        <w:t>), with a mark here being “a sign […] by which something or someone is recognised or identified”.</w:t>
      </w:r>
      <w:r>
        <w:rPr>
          <w:rStyle w:val="FootnoteReference"/>
        </w:rPr>
        <w:footnoteReference w:id="429"/>
      </w:r>
      <w:r>
        <w:rPr/>
        <w:t xml:space="preserve"> This </w:t>
      </w:r>
      <w:r>
        <w:rPr>
          <w:rStyle w:val="wwc-pali"/>
        </w:rPr>
        <w:t>bahiddhā sabbanimittā</w:t>
      </w:r>
      <w:r>
        <w:rPr/>
        <w:t xml:space="preserve"> is synonymous to </w:t>
      </w:r>
      <w:r>
        <w:rPr>
          <w:rStyle w:val="wwc-pali"/>
        </w:rPr>
        <w:t>bahiddhā nāmarūpa</w:t>
      </w:r>
      <w:r>
        <w:rPr/>
        <w:t xml:space="preserve">, because the names and forms are certain “marks” by which the objects are recognized. In his translations of the </w:t>
      </w:r>
      <w:r>
        <w:rPr>
          <w:rStyle w:val="wwc-sesame"/>
        </w:rPr>
        <w:t>Aṅguttara Nikāya</w:t>
      </w:r>
      <w:r>
        <w:rPr/>
        <w:t xml:space="preserve">, Bhikkhu Bodhi therefore translates </w:t>
      </w:r>
      <w:r>
        <w:rPr>
          <w:rStyle w:val="wwc-pali"/>
        </w:rPr>
        <w:t>bahiddhā sabbanimittā</w:t>
      </w:r>
      <w:r>
        <w:rPr/>
        <w:t xml:space="preserve"> simply as ‘all external objects’, akin to how I translate </w:t>
      </w:r>
      <w:r>
        <w:rPr>
          <w:rStyle w:val="wwc-pali"/>
        </w:rPr>
        <w:t>bahiddhā nāmarūpa</w:t>
      </w:r>
      <w:r>
        <w:rPr/>
        <w:t xml:space="preserve"> (‘external things with their names and forms’).</w:t>
      </w:r>
      <w:r>
        <w:rPr>
          <w:rStyle w:val="FootnoteReference"/>
        </w:rPr>
        <w:footnoteReference w:id="430"/>
      </w:r>
    </w:p>
    <w:p>
      <w:pPr>
        <w:pStyle w:val="WW-paragraph"/>
        <w:rPr/>
      </w:pPr>
      <w:r>
        <w:rPr/>
        <w:t>So in the Pāli Canon there are a handful of different ways to describe the pair of things that underlies sense impressions, as listed in the table below.</w:t>
      </w:r>
    </w:p>
    <w:p>
      <w:pPr>
        <w:pStyle w:val="WW-table-caption"/>
        <w:rPr/>
      </w:pPr>
      <w:r>
        <w:rPr/>
        <w:t>{SimpleNoRowBorders}Table 19. Different names for the senses and objects</w:t>
      </w:r>
    </w:p>
    <w:tbl>
      <w:tblPr>
        <w:tblW w:w="6240" w:type="dxa"/>
        <w:jc w:val="start"/>
        <w:tblInd w:w="0" w:type="dxa"/>
        <w:tblLayout w:type="fixed"/>
        <w:tblCellMar>
          <w:top w:w="0" w:type="dxa"/>
          <w:start w:w="0" w:type="dxa"/>
          <w:bottom w:w="0" w:type="dxa"/>
          <w:end w:w="0" w:type="dxa"/>
        </w:tblCellMar>
      </w:tblPr>
      <w:tblGrid>
        <w:gridCol w:w="2444"/>
        <w:gridCol w:w="3796"/>
      </w:tblGrid>
      <w:tr>
        <w:trPr/>
        <w:tc>
          <w:tcPr>
            <w:tcW w:w="2444" w:type="dxa"/>
            <w:tcBorders/>
            <w:vAlign w:val="center"/>
          </w:tcPr>
          <w:p>
            <w:pPr>
              <w:pStyle w:val="WW-paragraph"/>
              <w:spacing w:before="170" w:after="170"/>
              <w:rPr/>
            </w:pPr>
            <w:r>
              <w:rPr>
                <w:rStyle w:val="Strong"/>
              </w:rPr>
              <w:t>The observing faculty</w:t>
            </w:r>
          </w:p>
        </w:tc>
        <w:tc>
          <w:tcPr>
            <w:tcW w:w="3796" w:type="dxa"/>
            <w:tcBorders/>
            <w:vAlign w:val="center"/>
          </w:tcPr>
          <w:p>
            <w:pPr>
              <w:pStyle w:val="WW-paragraph"/>
              <w:spacing w:before="170" w:after="170"/>
              <w:rPr/>
            </w:pPr>
            <w:r>
              <w:rPr>
                <w:rStyle w:val="Strong"/>
              </w:rPr>
              <w:t>The observed objects</w:t>
            </w:r>
          </w:p>
        </w:tc>
      </w:tr>
      <w:tr>
        <w:trPr/>
        <w:tc>
          <w:tcPr>
            <w:tcW w:w="2444" w:type="dxa"/>
            <w:tcBorders/>
            <w:vAlign w:val="center"/>
          </w:tcPr>
          <w:p>
            <w:pPr>
              <w:pStyle w:val="WW-paragraph"/>
              <w:spacing w:before="170" w:after="170"/>
              <w:rPr/>
            </w:pPr>
            <w:r>
              <w:rPr/>
              <w:t>The six senses</w:t>
            </w:r>
          </w:p>
        </w:tc>
        <w:tc>
          <w:tcPr>
            <w:tcW w:w="3796" w:type="dxa"/>
            <w:tcBorders/>
            <w:vAlign w:val="center"/>
          </w:tcPr>
          <w:p>
            <w:pPr>
              <w:pStyle w:val="WW-paragraph"/>
              <w:spacing w:before="170" w:after="170"/>
              <w:rPr/>
            </w:pPr>
            <w:r>
              <w:rPr/>
              <w:t>The six objects (sights, sounds, etc.)</w:t>
            </w:r>
          </w:p>
        </w:tc>
      </w:tr>
      <w:tr>
        <w:trPr/>
        <w:tc>
          <w:tcPr>
            <w:tcW w:w="2444" w:type="dxa"/>
            <w:tcBorders/>
            <w:vAlign w:val="center"/>
          </w:tcPr>
          <w:p>
            <w:pPr>
              <w:pStyle w:val="WW-paragraph"/>
              <w:spacing w:before="170" w:after="170"/>
              <w:rPr/>
            </w:pPr>
            <w:r>
              <w:rPr/>
              <w:t>The internal sense bases</w:t>
            </w:r>
          </w:p>
        </w:tc>
        <w:tc>
          <w:tcPr>
            <w:tcW w:w="3796" w:type="dxa"/>
            <w:tcBorders/>
            <w:vAlign w:val="center"/>
          </w:tcPr>
          <w:p>
            <w:pPr>
              <w:pStyle w:val="WW-paragraph"/>
              <w:spacing w:before="170" w:after="170"/>
              <w:rPr/>
            </w:pPr>
            <w:r>
              <w:rPr/>
              <w:t>The external sense bases</w:t>
            </w:r>
          </w:p>
        </w:tc>
      </w:tr>
      <w:tr>
        <w:trPr/>
        <w:tc>
          <w:tcPr>
            <w:tcW w:w="2444" w:type="dxa"/>
            <w:tcBorders/>
            <w:vAlign w:val="center"/>
          </w:tcPr>
          <w:p>
            <w:pPr>
              <w:pStyle w:val="WW-paragraph"/>
              <w:spacing w:before="170" w:after="170"/>
              <w:rPr/>
            </w:pPr>
            <w:r>
              <w:rPr/>
              <w:t>The conscious body</w:t>
            </w:r>
          </w:p>
        </w:tc>
        <w:tc>
          <w:tcPr>
            <w:tcW w:w="3796" w:type="dxa"/>
            <w:tcBorders/>
            <w:vAlign w:val="center"/>
          </w:tcPr>
          <w:p>
            <w:pPr>
              <w:pStyle w:val="WW-paragraph"/>
              <w:spacing w:before="170" w:after="170"/>
              <w:rPr/>
            </w:pPr>
            <w:r>
              <w:rPr/>
              <w:t>External objects (</w:t>
            </w:r>
            <w:r>
              <w:rPr>
                <w:rStyle w:val="wwc-pali"/>
              </w:rPr>
              <w:t>bahiddhā nimitta</w:t>
            </w:r>
            <w:r>
              <w:rPr/>
              <w:t>)</w:t>
            </w:r>
          </w:p>
        </w:tc>
      </w:tr>
      <w:tr>
        <w:trPr/>
        <w:tc>
          <w:tcPr>
            <w:tcW w:w="2444" w:type="dxa"/>
            <w:tcBorders/>
            <w:vAlign w:val="center"/>
          </w:tcPr>
          <w:p>
            <w:pPr>
              <w:pStyle w:val="WW-paragraph"/>
              <w:spacing w:before="170" w:after="170"/>
              <w:rPr/>
            </w:pPr>
            <w:r>
              <w:rPr/>
              <w:t>The [conscious] body</w:t>
            </w:r>
          </w:p>
        </w:tc>
        <w:tc>
          <w:tcPr>
            <w:tcW w:w="3796" w:type="dxa"/>
            <w:tcBorders/>
            <w:vAlign w:val="center"/>
          </w:tcPr>
          <w:p>
            <w:pPr>
              <w:pStyle w:val="WW-paragraph"/>
              <w:spacing w:before="170" w:after="170"/>
              <w:rPr/>
            </w:pPr>
            <w:r>
              <w:rPr/>
              <w:t>External things with names and forms</w:t>
              <w:br/>
              <w:t>(</w:t>
            </w:r>
            <w:r>
              <w:rPr>
                <w:rStyle w:val="wwc-pali"/>
              </w:rPr>
              <w:t>bahiddhā nāmarūpa</w:t>
            </w:r>
            <w:r>
              <w:rPr/>
              <w:t>)</w:t>
            </w:r>
          </w:p>
        </w:tc>
      </w:tr>
    </w:tbl>
    <w:p>
      <w:pPr>
        <w:pStyle w:val="WW-paragraph"/>
        <w:rPr/>
      </w:pPr>
      <w:r>
        <w:rPr/>
        <w:t xml:space="preserve">The </w:t>
      </w:r>
      <w:r>
        <w:rPr>
          <w:rStyle w:val="wwc-sesame"/>
        </w:rPr>
        <w:t>Discourse on the Foolish and Wise</w:t>
      </w:r>
      <w:r>
        <w:rPr/>
        <w:t xml:space="preserve"> uses the term </w:t>
      </w:r>
      <w:r>
        <w:rPr>
          <w:rStyle w:val="wwc-pali"/>
        </w:rPr>
        <w:t>nāmarūpa</w:t>
      </w:r>
      <w:r>
        <w:rPr/>
        <w:t xml:space="preserve"> in a way that is unique, namely as </w:t>
      </w:r>
      <w:r>
        <w:rPr>
          <w:rStyle w:val="wwc-pali"/>
        </w:rPr>
        <w:t>bahiddhā nāmarūpa</w:t>
      </w:r>
      <w:r>
        <w:rPr/>
        <w:t>, which literally means ‘</w:t>
      </w:r>
      <w:r>
        <w:rPr>
          <w:rStyle w:val="Emphasis"/>
        </w:rPr>
        <w:t>external</w:t>
      </w:r>
      <w:r>
        <w:rP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rPr/>
        <w:t xml:space="preserve"> is not limited to living beings. It can, for example in Vedic usage, refer to all sorts of individualized things.”</w:t>
      </w:r>
      <w:r>
        <w:rPr>
          <w:rStyle w:val="FootnoteReference"/>
        </w:rPr>
        <w:footnoteReference w:id="431"/>
      </w:r>
      <w:r>
        <w:rP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2"/>
      </w:r>
    </w:p>
    <w:p>
      <w:pPr>
        <w:pStyle w:val="WW-paragraph"/>
        <w:rPr/>
      </w:pPr>
      <w:r>
        <w:rPr/>
        <w:t xml:space="preserve">This use of </w:t>
      </w:r>
      <w:r>
        <w:rPr>
          <w:rStyle w:val="wwc-pali"/>
        </w:rPr>
        <w:t>nāmarūpa</w:t>
      </w:r>
      <w:r>
        <w:rPr/>
        <w:t xml:space="preserve"> is very uncommon in the early Buddhist texts, where the term usually refers to individual beings, not objects. Venerable Bhikkhu Bodhi describes </w:t>
      </w:r>
      <w:r>
        <w:rPr>
          <w:rStyle w:val="wwc-pali"/>
        </w:rPr>
        <w:t>bahiddhā nāmarūpa</w:t>
      </w:r>
      <w:r>
        <w:rPr/>
        <w:t xml:space="preserve"> as “a rare example of the term </w:t>
      </w:r>
      <w:r>
        <w:rPr>
          <w:rStyle w:val="Emphasis"/>
        </w:rPr>
        <w:t>nāmarūpa</w:t>
      </w:r>
      <w:r>
        <w:rP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3"/>
      </w:r>
      <w:r>
        <w:rPr/>
        <w:t xml:space="preserve"> Put differently, that this is not the ordinary use of </w:t>
      </w:r>
      <w:r>
        <w:rPr>
          <w:rStyle w:val="wwc-pali"/>
        </w:rPr>
        <w:t>nāmarūpa</w:t>
      </w:r>
      <w:r>
        <w:rPr/>
        <w:t xml:space="preserve"> is indicated by sense impression (or ‘contact’) arising from the conscious body and this external </w:t>
      </w:r>
      <w:r>
        <w:rPr>
          <w:rStyle w:val="wwc-pali"/>
        </w:rPr>
        <w:t>nāmarūpa</w:t>
      </w:r>
      <w:r>
        <w:rPr/>
        <w:t xml:space="preserve"> instead of the usual six senses and their objects. This is not how the term </w:t>
      </w:r>
      <w:r>
        <w:rPr>
          <w:rStyle w:val="wwc-pali"/>
        </w:rPr>
        <w:t>nāmarūpa</w:t>
      </w:r>
      <w:r>
        <w:rPr/>
        <w:t xml:space="preserve"> is normally used. Hamilton stated: “In principle </w:t>
      </w:r>
      <w:r>
        <w:rPr>
          <w:rStyle w:val="wwc-pali"/>
        </w:rPr>
        <w:t>nāmarūpa</w:t>
      </w:r>
      <w:r>
        <w:rPr/>
        <w:t xml:space="preserve"> might apply to that which is external to the human being [as in </w:t>
      </w:r>
      <w:r>
        <w:rPr>
          <w:rStyle w:val="wwc-pali"/>
        </w:rPr>
        <w:t>bahiddhā</w:t>
      </w:r>
      <w:r>
        <w:rPr>
          <w:rStyle w:val="Emphasis"/>
        </w:rPr>
        <w:t xml:space="preserve"> </w:t>
      </w:r>
      <w:r>
        <w:rPr>
          <w:rStyle w:val="wwc-pali"/>
        </w:rPr>
        <w:t>nāmarūpa</w:t>
      </w:r>
      <w:r>
        <w:rPr/>
        <w:t xml:space="preserve">]. But when it is found in the context of the </w:t>
      </w:r>
      <w:r>
        <w:rPr>
          <w:rStyle w:val="wwc-pali"/>
        </w:rPr>
        <w:t>paṭiccasamuppāda</w:t>
      </w:r>
      <w:r>
        <w:rPr/>
        <w:t xml:space="preserve"> [Dependent Arising] formula it applies to the human being […] In its most common context, the </w:t>
      </w:r>
      <w:r>
        <w:rPr>
          <w:rStyle w:val="wwc-pali"/>
        </w:rPr>
        <w:t>paṭiccasamuppāda</w:t>
      </w:r>
      <w:r>
        <w:rPr/>
        <w:t xml:space="preserve"> formula, it refers to name and form of the individual human being; in other contexts [the </w:t>
      </w:r>
      <w:r>
        <w:rPr>
          <w:rStyle w:val="wwc-sesame"/>
        </w:rPr>
        <w:t>Discourse on the Foolish and Wise</w:t>
      </w:r>
      <w:r>
        <w:rPr/>
        <w:t>] it refers to the name and form of any objects.”</w:t>
      </w:r>
      <w:r>
        <w:rPr>
          <w:rStyle w:val="FootnoteReference"/>
        </w:rPr>
        <w:footnoteReference w:id="434"/>
      </w:r>
      <w:r>
        <w:rPr/>
        <w:t xml:space="preserve"> In other words, this discourse does not describe the ordinary </w:t>
      </w:r>
      <w:r>
        <w:rPr>
          <w:rStyle w:val="wwc-pali"/>
        </w:rPr>
        <w:t>nāmarūpa</w:t>
      </w:r>
      <w:r>
        <w:rPr/>
        <w:t xml:space="preserve"> of Dependent Arising.</w:t>
      </w:r>
    </w:p>
    <w:p>
      <w:pPr>
        <w:pStyle w:val="WW-paragraph"/>
        <w:rPr/>
      </w:pPr>
      <w:r>
        <w:rPr/>
        <w:t xml:space="preserve">The </w:t>
      </w:r>
      <w:r>
        <w:rPr>
          <w:rStyle w:val="wwc-pali"/>
        </w:rPr>
        <w:t>bahiddhā nāmarūpa</w:t>
      </w:r>
      <w:r>
        <w:rPr/>
        <w:t xml:space="preserve"> of the </w:t>
      </w:r>
      <w:r>
        <w:rPr>
          <w:rStyle w:val="wwc-sesame"/>
        </w:rPr>
        <w:t>Discourse on the Foolish and Wise</w:t>
      </w:r>
      <w:r>
        <w:rPr/>
        <w:t xml:space="preserve"> are specified to be </w:t>
      </w:r>
      <w:r>
        <w:rPr>
          <w:rStyle w:val="Emphasis"/>
        </w:rPr>
        <w:t>external</w:t>
      </w:r>
      <w:r>
        <w:rPr/>
        <w:t xml:space="preserve">. This opposes them to the usual </w:t>
      </w:r>
      <w:r>
        <w:rPr>
          <w:rStyle w:val="wwc-pali"/>
        </w:rPr>
        <w:t>nāmarūpa</w:t>
      </w:r>
      <w:r>
        <w:rP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rPr/>
        <w:t>’s] occurrence in the latter sense [of objects] is merely proportional to the uneven distribution of interest between the two unit-aspects of concrete existence: the individual and the extra-individual.”</w:t>
      </w:r>
      <w:r>
        <w:rPr>
          <w:rStyle w:val="FootnoteReference"/>
        </w:rPr>
        <w:footnoteReference w:id="435"/>
      </w:r>
      <w:r>
        <w:rPr/>
        <w:t xml:space="preserve"> Of note is also that the </w:t>
      </w:r>
      <w:r>
        <w:rPr>
          <w:rStyle w:val="wwc-sesame"/>
        </w:rPr>
        <w:t>Discourse on the Foolish and Wise</w:t>
      </w:r>
      <w:r>
        <w:rPr/>
        <w:t xml:space="preserve"> says the body (with its consciousness) has originated from ignorance, but the external </w:t>
      </w:r>
      <w:r>
        <w:rPr>
          <w:rStyle w:val="wwc-pali"/>
        </w:rPr>
        <w:t>nāmarūpa</w:t>
      </w:r>
      <w:r>
        <w:rPr/>
        <w:t xml:space="preserve"> has not. This makes sense, since external objects are not created by ignorance. In contrast, the standard </w:t>
      </w:r>
      <w:r>
        <w:rPr>
          <w:rStyle w:val="wwc-pali"/>
        </w:rPr>
        <w:t>nāmarūpa</w:t>
      </w:r>
      <w:r>
        <w:rPr/>
        <w:t xml:space="preserve"> in Dependent Arising does have its roots in ignorance.</w:t>
      </w:r>
    </w:p>
    <w:p>
      <w:pPr>
        <w:pStyle w:val="WW-paragraph"/>
        <w:rPr/>
      </w:pPr>
      <w:r>
        <w:rPr/>
        <w:t xml:space="preserve">However, some interpreters understand </w:t>
      </w:r>
      <w:r>
        <w:rPr>
          <w:rStyle w:val="wwc-pali"/>
        </w:rPr>
        <w:t>nāmarūpa</w:t>
      </w:r>
      <w:r>
        <w:rPr/>
        <w:t xml:space="preserve"> in the standard twelvefold sequence to also refer to external objects, not to the sentient being.</w:t>
      </w:r>
      <w:r>
        <w:rPr>
          <w:rStyle w:val="FootnoteReference"/>
        </w:rPr>
        <w:footnoteReference w:id="436"/>
      </w:r>
      <w:r>
        <w:rPr/>
        <w:t xml:space="preserve"> Others take </w:t>
      </w:r>
      <w:r>
        <w:rPr>
          <w:rStyle w:val="wwc-pali"/>
        </w:rPr>
        <w:t>nāmarūpa</w:t>
      </w:r>
      <w:r>
        <w:rPr/>
        <w:t xml:space="preserve"> to be certain dualistic cognitions which are abandoned by enlightened beings.</w:t>
      </w:r>
      <w:r>
        <w:rPr>
          <w:rStyle w:val="FootnoteReference"/>
        </w:rPr>
        <w:footnoteReference w:id="437"/>
      </w:r>
      <w:r>
        <w:rPr/>
        <w:t xml:space="preserve"> The latter interpretation clashes with the </w:t>
      </w:r>
      <w:r>
        <w:rPr>
          <w:rStyle w:val="wwc-sesame"/>
        </w:rPr>
        <w:t>Discourse on the Foolish and Wise</w:t>
      </w:r>
      <w:r>
        <w:rPr/>
        <w:t xml:space="preserve">, which says the wise still experience </w:t>
      </w:r>
      <w:r>
        <w:rPr>
          <w:rStyle w:val="wwc-pali"/>
        </w:rPr>
        <w:t>nāmarūpa</w:t>
      </w:r>
      <w:r>
        <w:rPr/>
        <w:t xml:space="preserve">, be it of the external type. On top of that, </w:t>
      </w:r>
      <w:r>
        <w:rPr>
          <w:rStyle w:val="wwc-pali"/>
        </w:rPr>
        <w:t>rūpa</w:t>
      </w:r>
      <w:r>
        <w:rPr/>
        <w:t xml:space="preserve"> ceases at the passing away of an enlightened being, not at the moment of enlightenment, and the same goes for feelings and perceptions, which are part of the definition of </w:t>
      </w:r>
      <w:r>
        <w:rPr>
          <w:rStyle w:val="wwc-pali"/>
        </w:rPr>
        <w:t>nāma</w:t>
      </w:r>
      <w:r>
        <w:rPr/>
        <w:t>.</w:t>
      </w:r>
      <w:r>
        <w:rPr>
          <w:rStyle w:val="FootnoteReference"/>
        </w:rPr>
        <w:footnoteReference w:id="438"/>
      </w:r>
      <w:r>
        <w:rPr/>
        <w:t xml:space="preserve"> Such interpretations also have some other problems, among which:</w:t>
      </w:r>
    </w:p>
    <w:p>
      <w:pPr>
        <w:pStyle w:val="WW-paragraph"/>
        <w:numPr>
          <w:ilvl w:val="0"/>
          <w:numId w:val="2"/>
        </w:numPr>
        <w:rPr/>
      </w:pPr>
      <w:r>
        <w:rPr/>
        <w:t xml:space="preserve">The Buddha’s definition of </w:t>
      </w:r>
      <w:r>
        <w:rPr>
          <w:rStyle w:val="wwc-pali"/>
        </w:rPr>
        <w:t>nāma</w:t>
      </w:r>
      <w:r>
        <w:rPr/>
        <w:t xml:space="preserve"> in the standard context of Dependent Arising includes things which are parts of beings and not of objects, such as attention and intention. Likewise, sense impressions, although they </w:t>
      </w:r>
      <w:r>
        <w:rPr>
          <w:rStyle w:val="Emphasis"/>
        </w:rPr>
        <w:t>depend</w:t>
      </w:r>
      <w:r>
        <w:rP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rPr/>
        <w:t xml:space="preserve"> does not apply to external </w:t>
      </w:r>
      <w:r>
        <w:rPr>
          <w:rStyle w:val="wwc-pali"/>
        </w:rPr>
        <w:t>nāmarūpa</w:t>
      </w:r>
      <w:r>
        <w:rPr/>
        <w:t>.</w:t>
      </w:r>
    </w:p>
    <w:p>
      <w:pPr>
        <w:pStyle w:val="WW-paragraph"/>
        <w:numPr>
          <w:ilvl w:val="0"/>
          <w:numId w:val="2"/>
        </w:numPr>
        <w:rPr/>
      </w:pPr>
      <w:r>
        <w:rPr>
          <w:rStyle w:val="wwc-pali"/>
        </w:rPr>
        <w:t>Nāmarūpa</w:t>
      </w:r>
      <w:r>
        <w:rPr/>
        <w:t xml:space="preserve"> in the standard sequence is the condition for the six senses, which are defined as the faculties of the eye, ear, etc.; </w:t>
      </w:r>
      <w:r>
        <w:rPr>
          <w:rStyle w:val="Emphasis"/>
        </w:rPr>
        <w:t>not</w:t>
      </w:r>
      <w:r>
        <w:rPr/>
        <w:t xml:space="preserve"> as the objects of sights, smells, etc. Since these senses are internal and not external, so is the </w:t>
      </w:r>
      <w:r>
        <w:rPr>
          <w:rStyle w:val="wwc-pali"/>
        </w:rPr>
        <w:t>nāmarūpa</w:t>
      </w:r>
      <w:r>
        <w:rPr/>
        <w:t xml:space="preserve"> which is their precursor. In simpler terms, external objects or cognitive processes don’t develop into the six senses.</w:t>
      </w:r>
    </w:p>
    <w:p>
      <w:pPr>
        <w:pStyle w:val="WW-paragraph"/>
        <w:numPr>
          <w:ilvl w:val="0"/>
          <w:numId w:val="2"/>
        </w:numPr>
        <w:rPr/>
      </w:pPr>
      <w:r>
        <w:rPr/>
        <w:t>The external objects or cognitions also do not depend on willful actions or karma, especially not physical and verbal ones.</w:t>
      </w:r>
      <w:r>
        <w:rPr>
          <w:rStyle w:val="FootnoteReference"/>
        </w:rPr>
        <w:footnoteReference w:id="439"/>
      </w:r>
    </w:p>
    <w:p>
      <w:pPr>
        <w:pStyle w:val="WW-paragraph"/>
        <w:numPr>
          <w:ilvl w:val="0"/>
          <w:numId w:val="2"/>
        </w:numPr>
        <w:rPr/>
      </w:pPr>
      <w:r>
        <w:rPr/>
        <w:t xml:space="preserve">It is said about the dependency between </w:t>
      </w:r>
      <w:r>
        <w:rPr>
          <w:rStyle w:val="wwc-pali"/>
        </w:rPr>
        <w:t>nāmarūpa</w:t>
      </w:r>
      <w:r>
        <w:rPr/>
        <w:t xml:space="preserve"> and consciousness that “it is to this extent that beings can get born, age, die, pass on, and get reborn”.</w:t>
      </w:r>
      <w:r>
        <w:rPr>
          <w:rStyle w:val="FootnoteReference"/>
        </w:rPr>
        <w:footnoteReference w:id="440"/>
      </w:r>
      <w:r>
        <w:rPr/>
        <w:t xml:space="preserve"> External objects and cognitive processes don’t age or die.</w:t>
      </w:r>
    </w:p>
    <w:p>
      <w:pPr>
        <w:pStyle w:val="WW-paragraph"/>
        <w:numPr>
          <w:ilvl w:val="0"/>
          <w:numId w:val="2"/>
        </w:numPr>
        <w:rPr/>
      </w:pPr>
      <w:r>
        <w:rPr/>
        <w:t>The objects and cognitions are not conceived in the womb and are not reborn (</w:t>
      </w:r>
      <w:r>
        <w:rPr>
          <w:rStyle w:val="wwc-pali"/>
        </w:rPr>
        <w:t>abhinibbati</w:t>
      </w:r>
      <w:r>
        <w:rPr/>
        <w:t xml:space="preserve">), both of which </w:t>
      </w:r>
      <w:r>
        <w:rPr>
          <w:rStyle w:val="wwc-pali"/>
        </w:rPr>
        <w:t>nāmarūpa</w:t>
      </w:r>
      <w:r>
        <w:rPr/>
        <w:t xml:space="preserve"> is said to do.</w:t>
      </w:r>
      <w:r>
        <w:rPr>
          <w:rStyle w:val="FootnoteReference"/>
        </w:rPr>
        <w:footnoteReference w:id="441"/>
      </w:r>
    </w:p>
    <w:p>
      <w:pPr>
        <w:pStyle w:val="WW-paragraph"/>
        <w:numPr>
          <w:ilvl w:val="0"/>
          <w:numId w:val="2"/>
        </w:numPr>
        <w:rPr/>
      </w:pPr>
      <w:r>
        <w:rPr/>
        <w:t xml:space="preserve">As discussed in the previous chapter, the dependency between </w:t>
      </w:r>
      <w:r>
        <w:rPr>
          <w:rStyle w:val="wwc-pali"/>
        </w:rPr>
        <w:t>nāmarūpa</w:t>
      </w:r>
      <w:r>
        <w:rP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2"/>
      </w:r>
    </w:p>
    <w:p>
      <w:pPr>
        <w:pStyle w:val="WW-paragraph"/>
        <w:rPr/>
      </w:pPr>
      <w:r>
        <w:rPr/>
        <w:t>On the last point Schmithausen wrote:</w:t>
      </w:r>
    </w:p>
    <w:p>
      <w:pPr>
        <w:pStyle w:val="WW-blockquote"/>
        <w:rPr/>
      </w:pPr>
      <w:r>
        <w:rPr/>
        <w:t xml:space="preserve">[The </w:t>
      </w:r>
      <w:r>
        <w:rPr>
          <w:rStyle w:val="wwc-sesame"/>
        </w:rPr>
        <w:t>Discourse on the Foolish and Wise</w:t>
      </w:r>
      <w:r>
        <w:rPr/>
        <w:t xml:space="preserve">], however, cannot be used to justify the view that in the twelve-membered formula name-and-form also means the sense </w:t>
      </w:r>
      <w:r>
        <w:rPr>
          <w:rStyle w:val="Emphasis"/>
        </w:rPr>
        <w:t>objects</w:t>
      </w:r>
      <w:r>
        <w:rPr/>
        <w:t xml:space="preserve">. For in the twelve-membered chain ‘name-and-form’ is explicitly stated to be conditioned by </w:t>
      </w:r>
      <w:r>
        <w:rPr>
          <w:rStyle w:val="wwc-pali"/>
        </w:rPr>
        <w:t>vijñāna</w:t>
      </w:r>
      <w:r>
        <w:rPr/>
        <w:t xml:space="preserve">, and this is appropriate for the living sentient body, which becomes as such only through </w:t>
      </w:r>
      <w:r>
        <w:rPr>
          <w:rStyle w:val="wwc-pali"/>
        </w:rPr>
        <w:t>vijñāna</w:t>
      </w:r>
      <w:r>
        <w:rPr/>
        <w:t xml:space="preserve"> [continuing from the past life], but it would be remarkable for the objects. Indeed, in [this discourse] there is no mention that ‘external name-and-form’, i.e. the objects, are conditioned by </w:t>
      </w:r>
      <w:r>
        <w:rPr>
          <w:rStyle w:val="wwc-pali"/>
        </w:rPr>
        <w:t>vijñāna</w:t>
      </w:r>
      <w:r>
        <w:rPr/>
        <w:t xml:space="preserve">. They are referred to simply as the second condition for sense impressions [the first being the (conscious) body]; the text says nothing about their origin. […] Interdependency exists […] only between </w:t>
      </w:r>
      <w:r>
        <w:rPr>
          <w:rStyle w:val="wwc-pali"/>
        </w:rPr>
        <w:t>viññāṇa</w:t>
      </w:r>
      <w:r>
        <w:rPr/>
        <w:t xml:space="preserve"> on the one hand—insofar as this is not so much an act of consciousness but rather the </w:t>
      </w:r>
      <w:r>
        <w:rPr>
          <w:rStyle w:val="Emphasis"/>
        </w:rPr>
        <w:t>faculty</w:t>
      </w:r>
      <w:r>
        <w:rP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rPr/>
        <w:t xml:space="preserve">dependence between consciousness (or the sense faculties) and the </w:t>
      </w:r>
      <w:r>
        <w:rPr>
          <w:rStyle w:val="Emphasis"/>
        </w:rPr>
        <w:t>objects</w:t>
      </w:r>
      <w:r>
        <w:rPr/>
        <w:t>, is, as far as I can see, not spoken of or even hinted at anywhere.</w:t>
      </w:r>
      <w:r>
        <w:rPr>
          <w:rStyle w:val="FootnoteReference"/>
        </w:rPr>
        <w:footnoteReference w:id="443"/>
      </w:r>
    </w:p>
    <w:p>
      <w:pPr>
        <w:pStyle w:val="WW-paragraph"/>
        <w:rPr/>
      </w:pPr>
      <w:r>
        <w:rPr/>
        <w:t xml:space="preserve">As a matter of fact, in </w:t>
      </w:r>
      <w:hyperlink w:anchor="bqseg101">
        <w:r>
          <w:rPr>
            <w:rStyle w:val="Hyperlink"/>
          </w:rPr>
          <w:t>§101</w:t>
        </w:r>
      </w:hyperlink>
      <w:r>
        <w:rP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4"/>
      </w:r>
      <w:r>
        <w:rP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5"/>
      </w:r>
      <w:r>
        <w:rPr/>
        <w:t xml:space="preserve"> I point this out just to emphasize that </w:t>
      </w:r>
      <w:r>
        <w:rPr>
          <w:rStyle w:val="wwc-pali"/>
        </w:rPr>
        <w:t>nāmarūpa</w:t>
      </w:r>
      <w:r>
        <w:rPr/>
        <w:t xml:space="preserve"> in the standard teachings of Dependent Arising does not refer to the objects of consciousness, since </w:t>
      </w:r>
      <w:r>
        <w:rPr>
          <w:rStyle w:val="wwc-pali"/>
        </w:rPr>
        <w:t>nāmarūpa</w:t>
      </w:r>
      <w:r>
        <w:rPr/>
        <w:t xml:space="preserve"> is specifically said to depend on consciousness, yet the objects aren’t. Yes, in the </w:t>
      </w:r>
      <w:r>
        <w:rPr>
          <w:rStyle w:val="wwc-sesame"/>
        </w:rPr>
        <w:t>Discourse on the Foolish and Wise</w:t>
      </w:r>
      <w:r>
        <w:rPr/>
        <w:t xml:space="preserve"> the term refers to the external things—therefore it is specifically called </w:t>
      </w:r>
      <w:r>
        <w:rPr>
          <w:rStyle w:val="Strong"/>
        </w:rPr>
        <w:t>external</w:t>
      </w:r>
      <w:r>
        <w:rPr/>
        <w:t xml:space="preserve"> </w:t>
      </w:r>
      <w:r>
        <w:rPr>
          <w:rStyle w:val="wwc-pali"/>
        </w:rPr>
        <w:t>nāmarūpa</w:t>
      </w:r>
      <w:r>
        <w:rPr/>
        <w:t xml:space="preserve">—but in the list of twelve factors it refers to the being, to the “internal” </w:t>
      </w:r>
      <w:r>
        <w:rPr>
          <w:rStyle w:val="wwc-pali"/>
        </w:rPr>
        <w:t>nāmarūpa</w:t>
      </w:r>
      <w:r>
        <w:rPr/>
        <w:t>.</w:t>
      </w:r>
    </w:p>
    <w:p>
      <w:pPr>
        <w:pStyle w:val="WW-paragraph"/>
        <w:rPr/>
      </w:pPr>
      <w:r>
        <w:rPr/>
        <w:t xml:space="preserve">The reader may wonder why </w:t>
      </w:r>
      <w:r>
        <w:rPr>
          <w:rStyle w:val="wwc-pali"/>
        </w:rPr>
        <w:t>nāmarūpa</w:t>
      </w:r>
      <w:r>
        <w:rPr/>
        <w:t xml:space="preserve"> in the standard teachings is not specifically called internal, but, as discussed in </w:t>
      </w:r>
      <w:hyperlink w:anchor="chapter3">
        <w:r>
          <w:rPr>
            <w:rStyle w:val="Hyperlink"/>
          </w:rPr>
          <w:t>Chapter 3</w:t>
        </w:r>
      </w:hyperlink>
      <w:r>
        <w:rPr/>
        <w:t>, this is analogous to the six senses (</w:t>
      </w:r>
      <w:r>
        <w:rPr>
          <w:rStyle w:val="wwc-pali"/>
        </w:rPr>
        <w:t>saḷāyatana</w:t>
      </w:r>
      <w:r>
        <w:rPr/>
        <w:t xml:space="preserve">) not being called internal. In context of Dependent Arising the </w:t>
      </w:r>
      <w:r>
        <w:rPr>
          <w:rStyle w:val="wwc-pali"/>
        </w:rPr>
        <w:t>salāyatana</w:t>
      </w:r>
      <w:r>
        <w:rP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r>
        <w:rPr>
          <w:rStyle w:val="wwc-pali"/>
        </w:rPr>
        <w:t>nāmarūpa</w:t>
      </w:r>
      <w:r>
        <w:rPr/>
        <w:t xml:space="preserve"> in Dependent Arising refers to the “internal” being, not to the external objects.</w:t>
      </w:r>
    </w:p>
    <w:p>
      <w:pPr>
        <w:pStyle w:val="WW-chapter-section-1"/>
        <w:ind w:hanging="0" w:start="0"/>
        <w:rPr/>
      </w:pPr>
      <w:r>
        <w:rPr/>
        <w:t>Sense impressions depending on internal nāmarūpa</w:t>
      </w:r>
    </w:p>
    <w:p>
      <w:pPr>
        <w:pStyle w:val="WW-paragraph"/>
        <w:rPr/>
      </w:pPr>
      <w:r>
        <w:rPr/>
        <w:t xml:space="preserve">Continuing our discussion on sense impressions, the </w:t>
      </w:r>
      <w:r>
        <w:rPr>
          <w:rStyle w:val="wwc-sesame"/>
        </w:rPr>
        <w:t>Mahānidāna Sutta</w:t>
      </w:r>
      <w:r>
        <w:rPr/>
        <w:t xml:space="preserve"> contains a passage which multiple intelligent scholars consider to be very cryptic or even close to nonsensical. It describes a dependency of sense impressions (</w:t>
      </w:r>
      <w:r>
        <w:rPr>
          <w:rStyle w:val="wwc-pali"/>
        </w:rPr>
        <w:t>phassa</w:t>
      </w:r>
      <w:r>
        <w:rPr/>
        <w:t xml:space="preserve">) on </w:t>
      </w:r>
      <w:r>
        <w:rPr>
          <w:rStyle w:val="wwc-pali"/>
        </w:rPr>
        <w:t>nāmarūpa</w:t>
      </w:r>
      <w:r>
        <w:rP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6"/>
      </w:r>
      <w:r>
        <w:rP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7"/>
      </w:r>
    </w:p>
    <w:p>
      <w:pPr>
        <w:pStyle w:val="WW-paragraph"/>
        <w:rPr/>
      </w:pPr>
      <w:r>
        <w:rP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8"/>
      </w:r>
      <w:r>
        <w:rPr/>
        <w:t xml:space="preserve"> I’m not fully convinced of these assumptions, but will adopt them for the sake of argument.</w:t>
      </w:r>
    </w:p>
    <w:p>
      <w:pPr>
        <w:pStyle w:val="WW-paragraph"/>
        <w:rPr/>
      </w:pPr>
      <w:r>
        <w:rPr/>
        <w:t>In ‘designating impression’ (</w:t>
      </w:r>
      <w:r>
        <w:rPr>
          <w:rStyle w:val="wwc-pali"/>
        </w:rPr>
        <w:t>adhivacana-samphassa</w:t>
      </w:r>
      <w:r>
        <w:rPr/>
        <w:t xml:space="preserve">) there is likely a connection with the literal meaning of </w:t>
      </w:r>
      <w:r>
        <w:rPr>
          <w:rStyle w:val="wwc-pali"/>
        </w:rPr>
        <w:t>nāma</w:t>
      </w:r>
      <w:r>
        <w:rPr/>
        <w:t xml:space="preserve"> of ‘name’. However, this does not mean that we should see the two as synonyms, that we should take </w:t>
      </w:r>
      <w:r>
        <w:rPr>
          <w:rStyle w:val="wwc-pali"/>
        </w:rPr>
        <w:t>nāma</w:t>
      </w:r>
      <w:r>
        <w:rPr/>
        <w:t xml:space="preserve"> to be identical to this designating impression. First off, </w:t>
      </w:r>
      <w:r>
        <w:rPr>
          <w:rStyle w:val="wwc-pali"/>
        </w:rPr>
        <w:t>nāma</w:t>
      </w:r>
      <w:r>
        <w:rPr/>
        <w:t xml:space="preserve"> is a noun, not a verb. It literally means one’s proper name, not ‘nam</w:t>
      </w:r>
      <w:r>
        <w:rPr>
          <w:rStyle w:val="Emphasis"/>
        </w:rPr>
        <w:t>ing</w:t>
      </w:r>
      <w:r>
        <w:rPr/>
        <w:t>’, which is a process.</w:t>
      </w:r>
      <w:r>
        <w:rPr>
          <w:rStyle w:val="FootnoteReference"/>
        </w:rPr>
        <w:footnoteReference w:id="449"/>
      </w:r>
      <w:r>
        <w:rPr/>
        <w:t xml:space="preserve"> Also, the passage in question never actually equates </w:t>
      </w:r>
      <w:r>
        <w:rPr>
          <w:rStyle w:val="wwc-pali"/>
        </w:rPr>
        <w:t>nāma</w:t>
      </w:r>
      <w:r>
        <w:rPr/>
        <w:t xml:space="preserve"> to designating impression; it only says </w:t>
      </w:r>
      <w:r>
        <w:rPr>
          <w:rStyle w:val="wwc-pali"/>
        </w:rPr>
        <w:t>nāma</w:t>
      </w:r>
      <w:r>
        <w:rPr/>
        <w:t xml:space="preserve"> is a necessary condition for it to occur. It does not even mention </w:t>
      </w:r>
      <w:r>
        <w:rPr>
          <w:rStyle w:val="wwc-pali"/>
        </w:rPr>
        <w:t>nāma</w:t>
      </w:r>
      <w:r>
        <w:rPr/>
        <w:t xml:space="preserve"> itself, but refers to it in the compound </w:t>
      </w:r>
      <w:r>
        <w:rPr>
          <w:rStyle w:val="wwc-pali"/>
        </w:rPr>
        <w:t>nāmakāya</w:t>
      </w:r>
      <w:r>
        <w:rPr/>
        <w:t>, the ‘collection of immaterial aspects’, which is another very unusual term.</w:t>
      </w:r>
    </w:p>
    <w:p>
      <w:pPr>
        <w:pStyle w:val="WW-paragraph"/>
        <w:rPr/>
      </w:pPr>
      <w:r>
        <w:rPr/>
        <w:t>Here is my translation of the passage:</w:t>
      </w:r>
    </w:p>
    <w:p>
      <w:pPr>
        <w:pStyle w:val="WW-named-section"/>
        <w:rPr/>
      </w:pPr>
      <w:r>
        <w:rPr/>
        <w:t>§109</w:t>
      </w:r>
    </w:p>
    <w:p>
      <w:pPr>
        <w:pStyle w:val="WW-blockquote"/>
        <w:rPr/>
      </w:pPr>
      <w:bookmarkStart w:id="115" w:name="bqseg109"/>
      <w:bookmarkEnd w:id="115"/>
      <w:r>
        <w:rPr/>
        <w:t>“</w:t>
      </w:r>
      <w:r>
        <w:rPr/>
        <w:t>Ānanda, I said sense impressions depend on the immaterial aspects and body, which is to be understood as follows:</w:t>
      </w:r>
    </w:p>
    <w:p>
      <w:pPr>
        <w:pStyle w:val="WW-blockquote"/>
        <w:rPr/>
      </w:pPr>
      <w:r>
        <w:rPr>
          <w:rStyle w:val="wwc-list-margin"/>
        </w:rPr>
        <w:t>[1]</w:t>
      </w:r>
      <w:r>
        <w:rPr/>
        <w:t xml:space="preserve"> If there were no features—no attributes, aspects, or details—by which there is a description of the collection of immaterial aspects (</w:t>
      </w:r>
      <w:r>
        <w:rPr>
          <w:rStyle w:val="wwc-pali"/>
        </w:rPr>
        <w:t>nāmakāya</w:t>
      </w:r>
      <w:r>
        <w:rPr/>
        <w:t>), could there be designating impressions inside the collection of bodily aspects (</w:t>
      </w:r>
      <w:r>
        <w:rPr>
          <w:rStyle w:val="wwc-pali"/>
        </w:rPr>
        <w:t>rūpakāya</w:t>
      </w:r>
      <w:r>
        <w:rPr/>
        <w:t>)?”</w:t>
      </w:r>
    </w:p>
    <w:p>
      <w:pPr>
        <w:pStyle w:val="WW-blockquote"/>
        <w:rPr/>
      </w:pPr>
      <w:r>
        <w:rPr/>
        <w:t>“</w:t>
      </w:r>
      <w:r>
        <w:rPr/>
        <w:t>No, sir.”</w:t>
      </w:r>
    </w:p>
    <w:p>
      <w:pPr>
        <w:pStyle w:val="WW-blockquote"/>
        <w:rPr/>
      </w:pPr>
      <w:r>
        <w:rPr>
          <w:rStyle w:val="wwc-list-margin"/>
        </w:rPr>
        <w:t>[2]</w:t>
      </w:r>
      <w:r>
        <w:rPr/>
        <w:t xml:space="preserve"> “If there were no features—no attributes, aspects, or details—by which there is a description of the collection of bodily aspects, could there be impinging impressions inside the collection of immaterial aspect?”</w:t>
      </w:r>
    </w:p>
    <w:p>
      <w:pPr>
        <w:pStyle w:val="WW-blockquote"/>
        <w:rPr/>
      </w:pPr>
      <w:r>
        <w:rPr/>
        <w:t>“</w:t>
      </w:r>
      <w:r>
        <w:rPr/>
        <w:t>No, sir.”</w:t>
      </w:r>
    </w:p>
    <w:p>
      <w:pPr>
        <w:pStyle w:val="WW-blockquote"/>
        <w:rPr/>
      </w:pPr>
      <w:r>
        <w:rPr>
          <w:rStyle w:val="wwc-list-margin"/>
        </w:rPr>
        <w:t>[3]</w:t>
      </w:r>
      <w:r>
        <w:rPr/>
        <w:t xml:space="preserve"> “If there were no features—no attributes, aspects, or details—by which there is a description of the collections of immaterial aspect and bodily aspects, could there be designating impressions or impinging impressions?”</w:t>
      </w:r>
    </w:p>
    <w:p>
      <w:pPr>
        <w:pStyle w:val="WW-blockquote"/>
        <w:rPr/>
      </w:pPr>
      <w:r>
        <w:rPr/>
        <w:t>“</w:t>
      </w:r>
      <w:r>
        <w:rPr/>
        <w:t>No, sir.”</w:t>
      </w:r>
    </w:p>
    <w:p>
      <w:pPr>
        <w:pStyle w:val="WW-blockquote"/>
        <w:rPr/>
      </w:pPr>
      <w:r>
        <w:rPr>
          <w:rStyle w:val="wwc-list-margin"/>
        </w:rPr>
        <w:t>[4]</w:t>
      </w:r>
      <w:r>
        <w:rPr/>
        <w:t xml:space="preserve"> “If there were no features—no attributes, aspects, or details—by which there is a description of the immaterial aspects and body, could there be sense impressions?”</w:t>
      </w:r>
    </w:p>
    <w:p>
      <w:pPr>
        <w:pStyle w:val="WW-blockquote"/>
        <w:rPr/>
      </w:pPr>
      <w:r>
        <w:rPr/>
        <w:t>“</w:t>
      </w:r>
      <w:r>
        <w:rPr/>
        <w:t>No, sir.”</w:t>
      </w:r>
    </w:p>
    <w:p>
      <w:pPr>
        <w:pStyle w:val="WW-blockquote"/>
        <w:rPr/>
      </w:pPr>
      <w:r>
        <w:rPr/>
        <w:t>“</w:t>
      </w:r>
      <w:r>
        <w:rPr/>
        <w:t>Therefore, the condition, source, origin, and requirement for sense impressions is the individual’s immaterial aspects and body.”</w:t>
      </w:r>
      <w:r>
        <w:rPr>
          <w:rStyle w:val="FootnoteReference"/>
        </w:rPr>
        <w:footnoteReference w:id="450"/>
      </w:r>
    </w:p>
    <w:p>
      <w:pPr>
        <w:pStyle w:val="WW-paragraph"/>
        <w:rPr/>
      </w:pPr>
      <w:r>
        <w:rPr/>
        <w:t>As I indicated before, it is all a bit of a riddle. But let me rephrase and explain the four points that are being made:</w:t>
      </w:r>
    </w:p>
    <w:p>
      <w:pPr>
        <w:pStyle w:val="WW-blockquote"/>
        <w:rPr/>
      </w:pPr>
      <w:r>
        <w:rPr>
          <w:rStyle w:val="wwc-list-margin"/>
        </w:rPr>
        <w:t>[1]</w:t>
      </w:r>
      <w:r>
        <w:rPr/>
        <w:t xml:space="preserve"> Suppose those things we refer to when we speak of ‘the immaterial aspects’ did not exist. (That is, there are no perceptions, sensations, attention, etc.) Then inside the body (which in that case lacks a mind) there would be no recognition of things.</w:t>
      </w:r>
    </w:p>
    <w:p>
      <w:pPr>
        <w:pStyle w:val="WW-paragraph"/>
        <w:rPr/>
      </w:pPr>
      <w:r>
        <w:rPr/>
        <w:t>This means that without mental activity you cannot recognize or label things, or as Bhikkhu Bodhi phrases it: “Designation cannot take place in a material body devoid of mentality.”</w:t>
      </w:r>
      <w:r>
        <w:rPr>
          <w:rStyle w:val="FootnoteReference"/>
        </w:rPr>
        <w:footnoteReference w:id="451"/>
      </w:r>
    </w:p>
    <w:p>
      <w:pPr>
        <w:pStyle w:val="WW-blockquote"/>
        <w:rPr/>
      </w:pPr>
      <w:r>
        <w:rPr>
          <w:rStyle w:val="wwc-list-margin"/>
        </w:rPr>
        <w:t>[2]</w:t>
      </w:r>
      <w:r>
        <w:rPr/>
        <w:t xml:space="preserve"> Suppose those things we refer to when we speak of ‘the bodily aspects’ did not exist. (That is, there are no organs, body parts, etc.) Then inside the mind (which in that case lacks a body) there would be no awareness of external things.</w:t>
      </w:r>
    </w:p>
    <w:p>
      <w:pPr>
        <w:pStyle w:val="WW-paragraph"/>
        <w:rPr/>
      </w:pPr>
      <w:r>
        <w:rPr/>
        <w:t xml:space="preserve">This means that without the five senses the mind can’t cognize the world. With respect to this the </w:t>
      </w:r>
      <w:r>
        <w:rPr>
          <w:rStyle w:val="wwc-sesame"/>
        </w:rPr>
        <w:t>Mahāvedalla Sutta</w:t>
      </w:r>
      <w:r>
        <w:rPr/>
        <w:t xml:space="preserve"> says: “The five faculties have different fields, different domains, and they do not experience each others’ fields and domain. […] The mind experiences their fields, their domains.”</w:t>
      </w:r>
      <w:r>
        <w:rPr>
          <w:rStyle w:val="FootnoteReference"/>
        </w:rPr>
        <w:footnoteReference w:id="452"/>
      </w:r>
    </w:p>
    <w:p>
      <w:pPr>
        <w:pStyle w:val="WW-blockquote"/>
        <w:rPr/>
      </w:pPr>
      <w:r>
        <w:rPr>
          <w:rStyle w:val="wwc-list-margin"/>
        </w:rPr>
        <w:t>[3]</w:t>
      </w:r>
      <w:r>
        <w:rPr/>
        <w:t xml:space="preserve"> Suppose those things we refer to when we speak of ‘the immaterial aspects’ and ‘the bodily aspects’ did not exist. (That is, there are no perceptions, no body parts, etc.) Then (lacking a body and mind) there would be no sense impressions at all.</w:t>
      </w:r>
    </w:p>
    <w:p>
      <w:pPr>
        <w:pStyle w:val="WW-blockquote"/>
        <w:rPr/>
      </w:pPr>
      <w:r>
        <w:rPr>
          <w:rStyle w:val="wwc-list-margin"/>
        </w:rPr>
        <w:t>[4]</w:t>
      </w:r>
      <w:r>
        <w:rPr/>
        <w:t xml:space="preserve"> Suppose that which we refer to when we speak of ‘the immaterial aspects and body’ did not exist. (That is, there is no being.) Then (since there is no existence) there would be no sense impressions at all.</w:t>
      </w:r>
    </w:p>
    <w:p>
      <w:pPr>
        <w:pStyle w:val="WW-paragraph"/>
        <w:rPr/>
      </w:pPr>
      <w:r>
        <w:rPr/>
        <w:t>These last two statement effectively say the same thing. If there is no being, there simply are no sense impressions.</w:t>
      </w:r>
    </w:p>
    <w:p>
      <w:pPr>
        <w:pStyle w:val="WW-paragraph"/>
        <w:rPr/>
      </w:pPr>
      <w:r>
        <w:rPr/>
        <w:t xml:space="preserve">So in this passage too I understand </w:t>
      </w:r>
      <w:r>
        <w:rPr>
          <w:rStyle w:val="wwc-pali"/>
        </w:rPr>
        <w:t>nāma</w:t>
      </w:r>
      <w:r>
        <w:rPr/>
        <w:t xml:space="preserve"> and </w:t>
      </w:r>
      <w:r>
        <w:rPr>
          <w:rStyle w:val="wwc-pali"/>
        </w:rPr>
        <w:t>rūpa</w:t>
      </w:r>
      <w:r>
        <w:rPr/>
        <w:t xml:space="preserve"> to refer to parts of the being. This understanding is shared by various scholars,</w:t>
      </w:r>
      <w:r>
        <w:rPr>
          <w:rStyle w:val="FootnoteReference"/>
        </w:rPr>
        <w:footnoteReference w:id="453"/>
      </w:r>
      <w:r>
        <w:rP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4"/>
      </w:r>
      <w:r>
        <w:rPr/>
        <w:t xml:space="preserve"> This interpretation also fits the only other instance of the term </w:t>
      </w:r>
      <w:r>
        <w:rPr>
          <w:rStyle w:val="wwc-pali"/>
        </w:rPr>
        <w:t>nāmakāya</w:t>
      </w:r>
      <w:r>
        <w:rPr/>
        <w:t xml:space="preserve"> in the early Pāli corpus, which is about the passing away of an enlightened being, when body and mind disappear.</w:t>
      </w:r>
      <w:r>
        <w:rPr>
          <w:rStyle w:val="FootnoteReference"/>
        </w:rPr>
        <w:footnoteReference w:id="455"/>
      </w:r>
      <w:r>
        <w:rPr/>
        <w:t xml:space="preserve"> It is also supported by the </w:t>
      </w:r>
      <w:r>
        <w:rPr>
          <w:rStyle w:val="wwc-sesame"/>
        </w:rPr>
        <w:t>Dīrgha Āgama</w:t>
      </w:r>
      <w:r>
        <w:rPr/>
        <w:t xml:space="preserve"> parallel to the </w:t>
      </w:r>
      <w:r>
        <w:rPr>
          <w:rStyle w:val="wwc-sesame"/>
        </w:rPr>
        <w:t>Mahānidāna Sutta</w:t>
      </w:r>
      <w:r>
        <w:rPr/>
        <w:t xml:space="preserve">, which overall is very similar to the Pāli version but at this specific passage is significantly different. The following translation is by Charles Patton, who translates </w:t>
      </w:r>
      <w:r>
        <w:rPr>
          <w:rStyle w:val="wwc-pali"/>
        </w:rPr>
        <w:t>phassa</w:t>
      </w:r>
      <w:r>
        <w:rPr/>
        <w:t xml:space="preserve"> (</w:t>
      </w:r>
      <w:r>
        <w:rPr/>
        <w:t>觸</w:t>
      </w:r>
      <w:r>
        <w:rPr/>
        <w:t>) as ‘contact’:</w:t>
      </w:r>
    </w:p>
    <w:p>
      <w:pPr>
        <w:pStyle w:val="WW-blockquote"/>
        <w:rPr/>
      </w:pPr>
      <w:bookmarkStart w:id="116" w:name="bqseg110"/>
      <w:bookmarkEnd w:id="116"/>
      <w:r>
        <w:rPr/>
        <w:t>“</w:t>
      </w:r>
      <w:r>
        <w:rPr/>
        <w:t>Ānanda, ‘contact exists conditioned by name and form.’ What does this mean?</w:t>
      </w:r>
    </w:p>
    <w:p>
      <w:pPr>
        <w:pStyle w:val="WW-blockquote"/>
        <w:rPr/>
      </w:pPr>
      <w:r>
        <w:rPr>
          <w:rStyle w:val="wwc-list-margin"/>
        </w:rPr>
        <w:t>[1]</w:t>
      </w:r>
      <w:r>
        <w:rPr/>
        <w:t xml:space="preserve"> Suppose that no sentient being had any name and form. Would there be mental contact?”</w:t>
      </w:r>
    </w:p>
    <w:p>
      <w:pPr>
        <w:pStyle w:val="WW-blockquote"/>
        <w:rPr/>
      </w:pPr>
      <w:r>
        <w:rPr/>
        <w:t>“</w:t>
      </w:r>
      <w:r>
        <w:rPr/>
        <w:t>There wouldn’t be.”</w:t>
      </w:r>
    </w:p>
    <w:p>
      <w:pPr>
        <w:pStyle w:val="WW-blockquote"/>
        <w:rPr/>
      </w:pPr>
      <w:r>
        <w:rPr>
          <w:rStyle w:val="wwc-list-margin"/>
        </w:rPr>
        <w:t>[2]</w:t>
      </w:r>
      <w:r>
        <w:rPr/>
        <w:t xml:space="preserve"> “Suppose that no sentient being had any physical form or appearance. Would there be physical contact?”</w:t>
      </w:r>
    </w:p>
    <w:p>
      <w:pPr>
        <w:pStyle w:val="WW-blockquote"/>
        <w:rPr/>
      </w:pPr>
      <w:r>
        <w:rPr/>
        <w:t>“</w:t>
      </w:r>
      <w:r>
        <w:rPr/>
        <w:t>There wouldn’t be.”</w:t>
      </w:r>
    </w:p>
    <w:p>
      <w:pPr>
        <w:pStyle w:val="WW-blockquote"/>
        <w:rPr/>
      </w:pPr>
      <w:r>
        <w:rPr>
          <w:rStyle w:val="wwc-list-margin"/>
        </w:rPr>
        <w:t>[3/4]</w:t>
      </w:r>
      <w:r>
        <w:rPr/>
        <w:t xml:space="preserve"> “Ānanda, suppose that there were no name and form. Would there be contact?”</w:t>
      </w:r>
    </w:p>
    <w:p>
      <w:pPr>
        <w:pStyle w:val="WW-named-section"/>
        <w:rPr/>
      </w:pPr>
      <w:r>
        <w:rPr/>
        <w:t>§110</w:t>
      </w:r>
    </w:p>
    <w:p>
      <w:pPr>
        <w:pStyle w:val="WW-blockquote"/>
        <w:rPr/>
      </w:pPr>
      <w:r>
        <w:rPr/>
        <w:t>“</w:t>
      </w:r>
      <w:r>
        <w:rPr/>
        <w:t>There wouldn’t be.”</w:t>
      </w:r>
    </w:p>
    <w:p>
      <w:pPr>
        <w:pStyle w:val="WW-blockquote"/>
        <w:rPr/>
      </w:pPr>
      <w:r>
        <w:rPr/>
        <w:t>“</w:t>
      </w:r>
      <w:r>
        <w:rPr/>
        <w:t>Ānanda, it’s for this reason that we know contact comes from name and form. ‘Contact exists conditioned by name and form.’ That’s the meaning of what I said.”</w:t>
      </w:r>
      <w:r>
        <w:rPr>
          <w:rStyle w:val="FootnoteReference"/>
        </w:rPr>
        <w:footnoteReference w:id="456"/>
      </w:r>
    </w:p>
    <w:p>
      <w:pPr>
        <w:pStyle w:val="WW-paragraph"/>
        <w:rPr/>
      </w:pPr>
      <w:r>
        <w:rP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Either way, the parallel validates that </w:t>
      </w:r>
      <w:r>
        <w:rPr>
          <w:rStyle w:val="wwc-pali"/>
        </w:rPr>
        <w:t>nāmarūpa</w:t>
      </w:r>
      <w:r>
        <w:rPr/>
        <w:t xml:space="preserve"> was at an early age believed to refer to the individual in this context also, because it specifically speaks of the name and form of </w:t>
      </w:r>
      <w:r>
        <w:rPr>
          <w:rStyle w:val="Emphasis"/>
        </w:rPr>
        <w:t>beings</w:t>
      </w:r>
      <w:r>
        <w:rPr/>
        <w:t xml:space="preserve"> (</w:t>
      </w:r>
      <w:r>
        <w:rPr/>
        <w:t>眾</w:t>
      </w:r>
      <w:r>
        <w:rPr/>
        <w:t>).</w:t>
      </w:r>
    </w:p>
    <w:p>
      <w:pPr>
        <w:pStyle w:val="WW-paragraph"/>
        <w:rPr/>
      </w:pPr>
      <w:r>
        <w:rPr/>
        <w:t xml:space="preserve">If we look a bit beyond this passage, there is an even clearer indication for this. Both the Chinese and Pāli discourses follow the passage directly with the development of </w:t>
      </w:r>
      <w:r>
        <w:rPr>
          <w:rStyle w:val="wwc-pali"/>
        </w:rPr>
        <w:t>nāmarūpa</w:t>
      </w:r>
      <w:r>
        <w:rPr/>
        <w:t xml:space="preserve"> in the mother’s womb, where it clearly refers to the organism—for one, because it talks about the rebirth (</w:t>
      </w:r>
      <w:r>
        <w:rPr>
          <w:rStyle w:val="wwc-pali"/>
        </w:rPr>
        <w:t>abhinibbati</w:t>
      </w:r>
      <w:r>
        <w:rPr/>
        <w:t xml:space="preserve">) of </w:t>
      </w:r>
      <w:r>
        <w:rPr>
          <w:rStyle w:val="wwc-pali"/>
        </w:rPr>
        <w:t>nāmarūpa</w:t>
      </w:r>
      <w:r>
        <w:rPr/>
        <w:t xml:space="preserve">. Since there is no indication that the meaning of </w:t>
      </w:r>
      <w:r>
        <w:rPr>
          <w:rStyle w:val="wwc-pali"/>
        </w:rPr>
        <w:t>nāmarūpa</w:t>
      </w:r>
      <w:r>
        <w:rPr/>
        <w:t xml:space="preserve"> shifts between these two passages, we can conclude that in both cases it refers to the being.</w:t>
      </w:r>
    </w:p>
    <w:p>
      <w:pPr>
        <w:pStyle w:val="WW-paragraph"/>
        <w:rPr/>
      </w:pPr>
      <w:r>
        <w:rPr/>
        <w:t xml:space="preserve">But even though </w:t>
      </w:r>
      <w:r>
        <w:rPr>
          <w:rStyle w:val="wwc-pali"/>
        </w:rPr>
        <w:t>nāmarūpa</w:t>
      </w:r>
      <w:r>
        <w:rPr/>
        <w:t xml:space="preserve"> has the same meaning in both passages, they do not convey the same conditionality. “The two formulas have different purposes and describe different processes”, concluded also Hamilton,</w:t>
      </w:r>
      <w:r>
        <w:rPr>
          <w:rStyle w:val="FootnoteReference"/>
        </w:rPr>
        <w:footnoteReference w:id="457"/>
      </w:r>
      <w:r>
        <w:rP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pPr>
        <w:pStyle w:val="WW-paragraph"/>
        <w:rPr/>
      </w:pPr>
      <w:r>
        <w:rPr/>
        <w:t xml:space="preserve">As also mentioned a few times before, some authors think </w:t>
      </w:r>
      <w:r>
        <w:rPr>
          <w:rStyle w:val="wwc-pali"/>
        </w:rPr>
        <w:t>nāmarūpa</w:t>
      </w:r>
      <w:r>
        <w:rP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8"/>
      </w:r>
      <w:r>
        <w:rPr/>
        <w:t xml:space="preserve"> Authors favoring this view also tend to emphasize the previous passage on </w:t>
      </w:r>
      <w:r>
        <w:rPr>
          <w:rStyle w:val="wwc-pali"/>
        </w:rPr>
        <w:t>nāmarūpa</w:t>
      </w:r>
      <w:r>
        <w:rPr/>
        <w:t xml:space="preserve"> and </w:t>
      </w:r>
      <w:r>
        <w:rPr>
          <w:rStyle w:val="Strong"/>
        </w:rPr>
        <w:t>sense impressions</w:t>
      </w:r>
      <w:r>
        <w:rPr/>
        <w:t xml:space="preserve">, using it to interpret the dependency between </w:t>
      </w:r>
      <w:r>
        <w:rPr>
          <w:rStyle w:val="wwc-pali"/>
        </w:rPr>
        <w:t>nāmarūpa</w:t>
      </w:r>
      <w:r>
        <w:rPr/>
        <w:t xml:space="preserve"> and </w:t>
      </w:r>
      <w:r>
        <w:rPr>
          <w:rStyle w:val="Strong"/>
        </w:rPr>
        <w:t>consciousness</w:t>
      </w:r>
      <w:r>
        <w:rPr/>
        <w:t xml:space="preserve">. They sideline the one passage that actually describes the dependency between </w:t>
      </w:r>
      <w:r>
        <w:rPr>
          <w:rStyle w:val="wwc-pali"/>
        </w:rPr>
        <w:t>nāmarūpa</w:t>
      </w:r>
      <w:r>
        <w:rP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rPr/>
        <w:t>.</w:t>
      </w:r>
      <w:r>
        <w:rPr>
          <w:rStyle w:val="FootnoteReference"/>
        </w:rPr>
        <w:footnoteReference w:id="459"/>
      </w:r>
    </w:p>
    <w:p>
      <w:pPr>
        <w:pStyle w:val="WW-paragraph"/>
        <w:rPr/>
      </w:pPr>
      <w:r>
        <w:rPr/>
        <w:t xml:space="preserve">On top of this, in all four Chinese parallels of the </w:t>
      </w:r>
      <w:r>
        <w:rPr>
          <w:rStyle w:val="wwc-sesame"/>
        </w:rPr>
        <w:t>Mahānidāna Sutta</w:t>
      </w:r>
      <w:r>
        <w:rPr/>
        <w:t xml:space="preserve"> the passage is either significantly different or even completely missing.</w:t>
      </w:r>
      <w:r>
        <w:rPr>
          <w:rStyle w:val="FootnoteReference"/>
        </w:rPr>
        <w:footnoteReference w:id="460"/>
      </w:r>
      <w:r>
        <w:rPr/>
        <w:t xml:space="preserve"> Vetter also says certain parallel Sanskrit manuscripts, to which I have no access, do not contain the passage either.</w:t>
      </w:r>
      <w:r>
        <w:rPr>
          <w:rStyle w:val="FootnoteReference"/>
        </w:rPr>
        <w:footnoteReference w:id="461"/>
      </w:r>
      <w:r>
        <w:rPr/>
        <w:t xml:space="preserve"> One Chinese parallel does not even mention the dependency of sense impressions on </w:t>
      </w:r>
      <w:r>
        <w:rPr>
          <w:rStyle w:val="wwc-pali"/>
        </w:rPr>
        <w:t>nāmarūpa</w:t>
      </w:r>
      <w:r>
        <w:rPr/>
        <w:t xml:space="preserve"> at all, having sense impressions depend on the six senses throughout the entire discourse, as in the standard sequence.</w:t>
      </w:r>
      <w:r>
        <w:rPr>
          <w:rStyle w:val="FootnoteReference"/>
        </w:rPr>
        <w:footnoteReference w:id="462"/>
      </w:r>
      <w:r>
        <w:rPr/>
        <w:t xml:space="preserve"> The dependency of sense impressions on </w:t>
      </w:r>
      <w:r>
        <w:rPr>
          <w:rStyle w:val="wwc-pali"/>
        </w:rPr>
        <w:t>nāmarūpa</w:t>
      </w:r>
      <w:r>
        <w:rPr/>
        <w:t xml:space="preserve"> is also mentioned only once elsewhere in the Pāli Canon, and then only in passing in uninformative verse.</w:t>
      </w:r>
      <w:r>
        <w:rPr>
          <w:rStyle w:val="FootnoteReference"/>
        </w:rPr>
        <w:footnoteReference w:id="463"/>
      </w:r>
    </w:p>
    <w:p>
      <w:pPr>
        <w:pStyle w:val="WW-paragraph"/>
        <w:rPr/>
      </w:pPr>
      <w:r>
        <w:rP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rPr/>
        <w:t xml:space="preserve"> is for all practical purposes the same as that of sense impressions on the six senses. This dependency is taught much more frequently in the suttas, so I think we can safely focus our contemplative efforts on it instead.</w:t>
      </w:r>
    </w:p>
    <w:p>
      <w:pPr>
        <w:pStyle w:val="WW-chapter-section-1"/>
        <w:ind w:hanging="0" w:start="0"/>
        <w:rPr/>
      </w:pPr>
      <w:r>
        <w:rPr/>
        <w:t>The totality of the six senses</w:t>
      </w:r>
    </w:p>
    <w:p>
      <w:pPr>
        <w:pStyle w:val="WW-paragraph"/>
        <w:rPr/>
      </w:pPr>
      <w:r>
        <w:rP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rPr/>
        <w:t xml:space="preserve"> (</w:t>
      </w:r>
      <w:hyperlink w:anchor="bqseg108">
        <w:r>
          <w:rPr>
            <w:rStyle w:val="Hyperlink"/>
          </w:rPr>
          <w:t>§108</w:t>
        </w:r>
      </w:hyperlink>
      <w:r>
        <w:rPr/>
        <w:t xml:space="preserve">) accordingly said that for both the unenlightened and the enlightened alike “there are </w:t>
      </w:r>
      <w:r>
        <w:rPr>
          <w:rStyle w:val="Emphasis"/>
        </w:rPr>
        <w:t>just</w:t>
      </w:r>
      <w:r>
        <w:rPr/>
        <w:t xml:space="preserve"> the six senses”. In the same vein, the six senses and their objects are said to be all (or ‘everything’, </w:t>
      </w:r>
      <w:r>
        <w:rPr>
          <w:rStyle w:val="wwc-pali"/>
        </w:rPr>
        <w:t>sabba</w:t>
      </w:r>
      <w:r>
        <w:rPr/>
        <w:t>):</w:t>
      </w:r>
    </w:p>
    <w:p>
      <w:pPr>
        <w:pStyle w:val="WW-named-section"/>
        <w:rPr/>
      </w:pPr>
      <w:r>
        <w:rPr/>
        <w:t>§111</w:t>
      </w:r>
    </w:p>
    <w:p>
      <w:pPr>
        <w:pStyle w:val="WW-blockquote"/>
        <w:rPr/>
      </w:pPr>
      <w:bookmarkStart w:id="117" w:name="bqseg111"/>
      <w:bookmarkEnd w:id="117"/>
      <w:r>
        <w:rPr/>
        <w:t>And what is all? The sense of sight and sights, the sense of hearing and sounds, the sense of smell and smells, the sense of taste and flavors, the sense of touch and tangibles, the mind and mental phenomena. That is what’s called all.</w:t>
      </w:r>
    </w:p>
    <w:p>
      <w:pPr>
        <w:pStyle w:val="WW-blockquote"/>
        <w:rPr/>
      </w:pPr>
      <w:r>
        <w:rP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4"/>
      </w:r>
    </w:p>
    <w:p>
      <w:pPr>
        <w:pStyle w:val="WW-paragraph"/>
        <w:rPr/>
      </w:pPr>
      <w:r>
        <w:rPr/>
        <w:t xml:space="preserve">This passage probably implicitly refutes Brahmanical ideas, since </w:t>
      </w:r>
      <w:r>
        <w:rPr>
          <w:rStyle w:val="wwc-sesame"/>
        </w:rPr>
        <w:t>Upaniṣadic</w:t>
      </w:r>
      <w:r>
        <w:rP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5"/>
      </w:r>
      <w:r>
        <w:rPr/>
        <w:t xml:space="preserve"> To clarify the intent behind his statement, in another discourse he says the same about the pair of the senses and their objects:</w:t>
      </w:r>
    </w:p>
    <w:p>
      <w:pPr>
        <w:pStyle w:val="WW-named-section"/>
        <w:rPr/>
      </w:pPr>
      <w:r>
        <w:rPr/>
        <w:t>§112</w:t>
      </w:r>
    </w:p>
    <w:p>
      <w:pPr>
        <w:pStyle w:val="WW-blockquote"/>
        <w:rPr/>
      </w:pPr>
      <w:bookmarkStart w:id="118" w:name="bqseg112"/>
      <w:bookmarkEnd w:id="118"/>
      <w:r>
        <w:rP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pPr>
        <w:pStyle w:val="WW-blockquote"/>
        <w:rPr/>
      </w:pPr>
      <w:r>
        <w:rP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6"/>
      </w:r>
    </w:p>
    <w:p>
      <w:pPr>
        <w:pStyle w:val="WW-paragraph"/>
        <w:rPr/>
      </w:pPr>
      <w:r>
        <w:rP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7"/>
      </w:r>
    </w:p>
    <w:p>
      <w:pPr>
        <w:pStyle w:val="WW-paragraph"/>
        <w:rPr/>
      </w:pPr>
      <w:r>
        <w:rPr/>
        <w:t>Another exchange between Koṭṭhita and Sāriputta also says that after the six senses cease, it is incorrect to assume something else still exists:</w:t>
      </w:r>
    </w:p>
    <w:p>
      <w:pPr>
        <w:pStyle w:val="WW-named-section"/>
        <w:rPr/>
      </w:pPr>
      <w:r>
        <w:rPr/>
        <w:t>§113</w:t>
      </w:r>
    </w:p>
    <w:p>
      <w:pPr>
        <w:pStyle w:val="WW-blockquote"/>
        <w:rPr/>
      </w:pPr>
      <w:bookmarkStart w:id="119" w:name="bqseg113"/>
      <w:bookmarkEnd w:id="119"/>
      <w:r>
        <w:rPr/>
        <w:t>Once Venerable Koṭṭhika the Great […] asked: “Venerable, after the six senses completely fade away and cease, does something else still exist?”</w:t>
      </w:r>
    </w:p>
    <w:p>
      <w:pPr>
        <w:pStyle w:val="WW-blockquote"/>
        <w:rPr/>
      </w:pPr>
      <w:r>
        <w:rPr/>
        <w:t>[Sāriputta:] “Don’t say so, venerable.”</w:t>
      </w:r>
      <w:r>
        <w:rPr>
          <w:rStyle w:val="FootnoteReference"/>
        </w:rPr>
        <w:footnoteReference w:id="468"/>
      </w:r>
    </w:p>
    <w:p>
      <w:pPr>
        <w:pStyle w:val="WW-blockquote"/>
        <w:rPr/>
      </w:pPr>
      <w:r>
        <w:rPr/>
        <w:t>“</w:t>
      </w:r>
      <w:r>
        <w:rPr/>
        <w:t>After the six senses completely fade away and cease, does something else no longer exist?”</w:t>
      </w:r>
      <w:r>
        <w:rPr>
          <w:rStyle w:val="FootnoteReference"/>
        </w:rPr>
        <w:footnoteReference w:id="469"/>
      </w:r>
    </w:p>
    <w:p>
      <w:pPr>
        <w:pStyle w:val="WW-blockquote"/>
        <w:rPr/>
      </w:pPr>
      <w:r>
        <w:rPr/>
        <w:t>“</w:t>
      </w:r>
      <w:r>
        <w:rPr/>
        <w:t>Don’t say so.”</w:t>
      </w:r>
    </w:p>
    <w:p>
      <w:pPr>
        <w:pStyle w:val="WW-blockquote"/>
        <w:rPr/>
      </w:pPr>
      <w:r>
        <w:rPr/>
        <w:t>“</w:t>
      </w:r>
      <w:r>
        <w:rPr/>
        <w:t>After the six senses completely fade away and cease, does something else both still exist and no longer exist?”</w:t>
      </w:r>
    </w:p>
    <w:p>
      <w:pPr>
        <w:pStyle w:val="WW-blockquote"/>
        <w:rPr/>
      </w:pPr>
      <w:r>
        <w:rPr/>
        <w:t>“</w:t>
      </w:r>
      <w:r>
        <w:rPr/>
        <w:t>Don’t say so.”</w:t>
      </w:r>
    </w:p>
    <w:p>
      <w:pPr>
        <w:pStyle w:val="WW-blockquote"/>
        <w:rPr/>
      </w:pPr>
      <w:r>
        <w:rPr/>
        <w:t>“</w:t>
      </w:r>
      <w:r>
        <w:rPr/>
        <w:t>After the six senses completely fade away and cease, does something else neither still exist nor no longer exist?”</w:t>
      </w:r>
    </w:p>
    <w:p>
      <w:pPr>
        <w:pStyle w:val="WW-blockquote"/>
        <w:rPr/>
      </w:pPr>
      <w:r>
        <w:rPr/>
        <w:t>“</w:t>
      </w:r>
      <w:r>
        <w:rPr/>
        <w:t>Don’t say so.”</w:t>
      </w:r>
      <w:r>
        <w:rPr>
          <w:rStyle w:val="FootnoteReference"/>
        </w:rPr>
        <w:footnoteReference w:id="470"/>
      </w:r>
    </w:p>
    <w:p>
      <w:pPr>
        <w:pStyle w:val="WW-paragraph"/>
        <w:rPr/>
      </w:pPr>
      <w:r>
        <w:rPr/>
        <w:t xml:space="preserve">Koṭṭhika then asks why Sāriputta replied the way he did. Sāriputta explains that each statement elaborates (or ‘proliferates’, </w:t>
      </w:r>
      <w:r>
        <w:rPr>
          <w:rStyle w:val="wwc-pali"/>
        </w:rPr>
        <w:t>papañceti</w:t>
      </w:r>
      <w:r>
        <w:rPr/>
        <w:t xml:space="preserve">) beyond the proper scope of elaboration, which is the six senses. That is because all four statements assume </w:t>
      </w:r>
      <w:r>
        <w:rPr>
          <w:rStyle w:val="Emphasis"/>
        </w:rPr>
        <w:t>something</w:t>
      </w:r>
      <w:r>
        <w:rPr/>
        <w:t xml:space="preserve"> beyond the six senses. Even saying that after the six senses cease, something else </w:t>
      </w:r>
      <w:r>
        <w:rPr>
          <w:rStyle w:val="Emphasis"/>
        </w:rPr>
        <w:t>no longer</w:t>
      </w:r>
      <w:r>
        <w:rP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pPr>
        <w:pStyle w:val="WW-paragraph"/>
        <w:rPr/>
      </w:pPr>
      <w:r>
        <w:rP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pPr>
        <w:pStyle w:val="WW-paragraph"/>
        <w:rPr/>
      </w:pPr>
      <w:r>
        <w:rP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1"/>
      </w:r>
      <w:r>
        <w:rPr/>
        <w:t xml:space="preserve"> Elsewhere he refers to their cessation using the future tense:</w:t>
      </w:r>
    </w:p>
    <w:p>
      <w:pPr>
        <w:pStyle w:val="WW-named-section"/>
        <w:rPr/>
      </w:pPr>
      <w:r>
        <w:rPr/>
        <w:t>§114</w:t>
      </w:r>
    </w:p>
    <w:p>
      <w:pPr>
        <w:pStyle w:val="WW-blockquote"/>
        <w:rPr/>
      </w:pPr>
      <w:bookmarkStart w:id="120" w:name="bqseg114"/>
      <w:bookmarkEnd w:id="120"/>
      <w:r>
        <w:rP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rPr/>
        <w:t xml:space="preserve"> totally and completely cease without remnant, and that no other six faculties will arise anywhere in any way.</w:t>
      </w:r>
      <w:r>
        <w:rPr>
          <w:rStyle w:val="FootnoteReference"/>
        </w:rPr>
        <w:footnoteReference w:id="472"/>
      </w:r>
    </w:p>
    <w:p>
      <w:pPr>
        <w:pStyle w:val="WW-space"/>
        <w:rPr/>
      </w:pPr>
      <w:r>
        <w:rPr/>
        <w:t>0</w:t>
      </w:r>
    </w:p>
    <w:p>
      <w:pPr>
        <w:pStyle w:val="WW-paragraph"/>
        <w:rPr/>
      </w:pPr>
      <w:r>
        <w:rP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pPr>
        <w:pStyle w:val="WW-paragraph"/>
        <w:rPr/>
      </w:pPr>
      <w:r>
        <w:rPr/>
        <w:t>Some such interpretations do allow for rebirth on a larger timescale, being sort of a compromise,</w:t>
      </w:r>
      <w:r>
        <w:rPr>
          <w:rStyle w:val="FootnoteReference"/>
        </w:rPr>
        <w:footnoteReference w:id="473"/>
      </w:r>
      <w:r>
        <w:rPr/>
        <w:t xml:space="preserve"> but that way of reasoning seems logically flawed. If we hold that the six senses or old age and death, say, cease at the moment of enlightenment, then we can’t also hold they cease </w:t>
      </w:r>
      <w:r>
        <w:rPr>
          <w:rStyle w:val="Emphasis"/>
        </w:rPr>
        <w:t>again</w:t>
      </w:r>
      <w:r>
        <w:rPr/>
        <w:t xml:space="preserve"> at the end of life. Things either cease, or they do not. We can’t have it both ways.</w:t>
      </w:r>
    </w:p>
    <w:p>
      <w:pPr>
        <w:pStyle w:val="WW-paragraph"/>
        <w:rPr/>
      </w:pPr>
      <w:r>
        <w:rPr/>
        <w:t xml:space="preserve">At times the </w:t>
      </w:r>
      <w:r>
        <w:rPr>
          <w:rStyle w:val="wwc-sesame"/>
        </w:rPr>
        <w:t>Paṭiccasamuppāda Vibhaṅga</w:t>
      </w:r>
      <w:r>
        <w:rPr/>
        <w:t xml:space="preserve"> of the </w:t>
      </w:r>
      <w:r>
        <w:rPr>
          <w:rStyle w:val="wwc-sesame"/>
        </w:rPr>
        <w:t>Abhidhamma</w:t>
      </w:r>
      <w:r>
        <w:rP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rPr/>
        <w:t xml:space="preserve"> analysis”. It understands the suttas to teach rebirth; the momentary process is specific to the </w:t>
      </w:r>
      <w:r>
        <w:rPr>
          <w:rStyle w:val="wwc-sesame"/>
        </w:rPr>
        <w:t>Abhidhamma</w:t>
      </w:r>
      <w:r>
        <w:rPr/>
        <w:t xml:space="preserve">. The </w:t>
      </w:r>
      <w:r>
        <w:rPr>
          <w:rStyle w:val="wwc-sesame"/>
        </w:rPr>
        <w:t>Abhidhamma</w:t>
      </w:r>
      <w:r>
        <w:rP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rP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pPr>
        <w:pStyle w:val="WW-chapter-section-1"/>
        <w:ind w:hanging="0" w:start="0"/>
        <w:rPr/>
      </w:pPr>
      <w:r>
        <w:rPr/>
        <w:t>Summary of part II</w:t>
      </w:r>
    </w:p>
    <w:p>
      <w:pPr>
        <w:pStyle w:val="WW-paragraph"/>
        <w:rPr/>
      </w:pPr>
      <w:r>
        <w:rPr/>
        <w:t>To sum up, in this part we have seen that:</w:t>
      </w:r>
    </w:p>
    <w:p>
      <w:pPr>
        <w:pStyle w:val="WW-paragraph"/>
        <w:numPr>
          <w:ilvl w:val="0"/>
          <w:numId w:val="17"/>
        </w:numPr>
        <w:rPr/>
      </w:pPr>
      <w:r>
        <w:rPr/>
        <w:t>The four nutriments are a metaphor used primarily to illustrate rebirth.</w:t>
      </w:r>
    </w:p>
    <w:p>
      <w:pPr>
        <w:pStyle w:val="WW-paragraph"/>
        <w:numPr>
          <w:ilvl w:val="0"/>
          <w:numId w:val="17"/>
        </w:numPr>
        <w:rPr/>
      </w:pPr>
      <w:r>
        <w:rPr/>
        <w:t>Consciousness being ‘established’ (</w:t>
      </w:r>
      <w:r>
        <w:rPr>
          <w:rStyle w:val="wwc-pali"/>
        </w:rPr>
        <w:t>patiṭṭhita</w:t>
      </w:r>
      <w:r>
        <w:rPr/>
        <w:t>) implies its rebirth in a certain place.</w:t>
      </w:r>
    </w:p>
    <w:p>
      <w:pPr>
        <w:pStyle w:val="WW-paragraph"/>
        <w:numPr>
          <w:ilvl w:val="0"/>
          <w:numId w:val="17"/>
        </w:numPr>
        <w:rPr/>
      </w:pPr>
      <w:r>
        <w:rPr/>
        <w:t xml:space="preserve">The rebirth of consciousness is compared to the planting of a seed, in which case ‘planted’ is a more suitable translation for </w:t>
      </w:r>
      <w:r>
        <w:rPr>
          <w:rStyle w:val="wwc-pali"/>
        </w:rPr>
        <w:t>patiṭṭhita</w:t>
      </w:r>
      <w:r>
        <w:rPr/>
        <w:t>.</w:t>
      </w:r>
    </w:p>
    <w:p>
      <w:pPr>
        <w:pStyle w:val="WW-paragraph"/>
        <w:numPr>
          <w:ilvl w:val="0"/>
          <w:numId w:val="17"/>
        </w:numPr>
        <w:rPr/>
      </w:pPr>
      <w:r>
        <w:rPr/>
        <w:t xml:space="preserve">The dependency between consciousness and </w:t>
      </w:r>
      <w:r>
        <w:rPr>
          <w:rStyle w:val="wwc-pali"/>
        </w:rPr>
        <w:t>nāmarūpa</w:t>
      </w:r>
      <w:r>
        <w:rPr/>
        <w:t xml:space="preserve"> means that there is no type of existence where either of these factors can exist in isolation.</w:t>
      </w:r>
    </w:p>
    <w:p>
      <w:pPr>
        <w:pStyle w:val="WW-paragraph"/>
        <w:numPr>
          <w:ilvl w:val="0"/>
          <w:numId w:val="17"/>
        </w:numPr>
        <w:rPr/>
      </w:pPr>
      <w:r>
        <w:rPr/>
        <w:t>The dependency of consciousness on sense impressions teaches that any instance of any type of consciousness depends on an object.</w:t>
      </w:r>
      <w:r>
        <w:br w:type="page"/>
      </w:r>
    </w:p>
    <w:p>
      <w:pPr>
        <w:pStyle w:val="WW-epigram-image"/>
        <w:spacing w:before="0" w:after="0"/>
        <w:rPr/>
      </w:pPr>
      <w:r>
        <w:rPr/>
        <w:t>fleuron/beam2.png=Fleuron:A drawing of car headlight=10</w:t>
      </w:r>
    </w:p>
    <w:p>
      <w:pPr>
        <w:pStyle w:val="WW-part"/>
        <w:spacing w:before="170" w:after="170"/>
        <w:rPr/>
      </w:pPr>
      <w:r>
        <w:rPr/>
        <w:t>Part III. The Simile of the Light Beam</w:t>
      </w:r>
      <w:r>
        <w:br w:type="page"/>
      </w:r>
    </w:p>
    <w:p>
      <w:pPr>
        <w:pStyle w:val="WW-Chapter"/>
        <w:spacing w:before="0" w:after="567"/>
        <w:ind w:hanging="0" w:start="0"/>
        <w:rPr/>
      </w:pPr>
      <w:r>
        <w:rPr/>
        <w:t>10. No inclinations, no rebirth, no consciousness</w:t>
      </w:r>
    </w:p>
    <w:p>
      <w:pPr>
        <w:pStyle w:val="WW-paragraph"/>
        <w:rPr/>
      </w:pPr>
      <w:r>
        <w:rP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rPr/>
        <w:t>, so I will leave most of the practical applications to speak for themselves.</w:t>
      </w:r>
    </w:p>
    <w:p>
      <w:pPr>
        <w:pStyle w:val="WW-paragraph"/>
        <w:rPr/>
      </w:pPr>
      <w:r>
        <w:rP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pPr>
        <w:pStyle w:val="WW-chapter-section-1"/>
        <w:ind w:hanging="0" w:start="0"/>
        <w:rPr/>
      </w:pPr>
      <w:r>
        <w:rPr/>
        <w:t>No tendencies, no inclination</w:t>
      </w:r>
    </w:p>
    <w:p>
      <w:pPr>
        <w:pStyle w:val="WW-paragraph"/>
        <w:rPr/>
      </w:pPr>
      <w:r>
        <w:rPr/>
        <w:t xml:space="preserve">The </w:t>
      </w:r>
      <w:r>
        <w:rPr>
          <w:rStyle w:val="wwc-sesame"/>
        </w:rPr>
        <w:t>Seeds Discourse</w:t>
      </w:r>
      <w:r>
        <w:rPr/>
        <w:t xml:space="preserve"> (</w:t>
      </w:r>
      <w:hyperlink w:anchor="bqseg76">
        <w:r>
          <w:rPr>
            <w:rStyle w:val="Hyperlink"/>
          </w:rPr>
          <w:t>§76</w:t>
        </w:r>
      </w:hyperlink>
      <w:r>
        <w:rP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rPr/>
        <w:t>:</w:t>
      </w:r>
    </w:p>
    <w:p>
      <w:pPr>
        <w:pStyle w:val="WW-named-section"/>
        <w:rPr/>
      </w:pPr>
      <w:r>
        <w:rPr/>
        <w:t>§115</w:t>
      </w:r>
    </w:p>
    <w:p>
      <w:pPr>
        <w:pStyle w:val="WW-blockquote"/>
        <w:rPr/>
      </w:pPr>
      <w:bookmarkStart w:id="121" w:name="bqseg115"/>
      <w:bookmarkEnd w:id="121"/>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pPr>
        <w:pStyle w:val="WW-blockquote"/>
        <w:rPr/>
      </w:pPr>
      <w:r>
        <w:rPr/>
        <w:t>If you don’t intend, don’t plan, but still have a tendency towards something, then that is a foundation for the continuation of consciousness. [Continued as the previous paragraph.] That is how this whole mass of suffering originates.</w:t>
      </w:r>
    </w:p>
    <w:p>
      <w:pPr>
        <w:pStyle w:val="WW-blockquote"/>
        <w:rPr/>
      </w:pPr>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birth, old age and death, and sorrow, grief, pain, sadness, and distress do not come to be. That is how this whole mass of suffering ceases.</w:t>
      </w:r>
      <w:r>
        <w:rPr>
          <w:rStyle w:val="FootnoteReference"/>
        </w:rPr>
        <w:footnoteReference w:id="474"/>
      </w:r>
    </w:p>
    <w:p>
      <w:pPr>
        <w:pStyle w:val="WW-paragraph"/>
        <w:rPr/>
      </w:pPr>
      <w:r>
        <w:rPr/>
        <w:t>All three discourses on intention, this one included, have two paragraphs on origination and one on cessation.</w:t>
      </w:r>
      <w:r>
        <w:rPr>
          <w:rStyle w:val="FootnoteReference"/>
        </w:rPr>
        <w:footnoteReference w:id="475"/>
      </w:r>
      <w:r>
        <w:rPr/>
        <w:t xml:space="preserve"> We do not find this structure in any other text, and the Chinese parallels also lack the second paragraph.</w:t>
      </w:r>
      <w:r>
        <w:rPr>
          <w:rStyle w:val="FootnoteReference"/>
        </w:rPr>
        <w:footnoteReference w:id="476"/>
      </w:r>
      <w:r>
        <w:rPr/>
        <w:t xml:space="preserve"> Choong Mun-keat thinks “it is therefore possible that the unshared statements [the second paragraphs] were added in the Pāli tradition”.</w:t>
      </w:r>
      <w:r>
        <w:rPr>
          <w:rStyle w:val="FootnoteReference"/>
        </w:rPr>
        <w:footnoteReference w:id="477"/>
      </w:r>
      <w:r>
        <w:rPr/>
        <w:t xml:space="preserve"> For this reason I will not discuss the difference between the first two paragraphs, which from a pragmatic perspective is very minor, anyway. I will just focus on the first and third.</w:t>
      </w:r>
    </w:p>
    <w:p>
      <w:pPr>
        <w:pStyle w:val="WW-paragraph"/>
        <w:rPr/>
      </w:pPr>
      <w:r>
        <w:rPr/>
        <w:t xml:space="preserve">The three discourses on intention are part of the </w:t>
      </w:r>
      <w:r>
        <w:rPr>
          <w:rStyle w:val="wwc-sesame"/>
          <w:b/>
          <w:u w:val="single"/>
        </w:rPr>
        <w:t>Nidāna Saṁyutta</w:t>
      </w:r>
      <w:r>
        <w:rPr/>
        <w:t xml:space="preserve">. As Choong Mun-keat also noted, they present the same basic principles as the standard sequence of Dependent Arising, even though their terminology is a bit different. The </w:t>
      </w:r>
      <w:r>
        <w:rPr>
          <w:rStyle w:val="wwc-sesame"/>
        </w:rPr>
        <w:t>Third Discourse on Intention</w:t>
      </w:r>
      <w:r>
        <w:rPr/>
        <w:t xml:space="preserve"> above, for example, starts with intentions, which represent willful actions coming from ignorance, and ends with “this whole mass of suffering”, just like the standard sequence.</w:t>
      </w:r>
    </w:p>
    <w:p>
      <w:pPr>
        <w:pStyle w:val="WW-paragraph"/>
        <w:rPr/>
      </w:pPr>
      <w:r>
        <w:rPr/>
        <w:t xml:space="preserve">Many of the phrases of the origination sequence of this discourse function in parallel. As shown in the discussion of the </w:t>
      </w:r>
      <w:r>
        <w:rPr>
          <w:rStyle w:val="wwc-sesame"/>
        </w:rPr>
        <w:t>Seeds Discourse</w:t>
      </w:r>
      <w:r>
        <w:rP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rP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pPr>
        <w:pStyle w:val="WW-chapter-section-1"/>
        <w:ind w:hanging="0" w:start="0"/>
        <w:rPr/>
      </w:pPr>
      <w:r>
        <w:rPr/>
        <w:t>No attraction, no movement</w:t>
      </w:r>
    </w:p>
    <w:p>
      <w:pPr>
        <w:pStyle w:val="WW-paragraph"/>
        <w:rPr/>
      </w:pPr>
      <w:r>
        <w:rPr/>
        <w:t xml:space="preserve">A passage repeated throughout the Nikāyas has a very similar statement on cessation as the </w:t>
      </w:r>
      <w:r>
        <w:rPr>
          <w:rStyle w:val="wwc-sesame"/>
        </w:rPr>
        <w:t>Third Discourse on Intention</w:t>
      </w:r>
      <w:r>
        <w:rPr/>
        <w:t>, helping to clarify this ‘inclination’:</w:t>
      </w:r>
    </w:p>
    <w:p>
      <w:pPr>
        <w:pStyle w:val="WW-named-section"/>
        <w:rPr/>
      </w:pPr>
      <w:r>
        <w:rPr/>
        <w:t>§116</w:t>
      </w:r>
    </w:p>
    <w:p>
      <w:pPr>
        <w:pStyle w:val="WW-blockquote"/>
        <w:rPr/>
      </w:pPr>
      <w:bookmarkStart w:id="122" w:name="bqseg116"/>
      <w:bookmarkEnd w:id="122"/>
      <w:r>
        <w:rP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8"/>
      </w:r>
    </w:p>
    <w:p>
      <w:pPr>
        <w:pStyle w:val="WW-paragraph"/>
        <w:rPr/>
      </w:pPr>
      <w:r>
        <w:rPr/>
        <w:t>The terms ‘here’ and ‘the beyond’ mean a life in this world or another, as the commentary notes.</w:t>
      </w:r>
      <w:r>
        <w:rPr>
          <w:rStyle w:val="FootnoteReference"/>
        </w:rPr>
        <w:footnoteReference w:id="479"/>
      </w:r>
      <w:r>
        <w:rPr/>
        <w:t xml:space="preserve"> The ‘in between the two’ is commonly understood to refer to the time between death and the next life proper.</w:t>
      </w:r>
      <w:r>
        <w:rPr>
          <w:rStyle w:val="FootnoteReference"/>
        </w:rPr>
        <w:footnoteReference w:id="480"/>
      </w:r>
      <w:r>
        <w:rP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rPr/>
        <w:t xml:space="preserve"> and the commentaries argue against the existence of an </w:t>
      </w:r>
      <w:r>
        <w:rPr>
          <w:rStyle w:val="wwc-pali"/>
        </w:rPr>
        <w:t>antarabhava</w:t>
      </w:r>
      <w:r>
        <w:rPr/>
        <w:t xml:space="preserve"> [in-between state], a number of canonical texts seem to support this notion.”</w:t>
      </w:r>
      <w:r>
        <w:rPr>
          <w:rStyle w:val="FootnoteReference"/>
        </w:rPr>
        <w:footnoteReference w:id="481"/>
      </w:r>
    </w:p>
    <w:p>
      <w:pPr>
        <w:pStyle w:val="WW-paragraph"/>
        <w:rPr/>
      </w:pPr>
      <w:r>
        <w:rP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rPr/>
        <w:t>) and existence is the same as that of the default sequence, where taking up leads to further existence.</w:t>
      </w:r>
    </w:p>
    <w:p>
      <w:pPr>
        <w:pStyle w:val="WW-named-section"/>
        <w:rPr/>
      </w:pPr>
      <w:r>
        <w:rPr/>
        <w:t>§117</w:t>
      </w:r>
    </w:p>
    <w:p>
      <w:pPr>
        <w:pStyle w:val="WW-line-block"/>
        <w:rPr/>
      </w:pPr>
      <w:bookmarkStart w:id="123" w:name="bqseg117"/>
      <w:bookmarkEnd w:id="123"/>
      <w:r>
        <w:rPr/>
        <w:t>Those who don’t need anything do not move.</w:t>
        <w:br/>
        <w:t>But those who need things, taking them up,</w:t>
        <w:br/>
        <w:t>go from one state of existence to another,</w:t>
        <w:br/>
        <w:t>never getting out of transmigration.</w:t>
      </w:r>
      <w:r>
        <w:rPr>
          <w:rStyle w:val="FootnoteReference"/>
        </w:rPr>
        <w:footnoteReference w:id="482"/>
      </w:r>
    </w:p>
    <w:p>
      <w:pPr>
        <w:pStyle w:val="WW-paragraph"/>
        <w:rPr/>
      </w:pPr>
      <w:r>
        <w:rPr/>
        <w:t xml:space="preserve">The line “if you don’t need things, you won’t move” also harks back to the </w:t>
      </w:r>
      <w:r>
        <w:rPr>
          <w:rStyle w:val="wwc-sesame"/>
        </w:rPr>
        <w:t>Seeds Discourse</w:t>
      </w:r>
      <w:r>
        <w:rPr/>
        <w:t xml:space="preserve">, which says, “when content, you do not stir”. The inclination towards rebirth is also referred to in that discourse, namely as “consciousness would continue to exist if it is </w:t>
      </w:r>
      <w:r>
        <w:rPr>
          <w:rStyle w:val="Emphasis"/>
        </w:rPr>
        <w:t>attracted</w:t>
      </w:r>
      <w:r>
        <w:rPr/>
        <w:t xml:space="preserve"> to form”. To be inclined to things, to have a tendency towards them, or to be attracted to them: it’s all the same idea.</w:t>
      </w:r>
    </w:p>
    <w:p>
      <w:pPr>
        <w:pStyle w:val="WW-paragraph"/>
        <w:rPr/>
      </w:pPr>
      <w:r>
        <w:rPr/>
        <w:t xml:space="preserve">The discourse preceding the </w:t>
      </w:r>
      <w:r>
        <w:rPr>
          <w:rStyle w:val="wwc-sesame"/>
        </w:rPr>
        <w:t>Seeds Discourse</w:t>
      </w:r>
      <w:r>
        <w:rPr/>
        <w:t xml:space="preserve"> in the </w:t>
      </w:r>
      <w:r>
        <w:rPr>
          <w:rStyle w:val="wwc-sesame"/>
        </w:rPr>
        <w:t>Saṁyutta Nikāya</w:t>
      </w:r>
      <w:r>
        <w:rPr/>
        <w:t xml:space="preserve"> omits the simile of the seed but otherwise is nearly identical. It starts with this ‘attraction’ (</w:t>
      </w:r>
      <w:r>
        <w:rPr>
          <w:rStyle w:val="wwc-pali"/>
        </w:rPr>
        <w:t>upaya</w:t>
      </w:r>
      <w:r>
        <w:rPr/>
        <w:t>, literally ‘moving towards’):</w:t>
      </w:r>
    </w:p>
    <w:p>
      <w:pPr>
        <w:pStyle w:val="WW-named-section"/>
        <w:rPr/>
      </w:pPr>
      <w:r>
        <w:rPr/>
        <w:t>§118</w:t>
      </w:r>
    </w:p>
    <w:p>
      <w:pPr>
        <w:pStyle w:val="WW-blockquote"/>
        <w:rPr/>
      </w:pPr>
      <w:bookmarkStart w:id="124" w:name="bqseg118"/>
      <w:bookmarkEnd w:id="124"/>
      <w:r>
        <w:rP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pPr>
        <w:pStyle w:val="WW-blockquote"/>
        <w:rPr/>
      </w:pPr>
      <w:r>
        <w:rP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3"/>
      </w:r>
    </w:p>
    <w:p>
      <w:pPr>
        <w:pStyle w:val="WW-paragraph"/>
        <w:rPr/>
      </w:pPr>
      <w:r>
        <w:rPr/>
        <w:t>To not willfully create anything refers to the absence of willful actions (</w:t>
      </w:r>
      <w:r>
        <w:rPr>
          <w:rStyle w:val="wwc-pali"/>
        </w:rPr>
        <w:t>saṅkhāras</w:t>
      </w:r>
      <w:r>
        <w:rPr/>
        <w:t>).</w:t>
      </w:r>
      <w:r>
        <w:rPr>
          <w:rStyle w:val="FootnoteReference"/>
        </w:rPr>
        <w:footnoteReference w:id="484"/>
      </w:r>
      <w:r>
        <w:rP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pPr>
        <w:pStyle w:val="WW-chapter-section-1"/>
        <w:ind w:hanging="0" w:start="0"/>
        <w:rPr/>
      </w:pPr>
      <w:r>
        <w:rPr/>
        <w:t>No willful actions, no taking up</w:t>
      </w:r>
    </w:p>
    <w:p>
      <w:pPr>
        <w:pStyle w:val="WW-paragraph"/>
        <w:rPr/>
      </w:pPr>
      <w:r>
        <w:rP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pPr>
        <w:pStyle w:val="WW-named-section"/>
        <w:rPr/>
      </w:pPr>
      <w:r>
        <w:rPr/>
        <w:t>§119</w:t>
      </w:r>
    </w:p>
    <w:p>
      <w:pPr>
        <w:pStyle w:val="WW-blockquote"/>
        <w:rPr/>
      </w:pPr>
      <w:bookmarkStart w:id="125" w:name="bqseg119"/>
      <w:bookmarkEnd w:id="125"/>
      <w:r>
        <w:rP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5"/>
      </w:r>
      <w:r>
        <w:rPr/>
        <w:t>ife is finished, that the work is done, that rebirth has ended, so there won’t be another life.</w:t>
      </w:r>
    </w:p>
    <w:p>
      <w:pPr>
        <w:pStyle w:val="WW-paragraph"/>
        <w:rPr/>
      </w:pPr>
      <w:r>
        <w:rPr/>
        <w:t>The next passage makes a direct connection between willful actions and taking up, also again mentioning the stability of the unstirred mind:</w:t>
      </w:r>
    </w:p>
    <w:p>
      <w:pPr>
        <w:pStyle w:val="WW-named-section"/>
        <w:rPr/>
      </w:pPr>
      <w:r>
        <w:rPr/>
        <w:t>§120</w:t>
      </w:r>
    </w:p>
    <w:p>
      <w:pPr>
        <w:pStyle w:val="WW-blockquote"/>
        <w:rPr/>
      </w:pPr>
      <w:bookmarkStart w:id="126" w:name="bqseg120"/>
      <w:bookmarkEnd w:id="126"/>
      <w:r>
        <w:rPr/>
        <w:t>“</w:t>
      </w:r>
      <w:r>
        <w:rPr/>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pPr>
        <w:pStyle w:val="WW-blockquote"/>
        <w:rPr/>
      </w:pPr>
      <w:r>
        <w:rPr/>
        <w:t>“</w:t>
      </w: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w:t>
      </w:r>
      <w:r>
        <w:rPr/>
        <w:t>If the immaterial aspects and body cease, if there are no more immaterial aspects and body at all, would there be the six senses?”</w:t>
      </w:r>
    </w:p>
    <w:p>
      <w:pPr>
        <w:pStyle w:val="WW-blockquote"/>
        <w:rPr/>
      </w:pPr>
      <w:r>
        <w:rPr/>
        <w:t>“</w:t>
      </w:r>
      <w:r>
        <w:rPr/>
        <w:t>No, sir.”</w:t>
      </w:r>
    </w:p>
    <w:p>
      <w:pPr>
        <w:pStyle w:val="WW-blockquote"/>
        <w:rPr/>
      </w:pPr>
      <w:r>
        <w:rPr/>
        <w:t>[And so on.]</w:t>
      </w:r>
      <w:r>
        <w:rPr>
          <w:rStyle w:val="FootnoteReference"/>
        </w:rPr>
        <w:footnoteReference w:id="486"/>
      </w:r>
    </w:p>
    <w:p>
      <w:pPr>
        <w:pStyle w:val="WW-paragraph"/>
        <w:rPr/>
      </w:pPr>
      <w:r>
        <w:rPr/>
        <w:t>The table below lists some central concepts of the previous two passages alongside the standard description of Dependent Arising. It illustrates once again the parallelism of the ignorance and craving sequences, this time in their cessation mode.</w:t>
      </w:r>
    </w:p>
    <w:p>
      <w:pPr>
        <w:pStyle w:val="WW-table-caption"/>
        <w:rPr/>
      </w:pPr>
      <w:r>
        <w:rPr/>
        <w:t>{SimpleNoRowBorders}Table 20. Parallel cessation sequences</w:t>
      </w:r>
    </w:p>
    <w:tbl>
      <w:tblPr>
        <w:tblW w:w="8116" w:type="dxa"/>
        <w:jc w:val="start"/>
        <w:tblInd w:w="0" w:type="dxa"/>
        <w:tblLayout w:type="fixed"/>
        <w:tblCellMar>
          <w:top w:w="0" w:type="dxa"/>
          <w:start w:w="0" w:type="dxa"/>
          <w:bottom w:w="0" w:type="dxa"/>
          <w:end w:w="0" w:type="dxa"/>
        </w:tblCellMar>
      </w:tblPr>
      <w:tblGrid>
        <w:gridCol w:w="2139"/>
        <w:gridCol w:w="2448"/>
        <w:gridCol w:w="1504"/>
        <w:gridCol w:w="2025"/>
      </w:tblGrid>
      <w:tr>
        <w:trPr/>
        <w:tc>
          <w:tcPr>
            <w:tcW w:w="2139" w:type="dxa"/>
            <w:tcBorders/>
            <w:vAlign w:val="center"/>
          </w:tcPr>
          <w:p>
            <w:pPr>
              <w:pStyle w:val="TableHeading"/>
              <w:rPr>
                <w:b w:val="false"/>
                <w:bCs w:val="false"/>
              </w:rPr>
            </w:pPr>
            <w:r>
              <w:rPr>
                <w:rStyle w:val="Strong"/>
                <w:b/>
                <w:bCs/>
              </w:rPr>
              <w:t>Ignorance sequence</w:t>
            </w:r>
          </w:p>
        </w:tc>
        <w:tc>
          <w:tcPr>
            <w:tcW w:w="2448" w:type="dxa"/>
            <w:tcBorders/>
            <w:vAlign w:val="center"/>
          </w:tcPr>
          <w:p>
            <w:pPr>
              <w:pStyle w:val="TableHeading"/>
              <w:rPr/>
            </w:pPr>
            <w:r>
              <w:rPr>
                <w:rStyle w:val="Strong"/>
                <w:b/>
                <w:bCs/>
              </w:rPr>
              <w:t>Craving sequence</w:t>
            </w:r>
          </w:p>
        </w:tc>
        <w:tc>
          <w:tcPr>
            <w:tcW w:w="1504" w:type="dxa"/>
            <w:tcBorders/>
            <w:vAlign w:val="center"/>
          </w:tcPr>
          <w:p>
            <w:pPr>
              <w:pStyle w:val="TableHeading"/>
              <w:rPr/>
            </w:pPr>
            <w:hyperlink w:anchor="bqseg119">
              <w:r>
                <w:rPr>
                  <w:rStyle w:val="Hyperlink"/>
                  <w:b/>
                  <w:bCs/>
                </w:rPr>
                <w:t>§119</w:t>
              </w:r>
            </w:hyperlink>
          </w:p>
        </w:tc>
        <w:tc>
          <w:tcPr>
            <w:tcW w:w="2025" w:type="dxa"/>
            <w:tcBorders/>
            <w:vAlign w:val="center"/>
          </w:tcPr>
          <w:p>
            <w:pPr>
              <w:pStyle w:val="TableHeading"/>
              <w:rPr/>
            </w:pPr>
            <w:hyperlink w:anchor="bqseg120">
              <w:r>
                <w:rPr>
                  <w:rStyle w:val="Hyperlink"/>
                  <w:b/>
                  <w:bCs/>
                </w:rPr>
                <w:t>§120</w:t>
              </w:r>
            </w:hyperlink>
          </w:p>
        </w:tc>
      </w:tr>
      <w:tr>
        <w:trPr/>
        <w:tc>
          <w:tcPr>
            <w:tcW w:w="2139" w:type="dxa"/>
            <w:tcBorders/>
            <w:vAlign w:val="center"/>
          </w:tcPr>
          <w:p>
            <w:pPr>
              <w:pStyle w:val="TableContents"/>
              <w:rPr/>
            </w:pPr>
            <w:r>
              <w:rPr/>
              <w:t>1. No ignorance</w:t>
              <w:br/>
              <w:t>2. No willful actions</w:t>
            </w:r>
          </w:p>
        </w:tc>
        <w:tc>
          <w:tcPr>
            <w:tcW w:w="2448" w:type="dxa"/>
            <w:tcBorders/>
            <w:vAlign w:val="center"/>
          </w:tcPr>
          <w:p>
            <w:pPr>
              <w:pStyle w:val="TableContents"/>
              <w:rPr/>
            </w:pPr>
            <w:r>
              <w:rPr/>
              <w:t>8. No craving</w:t>
              <w:br/>
              <w:t>9. No taking up</w:t>
            </w:r>
          </w:p>
        </w:tc>
        <w:tc>
          <w:tcPr>
            <w:tcW w:w="1504" w:type="dxa"/>
            <w:tcBorders/>
            <w:vAlign w:val="center"/>
          </w:tcPr>
          <w:p>
            <w:pPr>
              <w:pStyle w:val="TableContents"/>
              <w:rPr/>
            </w:pPr>
            <w:r>
              <w:rPr/>
              <w:t xml:space="preserve">• </w:t>
            </w:r>
            <w:r>
              <w:rPr/>
              <w:t>No desire</w:t>
              <w:br/>
              <w:t>• No taking up</w:t>
            </w:r>
          </w:p>
        </w:tc>
        <w:tc>
          <w:tcPr>
            <w:tcW w:w="2025" w:type="dxa"/>
            <w:tcBorders/>
            <w:vAlign w:val="center"/>
          </w:tcPr>
          <w:p>
            <w:pPr>
              <w:pStyle w:val="TableContents"/>
              <w:rPr/>
            </w:pPr>
            <w:r>
              <w:rPr/>
              <w:t xml:space="preserve">• </w:t>
            </w:r>
            <w:r>
              <w:rPr/>
              <w:t>No ignorance</w:t>
              <w:br/>
              <w:t>• No willful actions</w:t>
              <w:br/>
              <w:t>• No taking up</w:t>
            </w:r>
          </w:p>
        </w:tc>
      </w:tr>
      <w:tr>
        <w:trPr/>
        <w:tc>
          <w:tcPr>
            <w:tcW w:w="2139" w:type="dxa"/>
            <w:tcBorders/>
            <w:vAlign w:val="center"/>
          </w:tcPr>
          <w:p>
            <w:pPr>
              <w:pStyle w:val="TableContents"/>
              <w:rPr/>
            </w:pPr>
            <w:r>
              <w:rPr/>
              <w:t>3. No consciousness</w:t>
              <w:br/>
              <w:t>4. No nāmarūpa</w:t>
            </w:r>
          </w:p>
        </w:tc>
        <w:tc>
          <w:tcPr>
            <w:tcW w:w="2448" w:type="dxa"/>
            <w:tcBorders/>
            <w:vAlign w:val="center"/>
          </w:tcPr>
          <w:p>
            <w:pPr>
              <w:pStyle w:val="TableContents"/>
              <w:rPr/>
            </w:pPr>
            <w:r>
              <w:rPr/>
              <w:t>10. No existence</w:t>
              <w:br/>
              <w:t>11. No birth</w:t>
            </w:r>
          </w:p>
        </w:tc>
        <w:tc>
          <w:tcPr>
            <w:tcW w:w="1504" w:type="dxa"/>
            <w:tcBorders/>
            <w:vAlign w:val="center"/>
          </w:tcPr>
          <w:p>
            <w:pPr>
              <w:pStyle w:val="TableContents"/>
              <w:rPr/>
            </w:pPr>
            <w:r>
              <w:rPr/>
              <w:t xml:space="preserve">• </w:t>
            </w:r>
            <w:r>
              <w:rPr/>
              <w:t>No rebirth</w:t>
            </w:r>
          </w:p>
        </w:tc>
        <w:tc>
          <w:tcPr>
            <w:tcW w:w="2025" w:type="dxa"/>
            <w:tcBorders/>
            <w:vAlign w:val="center"/>
          </w:tcPr>
          <w:p>
            <w:pPr>
              <w:pStyle w:val="TableContents"/>
              <w:rPr/>
            </w:pPr>
            <w:r>
              <w:rPr/>
              <w:t xml:space="preserve">• </w:t>
            </w:r>
            <w:r>
              <w:rPr/>
              <w:t>No consciousness</w:t>
              <w:br/>
              <w:t>• No nāmarūpa</w:t>
            </w:r>
          </w:p>
        </w:tc>
      </w:tr>
      <w:tr>
        <w:trPr>
          <w:trHeight w:val="324" w:hRule="atLeast"/>
        </w:trPr>
        <w:tc>
          <w:tcPr>
            <w:tcW w:w="2139" w:type="dxa"/>
            <w:tcBorders/>
            <w:vAlign w:val="center"/>
          </w:tcPr>
          <w:p>
            <w:pPr>
              <w:pStyle w:val="TableContents"/>
              <w:rPr/>
            </w:pPr>
            <w:r>
              <w:rPr/>
              <w:t>5. No six senses</w:t>
              <w:br/>
              <w:t>6. …</w:t>
            </w:r>
          </w:p>
        </w:tc>
        <w:tc>
          <w:tcPr>
            <w:tcW w:w="2448" w:type="dxa"/>
            <w:tcBorders/>
            <w:vAlign w:val="center"/>
          </w:tcPr>
          <w:p>
            <w:pPr>
              <w:pStyle w:val="TableContents"/>
              <w:rPr/>
            </w:pPr>
            <w:r>
              <w:rPr/>
              <w:t>12. No suffering,</w:t>
              <w:br/>
              <w:t>  incl. old age and death</w:t>
            </w:r>
          </w:p>
        </w:tc>
        <w:tc>
          <w:tcPr>
            <w:tcW w:w="1504" w:type="dxa"/>
            <w:tcBorders/>
            <w:vAlign w:val="center"/>
          </w:tcPr>
          <w:p>
            <w:pPr>
              <w:pStyle w:val="TableContents"/>
              <w:rPr/>
            </w:pPr>
            <w:r>
              <w:rPr/>
            </w:r>
          </w:p>
        </w:tc>
        <w:tc>
          <w:tcPr>
            <w:tcW w:w="2025" w:type="dxa"/>
            <w:tcBorders/>
            <w:vAlign w:val="center"/>
          </w:tcPr>
          <w:p>
            <w:pPr>
              <w:pStyle w:val="TableContents"/>
              <w:rPr/>
            </w:pPr>
            <w:r>
              <w:rPr/>
              <w:t xml:space="preserve">• </w:t>
            </w:r>
            <w:r>
              <w:rPr/>
              <w:t>No six senses</w:t>
              <w:br/>
              <w:t>• …</w:t>
            </w:r>
          </w:p>
        </w:tc>
      </w:tr>
    </w:tbl>
    <w:p>
      <w:pPr>
        <w:pStyle w:val="WW-paragraph"/>
        <w:rPr/>
      </w:pPr>
      <w:r>
        <w:rPr/>
        <w:t>Notice especially the close connection between willful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pPr>
        <w:pStyle w:val="WW-paragraph"/>
        <w:rPr/>
      </w:pPr>
      <w:r>
        <w:rPr/>
        <w:t xml:space="preserve">The table also indicates that the factors of consciousness and existence cease in parallel. With this knowledge, let’s recall the </w:t>
      </w:r>
      <w:r>
        <w:rPr>
          <w:rStyle w:val="wwc-sesame"/>
        </w:rPr>
        <w:t>Seeds Discourse</w:t>
      </w:r>
      <w:r>
        <w:rP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rPr/>
        <w:t>] in a new psychophysical personality [</w:t>
      </w:r>
      <w:r>
        <w:rPr>
          <w:rStyle w:val="wwc-pali"/>
        </w:rPr>
        <w:t>nāmarūpa</w:t>
      </w:r>
      <w:r>
        <w:rPr/>
        <w:t>], and as a result he is not reborn.”</w:t>
      </w:r>
      <w:r>
        <w:rPr>
          <w:rStyle w:val="FootnoteReference"/>
        </w:rPr>
        <w:footnoteReference w:id="487"/>
      </w:r>
    </w:p>
    <w:p>
      <w:pPr>
        <w:pStyle w:val="WW-figure"/>
        <w:rPr/>
      </w:pPr>
      <w:r>
        <w:rPr/>
        <w:t>./img/seed4.png=A broken seed laying on the ground next to a watering can standing on the ground. The seed is labeled ‘consciousness not planted’, the can ‘no craving’, the absence of a plant ‘no life’.=30=border</w:t>
        <w:br/>
        <w:t>Figure 26. An unplanted seed as a simile for the end of rebirth</w:t>
      </w:r>
    </w:p>
    <w:p>
      <w:pPr>
        <w:pStyle w:val="WW-paragraph"/>
        <w:rPr/>
      </w:pPr>
      <w:r>
        <w:rP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8"/>
      </w:r>
      <w:r>
        <w:br w:type="page"/>
      </w:r>
    </w:p>
    <w:p>
      <w:pPr>
        <w:pStyle w:val="WW-Chapter"/>
        <w:spacing w:before="0" w:after="567"/>
        <w:ind w:hanging="0" w:start="0"/>
        <w:rPr/>
      </w:pPr>
      <w:bookmarkStart w:id="127" w:name="chapter11"/>
      <w:bookmarkEnd w:id="127"/>
      <w:r>
        <w:rPr/>
        <w:t>11. A fading beam of light</w:t>
      </w:r>
    </w:p>
    <w:p>
      <w:pPr>
        <w:pStyle w:val="WW-chapter-section-1"/>
        <w:ind w:hanging="0" w:start="0"/>
        <w:rPr/>
      </w:pPr>
      <w:r>
        <w:rPr/>
        <w:t>Appatiṭṭhita viññāṇa and the cessation of consciousness</w:t>
      </w:r>
    </w:p>
    <w:p>
      <w:pPr>
        <w:pStyle w:val="WW-paragraph"/>
        <w:rPr/>
      </w:pPr>
      <w:r>
        <w:rP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rP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rPr/>
        <w:t>. Both are given below, followed by the default cessation sequence.</w:t>
      </w:r>
    </w:p>
    <w:p>
      <w:pPr>
        <w:pStyle w:val="WW-paragraph"/>
        <w:rPr/>
      </w:pPr>
      <w:r>
        <w:rPr/>
        <w:t xml:space="preserve">From the </w:t>
      </w:r>
      <w:r>
        <w:rPr>
          <w:rStyle w:val="wwc-sesame"/>
        </w:rPr>
        <w:t>If There is Desire Discourse</w:t>
      </w:r>
      <w:r>
        <w:rPr/>
        <w:t>:</w:t>
      </w:r>
    </w:p>
    <w:p>
      <w:pPr>
        <w:pStyle w:val="WW-named-section"/>
        <w:rPr/>
      </w:pPr>
      <w:r>
        <w:rPr/>
        <w:t>§121</w:t>
      </w:r>
    </w:p>
    <w:p>
      <w:pPr>
        <w:pStyle w:val="WW-blockquote"/>
        <w:rPr/>
      </w:pPr>
      <w:bookmarkStart w:id="128" w:name="bqseg121"/>
      <w:bookmarkEnd w:id="128"/>
      <w:r>
        <w:rPr/>
        <w:t>“</w:t>
      </w:r>
      <w:r>
        <w:rPr/>
        <w:t>Mendicants, imagine a house or a hall with windows facing the north, south, and east. When the sun rises and a beam of light enters through a window, where would that beam plant down (</w:t>
      </w:r>
      <w:r>
        <w:rPr>
          <w:rStyle w:val="wwc-pali"/>
        </w:rPr>
        <w:t>patiṭṭhita</w:t>
      </w:r>
      <w:r>
        <w:rPr/>
        <w:t>)?”</w:t>
      </w:r>
      <w:r>
        <w:rPr>
          <w:rStyle w:val="FootnoteReference"/>
        </w:rPr>
        <w:footnoteReference w:id="489"/>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w:t>
      </w:r>
      <w:r>
        <w:rPr>
          <w:rStyle w:val="wwc-pali"/>
        </w:rPr>
        <w:t>appatiṭṭhita</w:t>
      </w:r>
      <w:r>
        <w:rPr/>
        <w:t>) anywhere, sir.”</w:t>
      </w:r>
    </w:p>
    <w:p>
      <w:pPr>
        <w:pStyle w:val="WW-blockquote"/>
        <w:rPr/>
      </w:pPr>
      <w:r>
        <w:rPr/>
        <w:t>“</w:t>
      </w:r>
      <w:r>
        <w:rPr/>
        <w:t>Likewise, if there is no desire, enjoyment, and craving for the nutriment of edible food, then consciousness will not get planted and will not sprout. When consciousness is not planted (</w:t>
      </w:r>
      <w:r>
        <w:rPr>
          <w:rStyle w:val="wwc-pali"/>
        </w:rPr>
        <w:t>appatiṭṭhita</w:t>
      </w:r>
      <w:r>
        <w:rP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pPr>
        <w:pStyle w:val="WW-blockquote"/>
        <w:rPr/>
      </w:pPr>
      <w:r>
        <w:rPr/>
        <w:t>[Similar for the other nutriments.]</w:t>
      </w:r>
      <w:r>
        <w:rPr>
          <w:rStyle w:val="FootnoteReference"/>
        </w:rPr>
        <w:footnoteReference w:id="490"/>
      </w:r>
    </w:p>
    <w:p>
      <w:pPr>
        <w:pStyle w:val="WW-paragraph"/>
        <w:rPr/>
      </w:pPr>
      <w:r>
        <w:rPr/>
        <w:t xml:space="preserve">From the </w:t>
      </w:r>
      <w:r>
        <w:rPr>
          <w:rStyle w:val="wwc-sesame"/>
        </w:rPr>
        <w:t>Second Discourse on Intention</w:t>
      </w:r>
      <w:r>
        <w:rPr/>
        <w:t>:</w:t>
      </w:r>
    </w:p>
    <w:p>
      <w:pPr>
        <w:pStyle w:val="WW-named-section"/>
        <w:rPr/>
      </w:pPr>
      <w:r>
        <w:rPr/>
        <w:t>§122</w:t>
      </w:r>
    </w:p>
    <w:p>
      <w:pPr>
        <w:pStyle w:val="WW-blockquote"/>
        <w:rPr/>
      </w:pPr>
      <w:bookmarkStart w:id="129" w:name="bqseg122"/>
      <w:bookmarkEnd w:id="129"/>
      <w:r>
        <w:rP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pPr>
        <w:pStyle w:val="WW-paragraph"/>
        <w:rPr/>
      </w:pPr>
      <w:r>
        <w:rPr/>
        <w:t>And the default cessation sequence:</w:t>
      </w:r>
    </w:p>
    <w:p>
      <w:pPr>
        <w:pStyle w:val="WW-named-section"/>
        <w:rPr/>
      </w:pPr>
      <w:r>
        <w:rPr/>
        <w:t>§123</w:t>
      </w:r>
    </w:p>
    <w:p>
      <w:pPr>
        <w:pStyle w:val="WW-blockquote"/>
        <w:rPr/>
      </w:pPr>
      <w:bookmarkStart w:id="130" w:name="bqseg123"/>
      <w:bookmarkEnd w:id="130"/>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2"/>
      </w:r>
    </w:p>
    <w:p>
      <w:pPr>
        <w:pStyle w:val="WW-paragraph"/>
        <w:rPr/>
      </w:pPr>
      <w:r>
        <w:rPr/>
        <w:t xml:space="preserve">The first two texts both contain </w:t>
      </w:r>
      <w:r>
        <w:rPr>
          <w:rStyle w:val="wwc-pali"/>
        </w:rPr>
        <w:t>appatiṭṭhita viññāṇa</w:t>
      </w:r>
      <w:r>
        <w:rPr/>
        <w:t xml:space="preserve">, which some translators have translated as ‘unestablished consciousness’. This may not be wrong per se, but it can be misleading, because it actually means ‘consciousness is </w:t>
      </w:r>
      <w:r>
        <w:rPr>
          <w:rStyle w:val="Emphasis"/>
        </w:rPr>
        <w:t>not</w:t>
      </w:r>
      <w:r>
        <w:rPr/>
        <w:t xml:space="preserve"> established’—or alternatively, ‘not planted’. This is indicated directly in the second text, where </w:t>
      </w:r>
      <w:r>
        <w:rPr>
          <w:rStyle w:val="wwc-pali"/>
        </w:rPr>
        <w:t>appatiṭṭhita viññāṇa</w:t>
      </w:r>
      <w:r>
        <w:rP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rPr/>
        <w:t xml:space="preserve">, ‘there is </w:t>
      </w:r>
      <w:r>
        <w:rPr>
          <w:rStyle w:val="Emphasis"/>
        </w:rPr>
        <w:t>no</w:t>
      </w:r>
      <w:r>
        <w:rPr/>
        <w:t xml:space="preserve"> planting of consciousness’. Therefore, </w:t>
      </w:r>
      <w:r>
        <w:rPr>
          <w:rStyle w:val="wwc-pali"/>
        </w:rPr>
        <w:t>appatiṭṭhita viññāṇa</w:t>
      </w:r>
      <w:r>
        <w:rPr/>
        <w:t xml:space="preserve"> is not a unique kind of consciousness that is unestablished; it means the </w:t>
      </w:r>
      <w:r>
        <w:rPr>
          <w:rStyle w:val="Emphasis"/>
        </w:rPr>
        <w:t>not</w:t>
      </w:r>
      <w:r>
        <w:rPr/>
        <w:t xml:space="preserve"> establishing, or not planting, of the standard aggregate of consciousness. It is a simple but important difference. Rather than describing a </w:t>
      </w:r>
      <w:r>
        <w:rPr>
          <w:rStyle w:val="Emphasis"/>
        </w:rPr>
        <w:t>type</w:t>
      </w:r>
      <w:r>
        <w:rPr/>
        <w:t xml:space="preserve"> of consciousness, </w:t>
      </w:r>
      <w:r>
        <w:rPr>
          <w:rStyle w:val="wwc-pali"/>
        </w:rPr>
        <w:t>appatiṭṭhita</w:t>
      </w:r>
      <w:r>
        <w:rPr/>
        <w:t xml:space="preserve"> indicates what </w:t>
      </w:r>
      <w:r>
        <w:rPr>
          <w:rStyle w:val="Emphasis"/>
        </w:rPr>
        <w:t>happens</w:t>
      </w:r>
      <w:r>
        <w:rPr/>
        <w:t xml:space="preserve"> to consciousness. Semantically the word </w:t>
      </w:r>
      <w:r>
        <w:rPr>
          <w:rStyle w:val="wwc-pali"/>
        </w:rPr>
        <w:t>appatiṭṭhita</w:t>
      </w:r>
      <w:r>
        <w:rPr/>
        <w:t>, which is a past participle, functions as a verb rather than an adjective. Venerable Anālayo likewise thinks that we should “prevent reifying the idea of a type of consciousness that is unestablished”.</w:t>
      </w:r>
      <w:r>
        <w:rPr>
          <w:rStyle w:val="FootnoteReference"/>
        </w:rPr>
        <w:footnoteReference w:id="493"/>
      </w:r>
    </w:p>
    <w:p>
      <w:pPr>
        <w:pStyle w:val="WW-paragraph"/>
        <w:rPr/>
      </w:pPr>
      <w:r>
        <w:rPr>
          <w:rStyle w:val="wwc-pali"/>
        </w:rPr>
        <w:t>Appatiṭṭhita viññāṇa</w:t>
      </w:r>
      <w:r>
        <w:rP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rPr/>
        <w:t xml:space="preserve">: “Its purport is not that an ‘unestablished consciousness’ remains after the arahant’s </w:t>
      </w:r>
      <w:r>
        <w:rPr>
          <w:rStyle w:val="wwc-pali"/>
        </w:rPr>
        <w:t>parinibbāna</w:t>
      </w:r>
      <w:r>
        <w:rPr/>
        <w:t>, but that his consciousness, being devoid of lust, does not ‘become established in’ the four nutriments in any way that might generate a future existence.”</w:t>
      </w:r>
      <w:r>
        <w:rPr>
          <w:rStyle w:val="FootnoteReference"/>
        </w:rPr>
        <w:footnoteReference w:id="494"/>
      </w:r>
      <w:r>
        <w:rPr/>
        <w:t xml:space="preserve"> The direct connection between </w:t>
      </w:r>
      <w:r>
        <w:rPr>
          <w:rStyle w:val="wwc-pali"/>
        </w:rPr>
        <w:t>appatiṭṭhita viññāṇa</w:t>
      </w:r>
      <w:r>
        <w:rPr/>
        <w:t xml:space="preserve"> and the cessation of consciousness becomes particularly apparent when comparing the above three passages, as in the next table.</w:t>
      </w:r>
    </w:p>
    <w:p>
      <w:pPr>
        <w:pStyle w:val="WW-table-caption"/>
        <w:rPr/>
      </w:pPr>
      <w:r>
        <w:rPr/>
        <w:t>{SimpleNoRowBorders}Table 21. Not planting of consciousness alongside cessation sequence</w:t>
      </w:r>
    </w:p>
    <w:tbl>
      <w:tblPr>
        <w:tblW w:w="7977" w:type="dxa"/>
        <w:jc w:val="start"/>
        <w:tblInd w:w="0" w:type="dxa"/>
        <w:tblLayout w:type="fixed"/>
        <w:tblCellMar>
          <w:top w:w="0" w:type="dxa"/>
          <w:start w:w="0" w:type="dxa"/>
          <w:bottom w:w="0" w:type="dxa"/>
          <w:end w:w="0" w:type="dxa"/>
        </w:tblCellMar>
      </w:tblPr>
      <w:tblGrid>
        <w:gridCol w:w="2092"/>
        <w:gridCol w:w="2919"/>
        <w:gridCol w:w="2966"/>
      </w:tblGrid>
      <w:tr>
        <w:trPr/>
        <w:tc>
          <w:tcPr>
            <w:tcW w:w="2092" w:type="dxa"/>
            <w:tcBorders/>
            <w:vAlign w:val="center"/>
          </w:tcPr>
          <w:p>
            <w:pPr>
              <w:pStyle w:val="TableHeading"/>
              <w:rPr/>
            </w:pPr>
            <w:r>
              <w:rPr>
                <w:rStyle w:val="Strong"/>
                <w:b/>
                <w:bCs/>
              </w:rPr>
              <w:t>Standard sequence</w:t>
            </w:r>
          </w:p>
        </w:tc>
        <w:tc>
          <w:tcPr>
            <w:tcW w:w="2919" w:type="dxa"/>
            <w:tcBorders/>
            <w:vAlign w:val="center"/>
          </w:tcPr>
          <w:p>
            <w:pPr>
              <w:pStyle w:val="TableHeading"/>
              <w:rPr/>
            </w:pPr>
            <w:r>
              <w:rPr>
                <w:rStyle w:val="Strong"/>
                <w:b/>
                <w:bCs/>
              </w:rPr>
              <w:t>Second Discourse</w:t>
              <w:br/>
              <w:t>on Intention (</w:t>
            </w:r>
            <w:hyperlink w:anchor="bqseg122">
              <w:r>
                <w:rPr>
                  <w:rStyle w:val="Hyperlink"/>
                  <w:b/>
                  <w:bCs/>
                </w:rPr>
                <w:t>§122</w:t>
              </w:r>
            </w:hyperlink>
            <w:r>
              <w:rPr>
                <w:rStyle w:val="Strong"/>
                <w:b/>
                <w:bCs/>
              </w:rPr>
              <w:t>)</w:t>
            </w:r>
          </w:p>
        </w:tc>
        <w:tc>
          <w:tcPr>
            <w:tcW w:w="2966" w:type="dxa"/>
            <w:tcBorders/>
            <w:vAlign w:val="center"/>
          </w:tcPr>
          <w:p>
            <w:pPr>
              <w:pStyle w:val="TableHeading"/>
              <w:rPr/>
            </w:pPr>
            <w:r>
              <w:rPr>
                <w:rStyle w:val="Strong"/>
                <w:b/>
                <w:bCs/>
              </w:rPr>
              <w:t>If There Is Desire</w:t>
              <w:br/>
              <w:t>Discourse (</w:t>
            </w:r>
            <w:hyperlink w:anchor="bqseg121">
              <w:r>
                <w:rPr>
                  <w:rStyle w:val="Hyperlink"/>
                  <w:b/>
                  <w:bCs/>
                </w:rPr>
                <w:t>§121</w:t>
              </w:r>
            </w:hyperlink>
            <w:r>
              <w:rPr>
                <w:rStyle w:val="Strong"/>
                <w:b/>
                <w:bCs/>
              </w:rPr>
              <w:t>)</w:t>
            </w:r>
          </w:p>
        </w:tc>
      </w:tr>
      <w:tr>
        <w:trPr/>
        <w:tc>
          <w:tcPr>
            <w:tcW w:w="2092" w:type="dxa"/>
            <w:tcBorders/>
            <w:vAlign w:val="center"/>
          </w:tcPr>
          <w:p>
            <w:pPr>
              <w:pStyle w:val="TableContents"/>
              <w:rPr/>
            </w:pPr>
            <w:r>
              <w:rPr/>
              <w:t>1. No ignorance</w:t>
              <w:br/>
              <w:t>2. No willful actions</w:t>
            </w:r>
          </w:p>
        </w:tc>
        <w:tc>
          <w:tcPr>
            <w:tcW w:w="2919" w:type="dxa"/>
            <w:tcBorders/>
            <w:vAlign w:val="center"/>
          </w:tcPr>
          <w:p>
            <w:pPr>
              <w:pStyle w:val="TableContents"/>
              <w:rPr/>
            </w:pPr>
            <w:r>
              <w:rPr/>
              <w:br/>
              <w:t>• You don’t intend, etc.</w:t>
            </w:r>
          </w:p>
        </w:tc>
        <w:tc>
          <w:tcPr>
            <w:tcW w:w="2966" w:type="dxa"/>
            <w:tcBorders/>
            <w:vAlign w:val="center"/>
          </w:tcPr>
          <w:p>
            <w:pPr>
              <w:pStyle w:val="TableContents"/>
              <w:rPr/>
            </w:pPr>
            <w:r>
              <w:rPr/>
              <w:br/>
              <w:t>• There is no desire, etc.</w:t>
            </w:r>
          </w:p>
        </w:tc>
      </w:tr>
      <w:tr>
        <w:trPr/>
        <w:tc>
          <w:tcPr>
            <w:tcW w:w="2092" w:type="dxa"/>
            <w:tcBorders/>
            <w:vAlign w:val="center"/>
          </w:tcPr>
          <w:p>
            <w:pPr>
              <w:pStyle w:val="TableContents"/>
              <w:rPr/>
            </w:pPr>
            <w:r>
              <w:rPr/>
              <w:t>3. No consciousness</w:t>
              <w:br/>
              <w:t>4. No nāmarūpa</w:t>
            </w:r>
          </w:p>
        </w:tc>
        <w:tc>
          <w:tcPr>
            <w:tcW w:w="2919" w:type="dxa"/>
            <w:tcBorders/>
            <w:vAlign w:val="center"/>
          </w:tcPr>
          <w:p>
            <w:pPr>
              <w:pStyle w:val="TableContents"/>
              <w:rPr/>
            </w:pPr>
            <w:r>
              <w:rPr/>
              <w:t xml:space="preserve">• </w:t>
            </w:r>
            <w:r>
              <w:rPr/>
              <w:t>Not planting consciousness</w:t>
              <w:br/>
              <w:t>• No conception of nāmarūpa</w:t>
            </w:r>
          </w:p>
        </w:tc>
        <w:tc>
          <w:tcPr>
            <w:tcW w:w="2966" w:type="dxa"/>
            <w:tcBorders/>
            <w:vAlign w:val="center"/>
          </w:tcPr>
          <w:p>
            <w:pPr>
              <w:pStyle w:val="TableContents"/>
              <w:rPr/>
            </w:pPr>
            <w:r>
              <w:rPr/>
              <w:t xml:space="preserve">• </w:t>
            </w:r>
            <w:r>
              <w:rPr/>
              <w:t>Not planting consciousness</w:t>
              <w:br/>
              <w:t>• No conception of nāmarūpa</w:t>
              <w:br/>
              <w:t>• No willful actions develop</w:t>
              <w:br/>
              <w:t>• No production of existence</w:t>
              <w:br/>
              <w:t>• No birth</w:t>
            </w:r>
          </w:p>
        </w:tc>
      </w:tr>
      <w:tr>
        <w:trPr/>
        <w:tc>
          <w:tcPr>
            <w:tcW w:w="2092" w:type="dxa"/>
            <w:tcBorders/>
            <w:vAlign w:val="center"/>
          </w:tcPr>
          <w:p>
            <w:pPr>
              <w:pStyle w:val="TableContents"/>
              <w:rPr/>
            </w:pPr>
            <w:r>
              <w:rPr/>
              <w:t>5. No six senses</w:t>
              <w:br/>
              <w:t>6. No sense impr.</w:t>
              <w:br/>
              <w:t>7. …</w:t>
            </w:r>
          </w:p>
        </w:tc>
        <w:tc>
          <w:tcPr>
            <w:tcW w:w="2919" w:type="dxa"/>
            <w:tcBorders/>
            <w:vAlign w:val="center"/>
          </w:tcPr>
          <w:p>
            <w:pPr>
              <w:pStyle w:val="TableContents"/>
              <w:rPr/>
            </w:pPr>
            <w:r>
              <w:rPr/>
              <w:t xml:space="preserve">• </w:t>
            </w:r>
            <w:r>
              <w:rPr/>
              <w:t>No six senses</w:t>
              <w:br/>
              <w:t>• No sense impressions</w:t>
              <w:br/>
              <w:t>• …</w:t>
            </w:r>
          </w:p>
        </w:tc>
        <w:tc>
          <w:tcPr>
            <w:tcW w:w="2966" w:type="dxa"/>
            <w:tcBorders/>
            <w:vAlign w:val="center"/>
          </w:tcPr>
          <w:p>
            <w:pPr>
              <w:pStyle w:val="TableContents"/>
              <w:rPr/>
            </w:pPr>
            <w:r>
              <w:rPr/>
              <w:t xml:space="preserve">• </w:t>
            </w:r>
            <w:r>
              <w:rPr/>
              <w:t>No suffering,</w:t>
              <w:br/>
              <w:t>  incl. old age and death</w:t>
            </w:r>
          </w:p>
        </w:tc>
      </w:tr>
    </w:tbl>
    <w:p>
      <w:pPr>
        <w:pStyle w:val="WW-paragraph"/>
        <w:rPr/>
      </w:pPr>
      <w:r>
        <w:rPr/>
        <w:t xml:space="preserve">In the </w:t>
      </w:r>
      <w:r>
        <w:rPr>
          <w:rStyle w:val="wwc-sesame"/>
        </w:rPr>
        <w:t>Second Discourse on Intention</w:t>
      </w:r>
      <w:r>
        <w:rP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rPr/>
        <w:t xml:space="preserve"> implies.</w:t>
      </w:r>
    </w:p>
    <w:p>
      <w:pPr>
        <w:pStyle w:val="WW-chapter-section-1"/>
        <w:ind w:hanging="0" w:start="0"/>
        <w:rPr/>
      </w:pPr>
      <w:r>
        <w:rPr/>
        <w:t>Interpreting the simile of the light beam</w:t>
      </w:r>
    </w:p>
    <w:p>
      <w:pPr>
        <w:pStyle w:val="WW-paragraph"/>
        <w:rPr/>
      </w:pPr>
      <w:r>
        <w:rPr/>
        <w:t xml:space="preserve">But we can wonder, if </w:t>
      </w:r>
      <w:r>
        <w:rPr>
          <w:rStyle w:val="wwc-pali"/>
        </w:rPr>
        <w:t>appatiṭṭhita viññāṇa</w:t>
      </w:r>
      <w:r>
        <w:rP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rPr/>
        <w:t xml:space="preserve"> puts it:</w:t>
      </w:r>
    </w:p>
    <w:p>
      <w:pPr>
        <w:pStyle w:val="WW-named-section"/>
        <w:rPr/>
      </w:pPr>
      <w:r>
        <w:rPr/>
        <w:t>§124</w:t>
      </w:r>
    </w:p>
    <w:p>
      <w:pPr>
        <w:pStyle w:val="WW-blockquote"/>
        <w:rPr/>
      </w:pPr>
      <w:bookmarkStart w:id="131" w:name="bqseg124"/>
      <w:bookmarkEnd w:id="131"/>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5"/>
      </w:r>
    </w:p>
    <w:p>
      <w:pPr>
        <w:pStyle w:val="WW-paragraph"/>
        <w:rPr/>
      </w:pPr>
      <w:r>
        <w:rPr/>
        <w:t>This is a very neat summary of the fundamental principles of the cessation sequence of Dependent Arising. It is all about ending existence through stopping the mental forces that generate rebirth.</w:t>
      </w:r>
    </w:p>
    <w:p>
      <w:pPr>
        <w:pStyle w:val="WW-paragraph"/>
        <w:rPr/>
      </w:pPr>
      <w:r>
        <w:rP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6"/>
      </w:r>
      <w:r>
        <w:rP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7"/>
      </w:r>
      <w:r>
        <w:rPr/>
        <w:t xml:space="preserve"> Not being reborn, consciousness will cease, just like a beam of light traveling through air will eventually fade out.</w:t>
      </w:r>
    </w:p>
    <w:p>
      <w:pPr>
        <w:pStyle w:val="WW-figure"/>
        <w:rPr/>
      </w:pPr>
      <w:r>
        <w:rPr/>
        <w:t>./img/beam.png=A light beam entering a window and hitting a wall. Below is the earth and further below water. The beam is labeled ‘stream of consciousness’, the light on the wall ‘rebirth’, and the wall, earth, and water ‘the three realms’.=30=border</w:t>
        <w:br/>
        <w:t>./img/beamno.png=A light beam entering a window but there is no more wall, earth, or water. The beam fades out into the darkness below. The end of the faded beam is labeled ‘no rebirth’.=30=border</w:t>
        <w:br/>
        <w:t>Figure 27. A fading light beam as a simile for the cessation of consciousness</w:t>
      </w:r>
    </w:p>
    <w:p>
      <w:pPr>
        <w:pStyle w:val="WW-paragraph"/>
        <w:rPr/>
      </w:pPr>
      <w:r>
        <w:rPr/>
        <w:t>It would be wrong to assume the Buddha intended the beam of light, and therefore consciousness, to continue forever. As Langer criticized Harvey, this is “over-interpreting the simile of the sun beam”.</w:t>
      </w:r>
      <w:r>
        <w:rPr>
          <w:rStyle w:val="FootnoteReference"/>
        </w:rPr>
        <w:footnoteReference w:id="498"/>
      </w:r>
      <w:r>
        <w:rP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rPr/>
        <w:t>, which stands for there being no more existence after death, and hence no more consciousness.</w:t>
      </w:r>
    </w:p>
    <w:p>
      <w:pPr>
        <w:pStyle w:val="WW-paragraph"/>
        <w:rPr/>
      </w:pPr>
      <w:r>
        <w:rP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9"/>
      </w:r>
      <w:r>
        <w:rP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pPr>
        <w:pStyle w:val="WW-paragraph"/>
        <w:rPr/>
      </w:pPr>
      <w:r>
        <w:rPr/>
        <w:t xml:space="preserve">The </w:t>
      </w:r>
      <w:r>
        <w:rPr>
          <w:rStyle w:val="wwc-sesame"/>
        </w:rPr>
        <w:t>Saṁyukta Āgama</w:t>
      </w:r>
      <w:r>
        <w:rPr/>
        <w:t xml:space="preserve"> sheds light on the matter too. While the </w:t>
      </w:r>
      <w:r>
        <w:rPr>
          <w:rStyle w:val="wwc-sesame"/>
        </w:rPr>
        <w:t>If There is Desire Discourse</w:t>
      </w:r>
      <w:r>
        <w:rP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500"/>
      </w:r>
      <w:r>
        <w:rPr/>
        <w:t xml:space="preserve"> The idea of being unable to paint on empty space also occurs elsewhere in the Pāli Canon, with no connection to Dependent Arising or consciousness,</w:t>
      </w:r>
      <w:r>
        <w:rPr>
          <w:rStyle w:val="FootnoteReference"/>
        </w:rPr>
        <w:footnoteReference w:id="501"/>
      </w:r>
      <w:r>
        <w:rPr/>
        <w:t xml:space="preserve"> but it seems this idea, although left unspoken in the </w:t>
      </w:r>
      <w:r>
        <w:rPr>
          <w:rStyle w:val="wwc-sesame"/>
        </w:rPr>
        <w:t>If There is Desire Discourse</w:t>
      </w:r>
      <w:r>
        <w:rPr/>
        <w:t>, is also implied there. This imagery clarifies the simile of the beam. Just like no figure can be painted on empty air, a beam of light cannot alight empty air. This, as the parallel sutras also state, stands for there being “no production of future existence” (</w:t>
      </w:r>
      <w:r>
        <w:rPr/>
        <w:t>當來有不生</w:t>
      </w:r>
      <w:r>
        <w:rPr/>
        <w:t>) when “consciousness no longer exists” (</w:t>
      </w:r>
      <w:r>
        <w:rPr/>
        <w:t>識不住</w:t>
      </w:r>
      <w:r>
        <w:rPr/>
        <w:t>).</w:t>
      </w:r>
    </w:p>
    <w:p>
      <w:pPr>
        <w:pStyle w:val="WW-figure"/>
        <w:rPr/>
      </w:pPr>
      <w:r>
        <w:rPr/>
        <w:t>./img/painteryes.png=A painter painting on a canvas=30=border</w:t>
        <w:br/>
        <w:t>./img/painterno.png=A painter painting in thin air=30=border</w:t>
        <w:br/>
        <w:t>Figure 28. Not painting a picture as a simile for the end of rebirth</w:t>
      </w:r>
    </w:p>
    <w:p>
      <w:pPr>
        <w:pStyle w:val="WW-chapter-section-1"/>
        <w:ind w:hanging="0" w:start="0"/>
        <w:rPr/>
      </w:pPr>
      <w:r>
        <w:rPr/>
        <w:t>Consciousness unestablished in this life?</w:t>
      </w:r>
    </w:p>
    <w:p>
      <w:pPr>
        <w:pStyle w:val="WW-paragraph"/>
        <w:rPr/>
      </w:pPr>
      <w:r>
        <w:rPr/>
        <w:t xml:space="preserve">Some authors, although they may not believe in a consciousness after </w:t>
      </w:r>
      <w:r>
        <w:rPr>
          <w:rStyle w:val="wwc-pali"/>
        </w:rPr>
        <w:t>parinibbāna</w:t>
      </w:r>
      <w:r>
        <w:rPr/>
        <w:t xml:space="preserve">, still suggest </w:t>
      </w:r>
      <w:r>
        <w:rPr>
          <w:rStyle w:val="wwc-pali"/>
        </w:rPr>
        <w:t>appatiṭṭhita viññāṇa</w:t>
      </w:r>
      <w:r>
        <w:rPr/>
        <w:t xml:space="preserve"> could be some sort of unestablished consciousness of </w:t>
      </w:r>
      <w:r>
        <w:rPr>
          <w:rStyle w:val="Emphasis"/>
        </w:rPr>
        <w:t>living</w:t>
      </w:r>
      <w:r>
        <w:rPr/>
        <w:t xml:space="preserve"> enlightened beings.</w:t>
      </w:r>
      <w:r>
        <w:rPr>
          <w:rStyle w:val="FootnoteReference"/>
        </w:rPr>
        <w:footnoteReference w:id="502"/>
      </w:r>
      <w:r>
        <w:rP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rPr/>
        <w:t xml:space="preserve">). As Langer explains: “The </w:t>
      </w:r>
      <w:r>
        <w:rPr>
          <w:rStyle w:val="wwc-pali"/>
        </w:rPr>
        <w:t>viññāṇa</w:t>
      </w:r>
      <w:r>
        <w:rPr/>
        <w:t xml:space="preserve"> of an arahant is still </w:t>
      </w:r>
      <w:r>
        <w:rPr>
          <w:rStyle w:val="wwc-pali"/>
        </w:rPr>
        <w:t>patiṭṭha</w:t>
      </w:r>
      <w:r>
        <w:rPr/>
        <w:t>—that is, fixed in a form of existence such as a body—as long as his lifespan is not exhausted.”</w:t>
      </w:r>
      <w:r>
        <w:rPr>
          <w:rStyle w:val="FootnoteReference"/>
        </w:rPr>
        <w:footnoteReference w:id="503"/>
      </w:r>
    </w:p>
    <w:p>
      <w:pPr>
        <w:pStyle w:val="WW-paragraph"/>
        <w:rPr/>
      </w:pPr>
      <w:r>
        <w:rP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rPr/>
        <w:t xml:space="preserve">. As explained, the non-establishment of consciousness refers to its cessation, and this only happens when the enlightened one passes away. </w:t>
      </w:r>
      <w:r>
        <w:rPr>
          <w:rStyle w:val="wwc-pali"/>
        </w:rPr>
        <w:t>Appatiṭṭhita viññāṇa</w:t>
      </w:r>
      <w:r>
        <w:rPr/>
        <w:t xml:space="preserve"> specifically implies the cessation of existence, not an undetached state of mind, which is why the </w:t>
      </w:r>
      <w:r>
        <w:rPr>
          <w:rStyle w:val="wwc-sesame"/>
        </w:rPr>
        <w:t>If There is Desire Discourse</w:t>
      </w:r>
      <w:r>
        <w:rPr/>
        <w:t xml:space="preserve"> follows it directly with “there is no conception of any immaterial aspects and body” and “no existence in a future life is produced”.</w:t>
      </w:r>
    </w:p>
    <w:p>
      <w:pPr>
        <w:pStyle w:val="WW-paragraph"/>
        <w:rPr/>
      </w:pPr>
      <w:r>
        <w:rPr/>
        <w:t xml:space="preserve">In her defense, Langer relies largely on the Seeds Discourse, one line of which she reads as follows: “This non-established consciousness, not growing [or ‘sprouting’], not willing, is </w:t>
      </w:r>
      <w:r>
        <w:rPr>
          <w:rStyle w:val="Emphasis"/>
        </w:rPr>
        <w:t>liberated</w:t>
      </w:r>
      <w:r>
        <w:rPr/>
        <w:t>.”</w:t>
      </w:r>
      <w:r>
        <w:rPr>
          <w:rStyle w:val="FootnoteReference"/>
        </w:rPr>
        <w:footnoteReference w:id="504"/>
      </w:r>
      <w:r>
        <w:rP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5"/>
      </w:r>
      <w:r>
        <w:rPr/>
        <w:t xml:space="preserve"> I translated it as: “Not planted, consciousness will not sprout [in a next life]. And not willing anything, </w:t>
      </w:r>
      <w:r>
        <w:rPr>
          <w:rStyle w:val="Emphasis"/>
        </w:rPr>
        <w:t>the mind</w:t>
      </w:r>
      <w:r>
        <w:rPr/>
        <w:t xml:space="preserve"> is liberated.”</w:t>
      </w:r>
    </w:p>
    <w:p>
      <w:pPr>
        <w:pStyle w:val="WW-chapter-section-1"/>
        <w:ind w:hanging="0" w:start="0"/>
        <w:rPr/>
      </w:pPr>
      <w:r>
        <w:rPr/>
        <w:t>Consciousness after enlightenment</w:t>
      </w:r>
    </w:p>
    <w:p>
      <w:pPr>
        <w:pStyle w:val="WW-paragraph"/>
        <w:rPr/>
      </w:pPr>
      <w:r>
        <w:rP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rP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pPr>
        <w:pStyle w:val="WW-paragraph"/>
        <w:rPr/>
      </w:pPr>
      <w:r>
        <w:rPr/>
        <w:t>But what would that be like? The Buddha once put it very succinctly: “Consciousness of the past and future is temporary, let alone that of the present.”</w:t>
      </w:r>
      <w:r>
        <w:rPr>
          <w:rStyle w:val="FootnoteReference"/>
        </w:rPr>
        <w:footnoteReference w:id="506"/>
      </w:r>
      <w:r>
        <w:rPr/>
        <w:t xml:space="preserve"> He also said:</w:t>
      </w:r>
    </w:p>
    <w:p>
      <w:pPr>
        <w:pStyle w:val="WW-named-section"/>
        <w:rPr/>
      </w:pPr>
      <w:r>
        <w:rPr/>
        <w:t>§125</w:t>
      </w:r>
    </w:p>
    <w:p>
      <w:pPr>
        <w:pStyle w:val="WW-blockquote"/>
        <w:rPr/>
      </w:pPr>
      <w:bookmarkStart w:id="132" w:name="bqseg125"/>
      <w:bookmarkEnd w:id="132"/>
      <w:r>
        <w:rP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7"/>
      </w:r>
    </w:p>
    <w:p>
      <w:pPr>
        <w:pStyle w:val="WW-space"/>
        <w:rPr/>
      </w:pPr>
      <w:r>
        <w:rPr/>
        <w:t>0</w:t>
      </w:r>
    </w:p>
    <w:p>
      <w:pPr>
        <w:pStyle w:val="WW-named-section"/>
        <w:rPr/>
      </w:pPr>
      <w:r>
        <w:rPr/>
        <w:t>§126</w:t>
      </w:r>
    </w:p>
    <w:p>
      <w:pPr>
        <w:pStyle w:val="WW-blockquote"/>
        <w:rPr/>
      </w:pPr>
      <w:bookmarkStart w:id="133" w:name="bqseg126"/>
      <w:bookmarkEnd w:id="133"/>
      <w:r>
        <w:rP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8"/>
      </w:r>
      <w:r>
        <w:rP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pPr>
        <w:pStyle w:val="WW-blockquote"/>
        <w:rPr/>
      </w:pPr>
      <w:r>
        <w:rP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9"/>
      </w:r>
    </w:p>
    <w:p>
      <w:pPr>
        <w:pStyle w:val="WW-paragraph"/>
        <w:rPr/>
      </w:pPr>
      <w:r>
        <w:rP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pPr>
        <w:pStyle w:val="WW-paragraph"/>
        <w:rPr/>
      </w:pPr>
      <w:r>
        <w:rP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pPr>
        <w:pStyle w:val="WW-paragraph"/>
        <w:rPr/>
      </w:pPr>
      <w:r>
        <w:rPr/>
        <w:t>The noble ones also know that consciousness cannot be featureless or without object—the very opposite, in fact. They see that all sensations, and hence all consciousness</w:t>
      </w:r>
      <w:r>
        <w:rPr>
          <w:rStyle w:val="Emphasis"/>
        </w:rPr>
        <w:t>es</w:t>
      </w:r>
      <w:r>
        <w:rPr/>
        <w:t xml:space="preserve">, depend on sense impressions, which in turn depend on the six senses. This is part of their insight into </w:t>
      </w:r>
      <w:r>
        <w:rPr>
          <w:rStyle w:val="wwc-pali"/>
        </w:rPr>
        <w:t>anatta</w:t>
      </w:r>
      <w:r>
        <w:rPr/>
        <w:t>:</w:t>
      </w:r>
    </w:p>
    <w:p>
      <w:pPr>
        <w:pStyle w:val="WW-named-section"/>
        <w:rPr/>
      </w:pPr>
      <w:r>
        <w:rPr/>
        <w:t>§127</w:t>
      </w:r>
    </w:p>
    <w:p>
      <w:pPr>
        <w:pStyle w:val="WW-blockquote"/>
        <w:rPr/>
      </w:pPr>
      <w:bookmarkStart w:id="134" w:name="bqseg127"/>
      <w:bookmarkEnd w:id="134"/>
      <w:r>
        <w:rPr/>
        <w:t>[Moḷiyaphagguna:] “Venerable sir, who has sense impressions?”</w:t>
      </w:r>
      <w:r>
        <w:rPr>
          <w:rStyle w:val="FootnoteReference"/>
        </w:rPr>
        <w:footnoteReference w:id="510"/>
      </w:r>
    </w:p>
    <w:p>
      <w:pPr>
        <w:pStyle w:val="WW-blockquote"/>
        <w:rPr/>
      </w:pPr>
      <w:r>
        <w:rPr/>
        <w:t>“</w:t>
      </w:r>
      <w:r>
        <w:rPr/>
        <w:t xml:space="preserve">That is not a valid question,” the Buddha replied. “I don’t say that </w:t>
      </w:r>
      <w:r>
        <w:rPr>
          <w:rStyle w:val="Emphasis"/>
        </w:rPr>
        <w:t>somebody</w:t>
      </w:r>
      <w:r>
        <w:rP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pPr>
        <w:pStyle w:val="WW-blockquote"/>
        <w:rPr/>
      </w:pPr>
      <w:r>
        <w:rPr/>
        <w:t>“</w:t>
      </w:r>
      <w:r>
        <w:rPr/>
        <w:t>Venerable sir, who senses [sensations]?”</w:t>
      </w:r>
    </w:p>
    <w:p>
      <w:pPr>
        <w:pStyle w:val="WW-blockquote"/>
        <w:rPr/>
      </w:pPr>
      <w:r>
        <w:rPr/>
        <w:t>“</w:t>
      </w:r>
      <w:r>
        <w:rPr/>
        <w:t xml:space="preserve">That is not a valid question,” the Buddha replied. “I don’t say that </w:t>
      </w:r>
      <w:r>
        <w:rPr>
          <w:rStyle w:val="Emphasis"/>
        </w:rPr>
        <w:t>somebody</w:t>
      </w:r>
      <w:r>
        <w:rP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1"/>
      </w:r>
    </w:p>
    <w:p>
      <w:pPr>
        <w:pStyle w:val="WW-paragraph"/>
        <w:rPr/>
      </w:pPr>
      <w:r>
        <w:rPr/>
        <w:t>Some interpretations of Dependent Arising suggest sense impression (or ‘contact’) is the arising of the sense of ‘I’ when things are “contacted”.</w:t>
      </w:r>
      <w:r>
        <w:rPr>
          <w:rStyle w:val="FootnoteReference"/>
        </w:rPr>
        <w:footnoteReference w:id="512"/>
      </w:r>
      <w:r>
        <w:rP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rP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3"/>
      </w:r>
    </w:p>
    <w:p>
      <w:pPr>
        <w:pStyle w:val="WW-paragraph"/>
        <w:rPr/>
      </w:pPr>
      <w:r>
        <w:rP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4"/>
      </w:r>
      <w:r>
        <w:rPr/>
        <w:t xml:space="preserve"> Venerable Anālayo already critiqued such views, stating: “The subject-object duality is not problematized in early Buddhist thought.”</w:t>
      </w:r>
      <w:r>
        <w:rPr>
          <w:rStyle w:val="FootnoteReference"/>
        </w:rPr>
        <w:footnoteReference w:id="515"/>
      </w:r>
      <w:r>
        <w:rP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rPr/>
        <w:t>, the same word as in Advaita).</w:t>
      </w:r>
      <w:r>
        <w:rPr>
          <w:rStyle w:val="FootnoteReference"/>
        </w:rPr>
        <w:footnoteReference w:id="516"/>
      </w:r>
      <w:r>
        <w:rPr/>
        <w:t xml:space="preserve"> As the </w:t>
      </w:r>
      <w:r>
        <w:rPr>
          <w:rStyle w:val="wwc-sesame"/>
        </w:rPr>
        <w:t>Discourse on the Foolish and Wise</w:t>
      </w:r>
      <w:r>
        <w:rPr/>
        <w:t xml:space="preserve"> said, this pair still exists for the wise.</w:t>
      </w:r>
      <w:r>
        <w:rPr>
          <w:rStyle w:val="FootnoteReference"/>
        </w:rPr>
        <w:footnoteReference w:id="517"/>
      </w:r>
      <w:r>
        <w:rPr/>
        <w:t xml:space="preserve"> Consciousness isn’t nondual. It is very much dual, including that of the enlightened—and in a sense </w:t>
      </w:r>
      <w:r>
        <w:rPr>
          <w:rStyle w:val="Emphasis"/>
        </w:rPr>
        <w:t>especially</w:t>
      </w:r>
      <w:r>
        <w:rPr/>
        <w:t xml:space="preserve"> that of the enlightened, as they don’t have the feeling of “sameness” in consciousness anymore.</w:t>
      </w:r>
    </w:p>
    <w:p>
      <w:pPr>
        <w:pStyle w:val="WW-chapter-section-1"/>
        <w:ind w:hanging="0" w:start="0"/>
        <w:rPr/>
      </w:pPr>
      <w:r>
        <w:rPr/>
        <w:t>Consciousness as a magic trick</w:t>
      </w:r>
    </w:p>
    <w:p>
      <w:pPr>
        <w:pStyle w:val="WW-paragraph"/>
        <w:rPr/>
      </w:pPr>
      <w:r>
        <w:rPr/>
        <w:t>Of all five aspects of existence consciousness is especially prone to illusions of sameness and self. This may explain why another simile compares it to a magic trick:</w:t>
      </w:r>
    </w:p>
    <w:p>
      <w:pPr>
        <w:pStyle w:val="WW-named-section"/>
        <w:rPr/>
      </w:pPr>
      <w:r>
        <w:rPr/>
        <w:t>§128</w:t>
      </w:r>
    </w:p>
    <w:p>
      <w:pPr>
        <w:pStyle w:val="WW-blockquote"/>
        <w:rPr/>
      </w:pPr>
      <w:bookmarkStart w:id="135" w:name="bqseg128"/>
      <w:bookmarkEnd w:id="135"/>
      <w:r>
        <w:rP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8"/>
      </w:r>
    </w:p>
    <w:p>
      <w:pPr>
        <w:pStyle w:val="WW-paragraph"/>
        <w:rPr/>
      </w:pPr>
      <w:r>
        <w:rPr/>
        <w:t>This is all the discourses say about this simile, so we must be careful when making any inferences beyond those obviously intended. It is incorrect to say consciousness creates the illusion, for instance.</w:t>
      </w:r>
      <w:r>
        <w:rPr>
          <w:rStyle w:val="FootnoteReference"/>
        </w:rPr>
        <w:footnoteReference w:id="519"/>
      </w:r>
      <w:r>
        <w:rP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pPr>
        <w:pStyle w:val="WW-paragraph"/>
        <w:rPr/>
      </w:pPr>
      <w:r>
        <w:rPr/>
        <w:t>Enlightened beings have seen the empty nature of the five aspects of existence completely. They still experience them, but they no longer perceive a self in it, no longer identify with it. A well-known passage also explains this:</w:t>
      </w:r>
    </w:p>
    <w:p>
      <w:pPr>
        <w:pStyle w:val="WW-named-section"/>
        <w:rPr/>
      </w:pPr>
      <w:r>
        <w:rPr/>
        <w:t>§129</w:t>
      </w:r>
    </w:p>
    <w:p>
      <w:pPr>
        <w:pStyle w:val="WW-blockquote"/>
        <w:rPr/>
      </w:pPr>
      <w:bookmarkStart w:id="136" w:name="bqseg129"/>
      <w:bookmarkEnd w:id="136"/>
      <w:r>
        <w:rPr/>
        <w:t xml:space="preserve">Any kind of form … sensation … perception … will … consciousness in terms of which you might declare there to be </w:t>
      </w:r>
      <w:r>
        <w:rPr>
          <w:rStyle w:val="Emphasis"/>
        </w:rPr>
        <w:t>a truth</w:t>
        <w:softHyphen/>
        <w:t>finder</w:t>
      </w:r>
      <w:r>
        <w:rPr/>
        <w:t>, truth</w:t>
        <w:softHyphen/>
        <w:t>finders have let go of. They cut it off at its roots, made it like a palm stump, put an end to it, so that it will not rearise in the future. Truth</w:t>
        <w:softHyphen/>
        <w:t>finders no longer identify with consciousness, being as deep, as difficult to get to the bottom of, and as hard to fathom as the ocean.</w:t>
      </w:r>
      <w:r>
        <w:rPr>
          <w:rStyle w:val="FootnoteReference"/>
        </w:rPr>
        <w:footnoteReference w:id="520"/>
      </w:r>
    </w:p>
    <w:p>
      <w:pPr>
        <w:pStyle w:val="WW-paragraph"/>
        <w:rPr/>
      </w:pPr>
      <w:r>
        <w:rPr/>
        <w:t>The passage is a bit cryptic. Notice first that the Buddha says truth</w:t>
        <w:softHyphen/>
        <w:t xml:space="preserve">finders (which here stands for any enlightened beings) made the aspects of existence not rearise </w:t>
      </w:r>
      <w:r>
        <w:rPr>
          <w:rStyle w:val="Emphasis"/>
        </w:rPr>
        <w:t>in the future</w:t>
      </w:r>
      <w:r>
        <w:rP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pPr>
        <w:pStyle w:val="WW-paragraph"/>
        <w:rPr/>
      </w:pPr>
      <w:r>
        <w:rPr/>
        <w:t xml:space="preserve">Others might say or “declare” that there is a truly existent </w:t>
      </w:r>
      <w:r>
        <w:rPr>
          <w:rStyle w:val="Emphasis"/>
        </w:rPr>
        <w:t>truth</w:t>
        <w:softHyphen/>
        <w:t>finder</w:t>
      </w:r>
      <w:r>
        <w:rPr/>
        <w:t xml:space="preserve"> in terms of consciousness, that there is </w:t>
      </w:r>
      <w:r>
        <w:rPr>
          <w:rStyle w:val="Emphasis"/>
        </w:rPr>
        <w:t>a truth</w:t>
        <w:softHyphen/>
        <w:t>finder</w:t>
      </w:r>
      <w:r>
        <w:rPr/>
        <w:t xml:space="preserve"> who </w:t>
      </w:r>
      <w:r>
        <w:rPr>
          <w:rStyle w:val="Emphasis"/>
        </w:rPr>
        <w:t>has</w:t>
      </w:r>
      <w:r>
        <w:rPr/>
        <w:t xml:space="preserve">, </w:t>
      </w:r>
      <w:r>
        <w:rPr>
          <w:rStyle w:val="Emphasis"/>
        </w:rPr>
        <w:t>is</w:t>
      </w:r>
      <w:r>
        <w:rPr/>
        <w:t xml:space="preserve">, or </w:t>
      </w:r>
      <w:r>
        <w:rPr>
          <w:rStyle w:val="Emphasis"/>
        </w:rPr>
        <w:t>owns</w:t>
      </w:r>
      <w:r>
        <w:rPr/>
        <w:t xml:space="preserve"> consciousness. But to the enlightened one there is just essence-less consciousness without any owner or experiencer. They no longer identify with consciousness in any way. They no longer identify with the label ‘truth</w:t>
        <w:softHyphen/>
        <w:t>finder’ either, which others reify to be some kind of being or self. This lack of identification is deep and hard to fathom.</w:t>
      </w:r>
    </w:p>
    <w:p>
      <w:pPr>
        <w:pStyle w:val="WW-paragraph"/>
        <w:rPr/>
      </w:pPr>
      <w:r>
        <w:rPr/>
        <w:t>The next chapter discusses this absence of a self (</w:t>
      </w:r>
      <w:r>
        <w:rPr>
          <w:rStyle w:val="wwc-pali"/>
        </w:rPr>
        <w:t>anatta</w:t>
      </w:r>
      <w:r>
        <w:rPr/>
        <w:t>) further. It is nearly impossible to put this principle into words without sounding alien. Even saying “</w:t>
      </w:r>
      <w:r>
        <w:rPr>
          <w:rStyle w:val="Emphasis"/>
        </w:rPr>
        <w:t>they</w:t>
      </w:r>
      <w:r>
        <w:rPr/>
        <w:t xml:space="preserve"> don’t identify” already implies too much, because there is no substantial, unchanging </w:t>
      </w:r>
      <w:r>
        <w:rPr>
          <w:rStyle w:val="Emphasis"/>
        </w:rPr>
        <w:t>they</w:t>
      </w:r>
      <w:r>
        <w:rPr/>
        <w:t xml:space="preserve"> as such. Therefore, when the Buddha says truth</w:t>
        <w:softHyphen/>
        <w:t>finders are like an ocean, it doesn’t mean that truth</w:t>
        <w:softHyphen/>
        <w:t>finders truly exist as an entity.</w:t>
      </w:r>
      <w:r>
        <w:rPr>
          <w:rStyle w:val="FootnoteReference"/>
        </w:rPr>
        <w:footnoteReference w:id="521"/>
      </w:r>
      <w:r>
        <w:rPr/>
        <w:t xml:space="preserve"> It is just a way of speaking, another metaphor. In fact, too get overly philosophical, even ‘ocean’ is just a concept that only exists in the mind, just a name for a collection of water droplets that constantly evaporate and rain down again.</w:t>
      </w:r>
    </w:p>
    <w:p>
      <w:pPr>
        <w:pStyle w:val="WW-paragraph"/>
        <w:rPr/>
      </w:pPr>
      <w:r>
        <w:rPr/>
        <w:t>“</w:t>
      </w:r>
      <w:r>
        <w:rPr/>
        <w:t>Their” insight into the temporary and empty nature of consciousness makes “truth</w:t>
        <w:softHyphen/>
        <w:t>finders” drop all attachment to it. The cessation of consciousness will be perceived as a higher peace, with consciousness considered to be suffering in comparison. With this insight, consciousness will not be planted (</w:t>
      </w:r>
      <w:r>
        <w:rPr>
          <w:rStyle w:val="wwc-pali"/>
        </w:rPr>
        <w:t>appatiṭṭhita viññāṇa</w:t>
      </w:r>
      <w:r>
        <w:rPr/>
        <w:t>) in a next life. Not being replanted, consciousness will cease. It’s like the computer screen turns to black after the shutdown sequence.</w:t>
      </w:r>
      <w:r>
        <w:br w:type="page"/>
      </w:r>
    </w:p>
    <w:p>
      <w:pPr>
        <w:pStyle w:val="WW-Chapter"/>
        <w:spacing w:before="0" w:after="567"/>
        <w:ind w:hanging="0" w:start="0"/>
        <w:rPr/>
      </w:pPr>
      <w:bookmarkStart w:id="137" w:name="chapter12"/>
      <w:bookmarkEnd w:id="137"/>
      <w:r>
        <w:rPr/>
        <w:t>12. No support for consciousness</w:t>
      </w:r>
    </w:p>
    <w:p>
      <w:pPr>
        <w:pStyle w:val="WW-paragraph"/>
        <w:rPr/>
      </w:pPr>
      <w:r>
        <w:rPr/>
        <w:t xml:space="preserve">The previous chapter answered the question we set out to answer: what does </w:t>
      </w:r>
      <w:r>
        <w:rPr>
          <w:rStyle w:val="wwc-pali"/>
        </w:rPr>
        <w:t>appatiṭṭhita viññāṇa</w:t>
      </w:r>
      <w:r>
        <w:rP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rPr/>
        <w:t xml:space="preserve"> by anything.</w:t>
      </w:r>
    </w:p>
    <w:p>
      <w:pPr>
        <w:pStyle w:val="WW-chapter-section-1"/>
        <w:ind w:hanging="0" w:start="0"/>
        <w:rPr/>
      </w:pPr>
      <w:r>
        <w:rPr/>
        <w:t>Godhika’s passing away</w:t>
      </w:r>
    </w:p>
    <w:p>
      <w:pPr>
        <w:pStyle w:val="WW-paragraph"/>
        <w:rPr/>
      </w:pPr>
      <w:r>
        <w:rP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pPr>
        <w:pStyle w:val="WW-named-section"/>
        <w:rPr/>
      </w:pPr>
      <w:r>
        <w:rPr/>
        <w:t>§130</w:t>
      </w:r>
    </w:p>
    <w:p>
      <w:pPr>
        <w:pStyle w:val="WW-blockquote"/>
        <w:rPr/>
      </w:pPr>
      <w:bookmarkStart w:id="138" w:name="bqseg130"/>
      <w:bookmarkEnd w:id="138"/>
      <w:r>
        <w:rPr/>
        <w:t>That is Māra the Evil One seeking for Godhika’s consciousness, wondering: ‘Where is Godhika’s consciousness planted?’ But with no consciousness planted anywhere, Godhika was fully extinguished.</w:t>
      </w:r>
    </w:p>
    <w:p>
      <w:pPr>
        <w:pStyle w:val="WW-paragraph"/>
        <w:rPr/>
      </w:pPr>
      <w:r>
        <w:rPr/>
        <w:t>Māra then says:</w:t>
      </w:r>
    </w:p>
    <w:p>
      <w:pPr>
        <w:pStyle w:val="WW-line-block"/>
        <w:rPr/>
      </w:pPr>
      <w:r>
        <w:rPr/>
        <w:t>I searched above, below, and across,</w:t>
        <w:br/>
        <w:t>in the four quarters and in between,</w:t>
        <w:br/>
        <w:t>but could not find</w:t>
        <w:br/>
        <w:t>where Godhika has gone.</w:t>
      </w:r>
    </w:p>
    <w:p>
      <w:pPr>
        <w:pStyle w:val="WW-paragraph"/>
        <w:rPr/>
      </w:pPr>
      <w:r>
        <w:rPr/>
        <w:t>The Buddha replies:</w:t>
      </w:r>
    </w:p>
    <w:p>
      <w:pPr>
        <w:pStyle w:val="WW-line-block"/>
        <w:rPr/>
      </w:pPr>
      <w:r>
        <w:rPr/>
        <w:t>Having defeated the army of Mortality,</w:t>
        <w:br/>
        <w:t>not coming back to another life,</w:t>
        <w:br/>
        <w:t>having pulled out craving with its root,</w:t>
        <w:br/>
        <w:t>Godhika got fully extinguished.</w:t>
      </w:r>
      <w:r>
        <w:rPr>
          <w:rStyle w:val="FootnoteReference"/>
        </w:rPr>
        <w:footnoteReference w:id="522"/>
      </w:r>
    </w:p>
    <w:p>
      <w:pPr>
        <w:pStyle w:val="WW-paragraph"/>
        <w:rPr/>
      </w:pPr>
      <w:r>
        <w:rPr/>
        <w:t>Mortality (</w:t>
      </w:r>
      <w:r>
        <w:rPr>
          <w:rStyle w:val="wwc-pali"/>
        </w:rPr>
        <w:t>maccu</w:t>
      </w:r>
      <w:r>
        <w:rPr/>
        <w:t>) is another name for Māra (lit. death/killer), who is death personified. His army is the mental defilements.</w:t>
      </w:r>
      <w:r>
        <w:rPr>
          <w:rStyle w:val="FootnoteReference"/>
        </w:rPr>
        <w:footnoteReference w:id="523"/>
      </w:r>
      <w:r>
        <w:rPr/>
        <w:t xml:space="preserve"> Just like this army of Mortality is a symbolism, the overall story of this discourse may symbolic too, with the inability to be found by Māra representing Godhika’s escape from death. I am also skeptical of highly developed beings committing suicide, but for the sake of discussion I will treat the discourse literally from hereon.</w:t>
      </w:r>
    </w:p>
    <w:p>
      <w:pPr>
        <w:pStyle w:val="WW-paragraph"/>
        <w:rPr/>
      </w:pPr>
      <w:r>
        <w:rPr/>
        <w:t xml:space="preserve">Notice that Māra says he searched for where </w:t>
      </w:r>
      <w:r>
        <w:rPr>
          <w:rStyle w:val="Emphasis"/>
        </w:rPr>
        <w:t>Godhika had gone</w:t>
      </w:r>
      <w:r>
        <w:rPr/>
        <w:t xml:space="preserve"> and the Buddha says Māra searched for where </w:t>
      </w:r>
      <w:r>
        <w:rPr>
          <w:rStyle w:val="Emphasis"/>
        </w:rPr>
        <w:t>consciousness was planted</w:t>
      </w:r>
      <w:r>
        <w:rPr/>
        <w:t>. This confirms two things I suggested earlier: that consciousness can refer to the person more generally, and that its planting refers to going to a certain place after death.</w:t>
      </w:r>
    </w:p>
    <w:p>
      <w:pPr>
        <w:pStyle w:val="WW-paragraph"/>
        <w:rPr/>
      </w:pPr>
      <w:r>
        <w:rPr/>
        <w:t>As discussed in the previous chapter, there have been suggestions that ‘with no consciousness planted’ (</w:t>
      </w:r>
      <w:r>
        <w:rPr>
          <w:rStyle w:val="wwc-pali"/>
        </w:rPr>
        <w:t>appatiṭṭha viññāṇa</w:t>
      </w:r>
      <w:r>
        <w:rP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rPr/>
        <w:t>). This idea is accordingly translated as “where his consciousness was reborn” (</w:t>
      </w:r>
      <w:r>
        <w:rPr/>
        <w:t>識神當生何處</w:t>
      </w:r>
      <w:r>
        <w:rPr/>
        <w:t xml:space="preserve">) in a </w:t>
      </w:r>
      <w:r>
        <w:rPr>
          <w:rStyle w:val="wwc-sesame"/>
        </w:rPr>
        <w:t>Saṁyukta Āgama</w:t>
      </w:r>
      <w:r>
        <w:rPr/>
        <w:t xml:space="preserve"> parallel to the </w:t>
      </w:r>
      <w:r>
        <w:rPr>
          <w:rStyle w:val="wwc-sesame"/>
        </w:rPr>
        <w:t>Vakkali Sutta</w:t>
      </w:r>
      <w:r>
        <w:rPr/>
        <w:t>, a text about a monk named Vakkali with a very similar storyline.</w:t>
      </w:r>
      <w:r>
        <w:rPr>
          <w:rStyle w:val="FootnoteReference"/>
        </w:rPr>
        <w:footnoteReference w:id="524"/>
      </w:r>
      <w:r>
        <w:rPr/>
        <w:t xml:space="preserve"> In an </w:t>
      </w:r>
      <w:r>
        <w:rPr>
          <w:rStyle w:val="wwc-sesame"/>
        </w:rPr>
        <w:t>Ekottarika</w:t>
      </w:r>
      <w:r>
        <w:rPr/>
        <w:t xml:space="preserve"> parallel, Māra wonders where Vakkali’s consciousness was established (</w:t>
      </w:r>
      <w:r>
        <w:rPr/>
        <w:t>識為何所在</w:t>
      </w:r>
      <w:r>
        <w:rPr/>
        <w:t>), in what realm it was reborn and where it had travelled on to (</w:t>
      </w:r>
      <w:r>
        <w:rPr/>
        <w:t>在何處生遊</w:t>
      </w:r>
      <w:r>
        <w:rPr/>
        <w:t>), whether he had become human or non-human, a god or spirit or such.</w:t>
      </w:r>
      <w:r>
        <w:rPr>
          <w:rStyle w:val="FootnoteReference"/>
        </w:rPr>
        <w:footnoteReference w:id="525"/>
      </w:r>
      <w:r>
        <w:rPr/>
        <w:t xml:space="preserve"> Both parallels confirm that the process that gets reborn was called ‘consciousness’</w:t>
      </w:r>
      <w:r>
        <w:rPr>
          <w:rStyle w:val="FootnoteReference"/>
        </w:rPr>
        <w:footnoteReference w:id="526"/>
      </w:r>
      <w:r>
        <w:rPr/>
        <w:t xml:space="preserve"> and that the planting of consciousness refers to being reborn in a certain place. In this light it makes sense for the </w:t>
      </w:r>
      <w:r>
        <w:rPr>
          <w:rStyle w:val="Emphasis"/>
        </w:rPr>
        <w:t>not</w:t>
      </w:r>
      <w:r>
        <w:rP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rPr/>
        <w:t xml:space="preserve"> liberation of mind, which refers to states of meditation.</w:t>
      </w:r>
      <w:r>
        <w:rPr>
          <w:rStyle w:val="FootnoteReference"/>
        </w:rPr>
        <w:footnoteReference w:id="527"/>
      </w:r>
      <w:r>
        <w:rPr/>
        <w:t xml:space="preserve"> He attained enlightenment only at the point of dying, at which moment he didn’t plant his consciousness in a new state of existence.</w:t>
      </w:r>
    </w:p>
    <w:p>
      <w:pPr>
        <w:pStyle w:val="WW-paragraph"/>
        <w:rPr/>
      </w:pPr>
      <w:r>
        <w:rPr/>
        <w:t>After they pass away, enlightened beings “have no destination”, because they “broke apart transmigration, cut off all destinations, won’t have a next life” and “will not be reborn anywhere at all”.</w:t>
      </w:r>
      <w:r>
        <w:rPr>
          <w:rStyle w:val="FootnoteReference"/>
        </w:rPr>
        <w:footnoteReference w:id="528"/>
      </w:r>
      <w:r>
        <w:rPr/>
        <w:t xml:space="preserve"> That is something the ordinary gods don’t understand, which is why Māra kept looking for Godhika.</w:t>
      </w:r>
    </w:p>
    <w:p>
      <w:pPr>
        <w:pStyle w:val="WW-paragraph"/>
        <w:rPr/>
      </w:pPr>
      <w:r>
        <w:rPr/>
        <w:t>The Buddha also said:</w:t>
      </w:r>
    </w:p>
    <w:p>
      <w:pPr>
        <w:pStyle w:val="WW-named-section"/>
        <w:rPr/>
      </w:pPr>
      <w:r>
        <w:rPr/>
        <w:t>§131</w:t>
      </w:r>
    </w:p>
    <w:p>
      <w:pPr>
        <w:pStyle w:val="WW-line-block"/>
        <w:rPr/>
      </w:pPr>
      <w:bookmarkStart w:id="139" w:name="bqseg131"/>
      <w:bookmarkEnd w:id="139"/>
      <w:r>
        <w:rPr/>
        <w:t>Enlightened, without defilements—</w:t>
        <w:br/>
        <w:t>gods, spirits, and humans</w:t>
        <w:br/>
        <w:t>do not understand their destination:</w:t>
        <w:br/>
        <w:t>them I call brahmins.</w:t>
      </w:r>
      <w:r>
        <w:rPr>
          <w:rStyle w:val="FootnoteReference"/>
        </w:rPr>
        <w:footnoteReference w:id="529"/>
      </w:r>
    </w:p>
    <w:p>
      <w:pPr>
        <w:pStyle w:val="WW-paragraph"/>
        <w:rPr/>
      </w:pPr>
      <w:r>
        <w:rP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pPr>
        <w:pStyle w:val="WW-paragraph"/>
        <w:rPr/>
      </w:pPr>
      <w:r>
        <w:rPr/>
        <w:t xml:space="preserve">The reason Māra could not find Godhika’s consciousness is that, as the Buddha states, Godhika got fully extinguished. This refers to </w:t>
      </w:r>
      <w:r>
        <w:rPr>
          <w:rStyle w:val="wwc-pali"/>
        </w:rPr>
        <w:t>parinibbāna</w:t>
      </w:r>
      <w:r>
        <w:rPr/>
        <w:t>, the passing away of an enlightened being. At that time consciousness, not being planted again in any realm of existence, comes to an end:</w:t>
      </w:r>
    </w:p>
    <w:p>
      <w:pPr>
        <w:pStyle w:val="WW-named-section"/>
        <w:rPr/>
      </w:pPr>
      <w:r>
        <w:rPr/>
        <w:t>§132</w:t>
      </w:r>
    </w:p>
    <w:p>
      <w:pPr>
        <w:pStyle w:val="WW-line-block"/>
        <w:rPr/>
      </w:pPr>
      <w:bookmarkStart w:id="140" w:name="bqseg132"/>
      <w:bookmarkEnd w:id="140"/>
      <w:r>
        <w:rPr/>
        <w:t>Suffering depends on consciousness.</w:t>
        <w:br/>
        <w:t>After you know this problem,</w:t>
        <w:br/>
        <w:t>being hungerless, you get fully extinguished,</w:t>
        <w:br/>
        <w:t>when consciousness subsides.</w:t>
      </w:r>
      <w:r>
        <w:rPr>
          <w:rStyle w:val="FootnoteReference"/>
        </w:rPr>
        <w:footnoteReference w:id="530"/>
      </w:r>
    </w:p>
    <w:p>
      <w:pPr>
        <w:pStyle w:val="WW-paragraph"/>
        <w:rPr/>
      </w:pPr>
      <w:r>
        <w:rPr/>
        <w:t xml:space="preserve">A </w:t>
      </w:r>
      <w:r>
        <w:rPr>
          <w:rStyle w:val="wwc-sesame"/>
        </w:rPr>
        <w:t>Saṁyukta Āgama</w:t>
      </w:r>
      <w:r>
        <w:rPr/>
        <w:t xml:space="preserve"> parallel to the </w:t>
      </w:r>
      <w:r>
        <w:rPr>
          <w:rStyle w:val="wwc-sesame"/>
        </w:rPr>
        <w:t>Godhika Sutta</w:t>
      </w:r>
      <w:r>
        <w:rPr/>
        <w:t xml:space="preserve"> verifies this understanding. It says Godhika attained </w:t>
      </w:r>
      <w:r>
        <w:rPr>
          <w:rStyle w:val="wwc-pali"/>
        </w:rPr>
        <w:t>nirvāṇa</w:t>
      </w:r>
      <w:r>
        <w:rPr/>
        <w:t>, where there exists no consciousness (</w:t>
      </w:r>
      <w:r>
        <w:rPr/>
        <w:t>涅槃無有神識</w:t>
      </w:r>
      <w:r>
        <w:rPr/>
        <w:t>), and he did not go to any place (</w:t>
      </w:r>
      <w:r>
        <w:rPr/>
        <w:t>無所至方</w:t>
      </w:r>
      <w:r>
        <w:rPr/>
        <w:t>).</w:t>
      </w:r>
      <w:r>
        <w:rPr>
          <w:rStyle w:val="FootnoteReference"/>
        </w:rPr>
        <w:footnoteReference w:id="531"/>
      </w:r>
      <w:r>
        <w:rPr/>
        <w:t xml:space="preserve"> The latter expression appears to refers to </w:t>
      </w:r>
      <w:r>
        <w:rPr>
          <w:rStyle w:val="wwc-pali"/>
        </w:rPr>
        <w:t>appatiṭṭhita</w:t>
      </w:r>
      <w:r>
        <w:rPr/>
        <w:t xml:space="preserve"> and might even be a translation of its Sanskrit equivalent. So to conclude this brief analysis of the </w:t>
      </w:r>
      <w:r>
        <w:rPr>
          <w:rStyle w:val="wwc-sesame"/>
        </w:rPr>
        <w:t>Godhika Sutta</w:t>
      </w:r>
      <w:r>
        <w:rPr/>
        <w:t xml:space="preserve">: the Āgama parallels interpret </w:t>
      </w:r>
      <w:r>
        <w:rPr>
          <w:rStyle w:val="wwc-pali"/>
        </w:rPr>
        <w:t>appatiṭṭhita viññāṇa</w:t>
      </w:r>
      <w:r>
        <w:rPr/>
        <w:t xml:space="preserve"> just as suggested here, as referring to the cessation of consciousness when there is no rebirth, when consciousness is not reestablished in any realm.</w:t>
      </w:r>
    </w:p>
    <w:p>
      <w:pPr>
        <w:pStyle w:val="WW-chapter-section-1"/>
        <w:ind w:hanging="0" w:start="0"/>
        <w:rPr/>
      </w:pPr>
      <w:r>
        <w:rPr/>
        <w:t>Why the gods can’t find a Tathāgata</w:t>
      </w:r>
    </w:p>
    <w:p>
      <w:pPr>
        <w:pStyle w:val="WW-paragraph"/>
        <w:rPr/>
      </w:pPr>
      <w:r>
        <w:rPr/>
        <w:t xml:space="preserve">Māra was not the only divine being seeking in vain for the consciousness of an enlightened being who passed away. In the </w:t>
      </w:r>
      <w:r>
        <w:rPr>
          <w:rStyle w:val="wwc-sesame"/>
        </w:rPr>
        <w:t>Simile of the Snake Discourse</w:t>
      </w:r>
      <w:r>
        <w:rPr/>
        <w:t>, after giving a lengthy teaching on enlightenment and the non-existence of a self, the Buddha describes other gods (</w:t>
      </w:r>
      <w:r>
        <w:rPr>
          <w:rStyle w:val="wwc-pali"/>
        </w:rPr>
        <w:t>devas</w:t>
      </w:r>
      <w:r>
        <w:rPr/>
        <w:t>) doing the same, failing to find a truth</w:t>
        <w:softHyphen/>
        <w:t>finder. In this context ‘truth</w:t>
        <w:softHyphen/>
        <w:t>finder’ (</w:t>
      </w:r>
      <w:r>
        <w:rPr>
          <w:rStyle w:val="wwc-pali"/>
        </w:rPr>
        <w:t>tathāgata</w:t>
      </w:r>
      <w:r>
        <w:rPr/>
        <w:t>)</w:t>
      </w:r>
      <w:r>
        <w:rPr>
          <w:rStyle w:val="FootnoteReference"/>
        </w:rPr>
        <w:footnoteReference w:id="532"/>
      </w:r>
      <w:r>
        <w:rPr/>
        <w:t xml:space="preserve"> refers to any enlightened being, not just the Buddha.</w:t>
      </w:r>
    </w:p>
    <w:p>
      <w:pPr>
        <w:pStyle w:val="WW-named-section"/>
        <w:rPr/>
      </w:pPr>
      <w:r>
        <w:rPr/>
        <w:t>§133</w:t>
      </w:r>
    </w:p>
    <w:p>
      <w:pPr>
        <w:pStyle w:val="WW-blockquote"/>
        <w:rPr/>
      </w:pPr>
      <w:bookmarkStart w:id="141" w:name="bqseg133"/>
      <w:bookmarkEnd w:id="141"/>
      <w:r>
        <w:rPr/>
        <w:t>When the gods including Indra, Brahmā, and Pajāpati seek for a mendicant who had such a liberated mind, wondering what that truth</w:t>
        <w:softHyphen/>
        <w:t xml:space="preserve">finder’s consciousness is supported by, they will not find it. Why? Even while alive there is no </w:t>
      </w:r>
      <w:r>
        <w:rPr>
          <w:rStyle w:val="Emphasis"/>
        </w:rPr>
        <w:t>truth</w:t>
        <w:softHyphen/>
        <w:t>finder</w:t>
      </w:r>
      <w:r>
        <w:rPr/>
        <w:t xml:space="preserve"> to be found, I tell you.</w:t>
      </w:r>
    </w:p>
    <w:p>
      <w:pPr>
        <w:pStyle w:val="WW-blockquote"/>
        <w:rPr/>
      </w:pPr>
      <w:r>
        <w:rP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3"/>
      </w:r>
    </w:p>
    <w:p>
      <w:pPr>
        <w:pStyle w:val="WW-paragraph"/>
        <w:rPr/>
      </w:pPr>
      <w:r>
        <w:rPr/>
        <w:t>Like Māra’s search for Godhika, this passage could be symbolic. It might just say that enlightened beings surpass even the most powerful gods and are not reborn even among them. However, I will treat it literally again.</w:t>
      </w:r>
    </w:p>
    <w:p>
      <w:pPr>
        <w:pStyle w:val="WW-paragraph"/>
        <w:rPr/>
      </w:pPr>
      <w:r>
        <w:rPr/>
        <w:t>The phrase “even while alive there is no truth</w:t>
        <w:softHyphen/>
        <w:t>finder to be found”</w:t>
      </w:r>
      <w:r>
        <w:rPr>
          <w:rStyle w:val="FootnoteReference"/>
        </w:rPr>
        <w:footnoteReference w:id="534"/>
      </w:r>
      <w:r>
        <w:rPr/>
        <w:t xml:space="preserve"> was translated by Venerable Bodhi as “one thus gone (</w:t>
      </w:r>
      <w:r>
        <w:rPr>
          <w:rStyle w:val="wwc-pali"/>
        </w:rPr>
        <w:t>tathāgata</w:t>
      </w:r>
      <w:r>
        <w:rP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rPr/>
        <w:t>, the absence of a self.</w:t>
      </w:r>
      <w:r>
        <w:rPr>
          <w:rStyle w:val="FootnoteReference"/>
        </w:rPr>
        <w:footnoteReference w:id="535"/>
      </w:r>
      <w:r>
        <w:rPr/>
        <w:t xml:space="preserve"> The commentary is correct, for this is what the discourse explained at great length just before and continues with afterwards. The idea is that there is no entity called ‘a truth</w:t>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rPr/>
        <w:t xml:space="preserve"> truth</w:t>
        <w:softHyphen/>
        <w:t>finder. There is no such fundamentally existing truth</w:t>
        <w:softHyphen/>
        <w:t>finder, not only after death, when existence has ceased, but also before, while the enlightened being (or more correctly, the enlightened set of khandhas) was still alive.</w:t>
      </w:r>
      <w:r>
        <w:rPr>
          <w:rStyle w:val="FootnoteReference"/>
        </w:rPr>
        <w:footnoteReference w:id="536"/>
      </w:r>
      <w:r>
        <w:rPr/>
        <w:t xml:space="preserve"> Venerable Bodhi therefore also wrote: “He [the enlightened being] does not even see a self-existent Tathāgata to die, let alone to be eternalized or annihilated after death.”</w:t>
      </w:r>
      <w:r>
        <w:rPr>
          <w:rStyle w:val="FootnoteReference"/>
        </w:rPr>
        <w:footnoteReference w:id="537"/>
      </w:r>
    </w:p>
    <w:p>
      <w:pPr>
        <w:pStyle w:val="WW-paragraph"/>
        <w:rPr/>
      </w:pPr>
      <w:r>
        <w:rPr/>
        <w:t xml:space="preserve">Because there is no essence in the five aspects of existence including consciousness, when consciousness is no longer supported by anything, it can completely cease at </w:t>
      </w:r>
      <w:r>
        <w:rPr>
          <w:rStyle w:val="wwc-pali"/>
        </w:rPr>
        <w:t>parinibbāna</w:t>
      </w:r>
      <w:r>
        <w:rPr/>
        <w:t>. That is why the gods are unable to find any enlightened being or their consciousness.</w:t>
      </w:r>
    </w:p>
    <w:p>
      <w:pPr>
        <w:pStyle w:val="WW-paragraph"/>
        <w:rPr/>
      </w:pPr>
      <w:r>
        <w:rPr/>
        <w:t>There are a couple of verses in the Pāli Canon in which gods also seem to be unable to find the enlightened being while alive, which seems to refer to them no longer thinking in terms of ‘I exist’.</w:t>
      </w:r>
      <w:r>
        <w:rPr>
          <w:rStyle w:val="FootnoteReference"/>
        </w:rPr>
        <w:footnoteReference w:id="538"/>
      </w:r>
      <w:r>
        <w:rPr/>
        <w:t xml:space="preserve"> But unlike the above passage, these texts don’t mention a search for consciousness, which I think is an important difference. In the </w:t>
      </w:r>
      <w:r>
        <w:rPr>
          <w:rStyle w:val="wwc-sesame"/>
        </w:rPr>
        <w:t>Simile of the Snake Discourse</w:t>
      </w:r>
      <w:r>
        <w:rP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9"/>
      </w:r>
      <w:r>
        <w:rPr/>
        <w:t xml:space="preserve"> But there are multiple reasons that the passage may instead concern what happens after death. The rest of this chapter will share these reasons while also further explaining the concept of </w:t>
      </w:r>
      <w:r>
        <w:rPr>
          <w:rStyle w:val="wwc-pali"/>
        </w:rPr>
        <w:t>anatta</w:t>
      </w:r>
      <w:r>
        <w:rPr/>
        <w:t>.</w:t>
      </w:r>
    </w:p>
    <w:p>
      <w:pPr>
        <w:pStyle w:val="WW-chapter-section-1"/>
        <w:ind w:hanging="0" w:start="0"/>
        <w:rPr/>
      </w:pPr>
      <w:r>
        <w:rPr/>
        <w:t>Deities looking for the place of rebirth</w:t>
      </w:r>
    </w:p>
    <w:p>
      <w:pPr>
        <w:pStyle w:val="WW-paragraph"/>
        <w:rPr/>
      </w:pPr>
      <w:r>
        <w:rPr/>
        <w:t xml:space="preserve">The </w:t>
      </w:r>
      <w:r>
        <w:rPr>
          <w:rStyle w:val="Strong"/>
        </w:rPr>
        <w:t>first reason</w:t>
      </w:r>
      <w:r>
        <w:rPr/>
        <w:t xml:space="preserve"> that the inquiry of the gods in the </w:t>
      </w:r>
      <w:r>
        <w:rPr>
          <w:rStyle w:val="wwc-sesame"/>
        </w:rPr>
        <w:t>Simile of the Snake Discourse</w:t>
      </w:r>
      <w:r>
        <w:rPr/>
        <w:t xml:space="preserve"> could concern the enlightened being who passed away, is the great similarity with Māra’s inquiry in the </w:t>
      </w:r>
      <w:r>
        <w:rPr>
          <w:rStyle w:val="wwc-sesame"/>
        </w:rPr>
        <w:t>Godhika Sutta</w:t>
      </w:r>
      <w:r>
        <w:rP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rPr/>
        <w:t>) and ‘planted’ (</w:t>
      </w:r>
      <w:r>
        <w:rPr>
          <w:rStyle w:val="wwc-pali"/>
        </w:rPr>
        <w:t>patiṭṭha</w:t>
      </w:r>
      <w:r>
        <w:rPr/>
        <w:t xml:space="preserve">) are different but convey the same idea. There is a direct connection between them in the sentence: “All seeds and plants that develop, sprout, and mature, do so </w:t>
      </w:r>
      <w:r>
        <w:rPr>
          <w:rStyle w:val="Emphasis"/>
        </w:rPr>
        <w:t>supported</w:t>
      </w:r>
      <w:r>
        <w:rPr/>
        <w:t xml:space="preserve"> by the earth, </w:t>
      </w:r>
      <w:r>
        <w:rPr>
          <w:rStyle w:val="Emphasis"/>
        </w:rPr>
        <w:t>planted</w:t>
      </w:r>
      <w:r>
        <w:rPr/>
        <w:t xml:space="preserve"> in the earth.”</w:t>
      </w:r>
      <w:r>
        <w:rPr>
          <w:rStyle w:val="FootnoteReference"/>
        </w:rPr>
        <w:footnoteReference w:id="540"/>
      </w:r>
    </w:p>
    <w:p>
      <w:pPr>
        <w:pStyle w:val="WW-paragraph"/>
        <w:rPr/>
      </w:pPr>
      <w:r>
        <w:rPr/>
        <w:t xml:space="preserve">The </w:t>
      </w:r>
      <w:r>
        <w:rPr>
          <w:rStyle w:val="wwc-sesame"/>
        </w:rPr>
        <w:t>Seeds Discourse</w:t>
      </w:r>
      <w:r>
        <w:rP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rP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pPr>
        <w:pStyle w:val="WW-paragraph"/>
        <w:rPr/>
      </w:pPr>
      <w:r>
        <w:rPr/>
        <w:t>The next verse conveys the same idea, using nearly identical expressions for ‘search’ and ‘will not find’:</w:t>
      </w:r>
    </w:p>
    <w:p>
      <w:pPr>
        <w:pStyle w:val="WW-named-section"/>
        <w:rPr/>
      </w:pPr>
      <w:r>
        <w:rPr/>
        <w:t>§134</w:t>
      </w:r>
    </w:p>
    <w:p>
      <w:pPr>
        <w:pStyle w:val="WW-line-block"/>
        <w:rPr/>
      </w:pPr>
      <w:bookmarkStart w:id="142" w:name="bqseg134"/>
      <w:bookmarkEnd w:id="142"/>
      <w:r>
        <w:rPr/>
        <w:t>They stopped defining themselves, didn’t fall into conceit.</w:t>
        <w:br/>
        <w:t>They cut the knots, were untroubled, without wants.</w:t>
        <w:br/>
        <w:t>In life they cut off craving for any immaterial aspects or body.</w:t>
        <w:br/>
        <w:t>Though humans and gods may search for them</w:t>
        <w:br/>
        <w:t>in this world or the beyond, they will not find them,</w:t>
        <w:br/>
        <w:t>not in heaven nor in any abode.</w:t>
      </w:r>
      <w:r>
        <w:rPr>
          <w:rStyle w:val="FootnoteReference"/>
        </w:rPr>
        <w:footnoteReference w:id="541"/>
      </w:r>
    </w:p>
    <w:p>
      <w:pPr>
        <w:pStyle w:val="WW-paragraph"/>
        <w:rPr/>
      </w:pPr>
      <w:r>
        <w:rPr/>
        <w:t>This verse too concerns the situation after death.</w:t>
      </w:r>
      <w:r>
        <w:rPr>
          <w:rStyle w:val="FootnoteReference"/>
        </w:rPr>
        <w:footnoteReference w:id="542"/>
      </w:r>
      <w:r>
        <w:rPr/>
        <w:t xml:space="preserve"> The past tense used in the first two lines already indicates this, referring back to when the enlightened one was still alive, and the line “</w:t>
      </w:r>
      <w:r>
        <w:rPr>
          <w:rStyle w:val="Emphasis"/>
        </w:rPr>
        <w:t>in life</w:t>
      </w:r>
      <w:r>
        <w:rPr/>
        <w:t xml:space="preserve"> they cut off craving for any immaterial aspects and body” makes it unmistakable. A verse in the </w:t>
      </w:r>
      <w:r>
        <w:rPr>
          <w:rStyle w:val="wwc-sesame"/>
        </w:rPr>
        <w:t>Suttanipāta</w:t>
      </w:r>
      <w:r>
        <w:rPr/>
        <w:t xml:space="preserve"> mentions the same: “In life he cut off craving for any immaterial aspects and body […] he crossed over birth and death.”</w:t>
      </w:r>
      <w:r>
        <w:rPr>
          <w:rStyle w:val="FootnoteReference"/>
        </w:rPr>
        <w:footnoteReference w:id="543"/>
      </w:r>
      <w:r>
        <w:rPr/>
        <w:t xml:space="preserve"> The Buddha said this after being asked by Vaṅgīsa whether his recently deceased preceptor had attained full extinguishment or not.</w:t>
      </w:r>
    </w:p>
    <w:p>
      <w:pPr>
        <w:pStyle w:val="WW-paragraph"/>
        <w:rPr/>
      </w:pPr>
      <w:r>
        <w:rPr/>
        <w:t>Both verses specifically mention craving for any immaterial aspects and body (</w:t>
      </w:r>
      <w:r>
        <w:rPr>
          <w:rStyle w:val="wwc-pali"/>
        </w:rPr>
        <w:t>nāmarūpa</w:t>
      </w:r>
      <w:r>
        <w:rPr/>
        <w:t xml:space="preserve">), which is also illustrative. As we have seen, in Dependent Arising this factor has a strong link with rebirth, just like consciousness. If there is no desire for </w:t>
      </w:r>
      <w:r>
        <w:rPr>
          <w:rStyle w:val="wwc-pali"/>
        </w:rPr>
        <w:t>nāmarūpa</w:t>
      </w:r>
      <w:r>
        <w:rPr/>
        <w:t>, then there is no support for the rebirth of consciousness.</w:t>
      </w:r>
    </w:p>
    <w:p>
      <w:pPr>
        <w:pStyle w:val="WW-paragraph"/>
        <w:rPr/>
      </w:pPr>
      <w:r>
        <w:rPr/>
        <w:t xml:space="preserve">The </w:t>
      </w:r>
      <w:r>
        <w:rPr>
          <w:rStyle w:val="Strong"/>
        </w:rPr>
        <w:t>second reason</w:t>
      </w:r>
      <w:r>
        <w:rPr/>
        <w:t xml:space="preserve"> the inquiry of the gods in the </w:t>
      </w:r>
      <w:r>
        <w:rPr>
          <w:rStyle w:val="wwc-sesame"/>
        </w:rPr>
        <w:t>Simile of the Snake Discourse</w:t>
      </w:r>
      <w:r>
        <w:rPr/>
        <w:t xml:space="preserve"> concerns the situation after death, is that the gods are specifically looking for the enlightened one’s </w:t>
      </w:r>
      <w:r>
        <w:rPr>
          <w:rStyle w:val="Emphasis"/>
        </w:rPr>
        <w:t>consciousness</w:t>
      </w:r>
      <w:r>
        <w:rP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pPr>
        <w:pStyle w:val="WW-paragraph"/>
        <w:rPr/>
      </w:pPr>
      <w:r>
        <w:rP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rPr/>
        <w:t xml:space="preserve"> doing some sort of mind reading, why would they suddenly be unable to do so for an enlightened one? In other places in the canon, various gods, Māra included, seem to have no trouble reading even the mind of the Buddha.</w:t>
      </w:r>
      <w:r>
        <w:rPr>
          <w:rStyle w:val="FootnoteReference"/>
        </w:rPr>
        <w:footnoteReference w:id="544"/>
      </w:r>
      <w:r>
        <w:rPr/>
        <w:t xml:space="preserve"> Finally, if they </w:t>
      </w:r>
      <w:r>
        <w:rPr>
          <w:rStyle w:val="Emphasis"/>
        </w:rPr>
        <w:t>did</w:t>
      </w:r>
      <w:r>
        <w:rPr/>
        <w:t xml:space="preserve"> try to read the enlightened being’s mind to see “what that truth</w:t>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pPr>
        <w:pStyle w:val="WW-chapter-section-1"/>
        <w:ind w:hanging="0" w:start="0"/>
        <w:rPr/>
      </w:pPr>
      <w:r>
        <w:rPr/>
        <w:t>Only suffering ceases</w:t>
      </w:r>
    </w:p>
    <w:p>
      <w:pPr>
        <w:pStyle w:val="WW-paragraph"/>
        <w:rPr/>
      </w:pPr>
      <w:r>
        <w:rPr/>
        <w:t xml:space="preserve">The </w:t>
      </w:r>
      <w:r>
        <w:rPr>
          <w:rStyle w:val="Strong"/>
        </w:rPr>
        <w:t>third reason</w:t>
      </w:r>
      <w:r>
        <w:rPr/>
        <w:t xml:space="preserve"> the passage seems to concern the situation after death, is that the Buddha, after he declares the gods’ inability to find the consciousness of an enlightened being, gets accused of being 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pPr>
        <w:pStyle w:val="WW-paragraph"/>
        <w:rPr/>
      </w:pPr>
      <w:r>
        <w:rP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rPr/>
        <w:t xml:space="preserve"> clarifies this idea further:</w:t>
      </w:r>
    </w:p>
    <w:p>
      <w:pPr>
        <w:pStyle w:val="WW-named-section"/>
        <w:rPr/>
      </w:pPr>
      <w:r>
        <w:rPr/>
        <w:t>§135</w:t>
      </w:r>
    </w:p>
    <w:p>
      <w:pPr>
        <w:pStyle w:val="WW-blockquote"/>
        <w:rPr/>
      </w:pPr>
      <w:bookmarkStart w:id="143" w:name="bqseg135"/>
      <w:bookmarkEnd w:id="143"/>
      <w:r>
        <w:rP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5"/>
      </w:r>
    </w:p>
    <w:p>
      <w:pPr>
        <w:pStyle w:val="WW-paragraph"/>
        <w:rPr/>
      </w:pPr>
      <w:r>
        <w:rPr/>
        <w:t>Venerable Vajirā likewise said:</w:t>
      </w:r>
    </w:p>
    <w:p>
      <w:pPr>
        <w:pStyle w:val="WW-named-section"/>
        <w:rPr/>
      </w:pPr>
      <w:r>
        <w:rPr/>
        <w:t>§136</w:t>
      </w:r>
    </w:p>
    <w:p>
      <w:pPr>
        <w:pStyle w:val="WW-line-block"/>
        <w:rPr/>
      </w:pPr>
      <w:bookmarkStart w:id="144" w:name="bqseg136"/>
      <w:bookmarkEnd w:id="144"/>
      <w:r>
        <w:rPr/>
        <w:t>Just as there is the word ‘chariot’</w:t>
        <w:br/>
        <w:t>for an assembly of parts,</w:t>
        <w:br/>
        <w:t>so there is just the convention ‘a being’</w:t>
        <w:br/>
        <w:t>when there are the aspects of existence.</w:t>
      </w:r>
    </w:p>
    <w:p>
      <w:pPr>
        <w:pStyle w:val="WW-line-block"/>
        <w:rPr/>
      </w:pPr>
      <w:r>
        <w:rPr/>
        <w:t>It is only suffering that comes to be,</w:t>
        <w:br/>
        <w:t>only suffering that exists and vanishes.</w:t>
        <w:br/>
        <w:t>Nothing but suffering comes to be;</w:t>
        <w:br/>
        <w:t>nothing but suffering ceases.</w:t>
      </w:r>
      <w:r>
        <w:rPr>
          <w:rStyle w:val="FootnoteReference"/>
        </w:rPr>
        <w:footnoteReference w:id="546"/>
      </w:r>
    </w:p>
    <w:p>
      <w:pPr>
        <w:pStyle w:val="WW-paragraph"/>
        <w:rPr/>
      </w:pPr>
      <w:r>
        <w:rPr/>
        <w:t>In other words, life is just a collection of the aspects of existence (</w:t>
      </w:r>
      <w:r>
        <w:rPr>
          <w:rStyle w:val="wwc-pali"/>
        </w:rPr>
        <w:t>khandhas</w:t>
      </w:r>
      <w:r>
        <w:rPr/>
        <w:t xml:space="preserve">). There is no real </w:t>
      </w:r>
      <w:r>
        <w:rPr>
          <w:rStyle w:val="Emphasis"/>
        </w:rPr>
        <w:t>being</w:t>
      </w:r>
      <w:r>
        <w:rPr/>
        <w:t xml:space="preserve"> inside these aspects of existence, like there is no real </w:t>
      </w:r>
      <w:r>
        <w:rPr>
          <w:rStyle w:val="Emphasis"/>
        </w:rPr>
        <w:t>truth</w:t>
        <w:softHyphen/>
        <w:t>finder</w:t>
      </w:r>
      <w:r>
        <w:rPr/>
        <w:t xml:space="preserve"> either. Both ‘being’ and ‘truth</w:t>
        <w:softHyphen/>
        <w:t>finder’ are just conventional labels that people use; they don’t exist in any fundamental sense, just like a chariot is just a name for a collection of parts. Therefore, when suffering ceases, it is just suffering that ceases, not a self.</w:t>
      </w:r>
    </w:p>
    <w:p>
      <w:pPr>
        <w:pStyle w:val="WW-paragraph"/>
        <w:rPr/>
      </w:pPr>
      <w:r>
        <w:rPr/>
        <w:t xml:space="preserve">The same point is made more systematically in the </w:t>
      </w:r>
      <w:r>
        <w:rPr>
          <w:rStyle w:val="wwc-sesame"/>
        </w:rPr>
        <w:t>Yamaka Sutta</w:t>
      </w:r>
      <w:r>
        <w:rPr/>
        <w:t>, where Venerable Yamaka initially holds an annihilationist view:</w:t>
      </w:r>
    </w:p>
    <w:p>
      <w:pPr>
        <w:pStyle w:val="WW-named-section"/>
        <w:rPr/>
      </w:pPr>
      <w:r>
        <w:rPr/>
        <w:t>§137</w:t>
      </w:r>
    </w:p>
    <w:p>
      <w:pPr>
        <w:pStyle w:val="WW-blockquote"/>
        <w:rPr/>
      </w:pPr>
      <w:bookmarkStart w:id="145" w:name="bqseg137"/>
      <w:bookmarkEnd w:id="145"/>
      <w:r>
        <w:rP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pPr>
        <w:pStyle w:val="WW-blockquote"/>
        <w:rPr/>
      </w:pPr>
      <w:r>
        <w:rPr/>
        <w:t>“</w:t>
      </w:r>
      <w:r>
        <w:rPr/>
        <w:t>I did, venerable.”</w:t>
      </w:r>
    </w:p>
    <w:p>
      <w:pPr>
        <w:pStyle w:val="WW-blockquote"/>
        <w:rPr/>
      </w:pPr>
      <w:r>
        <w:rPr/>
        <w:t>“</w:t>
      </w:r>
      <w:r>
        <w:rPr/>
        <w:t>What do you think, Venerable Yamaka? Do you regard a truth</w:t>
        <w:softHyphen/>
        <w:t>finder to be form?”</w:t>
      </w:r>
    </w:p>
    <w:p>
      <w:pPr>
        <w:pStyle w:val="WW-blockquote"/>
        <w:rPr/>
      </w:pPr>
      <w:r>
        <w:rPr/>
        <w:t>“</w:t>
      </w:r>
      <w:r>
        <w:rPr/>
        <w:t>No, venerable.”</w:t>
      </w:r>
    </w:p>
    <w:p>
      <w:pPr>
        <w:pStyle w:val="WW-blockquote"/>
        <w:rPr/>
      </w:pPr>
      <w:r>
        <w:rPr/>
        <w:t>“</w:t>
      </w:r>
      <w:r>
        <w:rPr/>
        <w:t>Do you regard a truth</w:t>
        <w:softHyphen/>
        <w:t>finder to be sensation, perception, will, or consciousness?”</w:t>
      </w:r>
    </w:p>
    <w:p>
      <w:pPr>
        <w:pStyle w:val="WW-blockquote"/>
        <w:rPr/>
      </w:pPr>
      <w:r>
        <w:rPr/>
        <w:t>“</w:t>
      </w:r>
      <w:r>
        <w:rPr/>
        <w:t>No, venerable.”</w:t>
      </w:r>
    </w:p>
    <w:p>
      <w:pPr>
        <w:pStyle w:val="WW-blockquote"/>
        <w:rPr/>
      </w:pPr>
      <w:r>
        <w:rPr/>
        <w:t>“</w:t>
      </w:r>
      <w:r>
        <w:rPr/>
        <w:t>Do you regard a truth</w:t>
        <w:softHyphen/>
        <w:t>finder to be a part of form?”</w:t>
      </w:r>
    </w:p>
    <w:p>
      <w:pPr>
        <w:pStyle w:val="WW-blockquote"/>
        <w:rPr/>
      </w:pPr>
      <w:r>
        <w:rPr/>
        <w:t>“</w:t>
      </w:r>
      <w:r>
        <w:rPr/>
        <w:t>No, venerable.”</w:t>
      </w:r>
    </w:p>
    <w:p>
      <w:pPr>
        <w:pStyle w:val="WW-blockquote"/>
        <w:rPr/>
      </w:pPr>
      <w:r>
        <w:rPr/>
        <w:t>“</w:t>
      </w:r>
      <w:r>
        <w:rPr/>
        <w:t>Do you regard a truth</w:t>
        <w:softHyphen/>
        <w:t>finder to exist outside of form?”</w:t>
      </w:r>
    </w:p>
    <w:p>
      <w:pPr>
        <w:pStyle w:val="WW-blockquote"/>
        <w:rPr/>
      </w:pPr>
      <w:r>
        <w:rPr/>
        <w:t>“</w:t>
      </w:r>
      <w:r>
        <w:rPr/>
        <w:t>No, venerable.”</w:t>
      </w:r>
    </w:p>
    <w:p>
      <w:pPr>
        <w:pStyle w:val="WW-blockquote"/>
        <w:rPr/>
      </w:pPr>
      <w:r>
        <w:rPr/>
        <w:t>“</w:t>
      </w:r>
      <w:r>
        <w:rPr/>
        <w:t>Do you regard a truth</w:t>
        <w:softHyphen/>
        <w:t>finder to be a part of sensation, perception, will, or consciousness?”</w:t>
      </w:r>
    </w:p>
    <w:p>
      <w:pPr>
        <w:pStyle w:val="WW-blockquote"/>
        <w:rPr/>
      </w:pPr>
      <w:r>
        <w:rPr/>
        <w:t>“</w:t>
      </w:r>
      <w:r>
        <w:rPr/>
        <w:t>No, venerable.”</w:t>
      </w:r>
    </w:p>
    <w:p>
      <w:pPr>
        <w:pStyle w:val="WW-blockquote"/>
        <w:rPr/>
      </w:pPr>
      <w:r>
        <w:rPr/>
        <w:t>“</w:t>
      </w:r>
      <w:r>
        <w:rPr/>
        <w:t>Do you regard a truth</w:t>
        <w:softHyphen/>
        <w:t>finder to exist outside of sensation, perception, will, or consciousness?”</w:t>
      </w:r>
    </w:p>
    <w:p>
      <w:pPr>
        <w:pStyle w:val="WW-blockquote"/>
        <w:rPr/>
      </w:pPr>
      <w:r>
        <w:rPr/>
        <w:t>“</w:t>
      </w:r>
      <w:r>
        <w:rPr/>
        <w:t>No, venerable.”</w:t>
      </w:r>
    </w:p>
    <w:p>
      <w:pPr>
        <w:pStyle w:val="WW-blockquote"/>
        <w:rPr/>
      </w:pPr>
      <w:r>
        <w:rPr/>
        <w:t>“</w:t>
      </w:r>
      <w:r>
        <w:rPr/>
        <w:t>Do you regard a truth</w:t>
        <w:softHyphen/>
        <w:t xml:space="preserve">finder to be form, sensation, perception, will, </w:t>
      </w:r>
      <w:r>
        <w:rPr>
          <w:rStyle w:val="Emphasis"/>
        </w:rPr>
        <w:t>and</w:t>
      </w:r>
      <w:r>
        <w:rPr/>
        <w:t xml:space="preserve"> consciousness?”</w:t>
      </w:r>
    </w:p>
    <w:p>
      <w:pPr>
        <w:pStyle w:val="WW-blockquote"/>
        <w:rPr/>
      </w:pPr>
      <w:r>
        <w:rPr/>
        <w:t>“</w:t>
      </w:r>
      <w:r>
        <w:rPr/>
        <w:t>No, venerable.”</w:t>
      </w:r>
    </w:p>
    <w:p>
      <w:pPr>
        <w:pStyle w:val="WW-blockquote"/>
        <w:rPr/>
      </w:pPr>
      <w:r>
        <w:rPr/>
        <w:t>“</w:t>
      </w:r>
      <w:r>
        <w:rPr/>
        <w:t>Do you regard a truth</w:t>
        <w:softHyphen/>
        <w:t>finder to be someone who has no form, sensation, perception, will, or consciousness?”</w:t>
      </w:r>
    </w:p>
    <w:p>
      <w:pPr>
        <w:pStyle w:val="WW-blockquote"/>
        <w:rPr/>
      </w:pPr>
      <w:r>
        <w:rPr/>
        <w:t>“</w:t>
      </w:r>
      <w:r>
        <w:rPr/>
        <w:t>No, venerable.”</w:t>
      </w:r>
    </w:p>
    <w:p>
      <w:pPr>
        <w:pStyle w:val="WW-blockquote"/>
        <w:rPr/>
      </w:pPr>
      <w:r>
        <w:rPr/>
        <w:t>“</w:t>
      </w:r>
      <w:r>
        <w:rPr/>
        <w:t xml:space="preserve">But, Venerable Yamaka, since you can’t find </w:t>
      </w:r>
      <w:r>
        <w:rPr>
          <w:rStyle w:val="Emphasis"/>
        </w:rPr>
        <w:t>a truth</w:t>
        <w:softHyphen/>
        <w:t>finder</w:t>
      </w:r>
      <w:r>
        <w:rPr/>
        <w:t xml:space="preserve"> to actually or really exist even while alive, was it right for you to say: ‘As I understand the Buddha’s teaching, a mendicant who has no more defilements is annihilated and destroyed when their body falls apart, and after death they no longer exist’?”</w:t>
      </w:r>
    </w:p>
    <w:p>
      <w:pPr>
        <w:pStyle w:val="WW-blockquote"/>
        <w:rPr/>
      </w:pPr>
      <w:r>
        <w:rPr/>
        <w:t>“</w:t>
      </w:r>
      <w:r>
        <w:rPr/>
        <w:t>Venerable Sāriputta, I held that bad misconception formerly, when I was ignorant. But now that I have heard the teaching explained by you, I have abandoned that bad misconception and apprehended the teaching.”</w:t>
      </w:r>
    </w:p>
    <w:p>
      <w:pPr>
        <w:pStyle w:val="WW-blockquote"/>
        <w:rPr/>
      </w:pPr>
      <w:r>
        <w:rPr/>
        <w:t>“</w:t>
      </w:r>
      <w:r>
        <w:rPr/>
        <w:t>Then how would you answer if people would ask you what has become of an enlightened, undefiled mendicant when their body fell apart, after death?”</w:t>
      </w:r>
    </w:p>
    <w:p>
      <w:pPr>
        <w:pStyle w:val="WW-blockquote"/>
        <w:rPr/>
      </w:pPr>
      <w:r>
        <w:rPr/>
        <w:t>“</w:t>
      </w:r>
      <w:r>
        <w:rPr/>
        <w:t>Venerable, if people would ask me that, I would answer: ‘Form, sensation, perception, will, and consciousness are temporary. What is temporary is painful. What is painful has ceased, has passed away.’”</w:t>
      </w:r>
    </w:p>
    <w:p>
      <w:pPr>
        <w:pStyle w:val="WW-blockquote"/>
        <w:rPr/>
      </w:pPr>
      <w:r>
        <w:rPr/>
        <w:t>“</w:t>
      </w:r>
      <w:r>
        <w:rPr/>
        <w:t>Very good, Venerable Yamaka!”</w:t>
      </w:r>
      <w:r>
        <w:rPr>
          <w:rStyle w:val="FootnoteReference"/>
        </w:rPr>
        <w:footnoteReference w:id="547"/>
      </w:r>
    </w:p>
    <w:p>
      <w:pPr>
        <w:pStyle w:val="WW-paragraph"/>
        <w:rPr/>
      </w:pPr>
      <w:r>
        <w:rPr/>
        <w:t xml:space="preserve">To summarize, when an enlightened “being” passes away, in reality it is only the cessation of the five aspects of existence. No real </w:t>
      </w:r>
      <w:r>
        <w:rPr>
          <w:rStyle w:val="Emphasis"/>
        </w:rPr>
        <w:t>being</w:t>
      </w:r>
      <w:r>
        <w:rPr/>
        <w:t xml:space="preserve"> or </w:t>
      </w:r>
      <w:r>
        <w:rPr>
          <w:rStyle w:val="Emphasis"/>
        </w:rPr>
        <w:t>truth</w:t>
        <w:softHyphen/>
        <w:t>finder</w:t>
      </w:r>
      <w:r>
        <w:rPr/>
        <w:t xml:space="preserve"> or </w:t>
      </w:r>
      <w:r>
        <w:rPr>
          <w:rStyle w:val="Emphasis"/>
        </w:rPr>
        <w:t>mendicant</w:t>
      </w:r>
      <w:r>
        <w:rP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pPr>
        <w:pStyle w:val="WW-paragraph"/>
        <w:rPr/>
      </w:pPr>
      <w:r>
        <w:rPr/>
        <w:t xml:space="preserve">The </w:t>
      </w:r>
      <w:r>
        <w:rPr>
          <w:rStyle w:val="wwc-sesame"/>
        </w:rPr>
        <w:t>Yamaka Sutta</w:t>
      </w:r>
      <w:r>
        <w:rPr/>
        <w:t xml:space="preserve"> also brings us to the </w:t>
      </w:r>
      <w:r>
        <w:rPr>
          <w:rStyle w:val="Strong"/>
        </w:rPr>
        <w:t>fourth reason</w:t>
      </w:r>
      <w:r>
        <w:rPr/>
        <w:t xml:space="preserve"> the gods’ search for consciousness happened after death. The phrase “since you can’t find a truth</w:t>
        <w:softHyphen/>
        <w:t>finder to actually or really exist even while alive”, which Sāriputta spoke here, is almost identical to “even while alive there is no truth</w:t>
        <w:softHyphen/>
        <w:t xml:space="preserve">finder to be found”, which the Buddha spoke in the </w:t>
      </w:r>
      <w:r>
        <w:rPr>
          <w:rStyle w:val="wwc-sesame"/>
        </w:rPr>
        <w:t>Simile of the Snake Discourse</w:t>
      </w:r>
      <w:r>
        <w:rPr/>
        <w:t xml:space="preserve"> when he explained why the gods can’t find the truth</w:t>
        <w:softHyphen/>
        <w:t xml:space="preserve">finder. We can compare this to </w:t>
      </w:r>
      <w:hyperlink w:anchor="bqseg90">
        <w:r>
          <w:rPr>
            <w:rStyle w:val="Hyperlink"/>
          </w:rPr>
          <w:t>§90</w:t>
        </w:r>
      </w:hyperlink>
      <w:r>
        <w:rPr/>
        <w:t>, which uses a similar phrasing: “A self or anything belonging to a self are not found to actually or really exist.” The point is, again, that even in their lifetime ‘truth</w:t>
        <w:softHyphen/>
        <w:t>finder’ was only a label for the self-less aspects of existence.</w:t>
      </w:r>
    </w:p>
    <w:p>
      <w:pPr>
        <w:pStyle w:val="WW-paragraph"/>
        <w:rPr/>
      </w:pPr>
      <w:r>
        <w:rPr/>
        <w:t>The words I translated as ‘even while alive’ (</w:t>
      </w:r>
      <w:r>
        <w:rPr>
          <w:rStyle w:val="wwc-pali"/>
        </w:rPr>
        <w:t>diṭṭheva dhamme</w:t>
      </w:r>
      <w:r>
        <w:rPr/>
        <w:t>) are continually contrasted to a situation after death.</w:t>
      </w:r>
      <w:r>
        <w:rPr>
          <w:rStyle w:val="FootnoteReference"/>
        </w:rPr>
        <w:footnoteReference w:id="548"/>
      </w:r>
      <w:r>
        <w:rPr/>
        <w:t xml:space="preserve"> Their inclusion in the statement of the </w:t>
      </w:r>
      <w:r>
        <w:rPr>
          <w:rStyle w:val="wwc-sesame"/>
        </w:rPr>
        <w:t>Simile of the Snake Discourse</w:t>
      </w:r>
      <w:r>
        <w:rPr/>
        <w:t xml:space="preserve"> indicates a contrast between life and death is also intended there.</w:t>
      </w:r>
    </w:p>
    <w:p>
      <w:pPr>
        <w:pStyle w:val="WW-paragraph"/>
        <w:rPr/>
      </w:pPr>
      <w:r>
        <w:rPr/>
        <w:t xml:space="preserve">The full phrase spoken by Venerable Sāriputta also occurs in the </w:t>
      </w:r>
      <w:r>
        <w:rPr>
          <w:rStyle w:val="wwc-sesame"/>
        </w:rPr>
        <w:t>Anurādha Sutta</w:t>
      </w:r>
      <w:r>
        <w:rPr/>
        <w:t>, where Venerable Anurādha holds an unspecified view of an existent truth</w:t>
        <w:softHyphen/>
        <w:t>finder after death:</w:t>
      </w:r>
    </w:p>
    <w:p>
      <w:pPr>
        <w:pStyle w:val="WW-named-section"/>
        <w:rPr/>
      </w:pPr>
      <w:r>
        <w:rPr/>
        <w:t>§138</w:t>
      </w:r>
    </w:p>
    <w:p>
      <w:pPr>
        <w:pStyle w:val="WW-blockquote"/>
        <w:rPr/>
      </w:pPr>
      <w:bookmarkStart w:id="146" w:name="bqseg138"/>
      <w:bookmarkEnd w:id="146"/>
      <w:r>
        <w:rPr/>
        <w:t>“</w:t>
      </w:r>
      <w:r>
        <w:rPr/>
        <w:t xml:space="preserve">But, Anurādha, since you can’t find </w:t>
      </w:r>
      <w:r>
        <w:rPr>
          <w:rStyle w:val="Emphasis"/>
        </w:rPr>
        <w:t>a truth</w:t>
        <w:softHyphen/>
        <w:t>finder</w:t>
      </w:r>
      <w:r>
        <w:rPr/>
        <w:t xml:space="preserve"> to actually or really exist even while alive, was it right for you to say: ‘When the Truth</w:t>
        <w:softHyphen/>
        <w:t>finder describes a truth</w:t>
        <w:softHyphen/>
        <w:t>finder—the best and highest of persons, who attained the highest—he declares them to be outside of the four cases: after death a truth</w:t>
        <w:softHyphen/>
        <w:t>finder still exists, or no longer exists, or both still exists and no longer exists, or neither still exists nor no longer exists’?”</w:t>
      </w:r>
    </w:p>
    <w:p>
      <w:pPr>
        <w:pStyle w:val="WW-blockquote"/>
        <w:rPr/>
      </w:pPr>
      <w:r>
        <w:rPr/>
        <w:t>“</w:t>
      </w:r>
      <w:r>
        <w:rPr/>
        <w:t>No, sir.”</w:t>
      </w:r>
    </w:p>
    <w:p>
      <w:pPr>
        <w:pStyle w:val="WW-blockquote"/>
        <w:rPr/>
      </w:pPr>
      <w:r>
        <w:rPr/>
        <w:t>“</w:t>
      </w:r>
      <w:r>
        <w:rPr/>
        <w:t>Very good, Anurādha! In the past and also now, what I declare is that there is only suffering and a cessation of suffering.”</w:t>
      </w:r>
      <w:r>
        <w:rPr>
          <w:rStyle w:val="FootnoteReference"/>
        </w:rPr>
        <w:footnoteReference w:id="549"/>
      </w:r>
    </w:p>
    <w:p>
      <w:pPr>
        <w:pStyle w:val="WW-paragraph"/>
        <w:rPr/>
      </w:pPr>
      <w:r>
        <w:rPr/>
        <w:t xml:space="preserve">The fundamental idea is again the same: all four cases, plus Anurādha’s fifth, are false because they all rely on the premise that there is or was an entity called </w:t>
      </w:r>
      <w:r>
        <w:rPr>
          <w:rStyle w:val="Emphasis"/>
        </w:rPr>
        <w:t>a truth</w:t>
        <w:softHyphen/>
        <w:t>finder</w:t>
      </w:r>
      <w:r>
        <w:rPr/>
        <w:t>, i.e., a self.</w:t>
      </w:r>
      <w:r>
        <w:rPr>
          <w:rStyle w:val="FootnoteReference"/>
        </w:rPr>
        <w:footnoteReference w:id="550"/>
      </w:r>
      <w:r>
        <w:rPr/>
        <w:t xml:space="preserve"> Views that presume the truth</w:t>
        <w:softHyphen/>
        <w:t>finder to be a real thing are also called imagination (</w:t>
      </w:r>
      <w:r>
        <w:rPr>
          <w:rStyle w:val="wwc-pali"/>
        </w:rPr>
        <w:t>maññita</w:t>
      </w:r>
      <w:r>
        <w:rPr/>
        <w:t xml:space="preserve">) of something that doesn’t really exist and elaboration (or ‘proliferation’, </w:t>
      </w:r>
      <w:r>
        <w:rPr>
          <w:rStyle w:val="wwc-pali"/>
        </w:rPr>
        <w:t>papañca</w:t>
      </w:r>
      <w:r>
        <w:rPr/>
        <w:t>) beyond what actually exists.</w:t>
      </w:r>
      <w:r>
        <w:rPr>
          <w:rStyle w:val="FootnoteReference"/>
        </w:rPr>
        <w:footnoteReference w:id="551"/>
      </w:r>
    </w:p>
    <w:p>
      <w:pPr>
        <w:pStyle w:val="WW-paragraph"/>
        <w:rPr/>
      </w:pPr>
      <w:r>
        <w:rPr/>
        <w:t xml:space="preserve">Not only do we meet in the above passage again the </w:t>
      </w:r>
      <w:r>
        <w:rPr>
          <w:rStyle w:val="wwc-sesame"/>
        </w:rPr>
        <w:t>Yamaka Sutta</w:t>
      </w:r>
      <w:r>
        <w:rPr/>
        <w:t xml:space="preserve">’s statement about not being able to find an actual </w:t>
      </w:r>
      <w:r>
        <w:rPr>
          <w:rStyle w:val="Emphasis"/>
        </w:rPr>
        <w:t>truth</w:t>
        <w:softHyphen/>
        <w:t>finder</w:t>
      </w:r>
      <w:r>
        <w:rPr/>
        <w:t xml:space="preserve">, we also get a reprise of the Buddha’s refutation of annihilationism in the </w:t>
      </w:r>
      <w:r>
        <w:rPr>
          <w:rStyle w:val="wwc-sesame"/>
        </w:rPr>
        <w:t>Simile of the Snake Discourse</w:t>
      </w:r>
      <w:r>
        <w:rPr/>
        <w:t xml:space="preserve">, saying he declares only suffering and a cessation of suffering. The </w:t>
      </w:r>
      <w:r>
        <w:rPr>
          <w:rStyle w:val="wwc-sesame"/>
        </w:rPr>
        <w:t>Anurādha Sutta</w:t>
      </w:r>
      <w:r>
        <w:rPr/>
        <w:t xml:space="preserve"> is the only other occurrence of both these sentences in the suttas, and it is again about the situation after death.</w:t>
      </w:r>
    </w:p>
    <w:p>
      <w:pPr>
        <w:pStyle w:val="WW-chapter-section-1"/>
        <w:ind w:hanging="0" w:start="0"/>
        <w:rPr/>
      </w:pPr>
      <w:r>
        <w:rPr/>
        <w:t>The advice to Anāthapiṇḍika</w:t>
      </w:r>
    </w:p>
    <w:p>
      <w:pPr>
        <w:pStyle w:val="WW-paragraph"/>
        <w:rPr/>
      </w:pPr>
      <w:r>
        <w:rP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rPr/>
        <w:t xml:space="preserve">, based on the </w:t>
      </w:r>
      <w:r>
        <w:rPr>
          <w:rStyle w:val="wwc-sesame"/>
        </w:rPr>
        <w:t>Advice to Anāthapiṇḍika Discourse</w:t>
      </w:r>
      <w:r>
        <w:rPr/>
        <w:t>, where Sāriputta visits Anāthapiṇḍika on his deathbed. The relevant section of the discourse is the following:</w:t>
      </w:r>
    </w:p>
    <w:p>
      <w:pPr>
        <w:pStyle w:val="WW-named-section"/>
        <w:rPr/>
      </w:pPr>
      <w:r>
        <w:rPr/>
        <w:t>§139</w:t>
      </w:r>
    </w:p>
    <w:p>
      <w:pPr>
        <w:pStyle w:val="WW-blockquote"/>
        <w:rPr/>
      </w:pPr>
      <w:bookmarkStart w:id="147" w:name="bqseg139"/>
      <w:bookmarkEnd w:id="147"/>
      <w:r>
        <w:rP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pPr>
        <w:pStyle w:val="WW-blockquote"/>
        <w:rPr/>
      </w:pPr>
      <w:r>
        <w:rPr/>
        <w:t>“</w:t>
      </w:r>
      <w:r>
        <w:rPr/>
        <w:t>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pPr>
        <w:pStyle w:val="WW-blockquote"/>
        <w:rPr/>
      </w:pPr>
      <w:r>
        <w:rPr/>
        <w:t>“</w:t>
      </w:r>
      <w:r>
        <w:rP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pPr>
        <w:pStyle w:val="WW-blockquote"/>
        <w:rPr/>
      </w:pPr>
      <w:r>
        <w:rPr/>
        <w:t>I will not take up sights, and my consciousness will not be supported by sights. I will not take up sounds, smells, flavors, tangibles, and mental phenomena, and my consciousness will not be supported by sounds, smells, flavors, tangibles, and mental phenomena.</w:t>
      </w:r>
    </w:p>
    <w:p>
      <w:pPr>
        <w:pStyle w:val="WW-blockquote"/>
        <w:rPr/>
      </w:pPr>
      <w:r>
        <w:rP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pPr>
        <w:pStyle w:val="WW-blockquote"/>
        <w:rPr/>
      </w:pPr>
      <w:r>
        <w:rP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pPr>
        <w:pStyle w:val="WW-blockquote"/>
        <w:rPr/>
      </w:pPr>
      <w:r>
        <w:rP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pPr>
        <w:pStyle w:val="WW-blockquote"/>
        <w:rPr/>
      </w:pPr>
      <w:r>
        <w:rP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pPr>
        <w:pStyle w:val="WW-blockquote"/>
        <w:rPr/>
      </w:pPr>
      <w:r>
        <w:rPr/>
        <w:t>I will not take up form, and my consciousness will not be supported by form. I will not take up sensation, perception, will, and consciousness, and my consciousness will not be supported by sensation, perception, will, and consciousness.</w:t>
      </w:r>
    </w:p>
    <w:p>
      <w:pPr>
        <w:pStyle w:val="WW-blockquote"/>
        <w:rPr/>
      </w:pPr>
      <w:r>
        <w:rP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pPr>
        <w:pStyle w:val="WW-blockquote"/>
        <w:rPr/>
      </w:pPr>
      <w:r>
        <w:rPr/>
        <w:t>I will not take up this world, and my consciousness will not be supported by this world. I will not take up another world, and my consciousness will not be supported by another world.</w:t>
      </w:r>
    </w:p>
    <w:p>
      <w:pPr>
        <w:pStyle w:val="WW-blockquote"/>
        <w:rPr/>
      </w:pPr>
      <w:r>
        <w:rP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2"/>
      </w:r>
    </w:p>
    <w:p>
      <w:pPr>
        <w:pStyle w:val="WW-paragraph"/>
        <w:rPr/>
      </w:pPr>
      <w:r>
        <w:rPr/>
        <w:t>When Anāthapiṇḍika said his pains were not subsiding, he effectively told Sāriputta he was dying. As a response Sāriputta gave a teaching specifically for the dying man, starting with: “</w:t>
      </w:r>
      <w:r>
        <w:rPr>
          <w:rStyle w:val="Emphasis"/>
        </w:rPr>
        <w:t>In that case</w:t>
      </w:r>
      <w:r>
        <w:rPr/>
        <w:t xml:space="preserve"> [since you’re going to die soon], train yourself like this.” The discourse indeed says Anāthapiṇḍika passed away soon after.</w:t>
      </w:r>
    </w:p>
    <w:p>
      <w:pPr>
        <w:pStyle w:val="WW-paragraph"/>
        <w:rPr/>
      </w:pPr>
      <w:r>
        <w:rP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3"/>
      </w:r>
      <w:r>
        <w:rPr/>
        <w:t xml:space="preserve"> Sāriputta’s instruction to not support consciousness with the aspects of existence is what the Buddha taught in the </w:t>
      </w:r>
      <w:r>
        <w:rPr>
          <w:rStyle w:val="wwc-sesame"/>
        </w:rPr>
        <w:t>Seeds Discourse</w:t>
      </w:r>
      <w:r>
        <w:rP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pPr>
        <w:pStyle w:val="WW-paragraph"/>
        <w:rPr/>
      </w:pPr>
      <w:r>
        <w:rPr/>
        <w:t>The point being, the word for ‘supported’ (</w:t>
      </w:r>
      <w:r>
        <w:rPr>
          <w:rStyle w:val="wwc-pali"/>
        </w:rPr>
        <w:t>nissita</w:t>
      </w:r>
      <w:r>
        <w:rPr/>
        <w:t xml:space="preserve">) Sāriputta used in his instructions to Anāthapiṇḍika is the exact same the Buddha used in the </w:t>
      </w:r>
      <w:r>
        <w:rPr>
          <w:rStyle w:val="wwc-sesame"/>
        </w:rPr>
        <w:t>Simile of the Snake Discourse</w:t>
      </w:r>
      <w:r>
        <w:rPr/>
        <w:t xml:space="preserve"> when he mentioned gods looking for what the consciousness of a truth</w:t>
        <w:softHyphen/>
        <w:t xml:space="preserve">finder was </w:t>
      </w:r>
      <w:r>
        <w:rPr>
          <w:rStyle w:val="Emphasis"/>
        </w:rPr>
        <w:t>supported</w:t>
      </w:r>
      <w:r>
        <w:rPr/>
        <w:t xml:space="preserve"> by. So this is another indication the gods were searching for the enlightened being after they passed away.</w:t>
      </w:r>
    </w:p>
    <w:p>
      <w:pPr>
        <w:pStyle w:val="WW-chapter-section-1"/>
        <w:ind w:hanging="0" w:start="0"/>
        <w:rPr/>
      </w:pPr>
      <w:r>
        <w:rPr/>
        <w:t>Not supporting consciousness leading to full extinguishment</w:t>
      </w:r>
    </w:p>
    <w:p>
      <w:pPr>
        <w:pStyle w:val="WW-paragraph"/>
        <w:rPr/>
      </w:pPr>
      <w:r>
        <w:rPr/>
        <w:t>To close this chapter, below is one more statement on not supporting consciousness:</w:t>
      </w:r>
    </w:p>
    <w:p>
      <w:pPr>
        <w:pStyle w:val="WW-named-section"/>
        <w:rPr/>
      </w:pPr>
      <w:r>
        <w:rPr/>
        <w:t>§140</w:t>
      </w:r>
    </w:p>
    <w:p>
      <w:pPr>
        <w:pStyle w:val="WW-blockquote"/>
        <w:rPr/>
      </w:pPr>
      <w:bookmarkStart w:id="148" w:name="bqseg140"/>
      <w:bookmarkEnd w:id="148"/>
      <w:r>
        <w:rPr/>
        <w:t>[…] they attain equanimity. If they don’t enjoy, welcome, or keep holding on to that equanimity, it is no longer a support or fuel for consciousness. A mendicant without fuel/taking up, gets fully extinguished.</w:t>
      </w:r>
      <w:r>
        <w:rPr>
          <w:rStyle w:val="FootnoteReference"/>
        </w:rPr>
        <w:footnoteReference w:id="554"/>
      </w:r>
    </w:p>
    <w:p>
      <w:pPr>
        <w:pStyle w:val="WW-paragraph"/>
        <w:rPr/>
      </w:pPr>
      <w:r>
        <w:rPr/>
        <w:t xml:space="preserve">This statement first mentions the enlightened being, who no longer holds on to things, but it has implications that go beyond enlightenment. It stems from the </w:t>
      </w:r>
      <w:r>
        <w:rPr>
          <w:rStyle w:val="wwc-sesame"/>
        </w:rPr>
        <w:t>Way to the Undisturbable Discourse</w:t>
      </w:r>
      <w:r>
        <w:rPr/>
        <w:t>, which in an earlier passage (</w:t>
      </w:r>
      <w:hyperlink w:anchor="bqseg56">
        <w:r>
          <w:rPr>
            <w:rStyle w:val="Hyperlink"/>
          </w:rPr>
          <w:t>§56</w:t>
        </w:r>
      </w:hyperlink>
      <w:r>
        <w:rP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pPr>
        <w:pStyle w:val="WW-paragraph"/>
        <w:rPr/>
      </w:pPr>
      <w:r>
        <w:rPr/>
        <w:t>When consciousness doesn’t travel on after death, the result is full extinguishment (</w:t>
      </w:r>
      <w:r>
        <w:rPr>
          <w:rStyle w:val="wwc-pali"/>
        </w:rPr>
        <w:t>parinibbāna</w:t>
      </w:r>
      <w:r>
        <w:rPr/>
        <w:t>), about which the Buddha also said: “Leaving no remnant, after this life, is where existence (</w:t>
      </w:r>
      <w:r>
        <w:rPr>
          <w:rStyle w:val="wwc-pali"/>
        </w:rPr>
        <w:t>bhava</w:t>
      </w:r>
      <w:r>
        <w:rPr/>
        <w:t>) completely ceases.”</w:t>
      </w:r>
      <w:r>
        <w:rPr>
          <w:rStyle w:val="FootnoteReference"/>
        </w:rPr>
        <w:footnoteReference w:id="555"/>
      </w:r>
      <w:r>
        <w:rPr/>
        <w:t xml:space="preserve"> At that point consciousness will completely cease as well. The connection </w:t>
      </w:r>
      <w:r>
        <w:rPr>
          <w:rStyle w:val="Emphasis"/>
        </w:rPr>
        <w:t>no craving › no fuel/taking up › no existence</w:t>
      </w:r>
      <w:r>
        <w:rPr/>
        <w:t xml:space="preserve"> of the default cessation sequence is the same as the implied </w:t>
      </w:r>
      <w:r>
        <w:rPr>
          <w:rStyle w:val="Emphasis"/>
        </w:rPr>
        <w:t>no enjoyment › no fuel/taking up › no consciousness</w:t>
      </w:r>
      <w:r>
        <w:rPr/>
        <w:t xml:space="preserve"> in the above passage.</w:t>
      </w:r>
      <w:r>
        <w:br w:type="page"/>
      </w:r>
    </w:p>
    <w:p>
      <w:pPr>
        <w:pStyle w:val="WW-Chapter"/>
        <w:spacing w:before="0" w:after="567"/>
        <w:ind w:hanging="0" w:start="0"/>
        <w:rPr/>
      </w:pPr>
      <w:r>
        <w:rPr/>
        <w:t>13. The cessation of consciousness</w:t>
      </w:r>
    </w:p>
    <w:p>
      <w:pPr>
        <w:pStyle w:val="WW-chapter-section-1"/>
        <w:ind w:hanging="0" w:start="0"/>
        <w:rPr/>
      </w:pPr>
      <w:r>
        <w:rPr/>
        <w:t>The “state” of non-consciousness</w:t>
      </w:r>
    </w:p>
    <w:p>
      <w:pPr>
        <w:pStyle w:val="WW-paragraph"/>
        <w:rPr/>
      </w:pPr>
      <w:r>
        <w:rPr/>
        <w:t>In his instructions to Anāthapiṇḍika, Sāriputta gave a long list of potential supports for consciousness, but he did not include the cessation of perception and feeling (</w:t>
      </w:r>
      <w:r>
        <w:rPr>
          <w:rStyle w:val="wwc-pali"/>
        </w:rPr>
        <w:t>saññāvedayitanirodha</w:t>
      </w:r>
      <w:r>
        <w:rPr/>
        <w:t xml:space="preserve">), which I prefer to call ‘the cessation of awareness and what is experienced’. </w:t>
      </w:r>
      <w:r>
        <w:rPr>
          <w:rStyle w:val="FootnoteReference"/>
        </w:rPr>
        <w:footnoteReference w:id="556"/>
      </w:r>
      <w:r>
        <w:rPr/>
        <w:t xml:space="preserve">This omission is purposeful, because consciousness is inseparable from perceptions and sensations, as mentioned at </w:t>
      </w:r>
      <w:hyperlink w:anchor="bqseg99">
        <w:r>
          <w:rPr>
            <w:rStyle w:val="Hyperlink"/>
          </w:rPr>
          <w:t>§99</w:t>
        </w:r>
      </w:hyperlink>
      <w:r>
        <w:rPr/>
        <w:t>. When their cessation is reached, consciousness therefore stops as well. That is why this state can’t function as a support for consciousness.</w:t>
      </w:r>
    </w:p>
    <w:p>
      <w:pPr>
        <w:pStyle w:val="WW-paragraph"/>
        <w:rPr/>
      </w:pPr>
      <w:r>
        <w:rP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pPr>
        <w:pStyle w:val="WW-named-section"/>
        <w:rPr/>
      </w:pPr>
      <w:r>
        <w:rPr/>
        <w:t>§141</w:t>
      </w:r>
    </w:p>
    <w:p>
      <w:pPr>
        <w:pStyle w:val="WW-blockquote"/>
        <w:rPr/>
      </w:pPr>
      <w:bookmarkStart w:id="149" w:name="bqseg141"/>
      <w:bookmarkEnd w:id="149"/>
      <w:r>
        <w:rPr/>
        <w:t>“</w:t>
      </w:r>
      <w:r>
        <w:rP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pPr>
        <w:pStyle w:val="WW-blockquote"/>
        <w:rPr/>
      </w:pP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[And so on through the remaining factors.]</w:t>
      </w:r>
    </w:p>
    <w:p>
      <w:pPr>
        <w:pStyle w:val="WW-blockquote"/>
        <w:rPr/>
      </w:pPr>
      <w:r>
        <w:rPr/>
        <w:t>“</w:t>
      </w:r>
      <w:r>
        <w:rPr/>
        <w:t>Very good, mendicants! That is how it is and not otherwise. Have faith and confidence in me about this. Do not be uncertain or in doubt about it. Just that is the end of suffering.”</w:t>
      </w:r>
      <w:r>
        <w:rPr>
          <w:rStyle w:val="FootnoteReference"/>
        </w:rPr>
        <w:footnoteReference w:id="557"/>
      </w:r>
    </w:p>
    <w:p>
      <w:pPr>
        <w:pStyle w:val="WW-paragraph"/>
        <w:rPr/>
      </w:pPr>
      <w:r>
        <w:rPr/>
        <w:t>These statements clarify that no type of consciousness remains after an enlightened being passes away. Note also the final phrase, “</w:t>
      </w:r>
      <w:r>
        <w:rPr>
          <w:rStyle w:val="Emphasis"/>
        </w:rPr>
        <w:t>just that</w:t>
      </w:r>
      <w:r>
        <w:rPr/>
        <w:t xml:space="preserve"> is the end of suffering”, which we already encountered in </w:t>
      </w:r>
      <w:hyperlink w:anchor="bqseg116">
        <w:r>
          <w:rPr>
            <w:rStyle w:val="Hyperlink"/>
          </w:rPr>
          <w:t>§116</w:t>
        </w:r>
      </w:hyperlink>
      <w:r>
        <w:rPr/>
        <w:t xml:space="preserve">. If the meaning of this phrase is not already clear, I will explain it in a moment. It is also used in an inspired utterance in the </w:t>
      </w:r>
      <w:r>
        <w:rPr>
          <w:rStyle w:val="wwc-sesame"/>
        </w:rPr>
        <w:t>Udāna</w:t>
      </w:r>
      <w:r>
        <w:rPr/>
        <w:t xml:space="preserve"> to describe the “state” of permanent non-consciousness that results after the enlightened being passes away:</w:t>
      </w:r>
    </w:p>
    <w:p>
      <w:pPr>
        <w:pStyle w:val="WW-named-section"/>
        <w:rPr/>
      </w:pPr>
      <w:r>
        <w:rPr/>
        <w:t>§142</w:t>
      </w:r>
    </w:p>
    <w:p>
      <w:pPr>
        <w:pStyle w:val="WW-blockquote"/>
        <w:rPr/>
      </w:pPr>
      <w:bookmarkStart w:id="150" w:name="bqseg142"/>
      <w:bookmarkEnd w:id="150"/>
      <w:r>
        <w:rPr/>
        <w:t>The Buddha was once staying in Jeta’s grove, Anāthapiṇḍika’s park at Savatthi. He was instructing, encouraging, inspiring, and gladdening the mendicants with a talk on extinguishment (</w:t>
      </w:r>
      <w:r>
        <w:rPr>
          <w:rStyle w:val="wwc-pali"/>
        </w:rPr>
        <w:t>nibbāna</w:t>
      </w:r>
      <w:r>
        <w:rPr/>
        <w:t>). The mendicants were paying heed, paying attention, engaging wholeheartedly, and lending an ear. At that time, realizing this, the Buddha spoke this inspired utterance:</w:t>
      </w:r>
    </w:p>
    <w:p>
      <w:pPr>
        <w:pStyle w:val="WW-blockquote"/>
        <w:rPr/>
      </w:pPr>
      <w:r>
        <w:rPr/>
        <w:t>“</w:t>
      </w:r>
      <w:r>
        <w:rP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8"/>
      </w:r>
    </w:p>
    <w:p>
      <w:pPr>
        <w:pStyle w:val="WW-paragraph"/>
        <w:rPr/>
      </w:pPr>
      <w:r>
        <w:rPr/>
        <w:t xml:space="preserve">The “state” of the inspired utterance in contemporary Buddhism is called ‘parinibbāna’, meaning ‘full extinguishment’. I will use this term as well, although the suttas do not use </w:t>
      </w:r>
      <w:r>
        <w:rPr>
          <w:rStyle w:val="wwc-pali"/>
        </w:rPr>
        <w:t>parinibbāna</w:t>
      </w:r>
      <w:r>
        <w:rPr/>
        <w:t xml:space="preserve"> exclusively in this sense. Sometimes the term refers to enlightenment, which is the full extinguishment of craving. Likewise, the term </w:t>
      </w:r>
      <w:r>
        <w:rPr>
          <w:rStyle w:val="wwc-pali"/>
        </w:rPr>
        <w:t>nibbāna</w:t>
      </w:r>
      <w:r>
        <w:rPr/>
        <w:t xml:space="preserve"> (without </w:t>
      </w:r>
      <w:r>
        <w:rPr>
          <w:rStyle w:val="wwc-pali"/>
        </w:rPr>
        <w:t>pari</w:t>
      </w:r>
      <w:r>
        <w:rPr>
          <w:rStyle w:val="Emphasis"/>
        </w:rPr>
        <w:t>-</w:t>
      </w:r>
      <w:r>
        <w:rPr/>
        <w:t>) is also used for the passing away of an enlightened being.</w:t>
      </w:r>
      <w:r>
        <w:rPr>
          <w:rStyle w:val="FootnoteReference"/>
        </w:rPr>
        <w:footnoteReference w:id="559"/>
      </w:r>
    </w:p>
    <w:p>
      <w:pPr>
        <w:pStyle w:val="WW-paragraph"/>
        <w:rPr/>
      </w:pPr>
      <w:r>
        <w:rPr/>
        <w:t>The word for ‘state’ (</w:t>
      </w:r>
      <w:r>
        <w:rPr>
          <w:rStyle w:val="wwc-pali"/>
        </w:rPr>
        <w:t>āyatana</w:t>
      </w:r>
      <w:r>
        <w:rP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rPr/>
        <w:t xml:space="preserve">, namely that it indicates it to be a type of transcendent existence or consciousness. In what I consider to be a rare misjudgment, Venerable Bhikkhu Bodhi reifies </w:t>
      </w:r>
      <w:r>
        <w:rPr>
          <w:rStyle w:val="wwc-pali"/>
        </w:rPr>
        <w:t>parinibbāna</w:t>
      </w:r>
      <w:r>
        <w:rPr/>
        <w:t xml:space="preserve"> in such a way: “Suttas speak of [pari]nibbāna as […] a base [</w:t>
      </w:r>
      <w:r>
        <w:rPr>
          <w:rStyle w:val="wwc-pali"/>
        </w:rPr>
        <w:t>āyatana</w:t>
      </w:r>
      <w:r>
        <w:rP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60"/>
      </w:r>
      <w:r>
        <w:rPr/>
        <w:t xml:space="preserve"> Others have used the same reasoning to support ideas of a permanent unestablished consciousness.</w:t>
      </w:r>
      <w:r>
        <w:rPr>
          <w:rStyle w:val="FootnoteReference"/>
        </w:rPr>
        <w:footnoteReference w:id="561"/>
      </w:r>
    </w:p>
    <w:p>
      <w:pPr>
        <w:pStyle w:val="WW-paragraph"/>
        <w:rPr/>
      </w:pPr>
      <w:r>
        <w:rPr/>
        <w:t xml:space="preserve">As Venerable Bodhi himself admits, when describing this ‘state’ or ‘base’, the Buddha just gives a long list of negations. This tells us nothing about what this </w:t>
      </w:r>
      <w:r>
        <w:rPr>
          <w:rStyle w:val="wwc-pali"/>
        </w:rPr>
        <w:t>āyatana</w:t>
      </w:r>
      <w:r>
        <w:rPr/>
        <w:t xml:space="preserve"> is; it only tells us what it is </w:t>
      </w:r>
      <w:r>
        <w:rPr>
          <w:rStyle w:val="Emphasis"/>
        </w:rPr>
        <w:t>not</w:t>
      </w:r>
      <w:r>
        <w:rPr/>
        <w:t xml:space="preserve">. Any transcendentalist interpretation of this passage therefore relies on the word </w:t>
      </w:r>
      <w:r>
        <w:rPr>
          <w:rStyle w:val="wwc-pali"/>
        </w:rPr>
        <w:t>āyatana</w:t>
      </w:r>
      <w:r>
        <w:rPr/>
        <w:t xml:space="preserve"> alone. Before coming to any weighty conclusions, we should therefore determine whether </w:t>
      </w:r>
      <w:r>
        <w:rPr>
          <w:rStyle w:val="wwc-pali"/>
        </w:rPr>
        <w:t>āyatana</w:t>
      </w:r>
      <w:r>
        <w:rPr/>
        <w:t xml:space="preserve"> necessarily refers to a state of existence. We find that it does not.</w:t>
      </w:r>
    </w:p>
    <w:p>
      <w:pPr>
        <w:pStyle w:val="WW-paragraph"/>
        <w:rPr/>
      </w:pPr>
      <w:r>
        <w:rPr/>
        <w:t xml:space="preserve">The </w:t>
      </w:r>
      <w:r>
        <w:rPr>
          <w:rStyle w:val="wwc-sesame"/>
        </w:rPr>
        <w:t>Sīgālovāda Sutta</w:t>
      </w:r>
      <w:r>
        <w:rPr/>
        <w:t xml:space="preserve"> mentions, in the translations of both Walshe and Sujato, susceptibility (</w:t>
      </w:r>
      <w:r>
        <w:rPr>
          <w:rStyle w:val="wwc-pali"/>
        </w:rPr>
        <w:t>āyatana</w:t>
      </w:r>
      <w:r>
        <w:rPr/>
        <w:t>) to illness when drinking alcohol.</w:t>
      </w:r>
      <w:r>
        <w:rPr>
          <w:rStyle w:val="FootnoteReference"/>
        </w:rPr>
        <w:footnoteReference w:id="562"/>
      </w:r>
      <w:r>
        <w:rPr/>
        <w:t xml:space="preserve"> In this case </w:t>
      </w:r>
      <w:r>
        <w:rPr>
          <w:rStyle w:val="wwc-pali"/>
        </w:rPr>
        <w:t>āyatana</w:t>
      </w:r>
      <w:r>
        <w:rPr/>
        <w:t xml:space="preserve"> means something like ‘option’ or ‘case’, or ‘occasion’ or ‘opportunity’, as dictionaries suggest.</w:t>
      </w:r>
      <w:r>
        <w:rPr>
          <w:rStyle w:val="FootnoteReference"/>
        </w:rPr>
        <w:footnoteReference w:id="563"/>
      </w:r>
      <w:r>
        <w:rPr/>
        <w:t xml:space="preserve"> It is somewhat similar to how in English something can be within the </w:t>
      </w:r>
      <w:r>
        <w:rPr>
          <w:rStyle w:val="Emphasis"/>
        </w:rPr>
        <w:t>realm</w:t>
      </w:r>
      <w:r>
        <w:rPr/>
        <w:t xml:space="preserve"> of possibility. The word </w:t>
      </w:r>
      <w:r>
        <w:rPr>
          <w:rStyle w:val="wwc-pali"/>
        </w:rPr>
        <w:t>āyatana</w:t>
      </w:r>
      <w:r>
        <w:rPr/>
        <w:t xml:space="preserve"> has a similar meaning in other places, as in “opportunities (</w:t>
      </w:r>
      <w:r>
        <w:rPr>
          <w:rStyle w:val="wwc-pali"/>
        </w:rPr>
        <w:t>āyatanas</w:t>
      </w:r>
      <w:r>
        <w:rPr/>
        <w:t>) for liberation”.</w:t>
      </w:r>
      <w:r>
        <w:rPr>
          <w:rStyle w:val="FootnoteReference"/>
        </w:rPr>
        <w:footnoteReference w:id="564"/>
      </w:r>
      <w:r>
        <w:rPr/>
        <w:t xml:space="preserve"> Quite tellingly, the </w:t>
      </w:r>
      <w:r>
        <w:rPr>
          <w:rStyle w:val="wwc-sesame"/>
        </w:rPr>
        <w:t>Pañcattaya Sutta</w:t>
      </w:r>
      <w:r>
        <w:rPr/>
        <w:t xml:space="preserve"> calls the theory of annihilationism (among other wrong views) an </w:t>
      </w:r>
      <w:r>
        <w:rPr>
          <w:rStyle w:val="wwc-pali"/>
        </w:rPr>
        <w:t>āyatana</w:t>
      </w:r>
      <w:r>
        <w:rPr/>
        <w:t>.</w:t>
      </w:r>
      <w:r>
        <w:rPr>
          <w:rStyle w:val="FootnoteReference"/>
        </w:rPr>
        <w:footnoteReference w:id="565"/>
      </w:r>
      <w:r>
        <w:rPr/>
        <w:t xml:space="preserve"> So </w:t>
      </w:r>
      <w:r>
        <w:rPr>
          <w:rStyle w:val="wwc-pali"/>
        </w:rPr>
        <w:t>āyatana</w:t>
      </w:r>
      <w:r>
        <w:rP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rPr/>
        <w:t xml:space="preserve"> on this term.</w:t>
      </w:r>
    </w:p>
    <w:p>
      <w:pPr>
        <w:pStyle w:val="WW-paragraph"/>
        <w:rPr/>
      </w:pPr>
      <w:r>
        <w:rPr/>
        <w:t xml:space="preserve">I translated </w:t>
      </w:r>
      <w:r>
        <w:rPr>
          <w:rStyle w:val="wwc-pali"/>
        </w:rPr>
        <w:t>āyatana</w:t>
      </w:r>
      <w:r>
        <w:rPr/>
        <w:t xml:space="preserve"> as ‘state’ in the inspired utterance primarily to keep consistency with the formless attainments, also called </w:t>
      </w:r>
      <w:r>
        <w:rPr>
          <w:rStyle w:val="wwc-pali"/>
        </w:rPr>
        <w:t>āyatanas</w:t>
      </w:r>
      <w:r>
        <w:rP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rPr/>
        <w:t xml:space="preserve"> in this case more likely conveys that the cessation of suffering is </w:t>
      </w:r>
      <w:r>
        <w:rPr>
          <w:rStyle w:val="Emphasis"/>
        </w:rPr>
        <w:t>possible</w:t>
      </w:r>
      <w:r>
        <w:rPr/>
        <w:t xml:space="preserve">, similar to its meaning in the examples just given. It is not meant to reify </w:t>
      </w:r>
      <w:r>
        <w:rPr>
          <w:rStyle w:val="wwc-pali"/>
        </w:rPr>
        <w:t>parinibbāna</w:t>
      </w:r>
      <w:r>
        <w:rPr/>
        <w:t>.</w:t>
      </w:r>
    </w:p>
    <w:p>
      <w:pPr>
        <w:pStyle w:val="WW-paragraph"/>
        <w:rPr/>
      </w:pPr>
      <w:r>
        <w:rPr/>
        <w:t xml:space="preserve">This is confirmed by another discourse which uses </w:t>
      </w:r>
      <w:r>
        <w:rPr>
          <w:rStyle w:val="wwc-pali"/>
        </w:rPr>
        <w:t>āyatana</w:t>
      </w:r>
      <w:r>
        <w:rPr/>
        <w:t xml:space="preserve"> with reference to the end of suffering. The Buddha says: “You should understand</w:t>
      </w:r>
      <w:r>
        <w:rPr>
          <w:rStyle w:val="FootnoteReference"/>
        </w:rPr>
        <w:footnoteReference w:id="566"/>
      </w:r>
      <w:r>
        <w:rPr/>
        <w:t xml:space="preserve"> the </w:t>
      </w:r>
      <w:r>
        <w:rPr>
          <w:rStyle w:val="wwc-pali"/>
        </w:rPr>
        <w:t>āyatana</w:t>
      </w:r>
      <w:r>
        <w:rP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7"/>
      </w:r>
      <w:r>
        <w:rPr/>
        <w:t xml:space="preserve"> When Ānanda is subsequently asked what the Buddha was referring to with this “</w:t>
      </w:r>
      <w:r>
        <w:rPr>
          <w:rStyle w:val="wwc-pali"/>
        </w:rPr>
        <w:t>āyatana</w:t>
      </w:r>
      <w:r>
        <w:rP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that anything exists after </w:t>
      </w:r>
      <w:r>
        <w:rPr>
          <w:rStyle w:val="wwc-pali"/>
        </w:rPr>
        <w:t>parinibbāna</w:t>
      </w:r>
      <w:r>
        <w:rPr/>
        <w:t>, aligns with the observations of Chapter 9, that the six senses encompass all that can be experienced.</w:t>
      </w:r>
    </w:p>
    <w:p>
      <w:pPr>
        <w:pStyle w:val="WW-paragraph"/>
        <w:rPr/>
      </w:pPr>
      <w:r>
        <w:rPr/>
        <w:t xml:space="preserve">In sum, the word </w:t>
      </w:r>
      <w:r>
        <w:rPr>
          <w:rStyle w:val="wwc-pali"/>
        </w:rPr>
        <w:t>āyatana</w:t>
      </w:r>
      <w:r>
        <w:rPr/>
        <w:t xml:space="preserve"> in this context refers to the possibility of cessation, not to a certain realm or place. In that light, if we adopt ‘case’ for </w:t>
      </w:r>
      <w:r>
        <w:rPr>
          <w:rStyle w:val="wwc-pali"/>
        </w:rPr>
        <w:t>āyatana</w:t>
      </w:r>
      <w:r>
        <w:rPr/>
        <w:t>, the translation becomes: “You should understand the case when</w:t>
      </w:r>
      <w:r>
        <w:rPr>
          <w:rStyle w:val="FootnoteReference"/>
        </w:rPr>
        <w:footnoteReference w:id="568"/>
      </w:r>
      <w:r>
        <w:rPr/>
        <w:t xml:space="preserve"> the sense of sight and perception of sight cease, […] the mind and mental perceptions cease.” Likewise, the inspired utterance becomes:</w:t>
      </w:r>
    </w:p>
    <w:p>
      <w:pPr>
        <w:pStyle w:val="WW-named-section"/>
        <w:rPr/>
      </w:pPr>
      <w:r>
        <w:rPr/>
        <w:t>§143</w:t>
      </w:r>
    </w:p>
    <w:p>
      <w:pPr>
        <w:pStyle w:val="WW-blockquote"/>
        <w:rPr/>
      </w:pPr>
      <w:bookmarkStart w:id="151" w:name="bqseg143"/>
      <w:bookmarkEnd w:id="151"/>
      <w:r>
        <w:rP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9"/>
      </w:r>
    </w:p>
    <w:p>
      <w:pPr>
        <w:pStyle w:val="WW-paragraph"/>
        <w:rPr/>
      </w:pPr>
      <w:r>
        <w:rPr/>
        <w:t xml:space="preserve">Now this no longer sounds like a state of existence. It instead tells us it is </w:t>
      </w:r>
      <w:r>
        <w:rPr>
          <w:rStyle w:val="Emphasis"/>
        </w:rPr>
        <w:t>possible</w:t>
      </w:r>
      <w:r>
        <w:rPr/>
        <w:t xml:space="preserve"> to end all the things that are listed.</w:t>
      </w:r>
    </w:p>
    <w:p>
      <w:pPr>
        <w:pStyle w:val="WW-paragraph"/>
        <w:rPr/>
      </w:pPr>
      <w:r>
        <w:rPr/>
        <w:t xml:space="preserve">The passage may well be playing with multiple connotations of the word </w:t>
      </w:r>
      <w:r>
        <w:rPr>
          <w:rStyle w:val="wwc-pali"/>
        </w:rPr>
        <w:t>āyatana</w:t>
      </w:r>
      <w:r>
        <w:rP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rPr/>
        <w:t xml:space="preserve"> in certain contexts.</w:t>
      </w:r>
    </w:p>
    <w:p>
      <w:pPr>
        <w:pStyle w:val="WW-paragraph"/>
        <w:rPr/>
      </w:pPr>
      <w:r>
        <w:rPr/>
        <w:t xml:space="preserve">On a related note, similar claims of transcendent existence have been made based on the word </w:t>
      </w:r>
      <w:r>
        <w:rPr>
          <w:rStyle w:val="wwc-pali"/>
        </w:rPr>
        <w:t>dhātu</w:t>
      </w:r>
      <w:r>
        <w:rPr/>
        <w:t xml:space="preserve">, but these can be questioned in a similar fashion. Venerable Brahmāli explained: “Sometimes </w:t>
      </w:r>
      <w:r>
        <w:rPr>
          <w:rStyle w:val="wwc-pali"/>
        </w:rPr>
        <w:t>nibbāna</w:t>
      </w:r>
      <w:r>
        <w:rPr/>
        <w:t xml:space="preserve"> is called </w:t>
      </w:r>
      <w:r>
        <w:rPr>
          <w:rStyle w:val="wwc-pali"/>
        </w:rPr>
        <w:t>nibbānadhātu</w:t>
      </w:r>
      <w:r>
        <w:rPr/>
        <w:t xml:space="preserve"> […]. The word </w:t>
      </w:r>
      <w:r>
        <w:rPr>
          <w:rStyle w:val="wwc-pali"/>
        </w:rPr>
        <w:t>dhātu</w:t>
      </w:r>
      <w:r>
        <w:rPr/>
        <w:t xml:space="preserve"> is often translated as ‘element’. Basing one’s understanding on this translation it is natural to conclude that </w:t>
      </w:r>
      <w:r>
        <w:rPr>
          <w:rStyle w:val="wwc-pali"/>
        </w:rPr>
        <w:t>nibbāna</w:t>
      </w:r>
      <w:r>
        <w:rPr/>
        <w:t xml:space="preserve"> must be ‘something’. However, this would be to ignore the range of meanings of the word </w:t>
      </w:r>
      <w:r>
        <w:rPr>
          <w:rStyle w:val="wwc-pali"/>
        </w:rPr>
        <w:t>dhātu</w:t>
      </w:r>
      <w:r>
        <w:rPr/>
        <w:t>.”</w:t>
      </w:r>
      <w:r>
        <w:rPr>
          <w:rStyle w:val="FootnoteReference"/>
        </w:rPr>
        <w:footnoteReference w:id="570"/>
      </w:r>
      <w:r>
        <w:rPr/>
        <w:t xml:space="preserve"> Dictionaries include under </w:t>
      </w:r>
      <w:r>
        <w:rPr>
          <w:rStyle w:val="wwc-pali"/>
        </w:rPr>
        <w:t>dhātu</w:t>
      </w:r>
      <w:r>
        <w:rPr/>
        <w:t>, “a principle […] sometimes a very general abstraction: -hood; -ness” and “condition, principle, property”.</w:t>
      </w:r>
      <w:r>
        <w:rPr>
          <w:rStyle w:val="FootnoteReference"/>
        </w:rPr>
        <w:footnoteReference w:id="571"/>
      </w:r>
      <w:r>
        <w:rPr/>
        <w:t xml:space="preserve"> As an illustration of these meanings, there is the </w:t>
      </w:r>
      <w:r>
        <w:rPr>
          <w:rStyle w:val="wwc-pali"/>
        </w:rPr>
        <w:t>nirodhadhātu</w:t>
      </w:r>
      <w:r>
        <w:rPr/>
        <w:t xml:space="preserve">, ‘the principle/property of cessation’. In a discourse specifically called the </w:t>
      </w:r>
      <w:r>
        <w:rPr>
          <w:rStyle w:val="wwc-sesame"/>
        </w:rPr>
        <w:t>Dhātu Sutta</w:t>
      </w:r>
      <w:r>
        <w:rPr/>
        <w:t xml:space="preserve">, this </w:t>
      </w:r>
      <w:r>
        <w:rPr>
          <w:rStyle w:val="wwc-pali"/>
        </w:rPr>
        <w:t>nirodhadhātu</w:t>
      </w:r>
      <w:r>
        <w:rPr/>
        <w:t xml:space="preserve"> is a synonym for </w:t>
      </w:r>
      <w:r>
        <w:rPr>
          <w:rStyle w:val="wwc-pali"/>
        </w:rPr>
        <w:t>parinibbāna</w:t>
      </w:r>
      <w:r>
        <w:rPr/>
        <w:t>.</w:t>
      </w:r>
      <w:r>
        <w:rPr>
          <w:rStyle w:val="FootnoteReference"/>
        </w:rPr>
        <w:footnoteReference w:id="572"/>
      </w:r>
      <w:r>
        <w:rPr/>
        <w:t xml:space="preserve"> So in this context the word </w:t>
      </w:r>
      <w:r>
        <w:rPr>
          <w:rStyle w:val="wwc-pali"/>
        </w:rPr>
        <w:t>dhātu</w:t>
      </w:r>
      <w:r>
        <w:rPr/>
        <w:t xml:space="preserve"> simply refers to cessation, just like </w:t>
      </w:r>
      <w:r>
        <w:rPr>
          <w:rStyle w:val="wwc-pali"/>
        </w:rPr>
        <w:t>āyatana</w:t>
      </w:r>
      <w:r>
        <w:rPr/>
        <w:t xml:space="preserve"> in the inspired utterance. It too does not refer to a state of existence.</w:t>
      </w:r>
    </w:p>
    <w:p>
      <w:pPr>
        <w:pStyle w:val="WW-chapter-section-1"/>
        <w:ind w:hanging="0" w:start="0"/>
        <w:rPr/>
      </w:pPr>
      <w:r>
        <w:rPr/>
        <w:t>Just that is the end of suffering</w:t>
      </w:r>
    </w:p>
    <w:p>
      <w:pPr>
        <w:pStyle w:val="WW-paragraph"/>
        <w:rPr/>
      </w:pPr>
      <w:r>
        <w:rPr/>
        <w:t>The list of negations in the inspired utterance concludes, “</w:t>
      </w:r>
      <w:r>
        <w:rPr>
          <w:rStyle w:val="Emphasis"/>
        </w:rPr>
        <w:t>just that</w:t>
      </w:r>
      <w:r>
        <w:rPr/>
        <w:t xml:space="preserve"> is the end of suffering”. This indicates </w:t>
      </w:r>
      <w:r>
        <w:rPr>
          <w:rStyle w:val="wwc-pali"/>
        </w:rPr>
        <w:t>parinibbāna</w:t>
      </w:r>
      <w:r>
        <w:rPr/>
        <w:t xml:space="preserve"> is </w:t>
      </w:r>
      <w:r>
        <w:rPr>
          <w:rStyle w:val="Emphasis"/>
        </w:rPr>
        <w:t>just</w:t>
      </w:r>
      <w:r>
        <w:rPr/>
        <w:t xml:space="preserve"> the end of all things mentioned in the utterance, not something apart from them. A similar statement is made about enlightenment:</w:t>
      </w:r>
    </w:p>
    <w:p>
      <w:pPr>
        <w:pStyle w:val="WW-named-section"/>
        <w:rPr/>
      </w:pPr>
      <w:r>
        <w:rPr/>
        <w:t>§144</w:t>
      </w:r>
    </w:p>
    <w:p>
      <w:pPr>
        <w:pStyle w:val="WW-line-block"/>
        <w:rPr/>
      </w:pPr>
      <w:bookmarkStart w:id="152" w:name="bqseg144"/>
      <w:bookmarkEnd w:id="152"/>
      <w:r>
        <w:rPr/>
        <w:t>They who have gone beyond doubt,</w:t>
        <w:br/>
        <w:t>in whom no sensual desires reside,</w:t>
        <w:br/>
        <w:t>in whom no craving can be found,</w:t>
        <w:br/>
        <w:t xml:space="preserve">their deliverance is </w:t>
      </w:r>
      <w:r>
        <w:rPr>
          <w:rStyle w:val="Emphasis"/>
        </w:rPr>
        <w:t>nothing more than that</w:t>
      </w:r>
      <w:r>
        <w:rPr/>
        <w:t>.</w:t>
      </w:r>
      <w:r>
        <w:rPr>
          <w:rStyle w:val="FootnoteReference"/>
        </w:rPr>
        <w:footnoteReference w:id="573"/>
      </w:r>
    </w:p>
    <w:p>
      <w:pPr>
        <w:pStyle w:val="WW-paragraph"/>
        <w:rPr/>
      </w:pPr>
      <w:r>
        <w:rP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4"/>
      </w:r>
      <w:r>
        <w:rPr/>
        <w:t xml:space="preserve"> with ‘extinguishment’ here meaning the final extinguishment that happens at death. It is the </w:t>
      </w:r>
      <w:r>
        <w:rPr>
          <w:rStyle w:val="Emphasis"/>
        </w:rPr>
        <w:t>ending</w:t>
      </w:r>
      <w:r>
        <w:rPr/>
        <w:t xml:space="preserve"> of things, not some form of continuation or creation.</w:t>
      </w:r>
    </w:p>
    <w:p>
      <w:pPr>
        <w:pStyle w:val="WW-paragraph"/>
        <w:rPr/>
      </w:pPr>
      <w:r>
        <w:rPr/>
        <w:t>To explain this further, let me address all the things that are negated in the inspired utterance. Much of what we have discussed before is referred to as well.</w:t>
      </w:r>
    </w:p>
    <w:p>
      <w:pPr>
        <w:pStyle w:val="WW-paragraph"/>
        <w:numPr>
          <w:ilvl w:val="0"/>
          <w:numId w:val="18"/>
        </w:numPr>
        <w:rPr/>
      </w:pPr>
      <w:r>
        <w:rPr/>
        <w:t>‘</w:t>
      </w:r>
      <w:r>
        <w:rP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pPr>
        <w:pStyle w:val="WW-paragraph"/>
        <w:numPr>
          <w:ilvl w:val="0"/>
          <w:numId w:val="18"/>
        </w:numPr>
        <w:rPr/>
      </w:pPr>
      <w:r>
        <w:rPr/>
        <w:t>‘</w:t>
      </w:r>
      <w:r>
        <w:rP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rPr/>
        <w:t>, the final cessation of suffering.</w:t>
      </w:r>
      <w:r>
        <w:rPr>
          <w:rStyle w:val="FootnoteReference"/>
        </w:rPr>
        <w:footnoteReference w:id="575"/>
      </w:r>
      <w:r>
        <w:rPr/>
        <w:t xml:space="preserve"> In line with the </w:t>
      </w:r>
      <w:r>
        <w:rPr>
          <w:rStyle w:val="wwc-sesame"/>
        </w:rPr>
        <w:t>Anāthapiṇḍika Sutta</w:t>
      </w:r>
      <w:r>
        <w:rPr/>
        <w:t xml:space="preserve">, the utterance does not include the cessation of awareness and what is experienced (or ‘the cessation of perception and feeling’) in the things that don’t exist after </w:t>
      </w:r>
      <w:r>
        <w:rPr>
          <w:rStyle w:val="wwc-pali"/>
        </w:rPr>
        <w:t>parinibbāna</w:t>
      </w:r>
      <w:r>
        <w:rPr/>
        <w:t xml:space="preserve">. That is because </w:t>
      </w:r>
      <w:r>
        <w:rPr>
          <w:rStyle w:val="wwc-pali"/>
        </w:rPr>
        <w:t>parinibbāna</w:t>
      </w:r>
      <w:r>
        <w:rPr/>
        <w:t xml:space="preserve"> is a permanent version of this cessation. This cessation of awareness is elsewhere also implied to be the highest bliss, even though nothing is experienced there, and in the </w:t>
      </w:r>
      <w:r>
        <w:rPr>
          <w:rStyle w:val="wwc-sesame"/>
        </w:rPr>
        <w:t>Anupada Sutta</w:t>
      </w:r>
      <w:r>
        <w:rPr/>
        <w:t xml:space="preserve"> Venerable Sāriputta concluded there is no escape beyond it.</w:t>
      </w:r>
      <w:r>
        <w:rPr>
          <w:rStyle w:val="FootnoteReference"/>
        </w:rPr>
        <w:footnoteReference w:id="576"/>
      </w:r>
    </w:p>
    <w:p>
      <w:pPr>
        <w:pStyle w:val="WW-paragraph"/>
        <w:numPr>
          <w:ilvl w:val="0"/>
          <w:numId w:val="18"/>
        </w:numPr>
        <w:rPr/>
      </w:pPr>
      <w:r>
        <w:rPr/>
        <w:t>‘</w:t>
      </w:r>
      <w:r>
        <w:rPr/>
        <w:t>No this world, no other world’ means no existence in this world or any other.</w:t>
      </w:r>
    </w:p>
    <w:p>
      <w:pPr>
        <w:pStyle w:val="WW-paragraph"/>
        <w:numPr>
          <w:ilvl w:val="0"/>
          <w:numId w:val="18"/>
        </w:numPr>
        <w:rPr/>
      </w:pPr>
      <w:r>
        <w:rPr/>
        <w:t>‘</w:t>
      </w:r>
      <w:r>
        <w:rPr/>
        <w:t>No sun, no moon’ does sound a bit Brahmanical</w:t>
      </w:r>
      <w:r>
        <w:rPr>
          <w:rStyle w:val="FootnoteReference"/>
        </w:rPr>
        <w:footnoteReference w:id="577"/>
      </w:r>
      <w:r>
        <w:rP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rPr/>
        <w:t>.</w:t>
      </w:r>
    </w:p>
    <w:p>
      <w:pPr>
        <w:pStyle w:val="WW-paragraph"/>
        <w:numPr>
          <w:ilvl w:val="0"/>
          <w:numId w:val="18"/>
        </w:numPr>
        <w:rPr/>
      </w:pPr>
      <w:r>
        <w:rPr/>
        <w:t>‘</w:t>
      </w:r>
      <w:r>
        <w:rPr/>
        <w:t xml:space="preserve">No arriving, no departing, no abiding, no passing on, no rebirth’ stands for the end of rebirth. Most of these terms were explained in the discussion of the </w:t>
      </w:r>
      <w:r>
        <w:rPr>
          <w:rStyle w:val="wwc-sesame"/>
        </w:rPr>
        <w:t>Seeds Discourse</w:t>
      </w:r>
      <w:r>
        <w:rPr/>
        <w:t>. ‘No abiding’ is new, but it simply means no abiding in any state of existence, there being no abode for consciousness.</w:t>
      </w:r>
    </w:p>
    <w:p>
      <w:pPr>
        <w:pStyle w:val="WW-paragraph"/>
        <w:numPr>
          <w:ilvl w:val="0"/>
          <w:numId w:val="18"/>
        </w:numPr>
        <w:rPr/>
      </w:pPr>
      <w:r>
        <w:rPr/>
        <w:t>‘</w:t>
      </w:r>
      <w:r>
        <w:rPr/>
        <w:t>Not moving on’ (</w:t>
      </w:r>
      <w:r>
        <w:rPr>
          <w:rStyle w:val="wwc-pali"/>
        </w:rPr>
        <w:t>appavatta</w:t>
      </w:r>
      <w:r>
        <w:rPr/>
        <w:t>) refers to the end of rebirth too, to the cessation of the cycle of rebirth.</w:t>
      </w:r>
    </w:p>
    <w:p>
      <w:pPr>
        <w:pStyle w:val="WW-paragraph"/>
        <w:numPr>
          <w:ilvl w:val="0"/>
          <w:numId w:val="18"/>
        </w:numPr>
        <w:rPr/>
      </w:pPr>
      <w:r>
        <w:rPr/>
        <w:t>‘</w:t>
      </w:r>
      <w:r>
        <w:rP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8"/>
      </w:r>
    </w:p>
    <w:p>
      <w:pPr>
        <w:pStyle w:val="WW-paragraph"/>
        <w:rPr/>
      </w:pPr>
      <w:r>
        <w:rPr/>
        <w:t xml:space="preserve">In the </w:t>
      </w:r>
      <w:r>
        <w:rPr>
          <w:rStyle w:val="wwc-sesame"/>
        </w:rPr>
        <w:t>Pārāyana Vagga</w:t>
      </w:r>
      <w:r>
        <w:rPr/>
        <w:t xml:space="preserve"> the Buddha also explains what </w:t>
      </w:r>
      <w:r>
        <w:rPr>
          <w:rStyle w:val="wwc-pali"/>
        </w:rPr>
        <w:t>parinibbāna</w:t>
      </w:r>
      <w:r>
        <w:rPr/>
        <w:t xml:space="preserve"> is about:</w:t>
      </w:r>
    </w:p>
    <w:p>
      <w:pPr>
        <w:pStyle w:val="WW-named-section"/>
        <w:rPr/>
      </w:pPr>
      <w:r>
        <w:rPr/>
        <w:t>§145</w:t>
      </w:r>
    </w:p>
    <w:p>
      <w:pPr>
        <w:pStyle w:val="WW-blockquote"/>
        <w:rPr/>
      </w:pPr>
      <w:bookmarkStart w:id="153" w:name="bqseg145"/>
      <w:bookmarkEnd w:id="153"/>
      <w:r>
        <w:rPr/>
        <w:t>&lt;Venerable Mettagu asked:</w:t>
      </w:r>
    </w:p>
    <w:p>
      <w:pPr>
        <w:pStyle w:val="WW-line-block"/>
        <w:rPr/>
      </w:pPr>
      <w:r>
        <w:rPr/>
        <w:t>“</w:t>
      </w:r>
      <w:r>
        <w:rPr/>
        <w:t>You elucidated what I asked about.</w:t>
        <w:br/>
        <w:t>Let me ask something else; please speak on it.</w:t>
        <w:br/>
        <w:t>How do the bright cross the flood</w:t>
        <w:br/>
        <w:t>of birth, old age, sorrow, and grief?</w:t>
        <w:br/>
        <w:t>May you explain this clearly to me, O sage,</w:t>
        <w:br/>
        <w:t>for you truly understand this matter.”</w:t>
      </w:r>
    </w:p>
    <w:p>
      <w:pPr>
        <w:pStyle w:val="WW-blockquote"/>
        <w:rPr/>
      </w:pPr>
      <w:r>
        <w:rPr/>
        <w:t>&lt;The Buddha replied:</w:t>
      </w:r>
    </w:p>
    <w:p>
      <w:pPr>
        <w:pStyle w:val="WW-line-block"/>
        <w:rPr/>
      </w:pPr>
      <w:r>
        <w:rPr/>
        <w:t>“</w:t>
      </w:r>
      <w:r>
        <w:rPr/>
        <w:t>I will proclaim a teaching for you</w:t>
        <w:br/>
        <w:t>which can be seen in this life, not relying on reports,</w:t>
        <w:br/>
        <w:t>by which, if understood and not forgotten,</w:t>
        <w:br/>
        <w:t>one can cross attachment to the world.”</w:t>
      </w:r>
    </w:p>
    <w:p>
      <w:pPr>
        <w:pStyle w:val="WW-line-block"/>
        <w:rPr/>
      </w:pPr>
      <w:r>
        <w:rPr/>
        <w:t>“</w:t>
      </w:r>
      <w:r>
        <w:rPr/>
        <w:t>And I will rejoice, great seer,</w:t>
        <w:br/>
        <w:t>in that supreme teaching,</w:t>
        <w:br/>
        <w:t>by which, if understood and not forgotten,</w:t>
        <w:br/>
        <w:t>one can cross over attachment to the world.”</w:t>
      </w:r>
    </w:p>
    <w:p>
      <w:pPr>
        <w:pStyle w:val="WW-line-block"/>
        <w:rPr/>
      </w:pPr>
      <w:r>
        <w:rPr/>
        <w:t>“</w:t>
      </w:r>
      <w:r>
        <w:rPr/>
        <w:t>If you dispel enjoyment of and adherence to</w:t>
        <w:br/>
        <w:t>whatever you are aware of,</w:t>
        <w:br/>
        <w:t>above, below, and in between across,</w:t>
        <w:br/>
        <w:t>consciousness won’t continue in any state of existence.”</w:t>
      </w:r>
      <w:r>
        <w:rPr>
          <w:rStyle w:val="FootnoteReference"/>
        </w:rPr>
        <w:footnoteReference w:id="579"/>
      </w:r>
    </w:p>
    <w:p>
      <w:pPr>
        <w:pStyle w:val="WW-paragraph"/>
        <w:rPr/>
      </w:pPr>
      <w:r>
        <w:rPr/>
        <w:t xml:space="preserve">Without any attachment to awareness, at death consciousness will not continue in any state of existence. This is the end of suffering, the end of birth and death. And this is what </w:t>
      </w:r>
      <w:r>
        <w:rPr>
          <w:rStyle w:val="wwc-pali"/>
        </w:rPr>
        <w:t>appatiṭṭhita viññāṇa</w:t>
      </w:r>
      <w:r>
        <w:rPr/>
        <w:t xml:space="preserve"> and the simile of the beam refer to: not to a type of consciousness, but to its cessation.</w:t>
      </w:r>
      <w:r>
        <w:br w:type="page"/>
      </w:r>
    </w:p>
    <w:p>
      <w:pPr>
        <w:pStyle w:val="WW-Chapter"/>
        <w:spacing w:before="0" w:after="567"/>
        <w:ind w:hanging="0" w:start="0"/>
        <w:rPr/>
      </w:pPr>
      <w:r>
        <w:rPr/>
        <w:t>14. Conclusion</w:t>
      </w:r>
    </w:p>
    <w:p>
      <w:pPr>
        <w:pStyle w:val="WW-paragraph"/>
        <w:rPr/>
      </w:pPr>
      <w:r>
        <w:rPr/>
        <w:t xml:space="preserve">Although the primary aim of this book was to explain </w:t>
      </w:r>
      <w:r>
        <w:rPr>
          <w:rStyle w:val="wwc-pali"/>
        </w:rPr>
        <w:t>appatiṭṭhita viññāṇa</w:t>
      </w:r>
      <w:r>
        <w:rPr/>
        <w:t xml:space="preserve"> and how it relates to Dependent Arising, I also tried to illustrate the beauty of the Blessed One’s teachings. There are many layers in his sermons, which use definitions, questions, and logic, and also make ample use of similes.</w:t>
      </w:r>
    </w:p>
    <w:p>
      <w:pPr>
        <w:pStyle w:val="WW-paragraph"/>
        <w:rPr/>
      </w:pPr>
      <w:r>
        <w:rP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80"/>
      </w:r>
      <w:r>
        <w:rP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pPr>
        <w:pStyle w:val="WW-paragraph"/>
        <w:rPr/>
      </w:pPr>
      <w:r>
        <w:rPr/>
        <w:t xml:space="preserve">However, as hard as one might try, one aspect of these teachings that never comes across well in translation is the linguistic connections between various Pāli terms. A good example is </w:t>
      </w:r>
      <w:r>
        <w:rPr>
          <w:rStyle w:val="wwc-pali"/>
        </w:rPr>
        <w:t>appatiṭṭhita</w:t>
      </w:r>
      <w:r>
        <w:rPr/>
        <w:t>, which has relations to many phrases quoted in previous passages, among which:</w:t>
      </w:r>
    </w:p>
    <w:p>
      <w:pPr>
        <w:pStyle w:val="WW-paragraph"/>
        <w:numPr>
          <w:ilvl w:val="0"/>
          <w:numId w:val="19"/>
        </w:numPr>
        <w:rPr/>
      </w:pPr>
      <w:r>
        <w:rPr/>
        <w:t>‘</w:t>
      </w:r>
      <w:r>
        <w:rPr/>
        <w:t>consciousness won’t continue (</w:t>
      </w:r>
      <w:r>
        <w:rPr>
          <w:rStyle w:val="wwc-pali"/>
        </w:rPr>
        <w:t>tiṭṭhe</w:t>
      </w:r>
      <w:r>
        <w:rPr/>
        <w:t>) in any state of existence’ of the last passage</w:t>
      </w:r>
    </w:p>
    <w:p>
      <w:pPr>
        <w:pStyle w:val="WW-paragraph"/>
        <w:numPr>
          <w:ilvl w:val="0"/>
          <w:numId w:val="19"/>
        </w:numPr>
        <w:rPr/>
      </w:pPr>
      <w:r>
        <w:rPr/>
        <w:t>‘</w:t>
      </w:r>
      <w:r>
        <w:rPr/>
        <w:t>the arising, continuation (</w:t>
      </w:r>
      <w:r>
        <w:rPr>
          <w:rStyle w:val="wwc-pali"/>
        </w:rPr>
        <w:t>ṭhiti</w:t>
      </w:r>
      <w:r>
        <w:rPr/>
        <w:t>), production, and manifestation of consciousness’ at birth</w:t>
      </w:r>
      <w:r>
        <w:rPr>
          <w:rStyle w:val="FootnoteReference"/>
        </w:rPr>
        <w:footnoteReference w:id="581"/>
      </w:r>
    </w:p>
    <w:p>
      <w:pPr>
        <w:pStyle w:val="WW-paragraph"/>
        <w:numPr>
          <w:ilvl w:val="0"/>
          <w:numId w:val="19"/>
        </w:numPr>
        <w:rPr/>
      </w:pPr>
      <w:r>
        <w:rPr/>
        <w:t>‘</w:t>
      </w:r>
      <w:r>
        <w:rPr/>
        <w:t>the continuation (</w:t>
      </w:r>
      <w:r>
        <w:rPr>
          <w:rStyle w:val="wwc-pali"/>
        </w:rPr>
        <w:t>ṭhiti</w:t>
      </w:r>
      <w:r>
        <w:rPr/>
        <w:t>) of consciousness’ after death</w:t>
      </w:r>
      <w:r>
        <w:rPr>
          <w:rStyle w:val="FootnoteReference"/>
        </w:rPr>
        <w:footnoteReference w:id="582"/>
      </w:r>
    </w:p>
    <w:p>
      <w:pPr>
        <w:pStyle w:val="WW-paragraph"/>
        <w:numPr>
          <w:ilvl w:val="0"/>
          <w:numId w:val="19"/>
        </w:numPr>
        <w:rPr/>
      </w:pPr>
      <w:r>
        <w:rPr/>
        <w:t>‘</w:t>
      </w:r>
      <w:r>
        <w:rPr/>
        <w:t>consciousness would continue to exist (</w:t>
      </w:r>
      <w:r>
        <w:rPr>
          <w:rStyle w:val="wwc-pali"/>
        </w:rPr>
        <w:t>tiṭṭhamānaṁ tiṭṭheyya</w:t>
      </w:r>
      <w:r>
        <w:rPr/>
        <w:t xml:space="preserve">)’ of the </w:t>
      </w:r>
      <w:r>
        <w:rPr>
          <w:rStyle w:val="wwc-sesame"/>
        </w:rPr>
        <w:t>Seeds Discourse</w:t>
      </w:r>
      <w:r>
        <w:rPr>
          <w:rStyle w:val="FootnoteReference"/>
        </w:rPr>
        <w:footnoteReference w:id="583"/>
      </w:r>
    </w:p>
    <w:p>
      <w:pPr>
        <w:pStyle w:val="WW-paragraph"/>
        <w:numPr>
          <w:ilvl w:val="0"/>
          <w:numId w:val="19"/>
        </w:numPr>
        <w:rPr/>
      </w:pPr>
      <w:r>
        <w:rPr/>
        <w:t>‘</w:t>
      </w:r>
      <w:r>
        <w:rPr/>
        <w:t>that tree would keep existing (</w:t>
      </w:r>
      <w:r>
        <w:rPr>
          <w:rStyle w:val="wwc-pali"/>
        </w:rPr>
        <w:t>tiṭṭheyya</w:t>
      </w:r>
      <w:r>
        <w:rPr/>
        <w:t xml:space="preserve">) for a very long time’, a simile for existence in </w:t>
      </w:r>
      <w:r>
        <w:rPr>
          <w:rStyle w:val="wwc-pali"/>
        </w:rPr>
        <w:t>saṁsāra</w:t>
      </w:r>
      <w:r>
        <w:rPr>
          <w:rStyle w:val="FootnoteReference"/>
        </w:rPr>
        <w:footnoteReference w:id="584"/>
      </w:r>
    </w:p>
    <w:p>
      <w:pPr>
        <w:pStyle w:val="WW-paragraph"/>
        <w:numPr>
          <w:ilvl w:val="0"/>
          <w:numId w:val="19"/>
        </w:numPr>
        <w:rPr/>
      </w:pPr>
      <w:r>
        <w:rPr/>
        <w:t>‘</w:t>
      </w:r>
      <w:r>
        <w:rPr/>
        <w:t>all beings are kept in existence (</w:t>
      </w:r>
      <w:r>
        <w:rPr>
          <w:rStyle w:val="Emphasis"/>
        </w:rPr>
        <w:t>-</w:t>
      </w:r>
      <w:r>
        <w:rPr>
          <w:rStyle w:val="wwc-pali"/>
        </w:rPr>
        <w:t>ṭhitika</w:t>
      </w:r>
      <w:r>
        <w:rPr/>
        <w:t>) by nutriment’</w:t>
      </w:r>
      <w:r>
        <w:rPr>
          <w:rStyle w:val="FootnoteReference"/>
        </w:rPr>
        <w:footnoteReference w:id="585"/>
      </w:r>
    </w:p>
    <w:p>
      <w:pPr>
        <w:pStyle w:val="WW-paragraph"/>
        <w:numPr>
          <w:ilvl w:val="0"/>
          <w:numId w:val="19"/>
        </w:numPr>
        <w:rPr/>
      </w:pPr>
      <w:r>
        <w:rPr/>
        <w:t>‘</w:t>
      </w:r>
      <w:r>
        <w:rPr/>
        <w:t>the four supports (</w:t>
      </w:r>
      <w:r>
        <w:rPr>
          <w:rStyle w:val="wwc-pali"/>
        </w:rPr>
        <w:t>ṭhiti</w:t>
      </w:r>
      <w:r>
        <w:rPr/>
        <w:t xml:space="preserve">) for consciousness’ in the </w:t>
      </w:r>
      <w:r>
        <w:rPr>
          <w:rStyle w:val="wwc-sesame"/>
        </w:rPr>
        <w:t>Seeds Discourse</w:t>
      </w:r>
      <w:r>
        <w:rPr>
          <w:rStyle w:val="FootnoteReference"/>
        </w:rPr>
        <w:footnoteReference w:id="586"/>
      </w:r>
    </w:p>
    <w:p>
      <w:pPr>
        <w:pStyle w:val="WW-paragraph"/>
        <w:numPr>
          <w:ilvl w:val="0"/>
          <w:numId w:val="19"/>
        </w:numPr>
        <w:rPr/>
      </w:pPr>
      <w:r>
        <w:rPr/>
        <w:t>‘</w:t>
      </w:r>
      <w:r>
        <w:rPr/>
        <w:t>the abodes (</w:t>
      </w:r>
      <w:r>
        <w:rPr>
          <w:rStyle w:val="wwc-pali"/>
        </w:rPr>
        <w:t>ṭhiti</w:t>
      </w:r>
      <w:r>
        <w:rPr/>
        <w:t>) for consciousness’ where consciousness gets reborn</w:t>
      </w:r>
      <w:r>
        <w:rPr>
          <w:rStyle w:val="FootnoteReference"/>
        </w:rPr>
        <w:footnoteReference w:id="587"/>
      </w:r>
    </w:p>
    <w:p>
      <w:pPr>
        <w:pStyle w:val="WW-paragraph"/>
        <w:numPr>
          <w:ilvl w:val="0"/>
          <w:numId w:val="19"/>
        </w:numPr>
        <w:rPr/>
      </w:pPr>
      <w:r>
        <w:rPr/>
        <w:t>‘</w:t>
      </w:r>
      <w:r>
        <w:rPr/>
        <w:t>consciousness is planted (</w:t>
      </w:r>
      <w:r>
        <w:rPr>
          <w:rStyle w:val="wwc-pali"/>
        </w:rPr>
        <w:t>patiṭṭhita</w:t>
      </w:r>
      <w:r>
        <w:rPr/>
        <w:t>)’ in a next life</w:t>
      </w:r>
      <w:r>
        <w:rPr>
          <w:rStyle w:val="FootnoteReference"/>
        </w:rPr>
        <w:footnoteReference w:id="588"/>
      </w:r>
    </w:p>
    <w:p>
      <w:pPr>
        <w:pStyle w:val="WW-paragraph"/>
        <w:numPr>
          <w:ilvl w:val="0"/>
          <w:numId w:val="19"/>
        </w:numPr>
        <w:rPr/>
      </w:pPr>
      <w:r>
        <w:rPr/>
        <w:t>‘</w:t>
      </w:r>
      <w:r>
        <w:rPr/>
        <w:t>the support (</w:t>
      </w:r>
      <w:r>
        <w:rPr>
          <w:rStyle w:val="wwc-pali"/>
        </w:rPr>
        <w:t>patiṭṭhā</w:t>
      </w:r>
      <w:r>
        <w:rPr/>
        <w:t>) for the planting of consciousness’</w:t>
      </w:r>
      <w:r>
        <w:rPr>
          <w:rStyle w:val="FootnoteReference"/>
        </w:rPr>
        <w:footnoteReference w:id="589"/>
      </w:r>
    </w:p>
    <w:p>
      <w:pPr>
        <w:pStyle w:val="WW-paragraph"/>
        <w:numPr>
          <w:ilvl w:val="0"/>
          <w:numId w:val="19"/>
        </w:numPr>
        <w:rPr/>
      </w:pPr>
      <w:r>
        <w:rPr/>
        <w:t>‘</w:t>
      </w:r>
      <w:r>
        <w:rPr/>
        <w:t>no abiding (</w:t>
      </w:r>
      <w:r>
        <w:rPr>
          <w:rStyle w:val="wwc-pali"/>
        </w:rPr>
        <w:t>ṭhiti</w:t>
      </w:r>
      <w:r>
        <w:rPr/>
        <w:t>)’ in any realm and ‘nothing planted (</w:t>
      </w:r>
      <w:r>
        <w:rPr>
          <w:rStyle w:val="wwc-pali"/>
        </w:rPr>
        <w:t>appatiṭṭha</w:t>
      </w:r>
      <w:r>
        <w:rPr/>
        <w:t>)’ of the inspired utterance</w:t>
      </w:r>
      <w:r>
        <w:rPr>
          <w:rStyle w:val="FootnoteReference"/>
        </w:rPr>
        <w:footnoteReference w:id="590"/>
      </w:r>
    </w:p>
    <w:p>
      <w:pPr>
        <w:pStyle w:val="WW-paragraph"/>
        <w:numPr>
          <w:ilvl w:val="0"/>
          <w:numId w:val="19"/>
        </w:numPr>
        <w:rPr/>
      </w:pPr>
      <w:r>
        <w:rPr/>
        <w:t>‘</w:t>
      </w:r>
      <w:r>
        <w:rPr/>
        <w:t>if consciousness does not find a support of any immaterial aspects and body to be planted in (</w:t>
      </w:r>
      <w:r>
        <w:rPr>
          <w:rStyle w:val="wwc-pali"/>
        </w:rPr>
        <w:t>patiṭṭhaṁ</w:t>
      </w:r>
      <w:r>
        <w:rPr/>
        <w:t>), would there be an origination of suffering, of future birth?’ in the Mahānidāna Sutta’s passage on the womb</w:t>
      </w:r>
      <w:r>
        <w:rPr>
          <w:rStyle w:val="FootnoteReference"/>
        </w:rPr>
        <w:footnoteReference w:id="591"/>
      </w:r>
    </w:p>
    <w:p>
      <w:pPr>
        <w:pStyle w:val="WW-paragraph"/>
        <w:rPr/>
      </w:pPr>
      <w:r>
        <w:rPr/>
        <w:t>These connections further show that the planting of consciousness refers to its continuation after death, and that its not being planted (</w:t>
      </w:r>
      <w:r>
        <w:rPr>
          <w:rStyle w:val="wwc-pali"/>
        </w:rPr>
        <w:t>appatiṭṭhita</w:t>
      </w:r>
      <w:r>
        <w:rPr/>
        <w:t>) implies its cessation.</w:t>
      </w:r>
    </w:p>
    <w:p>
      <w:pPr>
        <w:pStyle w:val="WW-space"/>
        <w:rPr/>
      </w:pPr>
      <w:r>
        <w:rPr/>
        <w:t>0</w:t>
      </w:r>
    </w:p>
    <w:p>
      <w:pPr>
        <w:pStyle w:val="WW-paragraph"/>
        <w:rPr/>
      </w:pPr>
      <w:r>
        <w:rPr/>
        <w:t>Let me close with a few thoughts on pragmatism.</w:t>
      </w:r>
    </w:p>
    <w:p>
      <w:pPr>
        <w:pStyle w:val="WW-paragraph"/>
        <w:rPr/>
      </w:pPr>
      <w:r>
        <w:rP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2"/>
      </w:r>
      <w:r>
        <w:rP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pPr>
        <w:pStyle w:val="WW-paragraph"/>
        <w:rPr/>
      </w:pPr>
      <w:r>
        <w:rP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pPr>
        <w:pStyle w:val="WW-named-section"/>
        <w:rPr/>
      </w:pPr>
      <w:r>
        <w:rPr/>
        <w:t>§146</w:t>
      </w:r>
    </w:p>
    <w:p>
      <w:pPr>
        <w:pStyle w:val="WW-blockquote"/>
        <w:rPr/>
      </w:pPr>
      <w:bookmarkStart w:id="154" w:name="bqseg146"/>
      <w:bookmarkEnd w:id="154"/>
      <w:r>
        <w:rPr/>
        <w:t>“</w:t>
      </w:r>
      <w:r>
        <w:rPr/>
        <w:t>Venerable Sir, it’s incredible; it’s unbelievable! This Dependent Arising appears deep and is deep, yet to me it seems as clear as clear can be.”</w:t>
      </w:r>
    </w:p>
    <w:p>
      <w:pPr>
        <w:pStyle w:val="WW-blockquote"/>
        <w:rPr/>
      </w:pPr>
      <w:r>
        <w:rPr/>
        <w:t>“</w:t>
      </w:r>
      <w:r>
        <w:rPr/>
        <w:t>Don’t say so, Ānanda! This Dependent Arising appears deep and is deep. It is because of not understanding and not penetrating this teaching that this population is entangled like string, knotted like a ball of thread, weaved like rushes, and does not leave behind the plane of misery, the bad destinations, the nether world, and transmigration.”</w:t>
      </w:r>
      <w:r>
        <w:rPr>
          <w:rStyle w:val="FootnoteReference"/>
        </w:rPr>
        <w:footnoteReference w:id="593"/>
      </w:r>
    </w:p>
    <w:p>
      <w:pPr>
        <w:pStyle w:val="WW-paragraph"/>
        <w:rPr/>
      </w:pPr>
      <w:r>
        <w:rPr/>
        <w:t>Dependent Arising is deep, so it may not be prudent to base one’s understanding of it on what appears practical. The common accusation that the multiple-lifetime interpretation cannot be verified through direct experience likewise is very unimaginative.</w:t>
      </w:r>
    </w:p>
    <w:p>
      <w:pPr>
        <w:pStyle w:val="WW-paragraph"/>
        <w:rPr/>
      </w:pPr>
      <w:r>
        <w:rP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pPr>
        <w:pStyle w:val="WW-paragraph"/>
        <w:rPr/>
      </w:pPr>
      <w:r>
        <w:rPr/>
        <w:t xml:space="preserve">I can understand why Ānanda said Dependent Arising was as clear as day to </w:t>
      </w:r>
      <w:r>
        <w:rPr>
          <w:rStyle w:val="Emphasis"/>
        </w:rPr>
        <w:t>him</w:t>
      </w:r>
      <w:r>
        <w:rP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rPr/>
        <w:t xml:space="preserve"> who, as the Buddha says, unlike him are still fully stuck in low births and </w:t>
      </w:r>
      <w:r>
        <w:rPr>
          <w:rStyle w:val="wwc-pali"/>
        </w:rPr>
        <w:t>saṁsāra</w:t>
      </w:r>
      <w:r>
        <w:rP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rPr/>
        <w:t>.</w:t>
      </w:r>
    </w:p>
    <w:p>
      <w:pPr>
        <w:pStyle w:val="WW-paragraph"/>
        <w:rPr/>
      </w:pPr>
      <w:r>
        <w:rPr/>
        <w:t>One of the most profound descriptions of right view in the Pāli Canon says the noble ones know transmigration has no discernible beginning.</w:t>
      </w:r>
      <w:r>
        <w:rPr>
          <w:rStyle w:val="FootnoteReference"/>
        </w:rPr>
        <w:footnoteReference w:id="594"/>
      </w:r>
      <w:r>
        <w:rPr/>
        <w:t xml:space="preserve"> Let me repeat that. They </w:t>
      </w:r>
      <w:r>
        <w:rPr>
          <w:rStyle w:val="Emphasis"/>
        </w:rPr>
        <w:t>know</w:t>
      </w:r>
      <w:r>
        <w:rPr/>
        <w:t xml:space="preserve"> transmigration has no discernible beginning. For them it is not just a theory or something taken on faith. This insight is called their faculty of understanding (</w:t>
      </w:r>
      <w:r>
        <w:rPr>
          <w:rStyle w:val="wwc-pali"/>
        </w:rPr>
        <w:t>paññā</w:t>
      </w:r>
      <w:r>
        <w:rPr/>
        <w:t xml:space="preserve">). They also know that whatever future lives they may still have, it all will come to an end. As the Buddha put it: </w:t>
      </w:r>
      <w:r>
        <w:rPr>
          <w:rStyle w:val="wwc-pali"/>
        </w:rPr>
        <w:t>Yaṁ kiñci sam</w:t>
        <w:softHyphen/>
        <w:t>udaya</w:t>
        <w:softHyphen/>
        <w:t>dhammaṁ, sabbaṁ taṁ nirodha</w:t>
        <w:softHyphen/>
        <w:t>dhammaṁ</w:t>
      </w:r>
      <w:r>
        <w:rPr>
          <w:rStyle w:val="Emphasis"/>
        </w:rPr>
        <w:t>,</w:t>
      </w:r>
      <w:r>
        <w:rPr/>
        <w:t xml:space="preserve"> “whatever may arise, it is all bound to cease.”</w:t>
      </w:r>
      <w:r>
        <w:rPr>
          <w:rStyle w:val="FootnoteReference"/>
        </w:rPr>
        <w:footnoteReference w:id="595"/>
      </w:r>
      <w:r>
        <w:rPr/>
        <w:t xml:space="preserve"> This famous statement is widely acknowledged to be an insight unique to the noble ones, but it is not as well-known that it only </w:t>
      </w:r>
      <w:r>
        <w:rPr>
          <w:rStyle w:val="Emphasis"/>
        </w:rPr>
        <w:t>applies</w:t>
      </w:r>
      <w:r>
        <w:rP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rP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pPr>
        <w:pStyle w:val="WW-paragraph"/>
        <w:rPr/>
      </w:pPr>
      <w:r>
        <w:rPr/>
        <w:t>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pPr>
        <w:pStyle w:val="WW-paragraph"/>
        <w:rPr/>
      </w:pPr>
      <w:r>
        <w:rPr/>
        <w:t xml:space="preserve">Our oncologist is the Buddha, who continually reminded us that we should not ignore the tumor of rebirth and existence. He even said </w:t>
      </w:r>
      <w:r>
        <w:rPr>
          <w:rStyle w:val="Emphasis"/>
        </w:rPr>
        <w:t>enlightened beings</w:t>
      </w:r>
      <w:r>
        <w:rPr/>
        <w:t xml:space="preserve"> should look at the aspects of existence as a tumor—and I mean literally—and this includes consciousness.</w:t>
      </w:r>
      <w:r>
        <w:rPr>
          <w:rStyle w:val="FootnoteReference"/>
        </w:rPr>
        <w:footnoteReference w:id="596"/>
      </w:r>
      <w:r>
        <w:rP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pPr>
        <w:pStyle w:val="WW-paragraph"/>
        <w:rPr/>
      </w:pPr>
      <w:r>
        <w:rPr/>
        <w:t xml:space="preserve">How all that is done, and how it can be done joyfully, was not the subject of this writing. But I want to finish by saying that through deep meditation and reflection you </w:t>
      </w:r>
      <w:r>
        <w:rPr>
          <w:rStyle w:val="Emphasis"/>
        </w:rPr>
        <w:t>can</w:t>
      </w:r>
      <w:r>
        <w:rP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7"/>
      </w:r>
      <w:r>
        <w:rPr/>
        <w:t xml:space="preserve"> Only they, the noble ones, truly understand the deeper truths these teachings point at. May the Buddha’s words in this book bring you a little closer to this insight, and thereafter to the complete end of suffering.</w:t>
      </w:r>
      <w:r>
        <w:br w:type="page"/>
      </w:r>
    </w:p>
    <w:p>
      <w:pPr>
        <w:pStyle w:val="WW-Chapter"/>
        <w:spacing w:before="0" w:after="567"/>
        <w:ind w:hanging="0" w:start="0"/>
        <w:rPr/>
      </w:pPr>
      <w:r>
        <w:rPr/>
        <w:t>References</w:t>
      </w:r>
    </w:p>
    <w:p>
      <w:pPr>
        <w:pStyle w:val="WW-chapter-section-1"/>
        <w:ind w:hanging="0" w:start="0"/>
        <w:rPr/>
      </w:pPr>
      <w:r>
        <w:rPr/>
        <w:t>Abbreviations</w:t>
      </w:r>
    </w:p>
    <w:p>
      <w:pPr>
        <w:pStyle w:val="WW-table-caption"/>
        <w:rPr/>
      </w:pPr>
      <w:r>
        <w:rPr/>
        <w:t>Abbreviations used for Pali and Sanskrit Texts</w:t>
      </w:r>
    </w:p>
    <w:tbl>
      <w:tblPr>
        <w:tblW w:w="4416" w:type="dxa"/>
        <w:jc w:val="start"/>
        <w:tblInd w:w="0" w:type="dxa"/>
        <w:tblLayout w:type="fixed"/>
        <w:tblCellMar>
          <w:top w:w="0" w:type="dxa"/>
          <w:start w:w="0" w:type="dxa"/>
          <w:bottom w:w="0" w:type="dxa"/>
          <w:end w:w="0" w:type="dxa"/>
        </w:tblCellMar>
      </w:tblPr>
      <w:tblGrid>
        <w:gridCol w:w="759"/>
        <w:gridCol w:w="3657"/>
      </w:tblGrid>
      <w:tr>
        <w:trPr/>
        <w:tc>
          <w:tcPr>
            <w:tcW w:w="759" w:type="dxa"/>
            <w:tcBorders/>
            <w:vAlign w:val="center"/>
          </w:tcPr>
          <w:p>
            <w:pPr>
              <w:pStyle w:val="WW-paragraph"/>
              <w:spacing w:before="170" w:after="170"/>
              <w:rPr/>
            </w:pPr>
            <w:r>
              <w:rPr/>
              <w:t>AN</w:t>
            </w:r>
          </w:p>
        </w:tc>
        <w:tc>
          <w:tcPr>
            <w:tcW w:w="3657" w:type="dxa"/>
            <w:tcBorders/>
            <w:vAlign w:val="center"/>
          </w:tcPr>
          <w:p>
            <w:pPr>
              <w:pStyle w:val="WW-paragraph"/>
              <w:spacing w:before="170" w:after="170"/>
              <w:rPr/>
            </w:pPr>
            <w:r>
              <w:rPr/>
              <w:t>Aṅguttara Nikāya</w:t>
            </w:r>
          </w:p>
        </w:tc>
      </w:tr>
      <w:tr>
        <w:trPr/>
        <w:tc>
          <w:tcPr>
            <w:tcW w:w="759" w:type="dxa"/>
            <w:tcBorders/>
            <w:vAlign w:val="center"/>
          </w:tcPr>
          <w:p>
            <w:pPr>
              <w:pStyle w:val="WW-paragraph"/>
              <w:spacing w:before="170" w:after="170"/>
              <w:rPr/>
            </w:pPr>
            <w:r>
              <w:rPr/>
              <w:t>BU</w:t>
            </w:r>
          </w:p>
        </w:tc>
        <w:tc>
          <w:tcPr>
            <w:tcW w:w="3657" w:type="dxa"/>
            <w:tcBorders/>
            <w:vAlign w:val="center"/>
          </w:tcPr>
          <w:p>
            <w:pPr>
              <w:pStyle w:val="WW-paragraph"/>
              <w:spacing w:before="170" w:after="170"/>
              <w:rPr/>
            </w:pPr>
            <w:r>
              <w:rPr/>
              <w:t>Bṛhadāraṇyaka Upaniṣad</w:t>
            </w:r>
          </w:p>
        </w:tc>
      </w:tr>
      <w:tr>
        <w:trPr/>
        <w:tc>
          <w:tcPr>
            <w:tcW w:w="759" w:type="dxa"/>
            <w:tcBorders/>
            <w:vAlign w:val="center"/>
          </w:tcPr>
          <w:p>
            <w:pPr>
              <w:pStyle w:val="WW-paragraph"/>
              <w:spacing w:before="170" w:after="170"/>
              <w:rPr/>
            </w:pPr>
            <w:r>
              <w:rPr/>
              <w:t>CU</w:t>
            </w:r>
          </w:p>
        </w:tc>
        <w:tc>
          <w:tcPr>
            <w:tcW w:w="3657" w:type="dxa"/>
            <w:tcBorders/>
            <w:vAlign w:val="center"/>
          </w:tcPr>
          <w:p>
            <w:pPr>
              <w:pStyle w:val="WW-paragraph"/>
              <w:spacing w:before="170" w:after="170"/>
              <w:rPr/>
            </w:pPr>
            <w:r>
              <w:rPr/>
              <w:t>Chāndogya Upaniṣad</w:t>
            </w:r>
          </w:p>
        </w:tc>
      </w:tr>
      <w:tr>
        <w:trPr/>
        <w:tc>
          <w:tcPr>
            <w:tcW w:w="759" w:type="dxa"/>
            <w:tcBorders/>
            <w:vAlign w:val="center"/>
          </w:tcPr>
          <w:p>
            <w:pPr>
              <w:pStyle w:val="WW-paragraph"/>
              <w:spacing w:before="170" w:after="170"/>
              <w:rPr/>
            </w:pPr>
            <w:r>
              <w:rPr/>
              <w:t>Dhp</w:t>
            </w:r>
          </w:p>
        </w:tc>
        <w:tc>
          <w:tcPr>
            <w:tcW w:w="3657" w:type="dxa"/>
            <w:tcBorders/>
            <w:vAlign w:val="center"/>
          </w:tcPr>
          <w:p>
            <w:pPr>
              <w:pStyle w:val="WW-paragraph"/>
              <w:spacing w:before="170" w:after="170"/>
              <w:rPr/>
            </w:pPr>
            <w:r>
              <w:rPr/>
              <w:t>Dhammapada</w:t>
            </w:r>
          </w:p>
        </w:tc>
      </w:tr>
      <w:tr>
        <w:trPr/>
        <w:tc>
          <w:tcPr>
            <w:tcW w:w="759" w:type="dxa"/>
            <w:tcBorders/>
            <w:vAlign w:val="center"/>
          </w:tcPr>
          <w:p>
            <w:pPr>
              <w:pStyle w:val="WW-paragraph"/>
              <w:spacing w:before="170" w:after="170"/>
              <w:rPr/>
            </w:pPr>
            <w:r>
              <w:rPr/>
              <w:t>DĀ</w:t>
            </w:r>
          </w:p>
        </w:tc>
        <w:tc>
          <w:tcPr>
            <w:tcW w:w="3657" w:type="dxa"/>
            <w:tcBorders/>
            <w:vAlign w:val="center"/>
          </w:tcPr>
          <w:p>
            <w:pPr>
              <w:pStyle w:val="WW-paragraph"/>
              <w:spacing w:before="170" w:after="170"/>
              <w:rPr/>
            </w:pPr>
            <w:r>
              <w:rPr/>
              <w:t>Dīrgha Āgama</w:t>
            </w:r>
          </w:p>
        </w:tc>
      </w:tr>
      <w:tr>
        <w:trPr/>
        <w:tc>
          <w:tcPr>
            <w:tcW w:w="759" w:type="dxa"/>
            <w:tcBorders/>
            <w:vAlign w:val="center"/>
          </w:tcPr>
          <w:p>
            <w:pPr>
              <w:pStyle w:val="WW-paragraph"/>
              <w:spacing w:before="170" w:after="170"/>
              <w:rPr/>
            </w:pPr>
            <w:r>
              <w:rPr/>
              <w:t>DN</w:t>
            </w:r>
          </w:p>
        </w:tc>
        <w:tc>
          <w:tcPr>
            <w:tcW w:w="3657" w:type="dxa"/>
            <w:tcBorders/>
            <w:vAlign w:val="center"/>
          </w:tcPr>
          <w:p>
            <w:pPr>
              <w:pStyle w:val="WW-paragraph"/>
              <w:spacing w:before="170" w:after="170"/>
              <w:rPr/>
            </w:pPr>
            <w:r>
              <w:rPr/>
              <w:t>Dīgha Nikāya</w:t>
            </w:r>
          </w:p>
        </w:tc>
      </w:tr>
      <w:tr>
        <w:trPr/>
        <w:tc>
          <w:tcPr>
            <w:tcW w:w="759" w:type="dxa"/>
            <w:tcBorders/>
            <w:vAlign w:val="center"/>
          </w:tcPr>
          <w:p>
            <w:pPr>
              <w:pStyle w:val="WW-paragraph"/>
              <w:spacing w:before="170" w:after="170"/>
              <w:rPr/>
            </w:pPr>
            <w:r>
              <w:rPr/>
              <w:t>Ds</w:t>
            </w:r>
          </w:p>
        </w:tc>
        <w:tc>
          <w:tcPr>
            <w:tcW w:w="3657" w:type="dxa"/>
            <w:tcBorders/>
            <w:vAlign w:val="center"/>
          </w:tcPr>
          <w:p>
            <w:pPr>
              <w:pStyle w:val="WW-paragraph"/>
              <w:spacing w:before="170" w:after="170"/>
              <w:rPr/>
            </w:pPr>
            <w:r>
              <w:rPr/>
              <w:t>Dhammasaṅgaṇī</w:t>
            </w:r>
          </w:p>
        </w:tc>
      </w:tr>
      <w:tr>
        <w:trPr/>
        <w:tc>
          <w:tcPr>
            <w:tcW w:w="759" w:type="dxa"/>
            <w:tcBorders/>
            <w:vAlign w:val="center"/>
          </w:tcPr>
          <w:p>
            <w:pPr>
              <w:pStyle w:val="WW-paragraph"/>
              <w:spacing w:before="170" w:after="170"/>
              <w:rPr/>
            </w:pPr>
            <w:r>
              <w:rPr/>
              <w:t>EĀ</w:t>
            </w:r>
          </w:p>
        </w:tc>
        <w:tc>
          <w:tcPr>
            <w:tcW w:w="3657" w:type="dxa"/>
            <w:tcBorders/>
            <w:vAlign w:val="center"/>
          </w:tcPr>
          <w:p>
            <w:pPr>
              <w:pStyle w:val="WW-paragraph"/>
              <w:spacing w:before="170" w:after="170"/>
              <w:rPr/>
            </w:pPr>
            <w:r>
              <w:rPr/>
              <w:t>Ekottarika Āgama at T 125</w:t>
            </w:r>
          </w:p>
        </w:tc>
      </w:tr>
      <w:tr>
        <w:trPr/>
        <w:tc>
          <w:tcPr>
            <w:tcW w:w="759" w:type="dxa"/>
            <w:tcBorders/>
            <w:vAlign w:val="center"/>
          </w:tcPr>
          <w:p>
            <w:pPr>
              <w:pStyle w:val="WW-paragraph"/>
              <w:spacing w:before="170" w:after="170"/>
              <w:rPr/>
            </w:pPr>
            <w:r>
              <w:rPr/>
              <w:t>Iti</w:t>
            </w:r>
          </w:p>
        </w:tc>
        <w:tc>
          <w:tcPr>
            <w:tcW w:w="3657" w:type="dxa"/>
            <w:tcBorders/>
            <w:vAlign w:val="center"/>
          </w:tcPr>
          <w:p>
            <w:pPr>
              <w:pStyle w:val="WW-paragraph"/>
              <w:spacing w:before="170" w:after="170"/>
              <w:rPr/>
            </w:pPr>
            <w:r>
              <w:rPr/>
              <w:t>Itivuttaka</w:t>
            </w:r>
          </w:p>
        </w:tc>
      </w:tr>
      <w:tr>
        <w:trPr/>
        <w:tc>
          <w:tcPr>
            <w:tcW w:w="759" w:type="dxa"/>
            <w:tcBorders/>
            <w:vAlign w:val="center"/>
          </w:tcPr>
          <w:p>
            <w:pPr>
              <w:pStyle w:val="WW-paragraph"/>
              <w:spacing w:before="170" w:after="170"/>
              <w:rPr/>
            </w:pPr>
            <w:r>
              <w:rPr/>
              <w:t>JU</w:t>
            </w:r>
          </w:p>
        </w:tc>
        <w:tc>
          <w:tcPr>
            <w:tcW w:w="3657" w:type="dxa"/>
            <w:tcBorders/>
            <w:vAlign w:val="center"/>
          </w:tcPr>
          <w:p>
            <w:pPr>
              <w:pStyle w:val="WW-paragraph"/>
              <w:spacing w:before="170" w:after="170"/>
              <w:rPr/>
            </w:pPr>
            <w:r>
              <w:rPr/>
              <w:t>Jaiminīya Upaniṣad</w:t>
            </w:r>
          </w:p>
        </w:tc>
      </w:tr>
      <w:tr>
        <w:trPr/>
        <w:tc>
          <w:tcPr>
            <w:tcW w:w="759" w:type="dxa"/>
            <w:tcBorders/>
            <w:vAlign w:val="center"/>
          </w:tcPr>
          <w:p>
            <w:pPr>
              <w:pStyle w:val="WW-paragraph"/>
              <w:spacing w:before="170" w:after="170"/>
              <w:rPr/>
            </w:pPr>
            <w:r>
              <w:rPr/>
              <w:t>Kd</w:t>
            </w:r>
          </w:p>
        </w:tc>
        <w:tc>
          <w:tcPr>
            <w:tcW w:w="3657" w:type="dxa"/>
            <w:tcBorders/>
            <w:vAlign w:val="center"/>
          </w:tcPr>
          <w:p>
            <w:pPr>
              <w:pStyle w:val="WW-paragraph"/>
              <w:spacing w:before="170" w:after="170"/>
              <w:rPr/>
            </w:pPr>
            <w:r>
              <w:rPr/>
              <w:t>Pāli Khandhaka</w:t>
            </w:r>
          </w:p>
        </w:tc>
      </w:tr>
      <w:tr>
        <w:trPr/>
        <w:tc>
          <w:tcPr>
            <w:tcW w:w="759" w:type="dxa"/>
            <w:tcBorders/>
            <w:vAlign w:val="center"/>
          </w:tcPr>
          <w:p>
            <w:pPr>
              <w:pStyle w:val="WW-paragraph"/>
              <w:spacing w:before="170" w:after="170"/>
              <w:rPr/>
            </w:pPr>
            <w:r>
              <w:rPr/>
              <w:t>Kp</w:t>
            </w:r>
          </w:p>
        </w:tc>
        <w:tc>
          <w:tcPr>
            <w:tcW w:w="3657" w:type="dxa"/>
            <w:tcBorders/>
            <w:vAlign w:val="center"/>
          </w:tcPr>
          <w:p>
            <w:pPr>
              <w:pStyle w:val="WW-paragraph"/>
              <w:spacing w:before="170" w:after="170"/>
              <w:rPr/>
            </w:pPr>
            <w:r>
              <w:rPr/>
              <w:t>Khuddakapāṭha</w:t>
            </w:r>
          </w:p>
        </w:tc>
      </w:tr>
      <w:tr>
        <w:trPr/>
        <w:tc>
          <w:tcPr>
            <w:tcW w:w="759" w:type="dxa"/>
            <w:tcBorders/>
            <w:vAlign w:val="center"/>
          </w:tcPr>
          <w:p>
            <w:pPr>
              <w:pStyle w:val="WW-paragraph"/>
              <w:spacing w:before="170" w:after="170"/>
              <w:rPr/>
            </w:pPr>
            <w:r>
              <w:rPr/>
              <w:t>MĀ</w:t>
            </w:r>
          </w:p>
        </w:tc>
        <w:tc>
          <w:tcPr>
            <w:tcW w:w="3657" w:type="dxa"/>
            <w:tcBorders/>
            <w:vAlign w:val="center"/>
          </w:tcPr>
          <w:p>
            <w:pPr>
              <w:pStyle w:val="WW-paragraph"/>
              <w:spacing w:before="170" w:after="170"/>
              <w:rPr/>
            </w:pPr>
            <w:r>
              <w:rPr/>
              <w:t>Madhyama Āgama</w:t>
            </w:r>
          </w:p>
        </w:tc>
      </w:tr>
      <w:tr>
        <w:trPr/>
        <w:tc>
          <w:tcPr>
            <w:tcW w:w="759" w:type="dxa"/>
            <w:tcBorders/>
            <w:vAlign w:val="center"/>
          </w:tcPr>
          <w:p>
            <w:pPr>
              <w:pStyle w:val="WW-paragraph"/>
              <w:spacing w:before="170" w:after="170"/>
              <w:rPr/>
            </w:pPr>
            <w:r>
              <w:rPr/>
              <w:t>Mil</w:t>
            </w:r>
          </w:p>
        </w:tc>
        <w:tc>
          <w:tcPr>
            <w:tcW w:w="3657" w:type="dxa"/>
            <w:tcBorders/>
            <w:vAlign w:val="center"/>
          </w:tcPr>
          <w:p>
            <w:pPr>
              <w:pStyle w:val="WW-paragraph"/>
              <w:spacing w:before="170" w:after="170"/>
              <w:rPr/>
            </w:pPr>
            <w:r>
              <w:rPr/>
              <w:t>Milindapañha</w:t>
            </w:r>
          </w:p>
        </w:tc>
      </w:tr>
      <w:tr>
        <w:trPr/>
        <w:tc>
          <w:tcPr>
            <w:tcW w:w="759" w:type="dxa"/>
            <w:tcBorders/>
            <w:vAlign w:val="center"/>
          </w:tcPr>
          <w:p>
            <w:pPr>
              <w:pStyle w:val="WW-paragraph"/>
              <w:spacing w:before="170" w:after="170"/>
              <w:rPr/>
            </w:pPr>
            <w:r>
              <w:rPr/>
              <w:t>MMK</w:t>
            </w:r>
          </w:p>
        </w:tc>
        <w:tc>
          <w:tcPr>
            <w:tcW w:w="3657" w:type="dxa"/>
            <w:tcBorders/>
            <w:vAlign w:val="center"/>
          </w:tcPr>
          <w:p>
            <w:pPr>
              <w:pStyle w:val="WW-paragraph"/>
              <w:spacing w:before="170" w:after="170"/>
              <w:rPr/>
            </w:pPr>
            <w:r>
              <w:rPr/>
              <w:t>Mūlamadhyamakakārikā</w:t>
            </w:r>
          </w:p>
        </w:tc>
      </w:tr>
      <w:tr>
        <w:trPr/>
        <w:tc>
          <w:tcPr>
            <w:tcW w:w="759" w:type="dxa"/>
            <w:tcBorders/>
            <w:vAlign w:val="center"/>
          </w:tcPr>
          <w:p>
            <w:pPr>
              <w:pStyle w:val="WW-paragraph"/>
              <w:spacing w:before="170" w:after="170"/>
              <w:rPr/>
            </w:pPr>
            <w:r>
              <w:rPr/>
              <w:t>MN</w:t>
            </w:r>
          </w:p>
        </w:tc>
        <w:tc>
          <w:tcPr>
            <w:tcW w:w="3657" w:type="dxa"/>
            <w:tcBorders/>
            <w:vAlign w:val="center"/>
          </w:tcPr>
          <w:p>
            <w:pPr>
              <w:pStyle w:val="WW-paragraph"/>
              <w:spacing w:before="170" w:after="170"/>
              <w:rPr/>
            </w:pPr>
            <w:r>
              <w:rPr/>
              <w:t>Majjhima Nikāya</w:t>
            </w:r>
          </w:p>
        </w:tc>
      </w:tr>
      <w:tr>
        <w:trPr/>
        <w:tc>
          <w:tcPr>
            <w:tcW w:w="759" w:type="dxa"/>
            <w:tcBorders/>
            <w:vAlign w:val="center"/>
          </w:tcPr>
          <w:p>
            <w:pPr>
              <w:pStyle w:val="WW-paragraph"/>
              <w:spacing w:before="170" w:after="170"/>
              <w:rPr/>
            </w:pPr>
            <w:r>
              <w:rPr/>
              <w:t>MN-A</w:t>
            </w:r>
          </w:p>
        </w:tc>
        <w:tc>
          <w:tcPr>
            <w:tcW w:w="3657" w:type="dxa"/>
            <w:tcBorders/>
            <w:vAlign w:val="center"/>
          </w:tcPr>
          <w:p>
            <w:pPr>
              <w:pStyle w:val="WW-paragraph"/>
              <w:spacing w:before="170" w:after="170"/>
              <w:rPr/>
            </w:pPr>
            <w:r>
              <w:rPr/>
              <w:t>Papañcasūdanī (MN commentary)</w:t>
            </w:r>
          </w:p>
        </w:tc>
      </w:tr>
      <w:tr>
        <w:trPr/>
        <w:tc>
          <w:tcPr>
            <w:tcW w:w="759" w:type="dxa"/>
            <w:tcBorders/>
            <w:vAlign w:val="center"/>
          </w:tcPr>
          <w:p>
            <w:pPr>
              <w:pStyle w:val="WW-paragraph"/>
              <w:spacing w:before="170" w:after="170"/>
              <w:rPr/>
            </w:pPr>
            <w:r>
              <w:rPr/>
              <w:t>MuṇU</w:t>
            </w:r>
          </w:p>
        </w:tc>
        <w:tc>
          <w:tcPr>
            <w:tcW w:w="3657" w:type="dxa"/>
            <w:tcBorders/>
            <w:vAlign w:val="center"/>
          </w:tcPr>
          <w:p>
            <w:pPr>
              <w:pStyle w:val="WW-paragraph"/>
              <w:spacing w:before="170" w:after="170"/>
              <w:rPr/>
            </w:pPr>
            <w:r>
              <w:rPr/>
              <w:t>Muṇḍaka Upaniṣad</w:t>
            </w:r>
          </w:p>
        </w:tc>
      </w:tr>
      <w:tr>
        <w:trPr/>
        <w:tc>
          <w:tcPr>
            <w:tcW w:w="759" w:type="dxa"/>
            <w:tcBorders/>
            <w:vAlign w:val="center"/>
          </w:tcPr>
          <w:p>
            <w:pPr>
              <w:pStyle w:val="WW-paragraph"/>
              <w:spacing w:before="170" w:after="170"/>
              <w:rPr/>
            </w:pPr>
            <w:r>
              <w:rPr/>
              <w:t>PrU</w:t>
            </w:r>
          </w:p>
        </w:tc>
        <w:tc>
          <w:tcPr>
            <w:tcW w:w="3657" w:type="dxa"/>
            <w:tcBorders/>
            <w:vAlign w:val="center"/>
          </w:tcPr>
          <w:p>
            <w:pPr>
              <w:pStyle w:val="WW-paragraph"/>
              <w:spacing w:before="170" w:after="170"/>
              <w:rPr/>
            </w:pPr>
            <w:r>
              <w:rPr/>
              <w:t>Praśna Upaniṣad</w:t>
            </w:r>
          </w:p>
        </w:tc>
      </w:tr>
      <w:tr>
        <w:trPr/>
        <w:tc>
          <w:tcPr>
            <w:tcW w:w="759" w:type="dxa"/>
            <w:tcBorders/>
            <w:vAlign w:val="center"/>
          </w:tcPr>
          <w:p>
            <w:pPr>
              <w:pStyle w:val="WW-paragraph"/>
              <w:spacing w:before="170" w:after="170"/>
              <w:rPr/>
            </w:pPr>
            <w:r>
              <w:rPr/>
              <w:t>Pṭs</w:t>
            </w:r>
          </w:p>
        </w:tc>
        <w:tc>
          <w:tcPr>
            <w:tcW w:w="3657" w:type="dxa"/>
            <w:tcBorders/>
            <w:vAlign w:val="center"/>
          </w:tcPr>
          <w:p>
            <w:pPr>
              <w:pStyle w:val="WW-paragraph"/>
              <w:spacing w:before="170" w:after="170"/>
              <w:rPr/>
            </w:pPr>
            <w:r>
              <w:rPr/>
              <w:t>Paṭisambhidāmagga</w:t>
            </w:r>
          </w:p>
        </w:tc>
      </w:tr>
      <w:tr>
        <w:trPr/>
        <w:tc>
          <w:tcPr>
            <w:tcW w:w="759" w:type="dxa"/>
            <w:tcBorders/>
            <w:vAlign w:val="center"/>
          </w:tcPr>
          <w:p>
            <w:pPr>
              <w:pStyle w:val="WW-paragraph"/>
              <w:spacing w:before="170" w:after="170"/>
              <w:rPr/>
            </w:pPr>
            <w:r>
              <w:rPr/>
              <w:t>RV</w:t>
            </w:r>
          </w:p>
        </w:tc>
        <w:tc>
          <w:tcPr>
            <w:tcW w:w="3657" w:type="dxa"/>
            <w:tcBorders/>
            <w:vAlign w:val="center"/>
          </w:tcPr>
          <w:p>
            <w:pPr>
              <w:pStyle w:val="WW-paragraph"/>
              <w:spacing w:before="170" w:after="170"/>
              <w:rPr/>
            </w:pPr>
            <w:r>
              <w:rPr/>
              <w:t>Ṛg Veda</w:t>
            </w:r>
          </w:p>
        </w:tc>
      </w:tr>
      <w:tr>
        <w:trPr/>
        <w:tc>
          <w:tcPr>
            <w:tcW w:w="759" w:type="dxa"/>
            <w:tcBorders/>
            <w:vAlign w:val="center"/>
          </w:tcPr>
          <w:p>
            <w:pPr>
              <w:pStyle w:val="WW-paragraph"/>
              <w:spacing w:before="170" w:after="170"/>
              <w:rPr/>
            </w:pPr>
            <w:r>
              <w:rPr/>
              <w:t>SĀ</w:t>
            </w:r>
          </w:p>
        </w:tc>
        <w:tc>
          <w:tcPr>
            <w:tcW w:w="3657" w:type="dxa"/>
            <w:tcBorders/>
            <w:vAlign w:val="center"/>
          </w:tcPr>
          <w:p>
            <w:pPr>
              <w:pStyle w:val="WW-paragraph"/>
              <w:spacing w:before="170" w:after="170"/>
              <w:rPr/>
            </w:pPr>
            <w:r>
              <w:rPr/>
              <w:t>Saṁyukta Āgama at T 99</w:t>
            </w:r>
          </w:p>
        </w:tc>
      </w:tr>
      <w:tr>
        <w:trPr/>
        <w:tc>
          <w:tcPr>
            <w:tcW w:w="759" w:type="dxa"/>
            <w:tcBorders/>
            <w:vAlign w:val="center"/>
          </w:tcPr>
          <w:p>
            <w:pPr>
              <w:pStyle w:val="WW-paragraph"/>
              <w:spacing w:before="170" w:after="170"/>
              <w:rPr/>
            </w:pPr>
            <w:r>
              <w:rPr/>
              <w:t>SĀ2</w:t>
            </w:r>
          </w:p>
        </w:tc>
        <w:tc>
          <w:tcPr>
            <w:tcW w:w="3657" w:type="dxa"/>
            <w:tcBorders/>
            <w:vAlign w:val="center"/>
          </w:tcPr>
          <w:p>
            <w:pPr>
              <w:pStyle w:val="WW-paragraph"/>
              <w:spacing w:before="170" w:after="170"/>
              <w:rPr/>
            </w:pPr>
            <w:r>
              <w:rPr/>
              <w:t>Saṁyukta Āgama at T 100</w:t>
            </w:r>
          </w:p>
        </w:tc>
      </w:tr>
      <w:tr>
        <w:trPr/>
        <w:tc>
          <w:tcPr>
            <w:tcW w:w="759" w:type="dxa"/>
            <w:tcBorders/>
            <w:vAlign w:val="center"/>
          </w:tcPr>
          <w:p>
            <w:pPr>
              <w:pStyle w:val="WW-paragraph"/>
              <w:spacing w:before="170" w:after="170"/>
              <w:rPr/>
            </w:pPr>
            <w:r>
              <w:rPr/>
              <w:t>SN</w:t>
            </w:r>
          </w:p>
        </w:tc>
        <w:tc>
          <w:tcPr>
            <w:tcW w:w="3657" w:type="dxa"/>
            <w:tcBorders/>
            <w:vAlign w:val="center"/>
          </w:tcPr>
          <w:p>
            <w:pPr>
              <w:pStyle w:val="WW-paragraph"/>
              <w:spacing w:before="170" w:after="170"/>
              <w:rPr/>
            </w:pPr>
            <w:r>
              <w:rPr/>
              <w:t>Saṁyutta Nikāya</w:t>
            </w:r>
          </w:p>
        </w:tc>
      </w:tr>
      <w:tr>
        <w:trPr/>
        <w:tc>
          <w:tcPr>
            <w:tcW w:w="759" w:type="dxa"/>
            <w:tcBorders/>
            <w:vAlign w:val="center"/>
          </w:tcPr>
          <w:p>
            <w:pPr>
              <w:pStyle w:val="WW-paragraph"/>
              <w:spacing w:before="170" w:after="170"/>
              <w:rPr/>
            </w:pPr>
            <w:r>
              <w:rPr/>
              <w:t>SN-A</w:t>
            </w:r>
          </w:p>
        </w:tc>
        <w:tc>
          <w:tcPr>
            <w:tcW w:w="3657" w:type="dxa"/>
            <w:tcBorders/>
            <w:vAlign w:val="center"/>
          </w:tcPr>
          <w:p>
            <w:pPr>
              <w:pStyle w:val="WW-paragraph"/>
              <w:spacing w:before="170" w:after="170"/>
              <w:rPr/>
            </w:pPr>
            <w:r>
              <w:rPr/>
              <w:t>Sāratthappakāsinī (SN commentary)</w:t>
            </w:r>
          </w:p>
        </w:tc>
      </w:tr>
      <w:tr>
        <w:trPr/>
        <w:tc>
          <w:tcPr>
            <w:tcW w:w="759" w:type="dxa"/>
            <w:tcBorders/>
            <w:vAlign w:val="center"/>
          </w:tcPr>
          <w:p>
            <w:pPr>
              <w:pStyle w:val="WW-paragraph"/>
              <w:spacing w:before="170" w:after="170"/>
              <w:rPr/>
            </w:pPr>
            <w:r>
              <w:rPr/>
              <w:t>Snp</w:t>
            </w:r>
          </w:p>
        </w:tc>
        <w:tc>
          <w:tcPr>
            <w:tcW w:w="3657" w:type="dxa"/>
            <w:tcBorders/>
            <w:vAlign w:val="center"/>
          </w:tcPr>
          <w:p>
            <w:pPr>
              <w:pStyle w:val="WW-paragraph"/>
              <w:spacing w:before="170" w:after="170"/>
              <w:rPr/>
            </w:pPr>
            <w:r>
              <w:rPr/>
              <w:t>Sutta Nipāta</w:t>
            </w:r>
          </w:p>
        </w:tc>
      </w:tr>
      <w:tr>
        <w:trPr/>
        <w:tc>
          <w:tcPr>
            <w:tcW w:w="759" w:type="dxa"/>
            <w:tcBorders/>
            <w:vAlign w:val="center"/>
          </w:tcPr>
          <w:p>
            <w:pPr>
              <w:pStyle w:val="WW-paragraph"/>
              <w:spacing w:before="170" w:after="170"/>
              <w:rPr/>
            </w:pPr>
            <w:r>
              <w:rPr/>
              <w:t>Thag</w:t>
            </w:r>
          </w:p>
        </w:tc>
        <w:tc>
          <w:tcPr>
            <w:tcW w:w="3657" w:type="dxa"/>
            <w:tcBorders/>
            <w:vAlign w:val="center"/>
          </w:tcPr>
          <w:p>
            <w:pPr>
              <w:pStyle w:val="WW-paragraph"/>
              <w:spacing w:before="170" w:after="170"/>
              <w:rPr/>
            </w:pPr>
            <w:r>
              <w:rPr/>
              <w:t>Theragāthā</w:t>
            </w:r>
          </w:p>
        </w:tc>
      </w:tr>
      <w:tr>
        <w:trPr/>
        <w:tc>
          <w:tcPr>
            <w:tcW w:w="759" w:type="dxa"/>
            <w:tcBorders/>
            <w:vAlign w:val="center"/>
          </w:tcPr>
          <w:p>
            <w:pPr>
              <w:pStyle w:val="WW-paragraph"/>
              <w:spacing w:before="170" w:after="170"/>
              <w:rPr/>
            </w:pPr>
            <w:r>
              <w:rPr/>
              <w:t>Thig</w:t>
            </w:r>
          </w:p>
        </w:tc>
        <w:tc>
          <w:tcPr>
            <w:tcW w:w="3657" w:type="dxa"/>
            <w:tcBorders/>
            <w:vAlign w:val="center"/>
          </w:tcPr>
          <w:p>
            <w:pPr>
              <w:pStyle w:val="WW-paragraph"/>
              <w:spacing w:before="170" w:after="170"/>
              <w:rPr/>
            </w:pPr>
            <w:r>
              <w:rPr/>
              <w:t>Therīgāthā</w:t>
            </w:r>
          </w:p>
        </w:tc>
      </w:tr>
      <w:tr>
        <w:trPr/>
        <w:tc>
          <w:tcPr>
            <w:tcW w:w="759" w:type="dxa"/>
            <w:tcBorders/>
            <w:vAlign w:val="center"/>
          </w:tcPr>
          <w:p>
            <w:pPr>
              <w:pStyle w:val="WW-paragraph"/>
              <w:spacing w:before="170" w:after="170"/>
              <w:rPr/>
            </w:pPr>
            <w:r>
              <w:rPr/>
              <w:t>TU</w:t>
            </w:r>
          </w:p>
        </w:tc>
        <w:tc>
          <w:tcPr>
            <w:tcW w:w="3657" w:type="dxa"/>
            <w:tcBorders/>
            <w:vAlign w:val="center"/>
          </w:tcPr>
          <w:p>
            <w:pPr>
              <w:pStyle w:val="WW-paragraph"/>
              <w:spacing w:before="170" w:after="170"/>
              <w:rPr/>
            </w:pPr>
            <w:r>
              <w:rPr/>
              <w:t>Taittirīya Upaniṣad</w:t>
            </w:r>
          </w:p>
        </w:tc>
      </w:tr>
      <w:tr>
        <w:trPr/>
        <w:tc>
          <w:tcPr>
            <w:tcW w:w="759" w:type="dxa"/>
            <w:tcBorders/>
            <w:vAlign w:val="center"/>
          </w:tcPr>
          <w:p>
            <w:pPr>
              <w:pStyle w:val="WW-paragraph"/>
              <w:spacing w:before="170" w:after="170"/>
              <w:rPr/>
            </w:pPr>
            <w:r>
              <w:rPr/>
              <w:t>TB</w:t>
            </w:r>
          </w:p>
        </w:tc>
        <w:tc>
          <w:tcPr>
            <w:tcW w:w="3657" w:type="dxa"/>
            <w:tcBorders/>
            <w:vAlign w:val="center"/>
          </w:tcPr>
          <w:p>
            <w:pPr>
              <w:pStyle w:val="WW-paragraph"/>
              <w:spacing w:before="170" w:after="170"/>
              <w:rPr/>
            </w:pPr>
            <w:r>
              <w:rPr/>
              <w:t>Taittirīya Brāhmaṇa</w:t>
            </w:r>
          </w:p>
        </w:tc>
      </w:tr>
      <w:tr>
        <w:trPr/>
        <w:tc>
          <w:tcPr>
            <w:tcW w:w="759" w:type="dxa"/>
            <w:tcBorders/>
            <w:vAlign w:val="center"/>
          </w:tcPr>
          <w:p>
            <w:pPr>
              <w:pStyle w:val="WW-paragraph"/>
              <w:spacing w:before="170" w:after="170"/>
              <w:rPr/>
            </w:pPr>
            <w:r>
              <w:rPr/>
              <w:t>Ud</w:t>
            </w:r>
          </w:p>
        </w:tc>
        <w:tc>
          <w:tcPr>
            <w:tcW w:w="3657" w:type="dxa"/>
            <w:tcBorders/>
            <w:vAlign w:val="center"/>
          </w:tcPr>
          <w:p>
            <w:pPr>
              <w:pStyle w:val="WW-paragraph"/>
              <w:spacing w:before="170" w:after="170"/>
              <w:rPr/>
            </w:pPr>
            <w:r>
              <w:rPr/>
              <w:t>Udāna</w:t>
            </w:r>
          </w:p>
        </w:tc>
      </w:tr>
      <w:tr>
        <w:trPr/>
        <w:tc>
          <w:tcPr>
            <w:tcW w:w="759" w:type="dxa"/>
            <w:tcBorders/>
            <w:vAlign w:val="center"/>
          </w:tcPr>
          <w:p>
            <w:pPr>
              <w:pStyle w:val="WW-paragraph"/>
              <w:spacing w:before="170" w:after="170"/>
              <w:rPr/>
            </w:pPr>
            <w:r>
              <w:rPr/>
              <w:t>Vb</w:t>
            </w:r>
          </w:p>
        </w:tc>
        <w:tc>
          <w:tcPr>
            <w:tcW w:w="3657" w:type="dxa"/>
            <w:tcBorders/>
            <w:vAlign w:val="center"/>
          </w:tcPr>
          <w:p>
            <w:pPr>
              <w:pStyle w:val="WW-paragraph"/>
              <w:spacing w:before="170" w:after="170"/>
              <w:rPr/>
            </w:pPr>
            <w:r>
              <w:rPr/>
              <w:t>Abhidhamma Vibhaṅga</w:t>
            </w:r>
          </w:p>
        </w:tc>
      </w:tr>
      <w:tr>
        <w:trPr>
          <w:trHeight w:val="70" w:hRule="atLeast"/>
        </w:trPr>
        <w:tc>
          <w:tcPr>
            <w:tcW w:w="759" w:type="dxa"/>
            <w:tcBorders/>
            <w:vAlign w:val="center"/>
          </w:tcPr>
          <w:p>
            <w:pPr>
              <w:pStyle w:val="WW-paragraph"/>
              <w:spacing w:before="170" w:after="170"/>
              <w:rPr/>
            </w:pPr>
            <w:r>
              <w:rPr/>
              <w:t>Vism</w:t>
            </w:r>
          </w:p>
        </w:tc>
        <w:tc>
          <w:tcPr>
            <w:tcW w:w="3657" w:type="dxa"/>
            <w:tcBorders/>
            <w:vAlign w:val="center"/>
          </w:tcPr>
          <w:p>
            <w:pPr>
              <w:pStyle w:val="WW-paragraph"/>
              <w:spacing w:before="170" w:after="170"/>
              <w:rPr/>
            </w:pPr>
            <w:r>
              <w:rPr/>
              <w:t>Visuddhimagga (PTS ed.)</w:t>
            </w:r>
          </w:p>
        </w:tc>
      </w:tr>
    </w:tbl>
    <w:p>
      <w:pPr>
        <w:pStyle w:val="WW-paragraph"/>
        <w:spacing w:before="170" w:after="170"/>
        <w:rPr/>
      </w:pPr>
      <w:r>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1474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Calibri">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Mono">
    <w:charset w:val="00" w:characterSet="windows-1252"/>
    <w:family w:val="roman"/>
    <w:pitch w:val="variable"/>
  </w:font>
  <w:font w:name="DejaVu Sans">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24:14.1–14.2</w:t>
      </w:r>
      <w:r>
        <w:rPr>
          <w:rStyle w:val="Hyperlink"/>
        </w:rPr>
        <w:fldChar w:fldCharType="end"/>
      </w:r>
      <w:r>
        <w:rPr/>
        <w:t xml:space="preserve"> </w:t>
      </w:r>
      <w:r>
        <w:rPr>
          <w:rStyle w:val="wwc-PTS-reference"/>
        </w:rPr>
        <w:t>M I 145</w:t>
      </w:r>
    </w:p>
  </w:footnote>
  <w:footnote w:id="3">
    <w:p>
      <w:pPr>
        <w:pStyle w:val="FootnoteText"/>
        <w:rPr/>
      </w:pPr>
      <w:r>
        <w:rPr>
          <w:rStyle w:val="FootnoteCharacters"/>
        </w:rPr>
        <w:footnoteRef/>
      </w:r>
      <w:r>
        <w:rPr>
          <w:rStyle w:val="wwc-sesame-zot-reference"/>
        </w:rPr>
        <w:t xml:space="preserve">Sunyo 2021 </w:t>
      </w:r>
    </w:p>
  </w:footnote>
  <w:footnote w:id="4">
    <w:p>
      <w:pPr>
        <w:pStyle w:val="FootnoteText"/>
        <w:rPr/>
      </w:pPr>
      <w:r>
        <w:rPr>
          <w:rStyle w:val="FootnoteCharacters"/>
        </w:rPr>
        <w:footnoteRef/>
      </w:r>
      <w:r>
        <w:rPr/>
        <w:t xml:space="preserve">For example </w:t>
      </w:r>
      <w:r>
        <w:rPr>
          <w:rStyle w:val="wwc-sesame-zot-reference"/>
        </w:rPr>
        <w:t>Ñāṇananda 2016</w:t>
      </w:r>
      <w:r>
        <w:rPr/>
        <w:t xml:space="preserve"> p.71: “What the Arahants have done is to bring consciousness to such a state where it gets no footing on name-and-form. In other words, it is the state of unestablished consciousness (</w:t>
      </w:r>
      <w:r>
        <w:rPr>
          <w:rStyle w:val="wwc-pali"/>
        </w:rPr>
        <w:t>appatiṭṭhita viññaṇa</w:t>
      </w:r>
      <w:r>
        <w:rPr/>
        <w:t>).”</w:t>
      </w:r>
    </w:p>
  </w:footnote>
  <w:footnote w:id="5">
    <w:p>
      <w:pPr>
        <w:pStyle w:val="FootnoteText"/>
        <w:rPr/>
      </w:pPr>
      <w:r>
        <w:rPr>
          <w:rStyle w:val="FootnoteCharacters"/>
        </w:rPr>
        <w:footnoteRef/>
      </w:r>
      <w:r>
        <w:rPr/>
        <w:t xml:space="preserve">For example </w:t>
      </w:r>
      <w:r>
        <w:rPr>
          <w:rStyle w:val="wwc-sesame-zot-reference"/>
        </w:rPr>
        <w:t>Harvey 1995</w:t>
      </w:r>
      <w:r>
        <w:rPr/>
        <w:t xml:space="preserve"> p.202, </w:t>
      </w:r>
      <w:r>
        <w:rPr>
          <w:rStyle w:val="wwc-sesame-zot-reference"/>
        </w:rPr>
        <w:t>Ṭhānissaro 2008a</w:t>
      </w:r>
      <w:r>
        <w:rPr/>
        <w:t xml:space="preserve"> p.118, </w:t>
      </w:r>
      <w:r>
        <w:rPr>
          <w:rStyle w:val="wwc-sesame-zot-reference"/>
        </w:rPr>
        <w:t>Pasanno</w:t>
      </w:r>
      <w:r>
        <w:rPr/>
        <w:t xml:space="preserve"> p.155, </w:t>
      </w:r>
      <w:r>
        <w:rPr>
          <w:rStyle w:val="wwc-sesame-zot-reference"/>
        </w:rPr>
        <w:t>Cintita</w:t>
      </w:r>
      <w:r>
        <w:rPr/>
        <w:t xml:space="preserve"> p.179</w:t>
      </w:r>
    </w:p>
  </w:footnote>
  <w:footnote w:id="6">
    <w:p>
      <w:pPr>
        <w:pStyle w:val="FootnoteText"/>
        <w:rPr/>
      </w:pPr>
      <w:r>
        <w:rPr>
          <w:rStyle w:val="FootnoteCharacters"/>
        </w:rPr>
        <w:footnoteRef/>
      </w:r>
      <w:r>
        <w:rPr/>
        <w:t xml:space="preserve">See </w:t>
      </w:r>
      <w:r>
        <w:rPr>
          <w:rStyle w:val="wwc-sesame"/>
        </w:rPr>
        <w:t>Bodhi 2000 p.840</w:t>
      </w:r>
      <w:r>
        <w:rPr/>
        <w:t xml:space="preserve"> “The five aggregates are so called because they each unite under one label a multiplicity of phenomena that share the same defining characteristic.”</w:t>
      </w:r>
    </w:p>
  </w:footnote>
  <w:footnote w:id="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22.82:6.1–6.7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109:8.1–8.7</w:t>
      </w:r>
      <w:r>
        <w:rPr>
          <w:rStyle w:val="Hyperlink"/>
        </w:rPr>
        <w:fldChar w:fldCharType="end"/>
      </w:r>
      <w:r>
        <w:rPr/>
        <w:t xml:space="preserve"> </w:t>
      </w:r>
      <w:r>
        <w:rPr>
          <w:rStyle w:val="wwc-PTS-reference"/>
        </w:rPr>
        <w:t>M III 17</w:t>
      </w:r>
    </w:p>
  </w:footnote>
  <w:footnote w:id="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22.59:10.1</w:t>
      </w:r>
      <w:r>
        <w:rPr>
          <w:rStyle w:val="Hyperlink"/>
        </w:rPr>
        <w:fldChar w:fldCharType="end"/>
      </w:r>
    </w:p>
  </w:footnote>
  <w:footnote w:id="9">
    <w:p>
      <w:pPr>
        <w:pStyle w:val="FootnoteText"/>
        <w:rPr/>
      </w:pPr>
      <w:r>
        <w:rPr>
          <w:rStyle w:val="FootnoteCharacters"/>
        </w:rPr>
        <w:footnoteRef/>
      </w:r>
      <w:r>
        <w:rPr/>
        <w:t xml:space="preserve">As </w:t>
      </w:r>
      <w:r>
        <w:rPr>
          <w:rStyle w:val="wwc-sesame-zot-reference"/>
        </w:rPr>
        <w:t>Ṭhānissaro 2018</w:t>
      </w:r>
      <w:r>
        <w:rPr/>
        <w:t xml:space="preserve"> p.6</w:t>
      </w:r>
    </w:p>
  </w:footnote>
  <w:footnote w:id="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49:25.1</w:t>
      </w:r>
      <w:r>
        <w:rPr>
          <w:rStyle w:val="Hyperlink"/>
        </w:rPr>
        <w:fldChar w:fldCharType="end"/>
      </w:r>
      <w:r>
        <w:rPr/>
        <w:t xml:space="preserve"> </w:t>
      </w:r>
      <w:r>
        <w:rPr>
          <w:rStyle w:val="wwc-PTS-reference"/>
        </w:rPr>
        <w:t>M I 330</w:t>
      </w:r>
      <w:r>
        <w:rPr/>
        <w:t xml:space="preserve">. For a discussion see </w:t>
      </w:r>
      <w:r>
        <w:rPr>
          <w:rStyle w:val="wwc-sesame-zot-reference"/>
        </w:rPr>
        <w:t>Sunyo 2021</w:t>
      </w:r>
    </w:p>
  </w:footnote>
  <w:footnote w:id="1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 22.56:13.1–14.2</w:t>
      </w:r>
      <w:r>
        <w:rPr>
          <w:rStyle w:val="Hyperlink"/>
        </w:rPr>
        <w:fldChar w:fldCharType="end"/>
      </w:r>
      <w:r>
        <w:rPr/>
        <w:t>, where in context of the five aggregates, the aggregate of consciousness is also defined as that of the six senses.</w:t>
      </w:r>
    </w:p>
  </w:footnote>
  <w:footnote w:id="1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12.2:12.1–12.4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12.33:9.9</w:t>
      </w:r>
      <w:r>
        <w:rPr>
          <w:rStyle w:val="Hyperlink"/>
        </w:rPr>
        <w:fldChar w:fldCharType="end"/>
      </w:r>
    </w:p>
  </w:footnote>
  <w:footnote w:id="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56.28</w:t>
      </w:r>
      <w:r>
        <w:rPr>
          <w:rStyle w:val="Hyperlink"/>
        </w:rPr>
        <w:fldChar w:fldCharType="end"/>
      </w:r>
      <w:r>
        <w:rPr/>
        <w:t xml:space="preserve"> explains: “They are called ‘noble one’s truths’ (</w:t>
      </w:r>
      <w:r>
        <w:rPr>
          <w:rStyle w:val="wwc-pali"/>
        </w:rPr>
        <w:t>ariya-sacca</w:t>
      </w:r>
      <w:r>
        <w:rPr/>
        <w:t>), because in this world […] the Truth</w:t>
        <w:softHyphen/>
        <w:t>finder (</w:t>
      </w:r>
      <w:r>
        <w:rPr>
          <w:rStyle w:val="wwc-pali"/>
        </w:rPr>
        <w:t>tathāgata</w:t>
      </w:r>
      <w:r>
        <w:rPr/>
        <w:t>) is the noble one (</w:t>
      </w:r>
      <w:r>
        <w:rPr>
          <w:rStyle w:val="wwc-pali"/>
        </w:rPr>
        <w:t>ariya</w:t>
      </w:r>
      <w:r>
        <w:rPr/>
        <w:t xml:space="preserve">).” </w:t>
      </w:r>
      <w:r>
        <w:rPr>
          <w:rStyle w:val="wwc-sesame-zot-reference"/>
        </w:rPr>
        <w:t>Norman 1997</w:t>
      </w:r>
      <w:r>
        <w:rPr/>
        <w:t xml:space="preserve"> p.16 wrote: “My own feeling is that it is very likely that ‘the truth of the noble one (the Buddha)’ is the correct translation.” See also </w:t>
      </w:r>
      <w:r>
        <w:rPr>
          <w:rStyle w:val="wwc-sesame-zot-reference"/>
        </w:rPr>
        <w:t>Norman 2008</w:t>
      </w:r>
      <w:r>
        <w:rPr/>
        <w:t xml:space="preserve"> and </w:t>
      </w:r>
      <w:r>
        <w:rPr>
          <w:rStyle w:val="wwc-sesame-zot-reference"/>
        </w:rPr>
        <w:t>Harvey 2009</w:t>
      </w:r>
    </w:p>
  </w:footnote>
  <w:footnote w:id="14">
    <w:p>
      <w:pPr>
        <w:pStyle w:val="FootnoteText"/>
        <w:rPr/>
      </w:pPr>
      <w:r>
        <w:rPr>
          <w:rStyle w:val="FootnoteCharacters"/>
        </w:rPr>
        <w:footnoteRef/>
      </w:r>
      <w:r>
        <w:rPr>
          <w:rStyle w:val="wwc-pali"/>
        </w:rPr>
        <w:t>Tatra tatra</w:t>
      </w:r>
      <w:r>
        <w:rPr/>
        <w:t xml:space="preserve">, ‘in various realms’.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use </w:t>
      </w:r>
      <w:r>
        <w:rPr>
          <w:rStyle w:val="wwc-pali"/>
        </w:rPr>
        <w:t>tatra tatra</w:t>
      </w:r>
      <w:r>
        <w:rP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rPr/>
        <w:t xml:space="preserve"> translates “in various different realms”.</w:t>
      </w:r>
    </w:p>
  </w:footnote>
  <w:footnote w:id="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56.13:3.1–3.4</w:t>
      </w:r>
      <w:r>
        <w:rPr>
          <w:rStyle w:val="Hyperlink"/>
        </w:rPr>
        <w:fldChar w:fldCharType="end"/>
      </w:r>
    </w:p>
  </w:footnote>
  <w:footnote w:id="16">
    <w:p>
      <w:pPr>
        <w:pStyle w:val="FootnoteText"/>
        <w:rPr/>
      </w:pPr>
      <w:r>
        <w:rPr>
          <w:rStyle w:val="FootnoteCharacters"/>
        </w:rPr>
        <w:footnoteRef/>
      </w:r>
      <w:r>
        <w:rPr/>
        <w:t xml:space="preserve">See also </w:t>
      </w:r>
      <w:r>
        <w:rPr>
          <w:rStyle w:val="wwc-sesame-zot-reference"/>
        </w:rPr>
        <w:t>Piyadassi</w:t>
      </w:r>
      <w:r>
        <w:rPr/>
        <w:t xml:space="preserve"> p.5, </w:t>
      </w:r>
      <w:r>
        <w:rPr>
          <w:rStyle w:val="wwc-sesame-zot-reference"/>
        </w:rPr>
        <w:t>Bodhi 1984</w:t>
      </w:r>
      <w:r>
        <w:rPr/>
        <w:t xml:space="preserve"> p.5 n.2, </w:t>
      </w:r>
      <w:r>
        <w:rPr>
          <w:rStyle w:val="wwc-sesame-zot-reference"/>
        </w:rPr>
        <w:t>Bodhi 2015</w:t>
      </w:r>
      <w:r>
        <w:rPr/>
        <w:t xml:space="preserve"> p.19</w:t>
      </w:r>
    </w:p>
  </w:footnote>
  <w:footnote w:id="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3.61:15.1–15.14</w:t>
      </w:r>
      <w:r>
        <w:rPr>
          <w:rStyle w:val="Hyperlink"/>
        </w:rPr>
        <w:fldChar w:fldCharType="end"/>
      </w:r>
    </w:p>
  </w:footnote>
  <w:footnote w:id="18">
    <w:p>
      <w:pPr>
        <w:pStyle w:val="FootnoteText"/>
        <w:rPr/>
      </w:pPr>
      <w:r>
        <w:rPr>
          <w:rStyle w:val="FootnoteCharacters"/>
        </w:rPr>
        <w:footnoteRef/>
      </w:r>
      <w:r>
        <w:rPr>
          <w:rStyle w:val="wwc-pali"/>
        </w:rPr>
        <w:t>Paṭiccasamuppādaṁ</w:t>
      </w:r>
      <w:r>
        <w:rPr/>
        <w:t xml:space="preserve">, ‘the dependent arising of things’. By this I mean the actual principles existing in nature, rather than the Buddha’s teachings </w:t>
      </w:r>
      <w:r>
        <w:rPr>
          <w:rStyle w:val="Emphasis"/>
        </w:rPr>
        <w:t>on</w:t>
      </w:r>
      <w:r>
        <w:rPr/>
        <w:t xml:space="preserve"> these principles, which I call ‘Dependent Arising’.</w:t>
      </w:r>
    </w:p>
    <w:p>
      <w:pPr>
        <w:pStyle w:val="FootnoteText"/>
        <w:rPr/>
      </w:pPr>
      <w:r>
        <w:rPr/>
        <w:t xml:space="preserve">The term is sometimes translated as ‘dependent </w:t>
      </w:r>
      <w:r>
        <w:rPr>
          <w:rStyle w:val="Emphasis"/>
        </w:rPr>
        <w:t>co</w:t>
      </w:r>
      <w:r>
        <w:rPr/>
        <w:t xml:space="preserve">arising’, but the prefix </w:t>
      </w:r>
      <w:r>
        <w:rPr>
          <w:rStyle w:val="wwc-pali"/>
        </w:rPr>
        <w:t>saṁ</w:t>
      </w:r>
      <w:r>
        <w:rPr/>
        <w:t xml:space="preserve">- in </w:t>
      </w:r>
      <w:r>
        <w:rPr>
          <w:rStyle w:val="wwc-pali"/>
        </w:rPr>
        <w:t>samuppāda</w:t>
      </w:r>
      <w:r>
        <w:rPr/>
        <w:t xml:space="preserve"> is simply a redundancy for the following prefix up- (=</w:t>
      </w:r>
      <w:r>
        <w:rPr>
          <w:rStyle w:val="wwc-pali"/>
        </w:rPr>
        <w:t>ud</w:t>
      </w:r>
      <w:r>
        <w:rPr/>
        <w:t xml:space="preserve">-). As </w:t>
      </w:r>
      <w:r>
        <w:rPr>
          <w:rStyle w:val="wwc-sesame-zot-reference"/>
        </w:rPr>
        <w:t>PED</w:t>
      </w:r>
      <w:r>
        <w:rPr/>
        <w:t xml:space="preserve"> says under </w:t>
      </w:r>
      <w:r>
        <w:rPr>
          <w:rStyle w:val="wwc-pali"/>
        </w:rPr>
        <w:t>saṁ</w:t>
      </w:r>
      <w:r>
        <w:rPr/>
        <w:t xml:space="preserve">-: “very often merely pleonastic, esp. in comb[inatio]n with other prefixes.” Therefore, under </w:t>
      </w:r>
      <w:r>
        <w:rPr>
          <w:rStyle w:val="wwc-pali"/>
        </w:rPr>
        <w:t>samuppajjati</w:t>
      </w:r>
      <w:r>
        <w:rPr/>
        <w:t xml:space="preserve"> it simply has, “to arise, to be produced”. No other dictionary suggests ‘coarising’ either. To give some examples of the word </w:t>
      </w:r>
      <w:r>
        <w:rPr>
          <w:rStyle w:val="wwc-pali"/>
        </w:rPr>
        <w:t>samuppāda</w:t>
      </w:r>
      <w:r>
        <w:rPr/>
        <w:t xml:space="preserve"> in a daily-life context: </w:t>
      </w:r>
      <w:r>
        <w:fldChar w:fldCharType="begin"/>
      </w:r>
      <w:r>
        <w:rPr>
          <w:rStyle w:val="Hyperlink"/>
        </w:rPr>
        <w:instrText xml:space="preserve"> HYPERLINK "https://suttacentral.net/XXX/en/sujato" \l "YYY"</w:instrText>
      </w:r>
      <w:r>
        <w:rPr>
          <w:rStyle w:val="Hyperlink"/>
        </w:rPr>
        <w:fldChar w:fldCharType="separate"/>
      </w:r>
      <w:r>
        <w:rPr>
          <w:rStyle w:val="Hyperlink"/>
        </w:rPr>
        <w:t>SN 3.25:2.14</w:t>
      </w:r>
      <w:r>
        <w:rPr>
          <w:rStyle w:val="Hyperlink"/>
        </w:rPr>
        <w:fldChar w:fldCharType="end"/>
      </w:r>
      <w:r>
        <w:rPr/>
        <w:t xml:space="preserve"> mentions the arising (</w:t>
      </w:r>
      <w:r>
        <w:rPr>
          <w:rStyle w:val="wwc-pali"/>
        </w:rPr>
        <w:t>samuppanne</w:t>
      </w:r>
      <w:r>
        <w:rPr/>
        <w:t xml:space="preserve">) of a great peril, namely a mountain that crushes everything; </w:t>
      </w:r>
      <w:r>
        <w:fldChar w:fldCharType="begin"/>
      </w:r>
      <w:r>
        <w:rPr>
          <w:rStyle w:val="Hyperlink"/>
        </w:rPr>
        <w:instrText xml:space="preserve"> HYPERLINK "https://suttacentral.net/XXX/en/sujato" \l "YYY"</w:instrText>
      </w:r>
      <w:r>
        <w:rPr>
          <w:rStyle w:val="Hyperlink"/>
        </w:rPr>
        <w:fldChar w:fldCharType="separate"/>
      </w:r>
      <w:r>
        <w:rPr>
          <w:rStyle w:val="Hyperlink"/>
        </w:rPr>
        <w:t>AN 8.54:6.1, 6.7, 7.1, 7.7</w:t>
      </w:r>
      <w:r>
        <w:rPr>
          <w:rStyle w:val="Hyperlink"/>
        </w:rPr>
        <w:fldChar w:fldCharType="end"/>
      </w:r>
      <w:r>
        <w:rPr/>
        <w:t xml:space="preserve"> mentions wealth that has arisen (</w:t>
      </w:r>
      <w:r>
        <w:rPr>
          <w:rStyle w:val="wwc-pali"/>
        </w:rPr>
        <w:t>samuppannānaṁ</w:t>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Kp 8:1.3</w:t>
      </w:r>
      <w:r>
        <w:rPr>
          <w:rStyle w:val="Hyperlink"/>
        </w:rPr>
        <w:fldChar w:fldCharType="end"/>
      </w:r>
      <w:r>
        <w:rPr/>
        <w:t xml:space="preserve"> mentions the arising (</w:t>
      </w:r>
      <w:r>
        <w:rPr>
          <w:rStyle w:val="wwc-pali"/>
        </w:rPr>
        <w:t>samuppanne</w:t>
      </w:r>
      <w:r>
        <w:rPr/>
        <w:t xml:space="preserve">) of a need to use stored up wealth; </w:t>
      </w:r>
      <w:r>
        <w:fldChar w:fldCharType="begin"/>
      </w:r>
      <w:r>
        <w:rPr>
          <w:rStyle w:val="Hyperlink"/>
        </w:rPr>
        <w:instrText xml:space="preserve"> HYPERLINK "https://suttacentral.net/XXX/en/sujato" \l "YYY"</w:instrText>
      </w:r>
      <w:r>
        <w:rPr>
          <w:rStyle w:val="Hyperlink"/>
        </w:rPr>
        <w:fldChar w:fldCharType="separate"/>
      </w:r>
      <w:r>
        <w:rPr>
          <w:rStyle w:val="Hyperlink"/>
        </w:rPr>
        <w:t>Thag 1.30:1.3</w:t>
      </w:r>
      <w:r>
        <w:rPr>
          <w:rStyle w:val="Hyperlink"/>
        </w:rPr>
        <w:fldChar w:fldCharType="end"/>
      </w:r>
      <w:r>
        <w:rPr/>
        <w:t xml:space="preserve"> mentions the arising (</w:t>
      </w:r>
      <w:r>
        <w:rPr>
          <w:rStyle w:val="wwc-pali"/>
        </w:rPr>
        <w:t>samuppanno</w:t>
      </w:r>
      <w:r>
        <w:rPr/>
        <w:t xml:space="preserve">) of sickness; and </w:t>
      </w:r>
      <w:r>
        <w:fldChar w:fldCharType="begin"/>
      </w:r>
      <w:r>
        <w:rPr>
          <w:rStyle w:val="Hyperlink"/>
        </w:rPr>
        <w:instrText xml:space="preserve"> HYPERLINK "https://suttacentral.net/XXX/en/sujato" \l "YYY"</w:instrText>
      </w:r>
      <w:r>
        <w:rPr>
          <w:rStyle w:val="Hyperlink"/>
        </w:rPr>
        <w:fldChar w:fldCharType="separate"/>
      </w:r>
      <w:r>
        <w:rPr>
          <w:rStyle w:val="Hyperlink"/>
        </w:rPr>
        <w:t>Iti 43:3.1</w:t>
      </w:r>
      <w:r>
        <w:rPr>
          <w:rStyle w:val="Hyperlink"/>
        </w:rPr>
        <w:fldChar w:fldCharType="end"/>
      </w:r>
      <w:r>
        <w:rPr/>
        <w:t xml:space="preserve"> uses ‘arisen’ (</w:t>
      </w:r>
      <w:r>
        <w:rPr>
          <w:rStyle w:val="wwc-pali"/>
        </w:rPr>
        <w:t>samuppannaṁ</w:t>
      </w:r>
      <w:r>
        <w:rPr/>
        <w:t>) as a synonym for ‘born’ (</w:t>
      </w:r>
      <w:r>
        <w:rPr>
          <w:rStyle w:val="wwc-pali"/>
        </w:rPr>
        <w:t>jātaṁ</w:t>
      </w:r>
      <w:r>
        <w:rPr/>
        <w:t>) and ‘came to be’ (</w:t>
      </w:r>
      <w:r>
        <w:rPr>
          <w:rStyle w:val="wwc-pali"/>
        </w:rPr>
        <w:t>bhūtaṁ</w:t>
      </w:r>
      <w:r>
        <w:rPr/>
        <w:t xml:space="preserve">). We do not speak of a coarising of sickness or wealth, nor does there seem to be a good justification, certainly not on a linguistic basis, to speak of a coarising of death, for instance. </w:t>
      </w:r>
      <w:r>
        <w:rPr>
          <w:rStyle w:val="wwc-pali"/>
        </w:rPr>
        <w:t>Samupajjati</w:t>
      </w:r>
      <w:r>
        <w:rPr/>
        <w:t xml:space="preserve"> is simply a synonym for </w:t>
      </w:r>
      <w:r>
        <w:rPr>
          <w:rStyle w:val="wwc-pali"/>
        </w:rPr>
        <w:t>upajjati</w:t>
      </w:r>
      <w:r>
        <w:rPr/>
        <w:t>, including in the context of Dependent Arising. There is also no such thing as “</w:t>
      </w:r>
      <w:r>
        <w:rPr>
          <w:rStyle w:val="wwc-pali"/>
        </w:rPr>
        <w:t>saṁ-nirodha</w:t>
      </w:r>
      <w:r>
        <w:rPr/>
        <w:t xml:space="preserve">” (“co-cessation”) but only </w:t>
      </w:r>
      <w:r>
        <w:rPr>
          <w:rStyle w:val="wwc-pali"/>
        </w:rPr>
        <w:t>nirodha</w:t>
      </w:r>
      <w:r>
        <w:rPr/>
        <w:t xml:space="preserve"> (cessation), which indicates “co-” is not intended in </w:t>
      </w:r>
      <w:r>
        <w:rPr>
          <w:rStyle w:val="wwc-pali"/>
        </w:rPr>
        <w:t>samuppāda</w:t>
      </w:r>
      <w:r>
        <w:rPr/>
        <w:t xml:space="preserve"> either. See also </w:t>
      </w:r>
      <w:r>
        <w:rPr>
          <w:rStyle w:val="wwc-sesame-zot-reference"/>
        </w:rPr>
        <w:t>Jones 2021</w:t>
      </w:r>
      <w:r>
        <w:rPr/>
        <w:t xml:space="preserve"> p.234: “When translating the expression </w:t>
      </w:r>
      <w:r>
        <w:rPr>
          <w:rStyle w:val="wwc-pali"/>
        </w:rPr>
        <w:t xml:space="preserve">paṭicca-samuppāda </w:t>
      </w:r>
      <w:r>
        <w:rPr/>
        <w:t xml:space="preserve">in the Pāli Canon, it therefore seems inappropriate to use words like ‘coarising’ or ‘co-production’.” </w:t>
      </w:r>
      <w:r>
        <w:rPr>
          <w:rStyle w:val="wwc-sesame-zot-reference"/>
        </w:rPr>
        <w:t>Schmithausen 1997</w:t>
      </w:r>
      <w:r>
        <w:rPr/>
        <w:t xml:space="preserve"> n.73 similarly concluded: “It is not probable that the prefix </w:t>
      </w:r>
      <w:r>
        <w:rPr>
          <w:rStyle w:val="wwc-pali"/>
        </w:rPr>
        <w:t>saṁ</w:t>
      </w:r>
      <w:r>
        <w:rPr/>
        <w:t>- was, from the outset, intended to convey such a heavy meaning.”</w:t>
      </w:r>
    </w:p>
  </w:footnote>
  <w:footnote w:id="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28:28.5–28.9</w:t>
      </w:r>
      <w:r>
        <w:rPr>
          <w:rStyle w:val="Hyperlink"/>
        </w:rPr>
        <w:fldChar w:fldCharType="end"/>
      </w:r>
      <w:r>
        <w:rPr/>
        <w:t xml:space="preserve"> </w:t>
      </w:r>
      <w:r>
        <w:rPr>
          <w:rStyle w:val="wwc-PTS-reference"/>
        </w:rPr>
        <w:t>M I 191</w:t>
      </w:r>
    </w:p>
  </w:footnote>
  <w:footnote w:id="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22.5:2.1–4.10</w:t>
      </w:r>
      <w:r>
        <w:rPr>
          <w:rStyle w:val="Hyperlink"/>
        </w:rPr>
        <w:fldChar w:fldCharType="end"/>
      </w:r>
    </w:p>
  </w:footnote>
  <w:footnote w:id="2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22.30</w:t>
      </w:r>
      <w:r>
        <w:rPr>
          <w:rStyle w:val="Hyperlink"/>
        </w:rPr>
        <w:fldChar w:fldCharType="end"/>
      </w:r>
    </w:p>
  </w:footnote>
  <w:footnote w:id="22">
    <w:p>
      <w:pPr>
        <w:pStyle w:val="FootnoteText"/>
        <w:rPr/>
      </w:pPr>
      <w:r>
        <w:rPr>
          <w:rStyle w:val="FootnoteCharacters"/>
        </w:rPr>
        <w:footnoteRef/>
      </w:r>
      <w:r>
        <w:rPr/>
        <w:t xml:space="preserve">As glossed by </w:t>
      </w:r>
      <w:r>
        <w:rPr>
          <w:rStyle w:val="wwc-sesame-zot-reference"/>
        </w:rPr>
        <w:t>PED</w:t>
      </w:r>
      <w:r>
        <w:rPr/>
        <w:t xml:space="preserve">, </w:t>
      </w:r>
      <w:r>
        <w:rPr>
          <w:rStyle w:val="wwc-sesame-zot-reference"/>
        </w:rPr>
        <w:t>CPD</w:t>
      </w:r>
      <w:r>
        <w:rPr/>
        <w:t xml:space="preserve">, </w:t>
      </w:r>
      <w:r>
        <w:rPr>
          <w:rStyle w:val="wwc-sesame-zot-reference"/>
        </w:rPr>
        <w:t>CPED</w:t>
      </w:r>
      <w:r>
        <w:rPr/>
        <w:t xml:space="preserve">, </w:t>
      </w:r>
      <w:r>
        <w:rPr>
          <w:rStyle w:val="wwc-sesame-zot-reference"/>
        </w:rPr>
        <w:t>DOP</w:t>
      </w:r>
      <w:r>
        <w:rPr/>
        <w:t xml:space="preserve">, </w:t>
      </w:r>
      <w:r>
        <w:rPr>
          <w:rStyle w:val="wwc-sesame-zot-reference"/>
        </w:rPr>
        <w:t>DPD</w:t>
      </w:r>
      <w:r>
        <w:rP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3">
    <w:p>
      <w:pPr>
        <w:pStyle w:val="FootnoteText"/>
        <w:rPr/>
      </w:pPr>
      <w:r>
        <w:rPr>
          <w:rStyle w:val="FootnoteCharacters"/>
        </w:rPr>
        <w:footnoteRef/>
      </w:r>
      <w:r>
        <w:rPr/>
        <w:t xml:space="preserve">For example </w:t>
      </w:r>
      <w:r>
        <w:rPr>
          <w:rStyle w:val="wwc-sesame"/>
        </w:rPr>
        <w:t>Bodhi 2012, AN 10.65</w:t>
      </w:r>
    </w:p>
  </w:footnote>
  <w:footnote w:id="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8.9:5.1–5.4</w:t>
      </w:r>
      <w:r>
        <w:rPr>
          <w:rStyle w:val="Hyperlink"/>
        </w:rPr>
        <w:fldChar w:fldCharType="end"/>
      </w:r>
    </w:p>
  </w:footnote>
  <w:footnote w:id="25">
    <w:p>
      <w:pPr>
        <w:pStyle w:val="FootnoteText"/>
        <w:rPr/>
      </w:pPr>
      <w:r>
        <w:rPr>
          <w:rStyle w:val="FootnoteCharacters"/>
        </w:rPr>
        <w:footnoteRef/>
      </w:r>
      <w:r>
        <w:rPr/>
        <w:t xml:space="preserve">For the meaning of ‘fuel’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44.9:6.5–6.6</w:t>
      </w:r>
      <w:r>
        <w:rPr>
          <w:rStyle w:val="Hyperlink"/>
        </w:rPr>
        <w:fldChar w:fldCharType="end"/>
      </w:r>
      <w:r>
        <w:rPr/>
        <w:t>: “When a being laid down their body and is not yet reborn in another body, I say craving is their fuel (</w:t>
      </w:r>
      <w:r>
        <w:rPr>
          <w:rStyle w:val="wwc-pali"/>
        </w:rPr>
        <w:t>upādāna</w:t>
      </w:r>
      <w:r>
        <w:rPr/>
        <w:t xml:space="preserve">), because craving is what fuels them at that time.” For the meaning of ‘taking up’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75:24.6–24.8</w:t>
      </w:r>
      <w:r>
        <w:rPr>
          <w:rStyle w:val="Hyperlink"/>
        </w:rPr>
        <w:fldChar w:fldCharType="end"/>
      </w:r>
      <w:r>
        <w:rPr/>
        <w:t xml:space="preserve"> </w:t>
      </w:r>
      <w:r>
        <w:rPr>
          <w:rStyle w:val="wwc-PTS-reference"/>
        </w:rPr>
        <w:t>M I 512</w:t>
      </w:r>
      <w:r>
        <w:rPr/>
        <w:t>: “I have long been tricked, cheated, and deceived by this mind. For what I have been taking up was just form, sensation, perception, will, and consciousness. And dependent on that taking up (</w:t>
      </w:r>
      <w:r>
        <w:rPr>
          <w:rStyle w:val="wwc-pali"/>
        </w:rPr>
        <w:t>upādāna</w:t>
      </w:r>
      <w:r>
        <w:rPr/>
        <w:t>) of mine, there was existence.”</w:t>
      </w:r>
    </w:p>
  </w:footnote>
  <w:footnote w:id="26">
    <w:p>
      <w:pPr>
        <w:pStyle w:val="FootnoteText"/>
        <w:rPr/>
      </w:pPr>
      <w:r>
        <w:rPr>
          <w:rStyle w:val="FootnoteCharacters"/>
        </w:rPr>
        <w:footnoteRef/>
      </w:r>
      <w:r>
        <w:rPr/>
        <w:t xml:space="preserve">For the ten powers and four reasons to be self-confident see </w:t>
      </w:r>
      <w:r>
        <w:fldChar w:fldCharType="begin"/>
      </w:r>
      <w:r>
        <w:rPr>
          <w:rStyle w:val="Hyperlink"/>
        </w:rPr>
        <w:instrText xml:space="preserve"> HYPERLINK "https://suttacentral.net/XXX/en/sujato" \l "YYY"</w:instrText>
      </w:r>
      <w:r>
        <w:rPr>
          <w:rStyle w:val="Hyperlink"/>
        </w:rPr>
        <w:fldChar w:fldCharType="separate"/>
      </w:r>
      <w:r>
        <w:rPr>
          <w:rStyle w:val="Hyperlink"/>
        </w:rPr>
        <w:t>MN 12:9.1–27.1</w:t>
      </w:r>
      <w:r>
        <w:rPr>
          <w:rStyle w:val="Hyperlink"/>
        </w:rPr>
        <w:fldChar w:fldCharType="end"/>
      </w:r>
      <w:r>
        <w:rPr/>
        <w:t xml:space="preserve"> </w:t>
      </w:r>
      <w:r>
        <w:rPr>
          <w:rStyle w:val="wwc-PTS-reference"/>
        </w:rPr>
        <w:t>M I 69</w:t>
      </w:r>
    </w:p>
  </w:footnote>
  <w:footnote w:id="2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w:t>
      </w:r>
      <w:r>
        <w:rPr>
          <w:rStyle w:val="Hyperlink"/>
        </w:rPr>
        <w:fldChar w:fldCharType="end"/>
      </w:r>
    </w:p>
  </w:footnote>
  <w:footnote w:id="28">
    <w:p>
      <w:pPr>
        <w:pStyle w:val="FootnoteText"/>
        <w:rPr/>
      </w:pPr>
      <w:r>
        <w:rPr>
          <w:rStyle w:val="FootnoteCharacters"/>
        </w:rPr>
        <w:footnoteRef/>
      </w:r>
      <w:r>
        <w:rPr>
          <w:rStyle w:val="wwc-pali"/>
        </w:rPr>
        <w:t>Imasmiṁ sati idaṁ hoti</w:t>
      </w:r>
      <w:r>
        <w:rPr/>
        <w:t>, ‘There will be this (</w:t>
      </w:r>
      <w:r>
        <w:rPr>
          <w:rStyle w:val="wwc-pali"/>
        </w:rPr>
        <w:t>idaṁ hoti</w:t>
      </w:r>
      <w:r>
        <w:rPr/>
        <w:t>), only if there is that (</w:t>
      </w:r>
      <w:r>
        <w:rPr>
          <w:rStyle w:val="wwc-pali"/>
        </w:rPr>
        <w:t>imasmiṁ sati</w:t>
      </w:r>
      <w:r>
        <w:rPr/>
        <w:t xml:space="preserve">)’. The clause </w:t>
      </w:r>
      <w:r>
        <w:rPr>
          <w:rStyle w:val="wwc-pali"/>
        </w:rPr>
        <w:t>imasmiṁ sati</w:t>
      </w:r>
      <w:r>
        <w:rP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rPr/>
        <w:t xml:space="preserve">). But this misses the fact that the locative absolute, although it can have temporal connotations, can also form a conditional. </w:t>
      </w:r>
      <w:r>
        <w:rPr>
          <w:rStyle w:val="wwc-sesame-zot-reference"/>
        </w:rPr>
        <w:t>Wijesekera 1993</w:t>
      </w:r>
      <w:r>
        <w:rPr/>
        <w:t xml:space="preserve"> §184 states: “the temporal notion is not the only idea expressed by the loc[ative] absolute. […] It may also signify a condition that exists or should exist for the </w:t>
      </w:r>
      <w:r>
        <w:rPr>
          <w:lang w:val="en-US"/>
        </w:rPr>
        <w:t xml:space="preserve">fulfillment </w:t>
      </w:r>
      <w:r>
        <w:rPr/>
        <w:t xml:space="preserve">of the main action, which may be rendered by such expressions as ‘if, on condition, provided that’ etc.” See also </w:t>
      </w:r>
      <w:r>
        <w:rPr>
          <w:rStyle w:val="wwc-sesame-zot-reference"/>
        </w:rPr>
        <w:t>Duroiselle</w:t>
      </w:r>
      <w:r>
        <w:rPr/>
        <w:t xml:space="preserve"> §603 iii: “</w:t>
      </w:r>
      <w:r>
        <w:rPr>
          <w:rStyle w:val="wwc-pali"/>
        </w:rPr>
        <w:t>Sati</w:t>
      </w:r>
      <w:r>
        <w:rPr/>
        <w:t xml:space="preserve">, the locative singular of </w:t>
      </w:r>
      <w:r>
        <w:rPr>
          <w:rStyle w:val="wwc-pali"/>
        </w:rPr>
        <w:t>santo</w:t>
      </w:r>
      <w:r>
        <w:rPr/>
        <w:t xml:space="preserve"> […] may also often be translated by ‘if, such being the case’.” This conditional meaning applies here. The clause </w:t>
      </w:r>
      <w:r>
        <w:rPr>
          <w:rStyle w:val="wwc-pali"/>
        </w:rPr>
        <w:t>imasmiṁ sati</w:t>
      </w:r>
      <w:r>
        <w:rPr/>
        <w:t xml:space="preserve"> describes a general principle of dependency without any temporal implications.</w:t>
      </w:r>
    </w:p>
    <w:p>
      <w:pPr>
        <w:pStyle w:val="FootnoteText"/>
        <w:rPr/>
      </w:pPr>
      <w:r>
        <w:rP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rP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rPr/>
        <w:t>.</w:t>
      </w:r>
    </w:p>
    <w:p>
      <w:pPr>
        <w:pStyle w:val="FootnoteText"/>
        <w:rPr/>
      </w:pPr>
      <w:r>
        <w:rPr/>
        <w:t xml:space="preserve">To give a general example first, “there will be rain </w:t>
      </w:r>
      <w:r>
        <w:rPr>
          <w:rStyle w:val="Emphasis"/>
        </w:rPr>
        <w:t>if</w:t>
      </w:r>
      <w:r>
        <w:rPr/>
        <w:t xml:space="preserve"> there are clouds” would mean it always rains whenever there are clouds. Clouds are sufficient for rain. However, “there will be rain </w:t>
      </w:r>
      <w:r>
        <w:rPr>
          <w:rStyle w:val="Emphasis"/>
        </w:rPr>
        <w:t>only</w:t>
      </w:r>
      <w:r>
        <w:rPr/>
        <w:t xml:space="preserve"> if there are clouds”, just means it cannot rain without clouds. Clouds are necessary for rain. In the context of Dependent Arising “there will be craving </w:t>
      </w:r>
      <w:r>
        <w:rPr>
          <w:rStyle w:val="Emphasis"/>
        </w:rPr>
        <w:t>if</w:t>
      </w:r>
      <w:r>
        <w:rP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rPr/>
        <w:t xml:space="preserve"> if there are sensations” instead means sensations are just a necessary condition for craving. Likewise, birth is not a sufficient condition for old age, since beings can die young. So there will be old age </w:t>
      </w:r>
      <w:r>
        <w:rPr>
          <w:rStyle w:val="Emphasis"/>
        </w:rPr>
        <w:t>only</w:t>
      </w:r>
      <w:r>
        <w:rPr/>
        <w:t xml:space="preserve"> if there is birth, not </w:t>
      </w:r>
      <w:r>
        <w:rPr>
          <w:rStyle w:val="Emphasis"/>
        </w:rPr>
        <w:t>if</w:t>
      </w:r>
      <w:r>
        <w:rPr/>
        <w:t xml:space="preserve"> there is birth. Or, if in </w:t>
      </w:r>
      <w:hyperlink w:anchor="bqseg83">
        <w:r>
          <w:rPr>
            <w:rStyle w:val="Hyperlink"/>
          </w:rPr>
          <w:t>§83</w:t>
        </w:r>
      </w:hyperlink>
      <w:r>
        <w:rPr/>
        <w:t xml:space="preserve"> we were to translate the mutual dependency between consciousness and the immaterial aspects and body as “there will be the immaterial aspects and body </w:t>
      </w:r>
      <w:r>
        <w:rPr>
          <w:rStyle w:val="Emphasis"/>
        </w:rPr>
        <w:t>if</w:t>
      </w:r>
      <w:r>
        <w:rPr/>
        <w:t xml:space="preserve"> there is consciousness [and] there will be consciousness </w:t>
      </w:r>
      <w:r>
        <w:rPr>
          <w:rStyle w:val="Emphasis"/>
        </w:rPr>
        <w:t>if</w:t>
      </w:r>
      <w:r>
        <w:rP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rPr/>
        <w:t xml:space="preserve"> if there is consciousness [and] there will be consciousness </w:t>
      </w:r>
      <w:r>
        <w:rPr>
          <w:rStyle w:val="Emphasis"/>
        </w:rPr>
        <w:t>only</w:t>
      </w:r>
      <w:r>
        <w:rP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rPr/>
        <w:t xml:space="preserve">). The idea is that one bundle can stand </w:t>
      </w:r>
      <w:r>
        <w:rPr>
          <w:rStyle w:val="Emphasis"/>
        </w:rPr>
        <w:t>only</w:t>
      </w:r>
      <w:r>
        <w:rPr/>
        <w:t xml:space="preserve"> if the other stands; not that </w:t>
      </w:r>
      <w:r>
        <w:rPr>
          <w:rStyle w:val="Emphasis"/>
        </w:rPr>
        <w:t>if</w:t>
      </w:r>
      <w:r>
        <w:rPr/>
        <w:t xml:space="preserve"> one stands, the other also stands automatically.</w:t>
      </w:r>
    </w:p>
    <w:p>
      <w:pPr>
        <w:pStyle w:val="FootnoteText"/>
        <w:rPr/>
      </w:pPr>
      <w:r>
        <w:rP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rP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pPr>
        <w:pStyle w:val="FootnoteText"/>
        <w:rPr/>
      </w:pPr>
      <w:r>
        <w:rP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rPr/>
        <w:t xml:space="preserve"> p.449 on this phrase: “B does not occur unless A is present and occurs </w:t>
      </w:r>
      <w:r>
        <w:rPr>
          <w:rStyle w:val="Emphasis"/>
        </w:rPr>
        <w:t>only</w:t>
      </w:r>
      <w:r>
        <w:rPr/>
        <w:t xml:space="preserve"> when A is present.” (emphasis added)</w:t>
      </w:r>
    </w:p>
    <w:p>
      <w:pPr>
        <w:pStyle w:val="FootnoteText"/>
        <w:rPr/>
      </w:pPr>
      <w:r>
        <w:rPr/>
      </w:r>
    </w:p>
  </w:footnote>
  <w:footnote w:id="29">
    <w:p>
      <w:pPr>
        <w:pStyle w:val="FootnoteText"/>
        <w:rPr/>
      </w:pPr>
      <w:r>
        <w:rPr>
          <w:rStyle w:val="FootnoteCharacters"/>
        </w:rPr>
        <w:footnoteRef/>
      </w:r>
      <w:r>
        <w:rPr/>
        <w:t xml:space="preserve">See also </w:t>
      </w:r>
      <w:r>
        <w:rPr>
          <w:rStyle w:val="wwc-sesame-zot-reference"/>
        </w:rPr>
        <w:t>Shulman</w:t>
      </w:r>
      <w:r>
        <w:rPr/>
        <w:t xml:space="preserve"> p.299</w:t>
      </w:r>
    </w:p>
  </w:footnote>
  <w:footnote w:id="30">
    <w:p>
      <w:pPr>
        <w:pStyle w:val="FootnoteText"/>
        <w:rPr/>
      </w:pPr>
      <w:r>
        <w:rPr>
          <w:rStyle w:val="FootnoteCharacters"/>
        </w:rPr>
        <w:footnoteRef/>
      </w:r>
      <w:r>
        <w:rPr/>
        <w:t>More literally, ‘dependency (</w:t>
      </w:r>
      <w:r>
        <w:rPr>
          <w:rStyle w:val="wwc-pali"/>
        </w:rPr>
        <w:t>paccayatā</w:t>
      </w:r>
      <w:r>
        <w:rPr/>
        <w:t>) on something (</w:t>
      </w:r>
      <w:r>
        <w:rPr>
          <w:rStyle w:val="wwc-pali"/>
        </w:rPr>
        <w:t>idap</w:t>
      </w:r>
      <w:r>
        <w:rPr/>
        <w:t xml:space="preserve">)’. The term </w:t>
      </w:r>
      <w:r>
        <w:rPr>
          <w:rStyle w:val="wwc-pali"/>
        </w:rPr>
        <w:t>idappaccayatā</w:t>
      </w:r>
      <w:r>
        <w:rP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rPr/>
        <w:t xml:space="preserve">, which are mutually dependent, do not cause one another in an active way. They just rely on one another, as the simile of the reeds at </w:t>
      </w:r>
      <w:hyperlink w:anchor="bqseg95">
        <w:r>
          <w:rPr>
            <w:rStyle w:val="Hyperlink"/>
          </w:rPr>
          <w:t>§95</w:t>
        </w:r>
      </w:hyperlink>
      <w:r>
        <w:rPr/>
        <w:t xml:space="preserve"> illustrates, both being in a sense “actively produced” by willful actions. </w:t>
      </w:r>
      <w:r>
        <w:rPr>
          <w:rStyle w:val="wwc-sesame-zot-reference"/>
        </w:rPr>
        <w:t>Jones 2022</w:t>
      </w:r>
      <w:r>
        <w:rPr/>
        <w:t xml:space="preserve"> p.135 agreed: “To understand them as a causal sequence, whereby ignorance is the cause of the inherited conditioning factors (</w:t>
      </w:r>
      <w:r>
        <w:rPr>
          <w:rStyle w:val="wwc-pali"/>
        </w:rPr>
        <w:t>saṅkhārā</w:t>
      </w:r>
      <w:r>
        <w:rPr/>
        <w:t>), feeling (</w:t>
      </w:r>
      <w:r>
        <w:rPr>
          <w:rStyle w:val="wwc-pali"/>
        </w:rPr>
        <w:t>vedanā</w:t>
      </w:r>
      <w:r>
        <w:rP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pPr>
        <w:pStyle w:val="FootnoteText"/>
        <w:rPr/>
      </w:pPr>
      <w:r>
        <w:rPr/>
        <w:t xml:space="preserve">In everyday contexts the words </w:t>
      </w:r>
      <w:r>
        <w:rPr>
          <w:rStyle w:val="wwc-pali"/>
        </w:rPr>
        <w:t>paṭicca</w:t>
      </w:r>
      <w:r>
        <w:rPr/>
        <w:t xml:space="preserve"> and </w:t>
      </w:r>
      <w:r>
        <w:rPr>
          <w:rStyle w:val="wwc-pali"/>
        </w:rPr>
        <w:t>paccaya</w:t>
      </w:r>
      <w:r>
        <w:rPr/>
        <w:t xml:space="preserve"> also do not indicate what we normally call ‘causes’. It is said that the body depends on (</w:t>
      </w:r>
      <w:r>
        <w:rPr>
          <w:rStyle w:val="wwc-pali"/>
        </w:rPr>
        <w:t>paṭicca</w:t>
      </w:r>
      <w:r>
        <w:rPr/>
        <w:t>) food, and will die without it.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46.2:1.2</w:t>
      </w:r>
      <w:r>
        <w:rPr>
          <w:rStyle w:val="Hyperlink"/>
        </w:rPr>
        <w:fldChar w:fldCharType="end"/>
      </w:r>
      <w:r>
        <w:rPr/>
        <w:t xml:space="preserve">) Food is not the </w:t>
      </w:r>
      <w:r>
        <w:rPr>
          <w:rStyle w:val="Emphasis"/>
        </w:rPr>
        <w:t>cause</w:t>
      </w:r>
      <w:r>
        <w:rPr/>
        <w:t xml:space="preserve"> of the body: it is just one condition necessary for its continuance. In context of Dependent Arising itself, the </w:t>
      </w:r>
      <w:r>
        <w:rPr>
          <w:rStyle w:val="wwc-sesame"/>
        </w:rPr>
        <w:t>Longer Discourse on the Ending of Craving</w:t>
      </w:r>
      <w:r>
        <w:rPr/>
        <w:t xml:space="preserve"> mentions that fire depends on (</w:t>
      </w:r>
      <w:r>
        <w:rPr>
          <w:rStyle w:val="wwc-pali"/>
        </w:rPr>
        <w:t>paṭicca</w:t>
      </w:r>
      <w:r>
        <w:rPr/>
        <w:t>) fuel. (</w:t>
      </w:r>
      <w:hyperlink w:anchor="bqseg102">
        <w:r>
          <w:rPr>
            <w:rStyle w:val="Hyperlink"/>
          </w:rPr>
          <w:t>§102</w:t>
        </w:r>
      </w:hyperlink>
      <w:r>
        <w:rPr/>
        <w:t xml:space="preserve">) Fuel by itself does not really </w:t>
      </w:r>
      <w:r>
        <w:rPr>
          <w:rStyle w:val="Emphasis"/>
        </w:rPr>
        <w:t>cause</w:t>
      </w:r>
      <w:r>
        <w:rPr/>
        <w:t xml:space="preserve"> fire either. As to </w:t>
      </w:r>
      <w:r>
        <w:rPr>
          <w:rStyle w:val="wwc-pali"/>
        </w:rPr>
        <w:t>paccaya</w:t>
      </w:r>
      <w:r>
        <w:rPr/>
        <w:t>, a noble disciple is said to be ‘not dependent on others’ (</w:t>
      </w:r>
      <w:r>
        <w:rPr>
          <w:rStyle w:val="wwc-pali"/>
        </w:rPr>
        <w:t>aparappaccaya</w:t>
      </w:r>
      <w:r>
        <w:rPr/>
        <w:t>). These and other everyday uses of the words also indicate that Dependent Arising is about dependencies, not causalities, at least not in the way the word ‘cause’ is sometimes understood.</w:t>
      </w:r>
    </w:p>
    <w:p>
      <w:pPr>
        <w:pStyle w:val="FootnoteText"/>
        <w:rPr/>
      </w:pPr>
      <w:r>
        <w:rPr/>
        <w:t xml:space="preserve">The word </w:t>
      </w:r>
      <w:r>
        <w:rPr>
          <w:rStyle w:val="wwc-pali"/>
        </w:rPr>
        <w:t>nidāna</w:t>
      </w:r>
      <w:r>
        <w:rPr/>
        <w:t xml:space="preserve"> is sometimes also translated as ‘cause’, particularly in the title of the </w:t>
      </w:r>
      <w:r>
        <w:rPr>
          <w:rStyle w:val="wwc-sesame"/>
        </w:rPr>
        <w:t>Mahānidāna Sutta</w:t>
      </w:r>
      <w:r>
        <w:rPr/>
        <w:t xml:space="preserve">, then called ‘The Great Discourse on Causality’. But a common translation for the word itself is ‘source’, which I think is more accurate. See for example </w:t>
      </w:r>
      <w:r>
        <w:rPr>
          <w:rStyle w:val="wwc-sesame-zot-referenc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rPr>
          <w:rStyle w:val="Emphasis"/>
        </w:rPr>
        <w:t>Nidāna Sutta</w:t>
      </w:r>
      <w:r>
        <w:rPr/>
        <w:t xml:space="preserve">, titled ‘Sources’. As another example, discourses stemming from Sāvatthi are called </w:t>
      </w:r>
      <w:r>
        <w:rPr>
          <w:rStyle w:val="Emphasis"/>
        </w:rPr>
        <w:t>Sāvatthi-nidānaṁ</w:t>
      </w:r>
      <w:r>
        <w:rPr/>
        <w:t xml:space="preserve">. In this light, the </w:t>
      </w:r>
      <w:r>
        <w:rPr>
          <w:rStyle w:val="wwc-sesame"/>
        </w:rPr>
        <w:t>Mahānidāna Sutta</w:t>
      </w:r>
      <w:r>
        <w:rPr/>
        <w:t xml:space="preserve"> should be called something like ‘The Great Discourse on the Sources [of things]’, although that definitely doesn’t sound as good. </w:t>
      </w:r>
      <w:r>
        <w:rPr>
          <w:rStyle w:val="wwc-sesame-zot-reference"/>
        </w:rPr>
        <w:t>Schmithausen 2000</w:t>
      </w:r>
      <w:r>
        <w:rPr/>
        <w:t xml:space="preserve"> calls it the Great Discourse on the Underlying Factors (</w:t>
      </w:r>
      <w:r>
        <w:rPr>
          <w:rStyle w:val="Emphasis"/>
        </w:rPr>
        <w:t>Großen Lehrrede von den zugrundeliegenden Factoren</w:t>
      </w:r>
      <w:r>
        <w:rPr/>
        <w:t>). In this book I just refer to the discourse by its Pāli name.</w:t>
      </w:r>
    </w:p>
    <w:p>
      <w:pPr>
        <w:pStyle w:val="FootnoteText"/>
        <w:rPr/>
      </w:pPr>
      <w:r>
        <w:rP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rPr/>
        <w:t xml:space="preserve"> on birth or death is </w:t>
      </w:r>
      <w:r>
        <w:rPr>
          <w:rStyle w:val="Emphasis"/>
        </w:rPr>
        <w:t>caused</w:t>
      </w:r>
      <w:r>
        <w:rP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rPr/>
        <w:t xml:space="preserve"> and ‘requirement’ for </w:t>
      </w:r>
      <w:r>
        <w:rPr>
          <w:rStyle w:val="wwc-pali"/>
        </w:rPr>
        <w:t>paccaya</w:t>
      </w:r>
      <w:r>
        <w:rPr/>
        <w:t>. The words have a range of meaning that does not match a single English word, so these translations are not applicable throughout the canon, but they do work in the present context.</w:t>
      </w:r>
    </w:p>
  </w:footnote>
  <w:footnote w:id="31">
    <w:p>
      <w:pPr>
        <w:pStyle w:val="FootnoteText"/>
        <w:rPr/>
      </w:pPr>
      <w:r>
        <w:rPr>
          <w:rStyle w:val="FootnoteCharacters"/>
        </w:rPr>
        <w:footnoteRef/>
      </w:r>
      <w:r>
        <w:rPr/>
        <w:t xml:space="preserve">See also </w:t>
      </w:r>
      <w:r>
        <w:rPr>
          <w:rStyle w:val="wwc-sesame-zot-reference"/>
        </w:rPr>
        <w:t>Brahmavamso 2002</w:t>
      </w:r>
    </w:p>
  </w:footnote>
  <w:footnote w:id="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15:1.8</w:t>
      </w:r>
      <w:r>
        <w:rPr>
          <w:rStyle w:val="Hyperlink"/>
        </w:rPr>
        <w:fldChar w:fldCharType="end"/>
      </w:r>
      <w:r>
        <w:rPr/>
        <w:t xml:space="preserve"> </w:t>
      </w:r>
      <w:r>
        <w:rPr>
          <w:rStyle w:val="wwc-PTS-reference"/>
        </w:rPr>
        <w:t>D II 55</w:t>
      </w:r>
    </w:p>
  </w:footnote>
  <w:footnote w:id="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12.23:4.3–4.5</w:t>
      </w:r>
      <w:r>
        <w:rPr>
          <w:rStyle w:val="Hyperlink"/>
        </w:rPr>
        <w:fldChar w:fldCharType="end"/>
      </w:r>
    </w:p>
  </w:footnote>
  <w:footnote w:id="35">
    <w:p>
      <w:pPr>
        <w:pStyle w:val="FootnoteText"/>
        <w:rPr/>
      </w:pPr>
      <w:r>
        <w:rPr>
          <w:rStyle w:val="FootnoteCharacters"/>
        </w:rPr>
        <w:footnoteRef/>
      </w:r>
      <w:r>
        <w:rPr/>
        <w:t xml:space="preserve">See </w:t>
      </w:r>
      <w:r>
        <w:rPr>
          <w:rStyle w:val="wwc-sesame-zot-reference"/>
        </w:rPr>
        <w:t>Collins</w:t>
      </w:r>
      <w:r>
        <w:rPr/>
        <w:t xml:space="preserve"> p.109</w:t>
      </w:r>
    </w:p>
  </w:footnote>
  <w:footnote w:id="36">
    <w:p>
      <w:pPr>
        <w:pStyle w:val="FootnoteText"/>
        <w:rPr/>
      </w:pPr>
      <w:r>
        <w:rPr>
          <w:rStyle w:val="FootnoteCharacters"/>
        </w:rPr>
        <w:footnoteRef/>
      </w:r>
      <w:hyperlink r:id="rId1">
        <w:r>
          <w:rPr>
            <w:rStyle w:val="Hyperlink"/>
          </w:rPr>
          <w:t>Wikipedia s.v. ‘presentism’</w:t>
        </w:r>
      </w:hyperlink>
      <w:r>
        <w:rPr/>
        <w:t>.</w:t>
      </w:r>
    </w:p>
  </w:footnote>
  <w:footnote w:id="37">
    <w:p>
      <w:pPr>
        <w:pStyle w:val="FootnoteText"/>
        <w:rPr/>
      </w:pPr>
      <w:r>
        <w:rPr>
          <w:rStyle w:val="FootnoteCharacters"/>
        </w:rPr>
        <w:footnoteRef/>
      </w:r>
      <w:r>
        <w:rPr>
          <w:rStyle w:val="wwc-sesame-zot-reference"/>
        </w:rPr>
        <w:t>Norman 1997</w:t>
      </w:r>
      <w:r>
        <w:rPr/>
        <w:t xml:space="preserve"> p.21</w:t>
      </w:r>
    </w:p>
  </w:footnote>
  <w:footnote w:id="38">
    <w:p>
      <w:pPr>
        <w:pStyle w:val="FootnoteText"/>
        <w:rPr/>
      </w:pPr>
      <w:r>
        <w:rPr>
          <w:rStyle w:val="FootnoteCharacters"/>
        </w:rPr>
        <w:footnoteRef/>
      </w:r>
      <w:r>
        <w:rPr/>
        <w:t xml:space="preserve">For traditional interpretations see for example </w:t>
      </w:r>
      <w:r>
        <w:rPr>
          <w:rStyle w:val="wwc-sesame-zot-reference"/>
        </w:rPr>
        <w:t>Wayman 1971</w:t>
      </w:r>
    </w:p>
  </w:footnote>
  <w:footnote w:id="39">
    <w:p>
      <w:pPr>
        <w:pStyle w:val="FootnoteText"/>
        <w:rPr/>
      </w:pPr>
      <w:r>
        <w:rPr>
          <w:rStyle w:val="FootnoteCharacters"/>
        </w:rPr>
        <w:footnoteRef/>
      </w:r>
      <w:r>
        <w:rPr>
          <w:rStyle w:val="wwc-sesame"/>
        </w:rPr>
        <w:t>Vism</w:t>
      </w:r>
      <w:r>
        <w:rPr/>
        <w:t xml:space="preserve"> 523. See also </w:t>
      </w:r>
      <w:r>
        <w:rPr>
          <w:rStyle w:val="wwc-sesame-zot-reference"/>
        </w:rPr>
        <w:t>Nyanatiloka</w:t>
      </w:r>
      <w:r>
        <w:rPr/>
        <w:t xml:space="preserve"> p.7</w:t>
      </w:r>
    </w:p>
  </w:footnote>
  <w:footnote w:id="40">
    <w:p>
      <w:pPr>
        <w:pStyle w:val="FootnoteText"/>
        <w:rPr/>
      </w:pPr>
      <w:r>
        <w:rPr>
          <w:rStyle w:val="FootnoteCharacters"/>
        </w:rPr>
        <w:footnoteRef/>
      </w:r>
      <w:r>
        <w:rPr/>
        <w:t xml:space="preserve">For example </w:t>
      </w:r>
      <w:r>
        <w:rPr>
          <w:rStyle w:val="wwc-sesame-zot-reference"/>
        </w:rPr>
        <w:t>Frauwallner 1953/1973</w:t>
      </w:r>
      <w:r>
        <w:rPr/>
        <w:t xml:space="preserve"> p.156 &amp; 167, </w:t>
      </w:r>
      <w:r>
        <w:rPr>
          <w:rStyle w:val="wwc-sesame-zot-reference"/>
        </w:rPr>
        <w:t>Bernhard</w:t>
      </w:r>
      <w:r>
        <w:rPr/>
        <w:t xml:space="preserve"> p.56, </w:t>
      </w:r>
      <w:r>
        <w:rPr>
          <w:rStyle w:val="wwc-sesame-zot-reference"/>
        </w:rPr>
        <w:t>Wayman 1971</w:t>
      </w:r>
      <w:r>
        <w:rPr/>
        <w:t xml:space="preserve"> p.186, </w:t>
      </w:r>
      <w:r>
        <w:rPr>
          <w:rStyle w:val="wwc-sesame-zot-reference"/>
        </w:rPr>
        <w:t>Collins</w:t>
      </w:r>
      <w:r>
        <w:rPr/>
        <w:t xml:space="preserve"> p.108, </w:t>
      </w:r>
      <w:r>
        <w:rPr>
          <w:rStyle w:val="wwc-sesame-zot-reference"/>
        </w:rPr>
        <w:t>Vetter 1988</w:t>
      </w:r>
      <w:r>
        <w:rPr/>
        <w:t xml:space="preserve"> p.46, </w:t>
      </w:r>
      <w:r>
        <w:rPr>
          <w:rStyle w:val="wwc-sesame-zot-reference"/>
        </w:rPr>
        <w:t>Vetter 1994</w:t>
      </w:r>
      <w:r>
        <w:rPr/>
        <w:t xml:space="preserve">, </w:t>
      </w:r>
      <w:r>
        <w:rPr>
          <w:rStyle w:val="wwc-sesame-zot-reference"/>
        </w:rPr>
        <w:t>Mejor</w:t>
      </w:r>
      <w:r>
        <w:rPr/>
        <w:t xml:space="preserve"> p.123, </w:t>
      </w:r>
      <w:r>
        <w:rPr>
          <w:rStyle w:val="wwc-sesame-zot-reference"/>
        </w:rPr>
        <w:t>Schmithausen 2000</w:t>
      </w:r>
      <w:r>
        <w:rPr/>
        <w:t xml:space="preserve"> p.45, </w:t>
      </w:r>
      <w:r>
        <w:rPr>
          <w:rStyle w:val="wwc-sesame-zot-reference"/>
        </w:rPr>
        <w:t>Jurewicz</w:t>
      </w:r>
      <w:r>
        <w:rPr/>
        <w:t xml:space="preserve"> p.177, </w:t>
      </w:r>
      <w:r>
        <w:rPr>
          <w:rStyle w:val="wwc-sesame-zot-reference"/>
        </w:rPr>
        <w:t>Ronkin</w:t>
      </w:r>
      <w:r>
        <w:rPr/>
        <w:t xml:space="preserve"> n.43 p.238, </w:t>
      </w:r>
      <w:r>
        <w:rPr>
          <w:rStyle w:val="wwc-sesame-zot-reference"/>
        </w:rPr>
        <w:t>Shulman</w:t>
      </w:r>
      <w:r>
        <w:rPr/>
        <w:t xml:space="preserve"> p.89 n.71, </w:t>
      </w:r>
      <w:r>
        <w:rPr>
          <w:rStyle w:val="wwc-sesame-zot-reference"/>
        </w:rPr>
        <w:t>Gombrich 2009</w:t>
      </w:r>
      <w:r>
        <w:rPr/>
        <w:t xml:space="preserve"> p.138</w:t>
      </w:r>
    </w:p>
  </w:footnote>
  <w:footnote w:id="41">
    <w:p>
      <w:pPr>
        <w:pStyle w:val="FootnoteText"/>
        <w:rPr/>
      </w:pPr>
      <w:r>
        <w:rPr>
          <w:rStyle w:val="FootnoteCharacters"/>
        </w:rPr>
        <w:footnoteRef/>
      </w:r>
      <w:r>
        <w:rPr>
          <w:rStyle w:val="wwc-sesame-zot-reference"/>
        </w:rPr>
        <w:t>Vetter 1988</w:t>
      </w:r>
      <w:r>
        <w:rPr/>
        <w:t xml:space="preserve"> p.46</w:t>
      </w:r>
    </w:p>
  </w:footnote>
  <w:footnote w:id="42">
    <w:p>
      <w:pPr>
        <w:pStyle w:val="FootnoteText"/>
        <w:rPr/>
      </w:pPr>
      <w:r>
        <w:rPr>
          <w:rStyle w:val="FootnoteCharacters"/>
        </w:rPr>
        <w:footnoteRef/>
      </w:r>
      <w:r>
        <w:rPr>
          <w:rStyle w:val="wwc-sesame-zot-reference"/>
        </w:rPr>
        <w:t>Bernhard</w:t>
      </w:r>
      <w:r>
        <w:rPr/>
        <w:t xml:space="preserve"> p.56, translation mine</w:t>
      </w:r>
    </w:p>
  </w:footnote>
  <w:footnote w:id="43">
    <w:p>
      <w:pPr>
        <w:pStyle w:val="FootnoteText"/>
        <w:rPr/>
      </w:pPr>
      <w:r>
        <w:rPr>
          <w:rStyle w:val="FootnoteCharacters"/>
        </w:rPr>
        <w:footnoteRef/>
      </w:r>
      <w:hyperlink r:id="rId2">
        <w:r>
          <w:rPr>
            <w:rStyle w:val="Hyperlink"/>
          </w:rPr>
          <w:t>MĀ 97</w:t>
        </w:r>
      </w:hyperlink>
      <w:r>
        <w:rPr/>
        <w:t xml:space="preserve">, </w:t>
      </w:r>
      <w:hyperlink r:id="rId3">
        <w:r>
          <w:rPr>
            <w:rStyle w:val="Hyperlink"/>
          </w:rPr>
          <w:t>T 14</w:t>
        </w:r>
      </w:hyperlink>
      <w:r>
        <w:rPr/>
        <w:t xml:space="preserve">, and </w:t>
      </w:r>
      <w:hyperlink r:id="rId4">
        <w:r>
          <w:rPr>
            <w:rStyle w:val="Hyperlink"/>
          </w:rPr>
          <w:t>T 52</w:t>
        </w:r>
      </w:hyperlink>
      <w:r>
        <w:rPr/>
        <w:t xml:space="preserve">. As also observed by </w:t>
      </w:r>
      <w:r>
        <w:rPr>
          <w:rStyle w:val="wwc-sesame-zot-reference"/>
        </w:rPr>
        <w:t>Vetter 1994</w:t>
      </w:r>
    </w:p>
  </w:footnote>
  <w:footnote w:id="44">
    <w:p>
      <w:pPr>
        <w:pStyle w:val="FootnoteText"/>
        <w:rPr/>
      </w:pPr>
      <w:r>
        <w:rPr>
          <w:rStyle w:val="FootnoteCharacters"/>
        </w:rPr>
        <w:footnoteRef/>
      </w:r>
      <w:hyperlink r:id="rId5">
        <w:r>
          <w:rPr>
            <w:rStyle w:val="Hyperlink"/>
          </w:rPr>
          <w:t>DĀ 13</w:t>
        </w:r>
      </w:hyperlink>
    </w:p>
  </w:footnote>
  <w:footnote w:id="4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12.43</w:t>
      </w:r>
      <w:r>
        <w:rPr>
          <w:rStyle w:val="Hyperlink"/>
        </w:rPr>
        <w:fldChar w:fldCharType="end"/>
      </w:r>
    </w:p>
  </w:footnote>
  <w:footnote w:id="46">
    <w:p>
      <w:pPr>
        <w:pStyle w:val="FootnoteText"/>
        <w:rPr/>
      </w:pPr>
      <w:r>
        <w:rPr>
          <w:rStyle w:val="FootnoteCharacters"/>
        </w:rPr>
        <w:footnoteRef/>
      </w:r>
      <w:r>
        <w:rPr/>
        <w:t xml:space="preserve">Arguing for a late construction of the twelvefold sequence are for example </w:t>
      </w:r>
      <w:r>
        <w:rPr>
          <w:rStyle w:val="wwc-sesame-zot-reference"/>
        </w:rPr>
        <w:t>Vetter 1994</w:t>
      </w:r>
      <w:r>
        <w:rPr/>
        <w:t xml:space="preserve"> and </w:t>
      </w:r>
      <w:r>
        <w:rPr>
          <w:rStyle w:val="wwc-sesame-zot-reference"/>
        </w:rPr>
        <w:t>Bucknell</w:t>
      </w:r>
      <w:r>
        <w:rPr/>
        <w:t xml:space="preserve">. On the other hand, </w:t>
      </w:r>
      <w:r>
        <w:rPr>
          <w:rStyle w:val="wwc-sesame-zot-reference"/>
        </w:rPr>
        <w:t>Frauwallner 1953/1973</w:t>
      </w:r>
      <w:r>
        <w:rPr/>
        <w:t xml:space="preserve"> p.156, although he suggests two separate sequences were later joined together, believes it was the Buddha who did so. </w:t>
      </w:r>
      <w:r>
        <w:rPr>
          <w:rStyle w:val="wwc-sesame-zot-reference"/>
        </w:rPr>
        <w:t>Wayman 1971</w:t>
      </w:r>
      <w:r>
        <w:rPr/>
        <w:t xml:space="preserve"> p.185 is also of this opinion.</w:t>
      </w:r>
    </w:p>
  </w:footnote>
  <w:footnote w:id="47">
    <w:p>
      <w:pPr>
        <w:pStyle w:val="FootnoteText"/>
        <w:rPr/>
      </w:pPr>
      <w:r>
        <w:rPr>
          <w:rStyle w:val="FootnoteCharacters"/>
        </w:rPr>
        <w:footnoteRef/>
      </w:r>
      <w:r>
        <w:rPr/>
        <w:t xml:space="preserve">See </w:t>
      </w:r>
      <w:r>
        <w:rPr>
          <w:rStyle w:val="wwc-sesame-zot-reference"/>
        </w:rPr>
        <w:t>Bernhard</w:t>
      </w:r>
    </w:p>
  </w:footnote>
  <w:footnote w:id="48">
    <w:p>
      <w:pPr>
        <w:pStyle w:val="FootnoteText"/>
        <w:rPr/>
      </w:pPr>
      <w:r>
        <w:rPr>
          <w:rStyle w:val="FootnoteCharacters"/>
        </w:rPr>
        <w:footnoteRef/>
      </w:r>
      <w:r>
        <w:rPr>
          <w:rStyle w:val="wwc-sesame"/>
        </w:rPr>
        <w:t>Vism</w:t>
      </w:r>
      <w:r>
        <w:rPr/>
        <w:t xml:space="preserve"> 525</w:t>
      </w:r>
    </w:p>
  </w:footnote>
  <w:footnote w:id="49">
    <w:p>
      <w:pPr>
        <w:pStyle w:val="FootnoteText"/>
        <w:rPr/>
      </w:pPr>
      <w:r>
        <w:rPr>
          <w:rStyle w:val="FootnoteCharacters"/>
        </w:rPr>
        <w:footnoteRef/>
      </w:r>
      <w:r>
        <w:rPr/>
        <w:t xml:space="preserve">See also </w:t>
      </w:r>
      <w:r>
        <w:rPr>
          <w:rStyle w:val="wwc-sesame-zot-reference"/>
        </w:rPr>
        <w:t>Ronkin</w:t>
      </w:r>
      <w:r>
        <w:rPr/>
        <w:t xml:space="preserve"> n.43 p.238</w:t>
      </w:r>
    </w:p>
  </w:footnote>
  <w:footnote w:id="50">
    <w:p>
      <w:pPr>
        <w:pStyle w:val="FootnoteText"/>
        <w:rPr/>
      </w:pPr>
      <w:r>
        <w:rPr>
          <w:rStyle w:val="FootnoteCharacters"/>
        </w:rPr>
        <w:footnoteRef/>
      </w:r>
      <w:r>
        <w:rPr/>
        <w:t xml:space="preserve">See for example </w:t>
      </w:r>
      <w:r>
        <w:rPr>
          <w:rStyle w:val="wwc-sesame"/>
        </w:rPr>
        <w:t>SN 15</w:t>
      </w:r>
      <w:r>
        <w:rPr/>
        <w:t xml:space="preserve"> on transmigration having no discernable beginning. For the synonymity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3.66:11.1–13.1</w:t>
      </w:r>
      <w:r>
        <w:rPr>
          <w:rStyle w:val="Hyperlink"/>
        </w:rPr>
        <w:fldChar w:fldCharType="end"/>
      </w:r>
      <w:r>
        <w:rPr/>
        <w:t>: “‘Salha, is there delusion?’—‘Yes, venerable sir.’—‘That is what I mean by ignorance.’”</w:t>
      </w:r>
    </w:p>
  </w:footnote>
  <w:footnote w:id="5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3.12:12.1–13.4</w:t>
      </w:r>
      <w:r>
        <w:rPr>
          <w:rStyle w:val="Hyperlink"/>
        </w:rPr>
        <w:fldChar w:fldCharType="end"/>
      </w:r>
    </w:p>
  </w:footnote>
  <w:footnote w:id="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14</w:t>
      </w:r>
      <w:r>
        <w:rPr>
          <w:rStyle w:val="Hyperlink"/>
        </w:rPr>
        <w:fldChar w:fldCharType="end"/>
      </w:r>
    </w:p>
  </w:footnote>
  <w:footnote w:id="53">
    <w:p>
      <w:pPr>
        <w:pStyle w:val="FootnoteText"/>
        <w:rPr/>
      </w:pPr>
      <w:r>
        <w:rPr>
          <w:rStyle w:val="FootnoteCharacters"/>
        </w:rPr>
        <w:footnoteRef/>
      </w:r>
      <w:r>
        <w:rPr/>
        <w:t xml:space="preserve">The meaning of ‘craving as a spouse’ is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SN 35.63</w:t>
      </w:r>
      <w:r>
        <w:rPr>
          <w:rStyle w:val="Hyperlink"/>
        </w:rPr>
        <w:fldChar w:fldCharType="end"/>
      </w:r>
      <w:r>
        <w:rPr/>
        <w:t>: like the mendicant wanderers should be solitary, without a spouse, they should dwell free from craving.</w:t>
      </w:r>
    </w:p>
  </w:footnote>
  <w:footnote w:id="5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Iti 15</w:t>
      </w:r>
      <w:r>
        <w:rPr>
          <w:rStyle w:val="Hyperlink"/>
        </w:rPr>
        <w:fldChar w:fldCharType="end"/>
      </w:r>
    </w:p>
  </w:footnote>
  <w:footnote w:id="55">
    <w:p>
      <w:pPr>
        <w:pStyle w:val="FootnoteText"/>
        <w:rPr/>
      </w:pPr>
      <w:r>
        <w:rPr>
          <w:rStyle w:val="FootnoteCharacters"/>
        </w:rPr>
        <w:footnoteRef/>
      </w:r>
      <w:r>
        <w:rPr>
          <w:rStyle w:val="wwc-pali"/>
        </w:rPr>
        <w:t>Avijjānīvaraṇānaṁ sattānaṁ taṇhāsaṁyojanānaṁ sandhāvataṁ saṁsarataṁ</w:t>
      </w:r>
      <w:r>
        <w:rPr/>
        <w:t xml:space="preserve">, more literally ‘the transmigration and roaming around of beings who are obstructed by ignorance and chained by craving’, for in example </w:t>
      </w:r>
      <w:hyperlink w:anchor="bqseg33">
        <w:r>
          <w:rPr>
            <w:rStyle w:val="Hyperlink"/>
          </w:rPr>
          <w:t>§33</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15.20</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56.33</w:t>
      </w:r>
      <w:r>
        <w:rPr>
          <w:rStyle w:val="Hyperlink"/>
        </w:rPr>
        <w:fldChar w:fldCharType="end"/>
      </w:r>
    </w:p>
  </w:footnote>
  <w:footnote w:id="56">
    <w:p>
      <w:pPr>
        <w:pStyle w:val="FootnoteText"/>
        <w:rPr/>
      </w:pPr>
      <w:r>
        <w:rPr>
          <w:rStyle w:val="FootnoteCharacters"/>
        </w:rPr>
        <w:footnoteRef/>
      </w:r>
      <w:hyperlink w:anchor="bqseg24">
        <w:r>
          <w:rPr>
            <w:rStyle w:val="Hyperlink"/>
          </w:rPr>
          <w:t>§24</w:t>
        </w:r>
      </w:hyperlink>
      <w:r>
        <w:rPr/>
        <w:t xml:space="preserve">; </w:t>
      </w:r>
      <w:hyperlink w:anchor="bqseg108">
        <w:r>
          <w:rPr>
            <w:rStyle w:val="Hyperlink"/>
          </w:rPr>
          <w:t>§108</w:t>
        </w:r>
      </w:hyperlink>
    </w:p>
  </w:footnote>
  <w:footnote w:id="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33:1.9.5</w:t>
      </w:r>
      <w:r>
        <w:rPr>
          <w:rStyle w:val="Hyperlink"/>
        </w:rPr>
        <w:fldChar w:fldCharType="end"/>
      </w:r>
      <w:r>
        <w:rPr/>
        <w:t xml:space="preserve"> </w:t>
      </w:r>
      <w:r>
        <w:rPr>
          <w:rStyle w:val="wwc-PTS-reference"/>
        </w:rPr>
        <w:t>D III 212</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45.159:2.7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4.254:3.2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149:11.6</w:t>
      </w:r>
      <w:r>
        <w:rPr>
          <w:rStyle w:val="Hyperlink"/>
        </w:rPr>
        <w:fldChar w:fldCharType="end"/>
      </w:r>
      <w:r>
        <w:rPr/>
        <w:t xml:space="preserve"> </w:t>
      </w:r>
      <w:r>
        <w:rPr>
          <w:rStyle w:val="wwc-PTS-reference"/>
        </w:rPr>
        <w:t>M III 289</w:t>
      </w:r>
    </w:p>
  </w:footnote>
  <w:footnote w:id="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4.50:9.1–12.4</w:t>
      </w:r>
      <w:r>
        <w:rPr>
          <w:rStyle w:val="Hyperlink"/>
        </w:rPr>
        <w:fldChar w:fldCharType="end"/>
      </w:r>
    </w:p>
  </w:footnote>
  <w:footnote w:id="59">
    <w:p>
      <w:pPr>
        <w:pStyle w:val="FootnoteText"/>
        <w:rPr/>
      </w:pPr>
      <w:r>
        <w:rPr>
          <w:rStyle w:val="FootnoteCharacters"/>
        </w:rPr>
        <w:footnoteRef/>
      </w:r>
      <w:r>
        <w:rPr/>
        <w:t xml:space="preserve">The four knots are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DN 33:1.11.169–1.11.170</w:t>
      </w:r>
      <w:r>
        <w:rPr>
          <w:rStyle w:val="Hyperlink"/>
        </w:rPr>
        <w:fldChar w:fldCharType="end"/>
      </w:r>
      <w:r>
        <w:rPr/>
        <w:t xml:space="preserve"> as longing, ill will, attachment to precepts and observances, and dogmatism.</w:t>
      </w:r>
    </w:p>
  </w:footnote>
  <w:footnote w:id="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10.5:5.1–10.4</w:t>
      </w:r>
      <w:r>
        <w:rPr>
          <w:rStyle w:val="Hyperlink"/>
        </w:rPr>
        <w:fldChar w:fldCharType="end"/>
      </w:r>
    </w:p>
  </w:footnote>
  <w:footnote w:id="61">
    <w:p>
      <w:pPr>
        <w:pStyle w:val="FootnoteText"/>
        <w:rPr/>
      </w:pPr>
      <w:r>
        <w:rPr>
          <w:rStyle w:val="FootnoteCharacters"/>
        </w:rPr>
        <w:footnoteRef/>
      </w:r>
      <w:r>
        <w:rPr/>
        <w:t xml:space="preserve">For example </w:t>
      </w:r>
      <w:hyperlink w:anchor="bqseg62">
        <w:r>
          <w:rPr>
            <w:rStyle w:val="Hyperlink"/>
          </w:rPr>
          <w:t>§62</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338</w:t>
      </w:r>
      <w:r>
        <w:rPr>
          <w:rStyle w:val="Hyperlink"/>
        </w:rPr>
        <w:fldChar w:fldCharType="end"/>
      </w:r>
    </w:p>
  </w:footnote>
  <w:footnote w:id="62">
    <w:p>
      <w:pPr>
        <w:pStyle w:val="FootnoteText"/>
        <w:rPr/>
      </w:pPr>
      <w:r>
        <w:rPr>
          <w:rStyle w:val="FootnoteCharacters"/>
        </w:rPr>
        <w:footnoteRef/>
      </w:r>
      <w:hyperlink w:anchor="bqseg26">
        <w:r>
          <w:rPr>
            <w:rStyle w:val="Hyperlink"/>
          </w:rPr>
          <w:t>§26</w:t>
        </w:r>
      </w:hyperlink>
      <w:r>
        <w:rPr/>
        <w:t xml:space="preserve">, </w:t>
      </w:r>
      <w:hyperlink w:anchor="bqseg79">
        <w:r>
          <w:rPr>
            <w:rStyle w:val="Hyperlink"/>
          </w:rPr>
          <w:t>§79</w:t>
        </w:r>
      </w:hyperlink>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12.11</w:t>
      </w:r>
      <w:r>
        <w:rPr>
          <w:rStyle w:val="Hyperlink"/>
        </w:rPr>
        <w:fldChar w:fldCharType="end"/>
      </w:r>
      <w:r>
        <w:rPr/>
        <w:t>, which first goes through the ignorance sequence in reverse order, from sensations back to ignorance, but then through the whole twelvefold sequence in forward order, from ignorance down to old age and death.</w:t>
      </w:r>
    </w:p>
  </w:footnote>
  <w:footnote w:id="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10.62:1.1–2.3</w:t>
      </w:r>
      <w:r>
        <w:rPr>
          <w:rStyle w:val="Hyperlink"/>
        </w:rPr>
        <w:fldChar w:fldCharType="end"/>
      </w:r>
    </w:p>
  </w:footnote>
  <w:footnote w:id="64">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SN 15.1–SN 15.20</w:t>
      </w:r>
      <w:r>
        <w:rPr>
          <w:rStyle w:val="Hyperlink"/>
        </w:rPr>
        <w:fldChar w:fldCharType="end"/>
      </w:r>
    </w:p>
  </w:footnote>
  <w:footnote w:id="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7.18:5.1–5.4</w:t>
      </w:r>
      <w:r>
        <w:rPr>
          <w:rStyle w:val="Hyperlink"/>
        </w:rPr>
        <w:fldChar w:fldCharType="end"/>
      </w:r>
    </w:p>
  </w:footnote>
  <w:footnote w:id="6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12.24:4.1</w:t>
      </w:r>
      <w:r>
        <w:rPr>
          <w:rStyle w:val="Hyperlink"/>
        </w:rPr>
        <w:fldChar w:fldCharType="end"/>
      </w:r>
      <w:r>
        <w:rPr/>
        <w:t xml:space="preserve">: “The Buddha said suffering arises dependently. Dependent on what? Dependent on sense impressions.” Or </w:t>
      </w:r>
      <w:r>
        <w:fldChar w:fldCharType="begin"/>
      </w:r>
      <w:r>
        <w:rPr>
          <w:rStyle w:val="Hyperlink"/>
        </w:rPr>
        <w:instrText xml:space="preserve"> HYPERLINK "https://suttacentral.net/XXX/en/sujato" \l "YYY"</w:instrText>
      </w:r>
      <w:r>
        <w:rPr>
          <w:rStyle w:val="Hyperlink"/>
        </w:rPr>
        <w:fldChar w:fldCharType="separate"/>
      </w:r>
      <w:r>
        <w:rPr>
          <w:rStyle w:val="Hyperlink"/>
        </w:rPr>
        <w:t>Snp 3.12:21.3</w:t>
      </w:r>
      <w:r>
        <w:rPr>
          <w:rStyle w:val="Hyperlink"/>
        </w:rPr>
        <w:fldChar w:fldCharType="end"/>
      </w:r>
      <w:r>
        <w:rPr/>
        <w:t>: “Whatever suffering there may be, all comes to be dependent on sense impression.”</w:t>
      </w:r>
    </w:p>
  </w:footnote>
  <w:footnote w:id="67">
    <w:p>
      <w:pPr>
        <w:pStyle w:val="FootnoteText"/>
        <w:rPr/>
      </w:pPr>
      <w:r>
        <w:rPr>
          <w:rStyle w:val="FootnoteCharacters"/>
        </w:rPr>
        <w:footnoteRef/>
      </w:r>
      <w:r>
        <w:rPr>
          <w:rStyle w:val="wwc-sesame-zot-reference"/>
        </w:rPr>
        <w:t>Bodhi 2000</w:t>
      </w:r>
      <w:r>
        <w:rPr/>
        <w:t xml:space="preserve"> p.520</w:t>
      </w:r>
    </w:p>
  </w:footnote>
  <w:footnote w:id="68">
    <w:p>
      <w:pPr>
        <w:pStyle w:val="FootnoteText"/>
        <w:rPr/>
      </w:pPr>
      <w:r>
        <w:rPr>
          <w:rStyle w:val="FootnoteCharacters"/>
        </w:rPr>
        <w:footnoteRef/>
      </w:r>
      <w:r>
        <w:rPr/>
        <w:t xml:space="preserve">As e.g. </w:t>
      </w:r>
      <w:r>
        <w:rPr>
          <w:rStyle w:val="wwc-sesame-zot-reference"/>
        </w:rPr>
        <w:t>Ñāṇavīra</w:t>
      </w:r>
      <w:r>
        <w:rPr/>
        <w:t xml:space="preserve"> p.19, </w:t>
      </w:r>
      <w:r>
        <w:rPr>
          <w:rStyle w:val="wwc-sesame-zot-reference"/>
        </w:rPr>
        <w:t>Ñāṇananda 2015</w:t>
      </w:r>
      <w:r>
        <w:rPr/>
        <w:t xml:space="preserve"> p.56, </w:t>
      </w:r>
      <w:r>
        <w:rPr>
          <w:rStyle w:val="wwc-sesame-zot-reference"/>
        </w:rPr>
        <w:t>Brasington</w:t>
      </w:r>
      <w:r>
        <w:rPr/>
        <w:t xml:space="preserve"> p.67, </w:t>
      </w:r>
      <w:r>
        <w:rPr>
          <w:rStyle w:val="wwc-sesame-zot-reference"/>
        </w:rPr>
        <w:t>Jones 2009</w:t>
      </w:r>
      <w:r>
        <w:rPr/>
        <w:t xml:space="preserve"> p.244. See </w:t>
      </w:r>
      <w:r>
        <w:rPr>
          <w:rStyle w:val="wwc-sesame-zot-reference"/>
        </w:rPr>
        <w:t>Bodhi 1998</w:t>
      </w:r>
      <w:r>
        <w:rPr/>
        <w:t xml:space="preserve"> p.172 for a further response to such ideas.</w:t>
      </w:r>
    </w:p>
  </w:footnote>
  <w:footnote w:id="69">
    <w:p>
      <w:pPr>
        <w:pStyle w:val="FootnoteText"/>
        <w:rPr/>
      </w:pPr>
      <w:r>
        <w:rPr>
          <w:rStyle w:val="FootnoteCharacters"/>
        </w:rPr>
        <w:footnoteRef/>
      </w:r>
      <w:r>
        <w:rPr/>
        <w:t xml:space="preserve">For example </w:t>
      </w:r>
      <w:r>
        <w:rPr>
          <w:rStyle w:val="wwc-sesame-zot-reference"/>
        </w:rPr>
        <w:t>Harvey 2013</w:t>
      </w:r>
      <w:r>
        <w:rPr/>
        <w:t xml:space="preserve"> p.71, </w:t>
      </w:r>
      <w:r>
        <w:rPr>
          <w:rStyle w:val="wwc-sesame-zot-reference"/>
        </w:rPr>
        <w:t>Jones 2011</w:t>
      </w:r>
      <w:r>
        <w:rPr/>
        <w:t xml:space="preserve"> p.73, </w:t>
      </w:r>
      <w:r>
        <w:rPr>
          <w:rStyle w:val="wwc-sesame-zot-reference"/>
        </w:rPr>
        <w:t>Amaro</w:t>
      </w:r>
      <w:r>
        <w:rPr/>
        <w:t xml:space="preserve"> p.44</w:t>
      </w:r>
    </w:p>
  </w:footnote>
  <w:footnote w:id="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141:11.1–11.3</w:t>
      </w:r>
      <w:r>
        <w:rPr>
          <w:rStyle w:val="Hyperlink"/>
        </w:rPr>
        <w:fldChar w:fldCharType="end"/>
      </w:r>
      <w:r>
        <w:rPr/>
        <w:t xml:space="preserve"> </w:t>
      </w:r>
      <w:r>
        <w:rPr>
          <w:rStyle w:val="wwc-PTS-reference"/>
        </w:rPr>
        <w:t>M III 249</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9:24-26.2–24-26.9</w:t>
      </w:r>
      <w:r>
        <w:rPr>
          <w:rStyle w:val="Hyperlink"/>
        </w:rPr>
        <w:fldChar w:fldCharType="end"/>
      </w:r>
      <w:r>
        <w:rPr/>
        <w:t xml:space="preserve"> </w:t>
      </w:r>
      <w:r>
        <w:rPr>
          <w:rStyle w:val="wwc-PTS-reference"/>
        </w:rPr>
        <w:t>M I 50</w:t>
      </w:r>
      <w:r>
        <w:rPr/>
        <w:t xml:space="preserve">. Also in the </w:t>
      </w:r>
      <w:r>
        <w:rPr>
          <w:rStyle w:val="wwc-sesame"/>
        </w:rPr>
        <w:t>Mahā</w:t>
        <w:softHyphen/>
        <w:t>sati</w:t>
        <w:softHyphen/>
        <w:t>paṭ</w:t>
        <w:softHyphen/>
        <w:t>ṭhā</w:t>
        <w:softHyphen/>
        <w:t>na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22:18.3–18.5</w:t>
      </w:r>
      <w:r>
        <w:rPr>
          <w:rStyle w:val="Hyperlink"/>
        </w:rPr>
        <w:fldChar w:fldCharType="end"/>
      </w:r>
      <w:r>
        <w:rPr/>
        <w:t xml:space="preserve"> </w:t>
      </w:r>
      <w:r>
        <w:rPr>
          <w:rStyle w:val="wwc-PTS-reference"/>
        </w:rPr>
        <w:t>D II 305</w:t>
      </w:r>
    </w:p>
  </w:footnote>
  <w:footnote w:id="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12.2:3.1–4.3</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12.27:2.1–3.1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12.33:3.1–4.2, 9.1</w:t>
      </w:r>
      <w:r>
        <w:rPr>
          <w:rStyle w:val="Hyperlink"/>
        </w:rPr>
        <w:fldChar w:fldCharType="end"/>
      </w:r>
    </w:p>
  </w:footnote>
  <w:footnote w:id="72">
    <w:p>
      <w:pPr>
        <w:pStyle w:val="FootnoteText"/>
        <w:rPr/>
      </w:pPr>
      <w:r>
        <w:rPr>
          <w:rStyle w:val="FootnoteCharacters"/>
        </w:rPr>
        <w:footnoteRef/>
      </w:r>
      <w:r>
        <w:rPr/>
        <w:t>For the translation of the discourse title see note 29</w:t>
      </w:r>
    </w:p>
  </w:footnote>
  <w:footnote w:id="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15:4.1–4.4</w:t>
      </w:r>
      <w:r>
        <w:rPr>
          <w:rStyle w:val="Hyperlink"/>
        </w:rPr>
        <w:fldChar w:fldCharType="end"/>
      </w:r>
      <w:r>
        <w:rPr/>
        <w:t xml:space="preserve"> </w:t>
      </w:r>
      <w:r>
        <w:rPr>
          <w:rStyle w:val="wwc-PTS-reference"/>
        </w:rPr>
        <w:t>D II 57</w:t>
      </w:r>
    </w:p>
  </w:footnote>
  <w:footnote w:id="74">
    <w:p>
      <w:pPr>
        <w:pStyle w:val="FootnoteText"/>
        <w:rPr/>
      </w:pPr>
      <w:r>
        <w:rPr>
          <w:rStyle w:val="FootnoteCharacters"/>
        </w:rPr>
        <w:footnoteRef/>
      </w:r>
      <w:r>
        <w:rPr/>
        <w:t xml:space="preserve">See </w:t>
      </w:r>
      <w:r>
        <w:rPr>
          <w:rStyle w:val="wwc-sesame-zot-reference"/>
        </w:rPr>
        <w:t>Dhammika 2022</w:t>
      </w:r>
      <w:r>
        <w:rPr/>
        <w:t xml:space="preserve"> p.58</w:t>
      </w:r>
    </w:p>
  </w:footnote>
  <w:footnote w:id="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14:2.18.2–2.18.3</w:t>
      </w:r>
      <w:r>
        <w:rPr>
          <w:rStyle w:val="Hyperlink"/>
        </w:rPr>
        <w:fldChar w:fldCharType="end"/>
      </w:r>
      <w:r>
        <w:rPr/>
        <w:t xml:space="preserve"> </w:t>
      </w:r>
      <w:r>
        <w:rPr>
          <w:rStyle w:val="wwc-PTS-reference"/>
        </w:rPr>
        <w:t>D II 26</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12.4</w:t>
      </w:r>
      <w:r>
        <w:rPr>
          <w:rStyle w:val="Hyperlink"/>
        </w:rPr>
        <w:fldChar w:fldCharType="end"/>
      </w:r>
      <w:r>
        <w:rPr/>
        <w:t xml:space="preserve">. The other Buddhas have the same reflections at </w:t>
      </w:r>
      <w:r>
        <w:fldChar w:fldCharType="begin"/>
      </w:r>
      <w:r>
        <w:rPr>
          <w:rStyle w:val="Hyperlink"/>
        </w:rPr>
        <w:instrText xml:space="preserve"> HYPERLINK "https://suttacentral.net/XXX/en/sujato" \l "YYY"</w:instrText>
      </w:r>
      <w:r>
        <w:rPr>
          <w:rStyle w:val="Hyperlink"/>
        </w:rPr>
        <w:fldChar w:fldCharType="separate"/>
      </w:r>
      <w:r>
        <w:rPr>
          <w:rStyle w:val="Hyperlink"/>
        </w:rPr>
        <w:t>SN 12.5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76">
    <w:p>
      <w:pPr>
        <w:pStyle w:val="FootnoteText"/>
        <w:rPr/>
      </w:pPr>
      <w:r>
        <w:rPr>
          <w:rStyle w:val="FootnoteCharacters"/>
        </w:rPr>
        <w:footnoteRef/>
      </w:r>
      <w:r>
        <w:rPr/>
        <w:t xml:space="preserve">The dual explanation of </w:t>
      </w:r>
      <w:r>
        <w:rPr>
          <w:rStyle w:val="wwc-pali"/>
        </w:rPr>
        <w:t>bhava</w:t>
      </w:r>
      <w:r>
        <w:rPr/>
        <w:t xml:space="preserve"> is found e.g. at </w:t>
      </w:r>
      <w:r>
        <w:rPr>
          <w:rStyle w:val="wwc-sesame"/>
        </w:rPr>
        <w:t>Vism</w:t>
      </w:r>
      <w:r>
        <w:rPr/>
        <w:t xml:space="preserve"> 571. In contrast, </w:t>
      </w:r>
      <w:r>
        <w:rPr>
          <w:rStyle w:val="wwc-sesame"/>
        </w:rPr>
        <w:t>Vism</w:t>
      </w:r>
      <w:r>
        <w:rPr/>
        <w:t xml:space="preserve"> 414 explains ‘birth’ as the continuity of the </w:t>
      </w:r>
      <w:r>
        <w:rPr>
          <w:rStyle w:val="wwc-pali"/>
        </w:rPr>
        <w:t>khandhas</w:t>
      </w:r>
      <w:r>
        <w:rPr/>
        <w:t xml:space="preserve"> in a single existence (</w:t>
      </w:r>
      <w:r>
        <w:rPr>
          <w:rStyle w:val="wwc-pali"/>
        </w:rPr>
        <w:t>ekabhava</w:t>
      </w:r>
      <w:r>
        <w:rPr/>
        <w:t xml:space="preserve">) ending with death, where </w:t>
      </w:r>
      <w:r>
        <w:rPr>
          <w:rStyle w:val="wwc-pali"/>
        </w:rPr>
        <w:t>bhava</w:t>
      </w:r>
      <w:r>
        <w:rPr/>
        <w:t xml:space="preserve"> doesn’t include karma. See also </w:t>
      </w:r>
      <w:r>
        <w:rPr>
          <w:rStyle w:val="wwc-sesame"/>
        </w:rPr>
        <w:t>Bodhi 2000 n.4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w:t>
      </w:r>
    </w:p>
  </w:footnote>
  <w:footnote w:id="77">
    <w:p>
      <w:pPr>
        <w:pStyle w:val="FootnoteText"/>
        <w:rPr/>
      </w:pPr>
      <w:r>
        <w:rPr>
          <w:rStyle w:val="FootnoteCharacters"/>
        </w:rPr>
        <w:footnoteRef/>
      </w:r>
      <w:r>
        <w:rPr>
          <w:rStyle w:val="wwc-sesame-zot-reference"/>
        </w:rPr>
        <w:t>Shulman</w:t>
      </w:r>
      <w:r>
        <w:rPr/>
        <w:t xml:space="preserve"> n.18. One of the earliest scholars to equate </w:t>
      </w:r>
      <w:r>
        <w:rPr>
          <w:rStyle w:val="wwc-pali"/>
        </w:rPr>
        <w:t>bhava</w:t>
      </w:r>
      <w:r>
        <w:rPr/>
        <w:t xml:space="preserve"> to existence in English scholarship was </w:t>
      </w:r>
      <w:r>
        <w:rPr>
          <w:rStyle w:val="wwc-sesame-zot-reference"/>
        </w:rPr>
        <w:t>Thomas 1933/1953</w:t>
      </w:r>
      <w:r>
        <w:rPr/>
        <w:t xml:space="preserve"> p.61: “It is this grasping after the things (</w:t>
      </w:r>
      <w:r>
        <w:rPr>
          <w:rStyle w:val="wwc-pali"/>
        </w:rPr>
        <w:t>upādāna</w:t>
      </w:r>
      <w:r>
        <w:rPr/>
        <w:t>) [which results in] passing into a new existence (</w:t>
      </w:r>
      <w:r>
        <w:rPr>
          <w:rStyle w:val="wwc-pali"/>
        </w:rPr>
        <w:t>bhava</w:t>
      </w:r>
      <w:r>
        <w:rPr/>
        <w:t>).”</w:t>
      </w:r>
    </w:p>
  </w:footnote>
  <w:footnote w:id="78">
    <w:p>
      <w:pPr>
        <w:pStyle w:val="FootnoteText"/>
        <w:rPr/>
      </w:pPr>
      <w:r>
        <w:rPr>
          <w:rStyle w:val="FootnoteCharacters"/>
        </w:rPr>
        <w:footnoteRef/>
      </w:r>
      <w:r>
        <w:rPr>
          <w:rStyle w:val="wwc-sesame-zot-reference"/>
        </w:rPr>
        <w:t>Schmithausen 2000</w:t>
      </w:r>
      <w:r>
        <w:rPr/>
        <w:t xml:space="preserve"> p.52</w:t>
      </w:r>
    </w:p>
  </w:footnote>
  <w:footnote w:id="79">
    <w:p>
      <w:pPr>
        <w:pStyle w:val="FootnoteText"/>
        <w:rPr/>
      </w:pPr>
      <w:r>
        <w:rPr>
          <w:rStyle w:val="FootnoteCharacters"/>
        </w:rPr>
        <w:footnoteRef/>
      </w:r>
      <w:r>
        <w:rPr>
          <w:rStyle w:val="wwc-sesame"/>
        </w:rPr>
        <w:t>Bodhi 2012 n.503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See also </w:t>
      </w:r>
      <w:r>
        <w:rPr>
          <w:rStyle w:val="wwc-sesame-zot-reference"/>
        </w:rPr>
        <w:t>Rhys Davids</w:t>
      </w:r>
      <w:r>
        <w:rPr/>
        <w:t xml:space="preserve"> p.53, referring to the same text: “</w:t>
      </w:r>
      <w:r>
        <w:rPr>
          <w:rStyle w:val="wwc-pali"/>
        </w:rPr>
        <w:t>Bhava</w:t>
      </w:r>
      <w:r>
        <w:rPr/>
        <w:t xml:space="preserve"> [here] is meant to convey the more special concrete sense both of a particular span of life and of a particular world or mode of existence wherein that span is lived.”</w:t>
      </w:r>
    </w:p>
  </w:footnote>
  <w:footnote w:id="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12.2:5.1–5.4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12.33:9.2</w:t>
      </w:r>
      <w:r>
        <w:rPr>
          <w:rStyle w:val="Hyperlink"/>
        </w:rPr>
        <w:fldChar w:fldCharType="end"/>
      </w:r>
    </w:p>
  </w:footnote>
  <w:footnote w:id="81">
    <w:p>
      <w:pPr>
        <w:pStyle w:val="FootnoteText"/>
        <w:rPr/>
      </w:pPr>
      <w:r>
        <w:rPr>
          <w:rStyle w:val="FootnoteCharacters"/>
        </w:rPr>
        <w:footnoteRef/>
      </w:r>
      <w:hyperlink r:id="rId6">
        <w:r>
          <w:rPr>
            <w:rStyle w:val="Hyperlink"/>
          </w:rPr>
          <w:t>Arv 5</w:t>
        </w:r>
      </w:hyperlink>
    </w:p>
  </w:footnote>
  <w:footnote w:id="82">
    <w:p>
      <w:pPr>
        <w:pStyle w:val="FootnoteText"/>
        <w:rPr/>
      </w:pPr>
      <w:r>
        <w:rPr>
          <w:rStyle w:val="FootnoteCharacters"/>
        </w:rPr>
        <w:footnoteRef/>
      </w:r>
      <w:hyperlink r:id="rId7">
        <w:r>
          <w:rPr>
            <w:rStyle w:val="Hyperlink"/>
          </w:rPr>
          <w:t>MĀ 97</w:t>
        </w:r>
      </w:hyperlink>
      <w:r>
        <w:rPr/>
        <w:t xml:space="preserve">, similar at </w:t>
      </w:r>
      <w:hyperlink r:id="rId8">
        <w:r>
          <w:rPr>
            <w:rStyle w:val="Hyperlink"/>
          </w:rPr>
          <w:t>T 14</w:t>
        </w:r>
      </w:hyperlink>
    </w:p>
  </w:footnote>
  <w:footnote w:id="8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4.131:3.1</w:t>
      </w:r>
      <w:r>
        <w:rPr>
          <w:rStyle w:val="Hyperlink"/>
        </w:rPr>
        <w:fldChar w:fldCharType="end"/>
      </w:r>
    </w:p>
  </w:footnote>
  <w:footnote w:id="84">
    <w:p>
      <w:pPr>
        <w:pStyle w:val="FootnoteText"/>
        <w:rPr/>
      </w:pPr>
      <w:r>
        <w:rPr>
          <w:rStyle w:val="FootnoteCharacters"/>
        </w:rPr>
        <w:footnoteRef/>
      </w:r>
      <w:r>
        <w:rPr/>
        <w:t xml:space="preserve">See </w:t>
      </w:r>
      <w:r>
        <w:rPr>
          <w:rStyle w:val="wwc-sesame-zot-reference"/>
        </w:rPr>
        <w:t>Somaratne</w:t>
      </w:r>
      <w:r>
        <w:rPr/>
        <w:t xml:space="preserve"> p.142 and </w:t>
      </w:r>
      <w:hyperlink w:anchor="footnote479">
        <w:r>
          <w:rPr>
            <w:rStyle w:val="Hyperlink"/>
          </w:rPr>
          <w:t>note 479</w:t>
        </w:r>
      </w:hyperlink>
    </w:p>
  </w:footnote>
  <w:footnote w:id="85">
    <w:p>
      <w:pPr>
        <w:pStyle w:val="FootnoteText"/>
        <w:rPr/>
      </w:pPr>
      <w:r>
        <w:rPr>
          <w:rStyle w:val="FootnoteCharacters"/>
        </w:rPr>
        <w:footnoteRef/>
      </w:r>
      <w:r>
        <w:rPr>
          <w:rStyle w:val="wwc-sesame"/>
        </w:rPr>
        <w:t>MMK</w:t>
      </w:r>
      <w:r>
        <w:rPr/>
        <w:t xml:space="preserve"> 26.8, using the Sanskrit form </w:t>
      </w:r>
      <w:r>
        <w:rPr>
          <w:rStyle w:val="wwc-sanskrit"/>
        </w:rPr>
        <w:t>skandha</w:t>
      </w:r>
      <w:r>
        <w:rPr/>
        <w:t xml:space="preserve"> instead.</w:t>
      </w:r>
    </w:p>
  </w:footnote>
  <w:footnote w:id="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2.1:1.1–1.4</w:t>
      </w:r>
      <w:r>
        <w:rPr>
          <w:rStyle w:val="Hyperlink"/>
        </w:rPr>
        <w:fldChar w:fldCharType="end"/>
      </w:r>
    </w:p>
  </w:footnote>
  <w:footnote w:id="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127:9.1–9.11</w:t>
      </w:r>
      <w:r>
        <w:rPr>
          <w:rStyle w:val="Hyperlink"/>
        </w:rPr>
        <w:fldChar w:fldCharType="end"/>
      </w:r>
      <w:r>
        <w:rPr/>
        <w:t xml:space="preserve"> </w:t>
      </w:r>
      <w:r>
        <w:rPr>
          <w:rStyle w:val="wwc-PTS-reference"/>
        </w:rPr>
        <w:t>M III 147</w:t>
      </w:r>
    </w:p>
  </w:footnote>
  <w:footnote w:id="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6:9.1–9.4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2.1:9.1–9.4</w:t>
      </w:r>
      <w:r>
        <w:rPr>
          <w:rStyle w:val="Hyperlink"/>
        </w:rPr>
        <w:fldChar w:fldCharType="end"/>
      </w:r>
    </w:p>
  </w:footnote>
  <w:footnote w:id="8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44:5.5–5.6</w:t>
      </w:r>
      <w:r>
        <w:rPr>
          <w:rStyle w:val="Hyperlink"/>
        </w:rPr>
        <w:fldChar w:fldCharType="end"/>
      </w:r>
    </w:p>
  </w:footnote>
  <w:footnote w:id="90">
    <w:p>
      <w:pPr>
        <w:pStyle w:val="FootnoteText"/>
        <w:rPr/>
      </w:pPr>
      <w:r>
        <w:rPr>
          <w:rStyle w:val="FootnoteCharacters"/>
        </w:rPr>
        <w:footnoteRef/>
      </w:r>
      <w:r>
        <w:rPr/>
        <w:t xml:space="preserve">See </w:t>
      </w:r>
      <w:r>
        <w:rPr>
          <w:rStyle w:val="wwc-sesame-zot-reference"/>
        </w:rPr>
        <w:t>Sunyo 2022</w:t>
      </w:r>
    </w:p>
  </w:footnote>
  <w:footnote w:id="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92">
    <w:p>
      <w:pPr>
        <w:pStyle w:val="FootnoteText"/>
        <w:rPr/>
      </w:pPr>
      <w:r>
        <w:rPr>
          <w:rStyle w:val="FootnoteCharacters"/>
        </w:rPr>
        <w:footnoteRef/>
      </w:r>
      <w:r>
        <w:rPr/>
        <w:t xml:space="preserve">See also </w:t>
      </w:r>
      <w:r>
        <w:rPr>
          <w:rStyle w:val="wwc-sesame-zot-reference"/>
        </w:rPr>
        <w:t>Langer</w:t>
      </w:r>
      <w:r>
        <w:rPr/>
        <w:t xml:space="preserve"> p.5 (translation mine): “Before the quoted extract [of the </w:t>
      </w:r>
      <w:r>
        <w:rPr>
          <w:rStyle w:val="wwc-sesame"/>
        </w:rPr>
        <w:t>If There is Desire Discourse</w:t>
      </w:r>
      <w:r>
        <w:rPr/>
        <w:t>] there is a passage on […] the four nutriments. These same four nutriments are also mentioned in other passages, where it is stated that they […] are the cause for the rebirth of the being which is to be reborn (</w:t>
      </w:r>
      <w:r>
        <w:rPr>
          <w:rStyle w:val="wwc-pali"/>
        </w:rPr>
        <w:t>saṁbhāvesīnaṁ</w:t>
      </w:r>
      <w:r>
        <w:rPr/>
        <w:t>).”</w:t>
      </w:r>
    </w:p>
  </w:footnote>
  <w:footnote w:id="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8.11:10.2–10.7</w:t>
      </w:r>
      <w:r>
        <w:rPr>
          <w:rStyle w:val="Hyperlink"/>
        </w:rPr>
        <w:fldChar w:fldCharType="end"/>
      </w:r>
    </w:p>
  </w:footnote>
  <w:footnote w:id="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43:16.2–16.3</w:t>
      </w:r>
      <w:r>
        <w:rPr>
          <w:rStyle w:val="Hyperlink"/>
        </w:rPr>
        <w:fldChar w:fldCharType="end"/>
      </w:r>
      <w:r>
        <w:rPr/>
        <w:t xml:space="preserve"> </w:t>
      </w:r>
      <w:r>
        <w:rPr>
          <w:rStyle w:val="wwc-PTS-reference"/>
        </w:rPr>
        <w:t>M I 294</w:t>
      </w:r>
    </w:p>
  </w:footnote>
  <w:footnote w:id="95">
    <w:p>
      <w:pPr>
        <w:pStyle w:val="FootnoteText"/>
        <w:rPr/>
      </w:pPr>
      <w:r>
        <w:rPr>
          <w:rStyle w:val="FootnoteCharacters"/>
        </w:rPr>
        <w:footnoteRef/>
      </w:r>
      <w:r>
        <w:rP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6">
    <w:p>
      <w:pPr>
        <w:pStyle w:val="FootnoteText"/>
        <w:rPr/>
      </w:pPr>
      <w:r>
        <w:rPr>
          <w:rStyle w:val="FootnoteCharacters"/>
        </w:rPr>
        <w:footnoteRef/>
      </w:r>
      <w:r>
        <w:rPr>
          <w:rStyle w:val="wwc-sesame"/>
        </w:rPr>
        <w:t>Bodhi 2000 p.48</w:t>
      </w:r>
    </w:p>
  </w:footnote>
  <w:footnote w:id="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28:5.3–5.6</w:t>
      </w:r>
      <w:r>
        <w:rPr>
          <w:rStyle w:val="Hyperlink"/>
        </w:rPr>
        <w:fldChar w:fldCharType="end"/>
      </w:r>
      <w:r>
        <w:rPr/>
        <w:t xml:space="preserve"> </w:t>
      </w:r>
      <w:r>
        <w:rPr>
          <w:rStyle w:val="wwc-PTS-reference"/>
        </w:rPr>
        <w:t>D III 102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16.4:22.3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15.1:37.4, 39.3–39.4</w:t>
      </w:r>
      <w:r>
        <w:rPr>
          <w:rStyle w:val="Hyperlink"/>
        </w:rPr>
        <w:fldChar w:fldCharType="end"/>
      </w:r>
    </w:p>
  </w:footnote>
  <w:footnote w:id="98">
    <w:p>
      <w:pPr>
        <w:pStyle w:val="FootnoteText"/>
        <w:rPr/>
      </w:pPr>
      <w:r>
        <w:rPr>
          <w:rStyle w:val="FootnoteCharacters"/>
        </w:rPr>
        <w:footnoteRef/>
      </w:r>
      <w:r>
        <w:rPr/>
        <w:t xml:space="preserve">See also </w:t>
      </w:r>
      <w:r>
        <w:rPr>
          <w:rStyle w:val="wwc-sesame-zot-reference"/>
        </w:rPr>
        <w:t>Langer</w:t>
      </w:r>
      <w:r>
        <w:rPr/>
        <w:t xml:space="preserve"> (translation mine): “</w:t>
      </w:r>
      <w:r>
        <w:rPr>
          <w:rStyle w:val="wwc-pali"/>
        </w:rPr>
        <w:t>Okkanti</w:t>
      </w:r>
      <w:r>
        <w:rPr/>
        <w:t xml:space="preserve"> [an alternative spelling of </w:t>
      </w:r>
      <w:r>
        <w:rPr>
          <w:rStyle w:val="wwc-pali"/>
        </w:rPr>
        <w:t>avakkanti</w:t>
      </w:r>
      <w:r>
        <w:rPr/>
        <w:t>] is a synonym for birth (</w:t>
      </w:r>
      <w:r>
        <w:rPr>
          <w:rStyle w:val="wwc-pali"/>
        </w:rPr>
        <w:t>jāti</w:t>
      </w:r>
      <w:r>
        <w:rPr/>
        <w:t xml:space="preserve">).” </w:t>
      </w:r>
      <w:r>
        <w:rPr>
          <w:rStyle w:val="wwc-sesame-zot-reference"/>
        </w:rPr>
        <w:t>DOP</w:t>
      </w:r>
      <w:r>
        <w:rPr/>
        <w:t xml:space="preserve">, </w:t>
      </w:r>
      <w:r>
        <w:rPr>
          <w:rStyle w:val="wwc-sesame-zot-reference"/>
        </w:rPr>
        <w:t>DPD</w:t>
      </w:r>
      <w:r>
        <w:rPr/>
        <w:t xml:space="preserve">, </w:t>
      </w:r>
      <w:r>
        <w:rPr>
          <w:rStyle w:val="wwc-sesame-zot-reference"/>
        </w:rPr>
        <w:t>PED</w:t>
      </w:r>
      <w:r>
        <w:rPr/>
        <w:t xml:space="preserve">, and </w:t>
      </w:r>
      <w:r>
        <w:rPr>
          <w:rStyle w:val="wwc-sesame-zot-reference"/>
        </w:rPr>
        <w:t>CPD</w:t>
      </w:r>
      <w:r>
        <w:rPr/>
        <w:t xml:space="preserve"> all attest this. In unrelated contexts the word can mean more literally ‘entering’.</w:t>
      </w:r>
    </w:p>
  </w:footnote>
  <w:footnote w:id="9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3.61:13.4–13.6</w:t>
      </w:r>
      <w:r>
        <w:rPr>
          <w:rStyle w:val="Hyperlink"/>
        </w:rPr>
        <w:fldChar w:fldCharType="end"/>
      </w:r>
    </w:p>
  </w:footnote>
  <w:footnote w:id="1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38:26.1–30.16</w:t>
      </w:r>
      <w:r>
        <w:rPr>
          <w:rStyle w:val="Hyperlink"/>
        </w:rPr>
        <w:fldChar w:fldCharType="end"/>
      </w:r>
      <w:r>
        <w:rPr/>
        <w:t xml:space="preserve"> </w:t>
      </w:r>
      <w:r>
        <w:rPr>
          <w:rStyle w:val="wwc-PTS-reference"/>
        </w:rPr>
        <w:t>M I 266</w:t>
      </w:r>
    </w:p>
  </w:footnote>
  <w:footnote w:id="101">
    <w:p>
      <w:pPr>
        <w:pStyle w:val="FootnoteText"/>
        <w:rPr/>
      </w:pPr>
      <w:r>
        <w:rPr>
          <w:rStyle w:val="FootnoteCharacters"/>
        </w:rPr>
        <w:footnoteRef/>
      </w:r>
      <w:r>
        <w:rPr/>
        <w:t xml:space="preserve">See e.g </w:t>
      </w:r>
      <w:r>
        <w:rPr>
          <w:rStyle w:val="wwc-sesame-zot-reference"/>
        </w:rPr>
        <w:t>Langer</w:t>
      </w:r>
      <w:r>
        <w:rPr/>
        <w:t xml:space="preserve"> p.12, </w:t>
      </w:r>
      <w:r>
        <w:rPr>
          <w:rStyle w:val="wwc-sesame-zot-reference"/>
        </w:rPr>
        <w:t>Sujato 2008</w:t>
      </w:r>
      <w:r>
        <w:rPr/>
        <w:t xml:space="preserve"> p.7</w:t>
      </w:r>
    </w:p>
  </w:footnote>
  <w:footnote w:id="102">
    <w:p>
      <w:pPr>
        <w:pStyle w:val="FootnoteText"/>
        <w:rPr/>
      </w:pPr>
      <w:r>
        <w:rPr>
          <w:rStyle w:val="FootnoteCharacters"/>
        </w:rPr>
        <w:footnoteRef/>
      </w:r>
      <w:hyperlink r:id="rId9">
        <w:r>
          <w:rPr>
            <w:rStyle w:val="Hyperlink"/>
          </w:rPr>
          <w:t>EĀ 21.3</w:t>
        </w:r>
      </w:hyperlink>
    </w:p>
  </w:footnote>
  <w:footnote w:id="103">
    <w:p>
      <w:pPr>
        <w:pStyle w:val="FootnoteText"/>
        <w:rPr/>
      </w:pPr>
      <w:r>
        <w:rPr>
          <w:rStyle w:val="FootnoteCharacters"/>
        </w:rPr>
        <w:footnoteRef/>
      </w:r>
      <w:r>
        <w:rPr>
          <w:rStyle w:val="wwc-sesame-zot-reference"/>
        </w:rPr>
        <w:t>Anālayo 2010</w:t>
      </w:r>
      <w:r>
        <w:rPr/>
        <w:t xml:space="preserve"> p.254, n.243. See further </w:t>
      </w:r>
      <w:r>
        <w:rPr>
          <w:rStyle w:val="wwc-sesame-zot-reference"/>
        </w:rPr>
        <w:t>Anālayo 2008</w:t>
      </w:r>
    </w:p>
  </w:footnote>
  <w:footnote w:id="1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MN 93:18.62–18.63</w:t>
      </w:r>
      <w:r>
        <w:rPr>
          <w:rStyle w:val="Hyperlink"/>
        </w:rPr>
        <w:fldChar w:fldCharType="end"/>
      </w:r>
      <w:r>
        <w:rPr/>
        <w:t xml:space="preserve"> </w:t>
      </w:r>
      <w:r>
        <w:rPr>
          <w:rStyle w:val="wwc-PTS-reference"/>
        </w:rPr>
        <w:t>M II 157</w:t>
      </w:r>
    </w:p>
  </w:footnote>
  <w:footnote w:id="105">
    <w:p>
      <w:pPr>
        <w:pStyle w:val="FootnoteText"/>
        <w:rPr/>
      </w:pPr>
      <w:r>
        <w:rPr>
          <w:rStyle w:val="FootnoteCharacters"/>
        </w:rPr>
        <w:footnoteRef/>
      </w:r>
      <w:hyperlink r:id="rId10">
        <w:r>
          <w:rPr>
            <w:rStyle w:val="Hyperlink"/>
          </w:rPr>
          <w:t>MĀ 151</w:t>
        </w:r>
      </w:hyperlink>
      <w:r>
        <w:rPr/>
        <w:t xml:space="preserve">, translation </w:t>
      </w:r>
      <w:r>
        <w:rPr>
          <w:rStyle w:val="wwc-sesame-zot-reference"/>
        </w:rPr>
        <w:t>Anālayo 2022(a)</w:t>
      </w:r>
    </w:p>
  </w:footnote>
  <w:footnote w:id="106">
    <w:p>
      <w:pPr>
        <w:pStyle w:val="FootnoteText"/>
        <w:rPr/>
      </w:pPr>
      <w:r>
        <w:rPr>
          <w:rStyle w:val="FootnoteCharacters"/>
        </w:rPr>
        <w:footnoteRef/>
      </w:r>
      <w:r>
        <w:rPr>
          <w:rStyle w:val="wwc-sesame-zot-reference"/>
        </w:rPr>
        <w:t>Wijesekera 1994</w:t>
      </w:r>
      <w:r>
        <w:rPr/>
        <w:t xml:space="preserve"> p.175</w:t>
      </w:r>
    </w:p>
  </w:footnote>
  <w:footnote w:id="1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38:16.9–16.10</w:t>
      </w:r>
      <w:r>
        <w:rPr>
          <w:rStyle w:val="Hyperlink"/>
        </w:rPr>
        <w:fldChar w:fldCharType="end"/>
      </w:r>
      <w:r>
        <w:rPr/>
        <w:t xml:space="preserve"> </w:t>
      </w:r>
      <w:r>
        <w:rPr>
          <w:rStyle w:val="wwc-PTS-reference"/>
        </w:rPr>
        <w:t>M I 260</w:t>
      </w:r>
    </w:p>
  </w:footnote>
  <w:footnote w:id="108">
    <w:p>
      <w:pPr>
        <w:pStyle w:val="FootnoteText"/>
        <w:rPr/>
      </w:pPr>
      <w:r>
        <w:rPr>
          <w:rStyle w:val="FootnoteCharacters"/>
        </w:rPr>
        <w:footnoteRef/>
      </w:r>
      <w:r>
        <w:rPr>
          <w:rStyle w:val="wwc-sesame-zot-reference"/>
        </w:rPr>
        <w:t>Vetter 1988</w:t>
      </w:r>
      <w:r>
        <w:rPr/>
        <w:t xml:space="preserve"> p.48. See also </w:t>
      </w:r>
      <w:r>
        <w:rPr>
          <w:rStyle w:val="wwc-sesame-zot-reference"/>
        </w:rPr>
        <w:t>Kalupahana 1976</w:t>
      </w:r>
      <w:r>
        <w:rPr/>
        <w:t xml:space="preserve"> p.32</w:t>
      </w:r>
    </w:p>
  </w:footnote>
  <w:footnote w:id="109">
    <w:p>
      <w:pPr>
        <w:pStyle w:val="FootnoteText"/>
        <w:rPr/>
      </w:pPr>
      <w:r>
        <w:rPr>
          <w:rStyle w:val="FootnoteCharacters"/>
        </w:rPr>
        <w:footnoteRef/>
      </w:r>
      <w:r>
        <w:rPr/>
        <w:t xml:space="preserve">As also argued by </w:t>
      </w:r>
      <w:r>
        <w:rPr>
          <w:rStyle w:val="wwc-sesame-zot-reference"/>
        </w:rPr>
        <w:t>Harvey 1995</w:t>
      </w:r>
      <w:r>
        <w:rPr/>
        <w:t xml:space="preserve"> p.263 n.5</w:t>
      </w:r>
    </w:p>
  </w:footnote>
  <w:footnote w:id="110">
    <w:p>
      <w:pPr>
        <w:pStyle w:val="FootnoteText"/>
        <w:rPr/>
      </w:pPr>
      <w:r>
        <w:rPr>
          <w:rStyle w:val="FootnoteCharacters"/>
        </w:rPr>
        <w:footnoteRef/>
      </w:r>
      <w:r>
        <w:rPr>
          <w:rStyle w:val="wwc-sesame"/>
        </w:rPr>
        <w:t>Bodhi 2000 p.518</w:t>
      </w:r>
    </w:p>
  </w:footnote>
  <w:footnote w:id="111">
    <w:p>
      <w:pPr>
        <w:pStyle w:val="FootnoteText"/>
        <w:rPr/>
      </w:pPr>
      <w:r>
        <w:rPr>
          <w:rStyle w:val="FootnoteCharacters"/>
        </w:rPr>
        <w:footnoteRef/>
      </w:r>
      <w:hyperlink w:anchor="bqseg77">
        <w:r>
          <w:rPr>
            <w:rStyle w:val="Hyperlink"/>
          </w:rPr>
          <w:t>§77</w:t>
        </w:r>
      </w:hyperlink>
      <w:r>
        <w:rPr/>
        <w:t xml:space="preserve">. See also </w:t>
      </w:r>
      <w:r>
        <w:rPr>
          <w:rStyle w:val="wwc-sesame"/>
        </w:rPr>
        <w:t>‘Remembering Past Lives’ in Brahmavamso 2006 Chapter 13</w:t>
      </w:r>
      <w:r>
        <w:rPr/>
        <w:t>.</w:t>
      </w:r>
    </w:p>
  </w:footnote>
  <w:footnote w:id="112">
    <w:p>
      <w:pPr>
        <w:pStyle w:val="FootnoteText"/>
        <w:rPr/>
      </w:pPr>
      <w:r>
        <w:rPr>
          <w:rStyle w:val="FootnoteCharacters"/>
        </w:rPr>
        <w:footnoteRef/>
      </w:r>
      <w:r>
        <w:rPr>
          <w:rStyle w:val="wwc-sesame-zot-reference"/>
        </w:rPr>
        <w:t>Frauwallner 1953/1973</w:t>
      </w:r>
      <w:r>
        <w:rPr/>
        <w:t xml:space="preserve"> p.163</w:t>
      </w:r>
    </w:p>
  </w:footnote>
  <w:footnote w:id="113">
    <w:p>
      <w:pPr>
        <w:pStyle w:val="FootnoteText"/>
        <w:rPr/>
      </w:pPr>
      <w:r>
        <w:rPr>
          <w:rStyle w:val="FootnoteCharacters"/>
        </w:rPr>
        <w:footnoteRef/>
      </w:r>
      <w:r>
        <w:rPr>
          <w:rStyle w:val="wwc-sesame-zot-reference"/>
        </w:rPr>
        <w:t>Reat</w:t>
      </w:r>
      <w:r>
        <w:rPr/>
        <w:t xml:space="preserve"> p.15. Reat’s specific conclusions about </w:t>
      </w:r>
      <w:r>
        <w:rPr>
          <w:rStyle w:val="wwc-pali"/>
        </w:rPr>
        <w:t>nāmarūpa</w:t>
      </w:r>
      <w:r>
        <w:rPr/>
        <w:t xml:space="preserve"> I disagree with, though.</w:t>
      </w:r>
    </w:p>
  </w:footnote>
  <w:footnote w:id="114">
    <w:p>
      <w:pPr>
        <w:pStyle w:val="FootnoteText"/>
        <w:rPr/>
      </w:pPr>
      <w:r>
        <w:rPr>
          <w:rStyle w:val="FootnoteCharacters"/>
        </w:rPr>
        <w:footnoteRef/>
      </w:r>
      <w:bookmarkStart w:id="155" w:name="footnote113"/>
      <w:bookmarkEnd w:id="155"/>
      <w:r>
        <w:rPr>
          <w:rStyle w:val="wwc-sesame-zot-reference"/>
        </w:rPr>
        <w:t>Olalde 2014</w:t>
      </w:r>
      <w:r>
        <w:rPr/>
        <w:t xml:space="preserve"> p.40 (translation mine): “As a substantive </w:t>
      </w:r>
      <w:r>
        <w:rPr>
          <w:rStyle w:val="wwc-pali"/>
        </w:rPr>
        <w:t>bahubbīhi</w:t>
      </w:r>
      <w:r>
        <w:rPr/>
        <w:t xml:space="preserve"> [compound] it means ‘that which has a name and form’.” </w:t>
      </w:r>
      <w:r>
        <w:rPr>
          <w:rStyle w:val="wwc-pali"/>
        </w:rPr>
        <w:t>Bahubbīhi</w:t>
      </w:r>
      <w:r>
        <w:rPr/>
        <w:t xml:space="preserve"> compounds are fundamentally adjectives, but like all adjectives in Pāli, they can be adopted as nouns (substantives), see </w:t>
      </w:r>
      <w:r>
        <w:rPr>
          <w:rStyle w:val="wwc-sesame-zot-reference"/>
        </w:rPr>
        <w:t>Warder 2010</w:t>
      </w:r>
      <w:r>
        <w:rPr/>
        <w:t xml:space="preserve"> p.62</w:t>
      </w:r>
    </w:p>
  </w:footnote>
  <w:footnote w:id="115">
    <w:p>
      <w:pPr>
        <w:pStyle w:val="FootnoteText"/>
        <w:rPr/>
      </w:pPr>
      <w:r>
        <w:rPr>
          <w:rStyle w:val="FootnoteCharacters"/>
        </w:rPr>
        <w:footnoteRef/>
      </w:r>
      <w:r>
        <w:rPr/>
        <w:t xml:space="preserve">See </w:t>
      </w:r>
      <w:r>
        <w:rPr>
          <w:rStyle w:val="wwc-sesame-zot-reference"/>
        </w:rPr>
        <w:t>Hamilton</w:t>
      </w:r>
    </w:p>
  </w:footnote>
  <w:footnote w:id="11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12.2:11.4–11.5</w:t>
      </w:r>
      <w:r>
        <w:rPr>
          <w:rStyle w:val="Hyperlink"/>
        </w:rPr>
        <w:fldChar w:fldCharType="end"/>
      </w:r>
      <w:r>
        <w:rPr/>
        <w:t xml:space="preserve"> where </w:t>
      </w:r>
      <w:r>
        <w:rPr>
          <w:rStyle w:val="wwc-pali"/>
        </w:rPr>
        <w:t>rūpa</w:t>
      </w:r>
      <w:r>
        <w:rPr/>
        <w:t xml:space="preserve"> is explained as: “The four elements and the form derived from the four elements: that is what’s called </w:t>
      </w:r>
      <w:r>
        <w:rPr>
          <w:rStyle w:val="wwc-pali"/>
        </w:rPr>
        <w:t>rūpa</w:t>
      </w:r>
      <w:r>
        <w:rPr/>
        <w:t>.”</w:t>
      </w:r>
    </w:p>
  </w:footnote>
  <w:footnote w:id="1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1.76:3.1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22.95:11.1–11.4</w:t>
      </w:r>
      <w:r>
        <w:rPr>
          <w:rStyle w:val="Hyperlink"/>
        </w:rPr>
        <w:fldChar w:fldCharType="end"/>
      </w:r>
    </w:p>
  </w:footnote>
  <w:footnote w:id="1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28:26.2</w:t>
      </w:r>
      <w:r>
        <w:rPr>
          <w:rStyle w:val="Hyperlink"/>
        </w:rPr>
        <w:fldChar w:fldCharType="end"/>
      </w:r>
      <w:r>
        <w:rPr/>
        <w:t xml:space="preserve"> </w:t>
      </w:r>
      <w:r>
        <w:rPr>
          <w:rStyle w:val="wwc-PTS-reference"/>
        </w:rPr>
        <w:t>M I 190</w:t>
      </w:r>
    </w:p>
  </w:footnote>
  <w:footnote w:id="119">
    <w:p>
      <w:pPr>
        <w:pStyle w:val="FootnoteText"/>
        <w:rPr/>
      </w:pPr>
      <w:r>
        <w:rPr>
          <w:rStyle w:val="FootnoteCharacters"/>
        </w:rPr>
        <w:footnoteRef/>
      </w:r>
      <w:r>
        <w:rPr/>
        <w:t xml:space="preserve">JU 3.20.8, see also </w:t>
      </w:r>
      <w:r>
        <w:rPr>
          <w:rStyle w:val="wwc-sesame-zot-reference"/>
        </w:rPr>
        <w:t>Olalde 2015</w:t>
      </w:r>
      <w:r>
        <w:rPr/>
        <w:t xml:space="preserve"> p.10</w:t>
      </w:r>
    </w:p>
  </w:footnote>
  <w:footnote w:id="1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12.2:11.2–11.3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21">
    <w:p>
      <w:pPr>
        <w:pStyle w:val="FootnoteText"/>
        <w:rPr/>
      </w:pPr>
      <w:r>
        <w:rPr>
          <w:rStyle w:val="FootnoteCharacters"/>
        </w:rPr>
        <w:footnoteRef/>
      </w:r>
      <w:r>
        <w:rPr/>
        <w:t xml:space="preserve">In the current age this translation is more pragmatic than ‘name’. Other possible translations are ‘mind’ and ‘mentality’, agreeing with the commentaries that </w:t>
      </w:r>
      <w:r>
        <w:rPr>
          <w:rStyle w:val="wwc-pali"/>
        </w:rPr>
        <w:t>nāma</w:t>
      </w:r>
      <w:r>
        <w:rPr/>
        <w:t xml:space="preserve"> is purely mental (</w:t>
      </w:r>
      <w:r>
        <w:rPr>
          <w:rStyle w:val="wwc-pali"/>
        </w:rPr>
        <w:t>cetasika</w:t>
      </w:r>
      <w:r>
        <w:rPr/>
        <w:t xml:space="preserve">). But in my view, sensations, perceptions, and sense impressions exist for all six senses, not just the mind. However,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1.61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1.62</w:t>
      </w:r>
      <w:r>
        <w:rPr>
          <w:rStyle w:val="Hyperlink"/>
        </w:rPr>
        <w:fldChar w:fldCharType="end"/>
      </w:r>
      <w:r>
        <w:rPr/>
        <w:t xml:space="preserve">, where </w:t>
      </w:r>
      <w:r>
        <w:rPr>
          <w:rStyle w:val="wwc-pali"/>
        </w:rPr>
        <w:t>nāma</w:t>
      </w:r>
      <w:r>
        <w:rPr/>
        <w:t xml:space="preserve"> and </w:t>
      </w:r>
      <w:r>
        <w:rPr>
          <w:rStyle w:val="wwc-pali"/>
        </w:rPr>
        <w:t>citta</w:t>
      </w:r>
      <w:r>
        <w:rPr/>
        <w:t xml:space="preserve"> appear to be used synonymously.</w:t>
      </w:r>
    </w:p>
  </w:footnote>
  <w:footnote w:id="122">
    <w:p>
      <w:pPr>
        <w:pStyle w:val="FootnoteText"/>
        <w:rPr/>
      </w:pPr>
      <w:r>
        <w:rPr>
          <w:rStyle w:val="FootnoteCharacters"/>
        </w:rPr>
        <w:footnoteRef/>
      </w:r>
      <w:r>
        <w:rPr/>
        <w:t>RV 10.169; RV 7.103</w:t>
      </w:r>
    </w:p>
  </w:footnote>
  <w:footnote w:id="123">
    <w:p>
      <w:pPr>
        <w:pStyle w:val="FootnoteText"/>
        <w:rPr/>
      </w:pPr>
      <w:r>
        <w:rPr>
          <w:rStyle w:val="FootnoteCharacters"/>
        </w:rPr>
        <w:footnoteRef/>
      </w:r>
      <w:r>
        <w:rPr/>
        <w:t xml:space="preserve">See also </w:t>
      </w:r>
      <w:r>
        <w:rPr>
          <w:rStyle w:val="wwc-sesame-zot-reference"/>
        </w:rPr>
        <w:t>Olalde 2015</w:t>
      </w:r>
      <w:r>
        <w:rPr/>
        <w:t xml:space="preserve"> p.21</w:t>
      </w:r>
    </w:p>
  </w:footnote>
  <w:footnote w:id="124">
    <w:p>
      <w:pPr>
        <w:pStyle w:val="FootnoteText"/>
        <w:rPr/>
      </w:pPr>
      <w:r>
        <w:rPr>
          <w:rStyle w:val="FootnoteCharacters"/>
        </w:rPr>
        <w:footnoteRef/>
      </w:r>
      <w:r>
        <w:rPr/>
        <w:t xml:space="preserve">BU 1.4.7, translation </w:t>
      </w:r>
      <w:r>
        <w:rPr>
          <w:rStyle w:val="wwc-sesame-zot-reference"/>
        </w:rPr>
        <w:t>Olivelle</w:t>
      </w:r>
    </w:p>
  </w:footnote>
  <w:footnote w:id="125">
    <w:p>
      <w:pPr>
        <w:pStyle w:val="FootnoteText"/>
        <w:rPr/>
      </w:pPr>
      <w:r>
        <w:rPr>
          <w:rStyle w:val="FootnoteCharacters"/>
        </w:rPr>
        <w:footnoteRef/>
      </w:r>
      <w:r>
        <w:rPr/>
        <w:t xml:space="preserve">TB 3.12.7, see also </w:t>
      </w:r>
      <w:r>
        <w:rPr>
          <w:rStyle w:val="wwc-sesame-zot-reference"/>
        </w:rPr>
        <w:t>Frauwallner 1953/1973</w:t>
      </w:r>
      <w:r>
        <w:rPr/>
        <w:t xml:space="preserve"> p.163</w:t>
      </w:r>
    </w:p>
  </w:footnote>
  <w:footnote w:id="126">
    <w:p>
      <w:pPr>
        <w:pStyle w:val="FootnoteText"/>
        <w:rPr/>
      </w:pPr>
      <w:r>
        <w:rPr>
          <w:rStyle w:val="FootnoteCharacters"/>
        </w:rPr>
        <w:footnoteRef/>
      </w:r>
      <w:r>
        <w:rPr/>
        <w:t xml:space="preserve">Atharvaveda 10.2.12 and 12.5.6, see also </w:t>
      </w:r>
      <w:r>
        <w:rPr>
          <w:rStyle w:val="wwc-sesame-zot-reference"/>
        </w:rPr>
        <w:t>Olalde 2014</w:t>
      </w:r>
      <w:r>
        <w:rPr/>
        <w:t xml:space="preserve"> p.12</w:t>
      </w:r>
    </w:p>
  </w:footnote>
  <w:footnote w:id="127">
    <w:p>
      <w:pPr>
        <w:pStyle w:val="FootnoteText"/>
        <w:rPr/>
      </w:pPr>
      <w:r>
        <w:rPr>
          <w:rStyle w:val="FootnoteCharacters"/>
        </w:rPr>
        <w:footnoteRef/>
      </w:r>
      <w:r>
        <w:rPr>
          <w:rStyle w:val="wwc-sesame-zot-reference"/>
        </w:rPr>
        <w:t>Olalde 2015</w:t>
      </w:r>
      <w:r>
        <w:rPr/>
        <w:t xml:space="preserve"> p.8</w:t>
      </w:r>
    </w:p>
  </w:footnote>
  <w:footnote w:id="128">
    <w:p>
      <w:pPr>
        <w:pStyle w:val="FootnoteText"/>
        <w:rPr/>
      </w:pPr>
      <w:r>
        <w:rPr>
          <w:rStyle w:val="FootnoteCharacters"/>
        </w:rPr>
        <w:footnoteRef/>
      </w:r>
      <w:r>
        <w:rPr>
          <w:rStyle w:val="wwc-sesame-zot-reference"/>
        </w:rPr>
        <w:t>Gonda</w:t>
      </w:r>
      <w:r>
        <w:rPr/>
        <w:t xml:space="preserve"> p.7</w:t>
      </w:r>
    </w:p>
  </w:footnote>
  <w:footnote w:id="129">
    <w:p>
      <w:pPr>
        <w:pStyle w:val="FootnoteText"/>
        <w:rPr/>
      </w:pPr>
      <w:r>
        <w:rPr>
          <w:rStyle w:val="FootnoteCharacters"/>
        </w:rPr>
        <w:footnoteRef/>
      </w:r>
      <w:r>
        <w:rPr>
          <w:rStyle w:val="wwc-sesame-zot-reference"/>
        </w:rPr>
        <w:t>Werner</w:t>
      </w:r>
      <w:r>
        <w:rPr/>
        <w:t xml:space="preserve"> p.28</w:t>
      </w:r>
    </w:p>
  </w:footnote>
  <w:footnote w:id="130">
    <w:p>
      <w:pPr>
        <w:pStyle w:val="FootnoteText"/>
        <w:rPr/>
      </w:pPr>
      <w:r>
        <w:rPr>
          <w:rStyle w:val="FootnoteCharacters"/>
        </w:rPr>
        <w:footnoteRef/>
      </w:r>
      <w:r>
        <w:rPr/>
        <w:t>BU 3.2.12</w:t>
      </w:r>
    </w:p>
  </w:footnote>
  <w:footnote w:id="131">
    <w:p>
      <w:pPr>
        <w:pStyle w:val="FootnoteText"/>
        <w:rPr/>
      </w:pPr>
      <w:r>
        <w:rPr>
          <w:rStyle w:val="FootnoteCharacters"/>
        </w:rPr>
        <w:footnoteRef/>
      </w:r>
      <w:r>
        <w:rPr>
          <w:rStyle w:val="wwc-sesame-zot-reference"/>
        </w:rPr>
        <w:t>Frazer</w:t>
      </w:r>
    </w:p>
  </w:footnote>
  <w:footnote w:id="132">
    <w:p>
      <w:pPr>
        <w:pStyle w:val="FootnoteText"/>
        <w:rPr/>
      </w:pPr>
      <w:r>
        <w:rPr>
          <w:rStyle w:val="FootnoteCharacters"/>
        </w:rPr>
        <w:footnoteRef/>
      </w:r>
      <w:r>
        <w:rPr>
          <w:rStyle w:val="wwc-sesame-zot-reference"/>
        </w:rPr>
        <w:t>Jurewicz</w:t>
      </w:r>
      <w:r>
        <w:rPr/>
        <w:t xml:space="preserve"> p.89</w:t>
      </w:r>
    </w:p>
  </w:footnote>
  <w:footnote w:id="133">
    <w:p>
      <w:pPr>
        <w:pStyle w:val="FootnoteText"/>
        <w:rPr/>
      </w:pPr>
      <w:r>
        <w:rPr>
          <w:rStyle w:val="FootnoteCharacters"/>
        </w:rPr>
        <w:footnoteRef/>
      </w:r>
      <w:r>
        <w:rPr/>
        <w:t xml:space="preserve">BU 6.4.21, translation </w:t>
      </w:r>
      <w:r>
        <w:rPr>
          <w:rStyle w:val="wwc-sesame-zot-reference"/>
        </w:rPr>
        <w:t>Olivelle</w:t>
      </w:r>
    </w:p>
  </w:footnote>
  <w:footnote w:id="134">
    <w:p>
      <w:pPr>
        <w:pStyle w:val="FootnoteText"/>
        <w:rPr/>
      </w:pPr>
      <w:r>
        <w:rPr>
          <w:rStyle w:val="FootnoteCharacters"/>
        </w:rPr>
        <w:footnoteRef/>
      </w:r>
      <w:r>
        <w:rPr>
          <w:rStyle w:val="wwc-sesame-zot-reference"/>
        </w:rPr>
        <w:t>Jurewicz</w:t>
      </w:r>
      <w:r>
        <w:rPr/>
        <w:t xml:space="preserve"> p.90</w:t>
      </w:r>
    </w:p>
  </w:footnote>
  <w:footnote w:id="135">
    <w:p>
      <w:pPr>
        <w:pStyle w:val="FootnoteText"/>
        <w:rPr/>
      </w:pPr>
      <w:r>
        <w:rPr>
          <w:rStyle w:val="FootnoteCharacters"/>
        </w:rPr>
        <w:footnoteRef/>
      </w:r>
      <w:r>
        <w:rPr>
          <w:rStyle w:val="wwc-sesame-zot-reference"/>
        </w:rPr>
        <w:t>Frauwallner 1953/1973</w:t>
      </w:r>
      <w:r>
        <w:rPr/>
        <w:t xml:space="preserve"> p.164</w:t>
      </w:r>
    </w:p>
  </w:footnote>
  <w:footnote w:id="136">
    <w:p>
      <w:pPr>
        <w:pStyle w:val="FootnoteText"/>
        <w:rPr/>
      </w:pPr>
      <w:r>
        <w:rPr>
          <w:rStyle w:val="FootnoteCharacters"/>
        </w:rPr>
        <w:footnoteRef/>
      </w:r>
      <w:r>
        <w:rPr>
          <w:rStyle w:val="wwc-sesame-zot-reference"/>
        </w:rPr>
        <w:t>Hamilton</w:t>
      </w:r>
      <w:r>
        <w:rPr/>
        <w:t xml:space="preserve"> p.127</w:t>
      </w:r>
    </w:p>
  </w:footnote>
  <w:footnote w:id="137">
    <w:p>
      <w:pPr>
        <w:pStyle w:val="FootnoteText"/>
        <w:rPr/>
      </w:pPr>
      <w:r>
        <w:rPr>
          <w:rStyle w:val="FootnoteCharacters"/>
        </w:rPr>
        <w:footnoteRef/>
      </w:r>
      <w:r>
        <w:rPr>
          <w:rStyle w:val="wwc-sesame-zot-reference"/>
        </w:rPr>
        <w:t>Olalde 2014</w:t>
      </w:r>
      <w:r>
        <w:rPr/>
        <w:t xml:space="preserve"> p.156</w:t>
      </w:r>
    </w:p>
  </w:footnote>
  <w:footnote w:id="138">
    <w:p>
      <w:pPr>
        <w:pStyle w:val="FootnoteText"/>
        <w:rPr/>
      </w:pPr>
      <w:r>
        <w:rPr>
          <w:rStyle w:val="FootnoteCharacters"/>
        </w:rPr>
        <w:footnoteRef/>
      </w:r>
      <w:r>
        <w:rPr/>
        <w:t xml:space="preserve">See </w:t>
      </w:r>
      <w:r>
        <w:rPr>
          <w:rStyle w:val="wwc-sesame-zot-reference"/>
        </w:rPr>
        <w:t>Wayman 1997</w:t>
      </w:r>
      <w:r>
        <w:rPr/>
        <w:t xml:space="preserve"> p.507</w:t>
      </w:r>
    </w:p>
  </w:footnote>
  <w:footnote w:id="139">
    <w:p>
      <w:pPr>
        <w:pStyle w:val="FootnoteText"/>
        <w:rPr/>
      </w:pPr>
      <w:r>
        <w:rPr>
          <w:rStyle w:val="FootnoteCharacters"/>
        </w:rPr>
        <w:footnoteRef/>
      </w:r>
      <w:r>
        <w:rPr/>
        <w:t xml:space="preserve">T1548.28.689a20, translation </w:t>
      </w:r>
      <w:r>
        <w:rPr>
          <w:rStyle w:val="wwc-sesame-zot-reference"/>
        </w:rPr>
        <w:t>Patton</w:t>
      </w:r>
      <w:r>
        <w:rPr/>
        <w:t xml:space="preserve"> “If it recognizes, designates, and makes names, then this is called name.” See also </w:t>
      </w:r>
      <w:r>
        <w:rPr>
          <w:rStyle w:val="wwc-sesame"/>
        </w:rPr>
        <w:t>Bodhi 2000 p.48</w:t>
      </w:r>
    </w:p>
  </w:footnote>
  <w:footnote w:id="140">
    <w:p>
      <w:pPr>
        <w:pStyle w:val="FootnoteText"/>
        <w:rPr/>
      </w:pPr>
      <w:r>
        <w:rPr>
          <w:rStyle w:val="FootnoteCharacters"/>
        </w:rPr>
        <w:footnoteRef/>
      </w:r>
      <w:bookmarkStart w:id="156" w:name="footnote139"/>
      <w:bookmarkEnd w:id="156"/>
      <w:r>
        <w:rPr/>
        <w:t xml:space="preserve">See </w:t>
      </w:r>
      <w:r>
        <w:rPr>
          <w:rStyle w:val="wwc-sesame-zot-reference"/>
        </w:rPr>
        <w:t>Olalde 2015</w:t>
      </w:r>
      <w:r>
        <w:rPr/>
        <w:t xml:space="preserve"> p.2, referring to certain views: “They understand ‘name’ as ‘designation’ and neglect the fact that it </w:t>
      </w:r>
      <w:r>
        <w:rPr>
          <w:rStyle w:val="Emphasis"/>
        </w:rPr>
        <w:t>also</w:t>
      </w:r>
      <w:r>
        <w:rPr/>
        <w:t xml:space="preserve"> (or may I say </w:t>
      </w:r>
      <w:r>
        <w:rPr>
          <w:rStyle w:val="Emphasis"/>
        </w:rPr>
        <w:t>actually</w:t>
      </w:r>
      <w:r>
        <w:rPr/>
        <w:t>) means ‘proper name;’ in this manner they understand name as ‘naming’ and assume that it always encompasses conceptualisation.”</w:t>
      </w:r>
    </w:p>
  </w:footnote>
  <w:footnote w:id="141">
    <w:p>
      <w:pPr>
        <w:pStyle w:val="FootnoteText"/>
        <w:rPr/>
      </w:pPr>
      <w:r>
        <w:rPr>
          <w:rStyle w:val="FootnoteCharacters"/>
        </w:rPr>
        <w:footnoteRef/>
      </w:r>
      <w:r>
        <w:rPr/>
        <w:t xml:space="preserve">See also </w:t>
      </w:r>
      <w:r>
        <w:rPr>
          <w:rStyle w:val="wwc-sesame-zot-reference"/>
        </w:rPr>
        <w:t>Bodhi 1984</w:t>
      </w:r>
      <w:r>
        <w:rP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2">
    <w:p>
      <w:pPr>
        <w:pStyle w:val="FootnoteText"/>
        <w:rPr/>
      </w:pPr>
      <w:r>
        <w:rPr>
          <w:rStyle w:val="FootnoteCharacters"/>
        </w:rPr>
        <w:footnoteRef/>
      </w:r>
      <w:r>
        <w:rPr/>
        <w:t xml:space="preserve">See for example </w:t>
      </w:r>
      <w:hyperlink w:anchor="bqseg101">
        <w:r>
          <w:rPr>
            <w:rStyle w:val="Hyperlink"/>
          </w:rPr>
          <w:t>§101</w:t>
        </w:r>
      </w:hyperlink>
      <w:r>
        <w:rPr/>
        <w:t xml:space="preserve">, </w:t>
      </w:r>
      <w:hyperlink w:anchor="bqseg99">
        <w:r>
          <w:rPr>
            <w:rStyle w:val="Hyperlink"/>
          </w:rPr>
          <w:t>§99</w:t>
        </w:r>
      </w:hyperlink>
      <w:r>
        <w:rPr/>
        <w:t xml:space="preserve">, </w:t>
      </w:r>
      <w:hyperlink w:anchor="bqseg35">
        <w:r>
          <w:rPr>
            <w:rStyle w:val="Hyperlink"/>
          </w:rPr>
          <w:t>§35</w:t>
        </w:r>
      </w:hyperlink>
    </w:p>
  </w:footnote>
  <w:footnote w:id="143">
    <w:p>
      <w:pPr>
        <w:pStyle w:val="FootnoteText"/>
        <w:rPr/>
      </w:pPr>
      <w:r>
        <w:rPr>
          <w:rStyle w:val="FootnoteCharacters"/>
        </w:rPr>
        <w:footnoteRef/>
      </w:r>
      <w:r>
        <w:rPr/>
        <w:t xml:space="preserve">For example </w:t>
      </w:r>
      <w:hyperlink r:id="rId11">
        <w:r>
          <w:rPr>
            <w:rStyle w:val="Hyperlink"/>
          </w:rPr>
          <w:t>Ds 2.3.3</w:t>
        </w:r>
      </w:hyperlink>
      <w:r>
        <w:rPr/>
        <w:t>.</w:t>
      </w:r>
    </w:p>
  </w:footnote>
  <w:footnote w:id="144">
    <w:p>
      <w:pPr>
        <w:pStyle w:val="FootnoteText"/>
        <w:rPr/>
      </w:pPr>
      <w:r>
        <w:rPr>
          <w:rStyle w:val="FootnoteCharacters"/>
        </w:rPr>
        <w:footnoteRef/>
      </w:r>
      <w:r>
        <w:rPr>
          <w:rStyle w:val="wwc-sesame-zot-reference"/>
        </w:rPr>
        <w:t>Gombrich 2009</w:t>
      </w:r>
      <w:r>
        <w:rPr/>
        <w:t xml:space="preserve"> p.136</w:t>
      </w:r>
    </w:p>
  </w:footnote>
  <w:footnote w:id="145">
    <w:p>
      <w:pPr>
        <w:pStyle w:val="FootnoteText"/>
        <w:rPr/>
      </w:pPr>
      <w:r>
        <w:rPr>
          <w:rStyle w:val="FootnoteCharacters"/>
        </w:rPr>
        <w:footnoteRef/>
      </w:r>
      <w:r>
        <w:rPr/>
        <w:t xml:space="preserve">For example </w:t>
      </w:r>
      <w:hyperlink r:id="rId12">
        <w:r>
          <w:rPr>
            <w:rStyle w:val="Hyperlink"/>
          </w:rPr>
          <w:t>SĀ 298</w:t>
        </w:r>
      </w:hyperlink>
      <w:r>
        <w:rPr/>
        <w:t xml:space="preserve">. For a further discussion see </w:t>
      </w:r>
      <w:r>
        <w:rPr>
          <w:rStyle w:val="wwc-sesame-zot-reference"/>
        </w:rPr>
        <w:t>Choong</w:t>
      </w:r>
      <w:r>
        <w:rPr/>
        <w:t xml:space="preserve"> p.163</w:t>
      </w:r>
    </w:p>
  </w:footnote>
  <w:footnote w:id="146">
    <w:p>
      <w:pPr>
        <w:pStyle w:val="FootnoteText"/>
        <w:rPr/>
      </w:pPr>
      <w:r>
        <w:rPr>
          <w:rStyle w:val="FootnoteCharacters"/>
        </w:rPr>
        <w:footnoteRef/>
      </w:r>
      <w:r>
        <w:fldChar w:fldCharType="begin"/>
      </w:r>
      <w:r>
        <w:rPr>
          <w:rStyle w:val="Hyperlink"/>
        </w:rPr>
        <w:instrText xml:space="preserve"> HYPERLINK "https://suttacentral.net/vb6/pli/ms" \l "9.4"</w:instrText>
      </w:r>
      <w:r>
        <w:rPr>
          <w:rStyle w:val="Hyperlink"/>
        </w:rPr>
        <w:fldChar w:fldCharType="separate"/>
      </w:r>
      <w:r>
        <w:rPr>
          <w:rStyle w:val="Hyperlink"/>
        </w:rPr>
        <w:t>Vb 6:9.4</w:t>
      </w:r>
      <w:r>
        <w:rPr>
          <w:rStyle w:val="Hyperlink"/>
        </w:rPr>
        <w:fldChar w:fldCharType="end"/>
      </w:r>
    </w:p>
  </w:footnote>
  <w:footnote w:id="147">
    <w:p>
      <w:pPr>
        <w:pStyle w:val="FootnoteText"/>
        <w:rPr/>
      </w:pPr>
      <w:r>
        <w:rPr>
          <w:rStyle w:val="FootnoteCharacters"/>
        </w:rPr>
        <w:footnoteRef/>
      </w:r>
      <w:r>
        <w:rPr/>
        <w:t xml:space="preserve">MN-A 1.221: </w:t>
      </w:r>
      <w:r>
        <w:rPr>
          <w:rStyle w:val="wwc-pali"/>
        </w:rPr>
        <w:t>‘Vedanā’ti vedanākkhandho. ‘Saññā’ti saññākkhandho. ‘Cetanā phasso manasikāro’ti saṅkhārakkhandho veditabbo</w:t>
      </w:r>
      <w:r>
        <w:rPr/>
        <w:t xml:space="preserve">, “‘Sensation’ is the aggregate of sensation. ‘Perception’ is the aggregate of perception. ‘Intention, sense impression, and attention’ should be understood as the aggregate of </w:t>
      </w:r>
      <w:r>
        <w:rPr>
          <w:rStyle w:val="wwc-pali"/>
        </w:rPr>
        <w:t>saṅkhāra</w:t>
      </w:r>
      <w:r>
        <w:rPr/>
        <w:t>.</w:t>
      </w:r>
    </w:p>
  </w:footnote>
  <w:footnote w:id="148">
    <w:p>
      <w:pPr>
        <w:pStyle w:val="FootnoteText"/>
        <w:rPr/>
      </w:pPr>
      <w:r>
        <w:rPr>
          <w:rStyle w:val="FootnoteCharacters"/>
        </w:rPr>
        <w:footnoteRef/>
      </w:r>
      <w:r>
        <w:rPr/>
        <w:t xml:space="preserve">T1548.28.689a20; </w:t>
      </w:r>
      <w:r>
        <w:rPr>
          <w:rStyle w:val="wwc-sesame-zot-reference"/>
        </w:rPr>
        <w:t>Frauwallner 1995</w:t>
      </w:r>
      <w:r>
        <w:rPr/>
        <w:t xml:space="preserve"> p.108; </w:t>
      </w:r>
      <w:hyperlink r:id="rId13">
        <w:r>
          <w:rPr>
            <w:rStyle w:val="Hyperlink"/>
          </w:rPr>
          <w:t>EĀ 49.5</w:t>
        </w:r>
      </w:hyperlink>
      <w:r>
        <w:rPr/>
        <w:t xml:space="preserve">, </w:t>
      </w:r>
      <w:hyperlink r:id="rId14">
        <w:r>
          <w:rPr>
            <w:rStyle w:val="Hyperlink"/>
          </w:rPr>
          <w:t>EĀ 46.8</w:t>
        </w:r>
      </w:hyperlink>
    </w:p>
  </w:footnote>
  <w:footnote w:id="149">
    <w:p>
      <w:pPr>
        <w:pStyle w:val="FootnoteText"/>
        <w:rPr/>
      </w:pPr>
      <w:r>
        <w:rPr>
          <w:rStyle w:val="FootnoteCharacters"/>
        </w:rPr>
        <w:footnoteRef/>
      </w:r>
      <w:r>
        <w:rPr/>
        <w:t>Pṭs 1.183</w:t>
      </w:r>
    </w:p>
  </w:footnote>
  <w:footnote w:id="1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12.2:11.4–11.5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51">
    <w:p>
      <w:pPr>
        <w:pStyle w:val="FootnoteText"/>
        <w:rPr/>
      </w:pPr>
      <w:r>
        <w:rPr>
          <w:rStyle w:val="FootnoteCharacters"/>
        </w:rPr>
        <w:footnoteRef/>
      </w:r>
      <w:r>
        <w:rPr/>
        <w:t xml:space="preserve">See also </w:t>
      </w:r>
      <w:r>
        <w:rPr>
          <w:rStyle w:val="wwc-sesame"/>
        </w:rPr>
        <w:t>Bodhi 2000 n.81</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22.56:3.2</w:t>
      </w:r>
      <w:r>
        <w:rPr>
          <w:rStyle w:val="Hyperlink"/>
        </w:rPr>
        <w:fldChar w:fldCharType="end"/>
      </w:r>
      <w:r>
        <w:rPr/>
        <w:t xml:space="preserve">, and </w:t>
      </w:r>
      <w:r>
        <w:rPr>
          <w:rStyle w:val="wwc-sesame-zot-reference"/>
        </w:rPr>
        <w:t>Hamilton</w:t>
      </w:r>
      <w:r>
        <w:rPr/>
        <w:t xml:space="preserve"> p.6</w:t>
      </w:r>
    </w:p>
  </w:footnote>
  <w:footnote w:id="15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109:16.12</w:t>
      </w:r>
      <w:r>
        <w:rPr>
          <w:rStyle w:val="Hyperlink"/>
        </w:rPr>
        <w:fldChar w:fldCharType="end"/>
      </w:r>
      <w:r>
        <w:rPr/>
        <w:t xml:space="preserve"> </w:t>
      </w:r>
      <w:r>
        <w:rPr>
          <w:rStyle w:val="wwc-PTS-reference"/>
        </w:rPr>
        <w:t>M III 17</w:t>
      </w:r>
    </w:p>
  </w:footnote>
  <w:footnote w:id="1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bookmarkStart w:id="157" w:name="footnote152"/>
      <w:bookmarkEnd w:id="157"/>
      <w:r>
        <w:rPr>
          <w:rStyle w:val="Hyperlink"/>
        </w:rPr>
        <w:t>MN 28:17.1–17.3</w:t>
      </w:r>
      <w:r>
        <w:rPr>
          <w:rStyle w:val="Hyperlink"/>
        </w:rPr>
        <w:fldChar w:fldCharType="end"/>
      </w:r>
      <w:r>
        <w:rPr/>
        <w:t xml:space="preserve"> </w:t>
      </w:r>
      <w:r>
        <w:rPr>
          <w:rStyle w:val="wwc-PTS-reference"/>
        </w:rPr>
        <w:t>M I 185</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62:8.1–12.9</w:t>
      </w:r>
      <w:r>
        <w:rPr>
          <w:rStyle w:val="Hyperlink"/>
        </w:rPr>
        <w:fldChar w:fldCharType="end"/>
      </w:r>
      <w:r>
        <w:rPr/>
        <w:t xml:space="preserve"> </w:t>
      </w:r>
      <w:r>
        <w:rPr>
          <w:rStyle w:val="wwc-PTS-reference"/>
        </w:rPr>
        <w:t>M I 422</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140:14.1–18.9</w:t>
      </w:r>
      <w:r>
        <w:rPr>
          <w:rStyle w:val="Hyperlink"/>
        </w:rPr>
        <w:fldChar w:fldCharType="end"/>
      </w:r>
      <w:r>
        <w:rPr/>
        <w:t xml:space="preserve"> </w:t>
      </w:r>
      <w:r>
        <w:rPr>
          <w:rStyle w:val="wwc-PTS-reference"/>
        </w:rPr>
        <w:t>M III 240</w:t>
      </w:r>
    </w:p>
  </w:footnote>
  <w:footnote w:id="154">
    <w:p>
      <w:pPr>
        <w:pStyle w:val="FootnoteText"/>
        <w:rPr/>
      </w:pPr>
      <w:r>
        <w:rPr>
          <w:rStyle w:val="FootnoteCharacters"/>
        </w:rPr>
        <w:footnoteRef/>
      </w:r>
      <w:r>
        <w:rPr/>
        <w:t xml:space="preserve">Rather than the standard translation ‘the eye’ I translate </w:t>
      </w:r>
      <w:r>
        <w:rPr>
          <w:rStyle w:val="wwc-pali"/>
        </w:rPr>
        <w:t>cakkhu</w:t>
      </w:r>
      <w:r>
        <w:rPr/>
        <w:t xml:space="preserve"> as ‘the sense of sight’, and likewise for the other senses. </w:t>
      </w:r>
      <w:r>
        <w:rPr>
          <w:rStyle w:val="wwc-sesame-zot-reference"/>
        </w:rPr>
        <w:t>Olivelle</w:t>
      </w:r>
      <w:r>
        <w:rPr/>
        <w:t xml:space="preserve"> p.22 notes on the </w:t>
      </w:r>
      <w:r>
        <w:rPr>
          <w:rStyle w:val="wwc-sesame"/>
        </w:rPr>
        <w:t>Upaniṣads</w:t>
      </w:r>
      <w:r>
        <w:rP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rPr/>
        <w:t xml:space="preserve"> and </w:t>
      </w:r>
      <w:r>
        <w:rPr>
          <w:rStyle w:val="wwc-sanskrit"/>
        </w:rPr>
        <w:t>śrotra</w:t>
      </w:r>
      <w:r>
        <w:rPr/>
        <w:t xml:space="preserve"> for sight and hearing, and </w:t>
      </w:r>
      <w:r>
        <w:rPr>
          <w:rStyle w:val="wwc-sanskrit"/>
        </w:rPr>
        <w:t>akṣan</w:t>
      </w:r>
      <w:r>
        <w:rPr/>
        <w:t xml:space="preserve"> and </w:t>
      </w:r>
      <w:r>
        <w:rPr>
          <w:rStyle w:val="wwc-sanskrit"/>
        </w:rPr>
        <w:t>karṇa</w:t>
      </w:r>
      <w:r>
        <w:rPr/>
        <w:t xml:space="preserve"> for eye and ear, respectively.” I think this distinction is to some extent also present in the Pāli suttas, with the respective terms being </w:t>
      </w:r>
      <w:r>
        <w:rPr>
          <w:rStyle w:val="wwc-pali"/>
        </w:rPr>
        <w:t>cakkhu</w:t>
      </w:r>
      <w:r>
        <w:rPr/>
        <w:t xml:space="preserve"> and </w:t>
      </w:r>
      <w:r>
        <w:rPr>
          <w:rStyle w:val="wwc-pali"/>
        </w:rPr>
        <w:t>sota</w:t>
      </w:r>
      <w:r>
        <w:rPr/>
        <w:t xml:space="preserve">, and </w:t>
      </w:r>
      <w:r>
        <w:rPr>
          <w:rStyle w:val="wwc-pali"/>
        </w:rPr>
        <w:t>akkhi</w:t>
      </w:r>
      <w:r>
        <w:rPr/>
        <w:t xml:space="preserve"> and </w:t>
      </w:r>
      <w:r>
        <w:rPr>
          <w:rStyle w:val="wwc-pali"/>
        </w:rPr>
        <w:t>kaṇṇa</w:t>
      </w:r>
      <w:r>
        <w:rPr/>
        <w:t xml:space="preserve">. </w:t>
      </w:r>
      <w:r>
        <w:rPr>
          <w:rStyle w:val="wwc-sesame-zot-reference"/>
        </w:rPr>
        <w:t>Hamilton</w:t>
      </w:r>
      <w:r>
        <w:rPr/>
        <w:t xml:space="preserve"> p.18 similarly states: “One might suggest that what is referred to [in the Pāli suttas] by the terms </w:t>
      </w:r>
      <w:r>
        <w:rPr>
          <w:rStyle w:val="wwc-pali"/>
        </w:rPr>
        <w:t>cakkhu, sota, ghāna</w:t>
      </w:r>
      <w:r>
        <w:rPr/>
        <w:t xml:space="preserve"> and so on is not primarily the sense organs eye, ear, nose, etc., but that the terms are to be interpreted figuratively as the faculties of vision, hearing, smell and so on.”</w:t>
      </w:r>
    </w:p>
  </w:footnote>
  <w:footnote w:id="1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137:4.1–5.5</w:t>
      </w:r>
      <w:r>
        <w:rPr>
          <w:rStyle w:val="Hyperlink"/>
        </w:rPr>
        <w:fldChar w:fldCharType="end"/>
      </w:r>
      <w:r>
        <w:rPr/>
        <w:t xml:space="preserve"> </w:t>
      </w:r>
      <w:r>
        <w:rPr>
          <w:rStyle w:val="wwc-PTS-reference"/>
        </w:rPr>
        <w:t>M III 261</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33:2.2.4–2.2.7</w:t>
      </w:r>
      <w:r>
        <w:rPr>
          <w:rStyle w:val="Hyperlink"/>
        </w:rPr>
        <w:fldChar w:fldCharType="end"/>
      </w:r>
      <w:r>
        <w:rPr/>
        <w:t xml:space="preserve"> </w:t>
      </w:r>
      <w:r>
        <w:rPr>
          <w:rStyle w:val="wwc-PTS-reference"/>
        </w:rPr>
        <w:t>D III 243</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148:4.1–5.6</w:t>
      </w:r>
      <w:r>
        <w:rPr>
          <w:rStyle w:val="Hyperlink"/>
        </w:rPr>
        <w:fldChar w:fldCharType="end"/>
      </w:r>
      <w:r>
        <w:rPr/>
        <w:t xml:space="preserve"> </w:t>
      </w:r>
      <w:r>
        <w:rPr>
          <w:rStyle w:val="wwc-PTS-reference"/>
        </w:rPr>
        <w:t>M III 280</w:t>
      </w:r>
    </w:p>
  </w:footnote>
  <w:footnote w:id="15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12.2:10.1–10.3</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12.27:3.7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12.33:9.7</w:t>
      </w:r>
      <w:r>
        <w:rPr>
          <w:rStyle w:val="Hyperlink"/>
        </w:rPr>
        <w:fldChar w:fldCharType="end"/>
      </w:r>
    </w:p>
  </w:footnote>
  <w:footnote w:id="157">
    <w:p>
      <w:pPr>
        <w:pStyle w:val="FootnoteText"/>
        <w:rPr/>
      </w:pPr>
      <w:r>
        <w:rPr>
          <w:rStyle w:val="FootnoteCharacters"/>
        </w:rPr>
        <w:footnoteRef/>
      </w:r>
      <w:r>
        <w:rPr/>
        <w:t xml:space="preserve">See also </w:t>
      </w:r>
      <w:r>
        <w:rPr>
          <w:rStyle w:val="wwc-sesame-zot-reference"/>
        </w:rPr>
        <w:t>Frauwallner 1953/1973</w:t>
      </w:r>
      <w:r>
        <w:rPr/>
        <w:t xml:space="preserve"> p.158: “By [</w:t>
      </w:r>
      <w:r>
        <w:rPr>
          <w:rStyle w:val="wwc-pali"/>
        </w:rPr>
        <w:t>saḷāyatana</w:t>
      </w:r>
      <w:r>
        <w:rPr/>
        <w:t xml:space="preserve"> in Dependent Arising] are meant the six inner spheres, i.e., the six sense organs.” Also </w:t>
      </w:r>
      <w:r>
        <w:rPr>
          <w:rStyle w:val="wwc-sesame-zot-reference"/>
        </w:rPr>
        <w:t>Hamilton</w:t>
      </w:r>
      <w:r>
        <w:rPr/>
        <w:t xml:space="preserve"> p.16: “In the </w:t>
      </w:r>
      <w:r>
        <w:rPr>
          <w:rStyle w:val="wwc-sesame"/>
        </w:rPr>
        <w:t>Saḷāyatana Vagga</w:t>
      </w:r>
      <w:r>
        <w:rPr/>
        <w:t xml:space="preserve"> of the </w:t>
      </w:r>
      <w:r>
        <w:rPr>
          <w:rStyle w:val="wwc-sesame"/>
        </w:rPr>
        <w:t>Saṁyutta Nikāya</w:t>
      </w:r>
      <w:r>
        <w:rPr/>
        <w:t xml:space="preserve">, the six senses are defined as being </w:t>
      </w:r>
      <w:r>
        <w:rPr>
          <w:rStyle w:val="wwc-pali"/>
        </w:rPr>
        <w:t>ajjhattaṁ</w:t>
      </w:r>
      <w:r>
        <w:rPr/>
        <w:t xml:space="preserve">, personal or internal, and the six corresponding objects are defined as being </w:t>
      </w:r>
      <w:r>
        <w:rPr>
          <w:rStyle w:val="wwc-pali"/>
        </w:rPr>
        <w:t>bāhiraṁ</w:t>
      </w:r>
      <w:r>
        <w:rPr/>
        <w:t xml:space="preserve">, external, thus giving two ‘sets’ of six </w:t>
      </w:r>
      <w:r>
        <w:rPr>
          <w:rStyle w:val="wwc-pali"/>
        </w:rPr>
        <w:t>āyatanas</w:t>
      </w:r>
      <w:r>
        <w:rPr/>
        <w:t xml:space="preserve">. In the </w:t>
      </w:r>
      <w:r>
        <w:rPr>
          <w:rStyle w:val="wwc-sesame"/>
        </w:rPr>
        <w:t>Nidāna Saṁyutta</w:t>
      </w:r>
      <w:r>
        <w:rPr/>
        <w:t xml:space="preserve">, however, which is concerned with explaining </w:t>
      </w:r>
      <w:r>
        <w:rPr>
          <w:rStyle w:val="wwc-pali"/>
        </w:rPr>
        <w:t>paṭiccasamuppāda</w:t>
      </w:r>
      <w:r>
        <w:rPr/>
        <w:t xml:space="preserve">, only the personal </w:t>
      </w:r>
      <w:r>
        <w:rPr>
          <w:rStyle w:val="wwc-pali"/>
        </w:rPr>
        <w:t>āyatanas</w:t>
      </w:r>
      <w:r>
        <w:rPr/>
        <w:t xml:space="preserve"> [i.e. the sense ‘organs’] are referred to by the term </w:t>
      </w:r>
      <w:r>
        <w:rPr>
          <w:rStyle w:val="wwc-pali"/>
        </w:rPr>
        <w:t>āyatana</w:t>
      </w:r>
      <w:r>
        <w:rPr/>
        <w:t>.”</w:t>
      </w:r>
    </w:p>
  </w:footnote>
  <w:footnote w:id="1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2:83.3</w:t>
      </w:r>
      <w:r>
        <w:rPr>
          <w:rStyle w:val="Hyperlink"/>
        </w:rPr>
        <w:fldChar w:fldCharType="end"/>
      </w:r>
      <w:r>
        <w:rPr/>
        <w:t xml:space="preserve"> </w:t>
      </w:r>
      <w:r>
        <w:rPr>
          <w:rStyle w:val="wwc-PTS-reference"/>
        </w:rPr>
        <w:t>D I 76</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10:2.21.3</w:t>
      </w:r>
      <w:r>
        <w:rPr>
          <w:rStyle w:val="Hyperlink"/>
        </w:rPr>
        <w:fldChar w:fldCharType="end"/>
      </w:r>
      <w:r>
        <w:rPr/>
        <w:t xml:space="preserve"> </w:t>
      </w:r>
      <w:r>
        <w:rPr>
          <w:rStyle w:val="wwc-PTS-reference"/>
        </w:rPr>
        <w:t>D I 208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23:4.1</w:t>
      </w:r>
      <w:r>
        <w:rPr>
          <w:rStyle w:val="Hyperlink"/>
        </w:rPr>
        <w:fldChar w:fldCharType="end"/>
      </w:r>
      <w:r>
        <w:rPr/>
        <w:t xml:space="preserve"> </w:t>
      </w:r>
      <w:r>
        <w:rPr>
          <w:rStyle w:val="wwc-PTS-reference"/>
        </w:rPr>
        <w:t>M I 143</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74:9.1</w:t>
      </w:r>
      <w:r>
        <w:rPr>
          <w:rStyle w:val="Hyperlink"/>
        </w:rPr>
        <w:fldChar w:fldCharType="end"/>
      </w:r>
      <w:r>
        <w:rPr/>
        <w:t xml:space="preserve"> </w:t>
      </w:r>
      <w:r>
        <w:rPr>
          <w:rStyle w:val="wwc-PTS-reference"/>
        </w:rPr>
        <w:t>M I 499</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77:29.2</w:t>
      </w:r>
      <w:r>
        <w:rPr>
          <w:rStyle w:val="Hyperlink"/>
        </w:rPr>
        <w:fldChar w:fldCharType="end"/>
      </w:r>
      <w:r>
        <w:rPr/>
        <w:t xml:space="preserve"> </w:t>
      </w:r>
      <w:r>
        <w:rPr>
          <w:rStyle w:val="wwc-PTS-reference"/>
        </w:rPr>
        <w:t>M II 17</w:t>
      </w:r>
    </w:p>
  </w:footnote>
  <w:footnote w:id="1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22:6.3</w:t>
      </w:r>
      <w:r>
        <w:rPr>
          <w:rStyle w:val="Hyperlink"/>
        </w:rPr>
        <w:fldChar w:fldCharType="end"/>
      </w:r>
      <w:r>
        <w:rPr/>
        <w:t xml:space="preserve"> </w:t>
      </w:r>
      <w:r>
        <w:rPr>
          <w:rStyle w:val="wwc-PTS-reference"/>
        </w:rPr>
        <w:t>D II 294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10:12.3</w:t>
      </w:r>
      <w:r>
        <w:rPr>
          <w:rStyle w:val="Hyperlink"/>
        </w:rPr>
        <w:fldChar w:fldCharType="end"/>
      </w:r>
      <w:r>
        <w:rPr/>
        <w:t xml:space="preserve"> </w:t>
      </w:r>
      <w:r>
        <w:rPr>
          <w:rStyle w:val="wwc-PTS-reference"/>
        </w:rPr>
        <w:t>M I 58</w:t>
      </w:r>
    </w:p>
  </w:footnote>
  <w:footnote w:id="160">
    <w:p>
      <w:pPr>
        <w:pStyle w:val="FootnoteText"/>
        <w:rPr/>
      </w:pPr>
      <w:r>
        <w:rPr>
          <w:rStyle w:val="FootnoteCharacters"/>
        </w:rPr>
        <w:footnoteRef/>
      </w:r>
      <w:r>
        <w:rPr>
          <w:rStyle w:val="wwc-sesame-zot-reference"/>
        </w:rPr>
        <w:t>Hamilton</w:t>
      </w:r>
      <w:r>
        <w:rPr/>
        <w:t xml:space="preserve"> p.104</w:t>
      </w:r>
    </w:p>
  </w:footnote>
  <w:footnote w:id="161">
    <w:p>
      <w:pPr>
        <w:pStyle w:val="FootnoteText"/>
        <w:rPr/>
      </w:pPr>
      <w:r>
        <w:rPr>
          <w:rStyle w:val="FootnoteCharacters"/>
        </w:rPr>
        <w:footnoteRef/>
      </w:r>
      <w:r>
        <w:rPr>
          <w:rStyle w:val="wwc-sesame-zot-reference"/>
        </w:rPr>
        <w:t>Olalde 2014</w:t>
      </w:r>
      <w:r>
        <w:rPr/>
        <w:t xml:space="preserve"> p.114 (translation mine): “But first I would like to recall that </w:t>
      </w:r>
      <w:r>
        <w:rPr>
          <w:rStyle w:val="wwc-pali"/>
        </w:rPr>
        <w:t>nāmarūpa</w:t>
      </w:r>
      <w:r>
        <w:rPr/>
        <w:t xml:space="preserve"> in the Vedic texts and </w:t>
      </w:r>
      <w:r>
        <w:rPr>
          <w:rStyle w:val="wwc-sesame"/>
        </w:rPr>
        <w:t>Upaniṣads</w:t>
      </w:r>
      <w:r>
        <w:rPr/>
        <w:t xml:space="preserve"> can refer to both an individual, i.e. a person, as well as [things in] the entire world, with its application to individuals being actually older.”</w:t>
      </w:r>
    </w:p>
  </w:footnote>
  <w:footnote w:id="162">
    <w:p>
      <w:pPr>
        <w:pStyle w:val="FootnoteText"/>
        <w:rPr/>
      </w:pPr>
      <w:r>
        <w:rPr>
          <w:rStyle w:val="FootnoteCharacters"/>
        </w:rPr>
        <w:footnoteRef/>
      </w:r>
      <w:r>
        <w:rPr>
          <w:rStyle w:val="wwc-sesame-zot-reference"/>
        </w:rPr>
        <w:t>Olivelle</w:t>
      </w:r>
      <w:r>
        <w:rPr/>
        <w:t xml:space="preserve"> p.47</w:t>
      </w:r>
    </w:p>
  </w:footnote>
  <w:footnote w:id="1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12.64:4.1–5.8</w:t>
      </w:r>
      <w:r>
        <w:rPr>
          <w:rStyle w:val="Hyperlink"/>
        </w:rPr>
        <w:fldChar w:fldCharType="end"/>
      </w:r>
    </w:p>
  </w:footnote>
  <w:footnote w:id="164">
    <w:p>
      <w:pPr>
        <w:pStyle w:val="FootnoteText"/>
        <w:rPr/>
      </w:pPr>
      <w:r>
        <w:rPr>
          <w:rStyle w:val="FootnoteCharacters"/>
        </w:rPr>
        <w:footnoteRef/>
      </w:r>
      <w:r>
        <w:rPr/>
        <w:t xml:space="preserve">See </w:t>
      </w:r>
      <w:r>
        <w:rPr>
          <w:rStyle w:val="wwc-sesame-zot-reference"/>
        </w:rPr>
        <w:t>Hecker</w:t>
      </w:r>
      <w:r>
        <w:rPr/>
        <w:t xml:space="preserve"> p.53 and the commentary, translated by </w:t>
      </w:r>
      <w:r>
        <w:rPr>
          <w:rStyle w:val="wwc-sesame"/>
        </w:rPr>
        <w:t>Bodhi 2000 n.173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165">
    <w:p>
      <w:pPr>
        <w:pStyle w:val="FootnoteText"/>
        <w:rPr/>
      </w:pPr>
      <w:r>
        <w:rPr>
          <w:rStyle w:val="FootnoteCharacters"/>
        </w:rPr>
        <w:footnoteRef/>
      </w:r>
      <w:hyperlink w:anchor="bqseg84">
        <w:r>
          <w:rPr>
            <w:rStyle w:val="Hyperlink"/>
          </w:rPr>
          <w:t>§84</w:t>
        </w:r>
      </w:hyperlink>
    </w:p>
  </w:footnote>
  <w:footnote w:id="166">
    <w:p>
      <w:pPr>
        <w:pStyle w:val="FootnoteText"/>
        <w:rPr/>
      </w:pPr>
      <w:r>
        <w:rPr>
          <w:rStyle w:val="FootnoteCharacters"/>
        </w:rPr>
        <w:footnoteRef/>
      </w:r>
      <w:r>
        <w:rPr/>
        <w:t xml:space="preserve">For example </w:t>
      </w:r>
      <w:r>
        <w:rPr>
          <w:rStyle w:val="wwc-sesame-zot-reference"/>
        </w:rPr>
        <w:t>Ñāṇananda 2015</w:t>
      </w:r>
      <w:r>
        <w:rPr/>
        <w:t xml:space="preserve"> p.120, </w:t>
      </w:r>
      <w:r>
        <w:rPr>
          <w:rStyle w:val="wwc-sesame-zot-reference"/>
        </w:rPr>
        <w:t>Cintita</w:t>
      </w:r>
      <w:r>
        <w:rPr/>
        <w:t xml:space="preserve"> p.61</w:t>
      </w:r>
    </w:p>
  </w:footnote>
  <w:footnote w:id="167">
    <w:p>
      <w:pPr>
        <w:pStyle w:val="FootnoteText"/>
        <w:rPr/>
      </w:pPr>
      <w:r>
        <w:rPr>
          <w:rStyle w:val="FootnoteCharacters"/>
        </w:rPr>
        <w:footnoteRef/>
      </w:r>
      <w:bookmarkStart w:id="158" w:name="footnote166"/>
      <w:bookmarkEnd w:id="158"/>
      <w:r>
        <w:rPr>
          <w:rStyle w:val="wwc-pali"/>
        </w:rPr>
        <w:t>Abhinibbattento abhinibbatteti</w:t>
      </w:r>
      <w:r>
        <w:rPr/>
        <w:t xml:space="preserve">, ‘when [they] produce a next life, they produce’. The word </w:t>
      </w:r>
      <w:r>
        <w:rPr>
          <w:rStyle w:val="wwc-pali"/>
        </w:rPr>
        <w:t>abhinibbatteti</w:t>
      </w:r>
      <w:r>
        <w:rPr/>
        <w:t xml:space="preserve"> has a strong connection with rebirth. For example see </w:t>
      </w:r>
      <w:r>
        <w:fldChar w:fldCharType="begin"/>
      </w:r>
      <w:r>
        <w:rPr>
          <w:rStyle w:val="Hyperlink"/>
        </w:rPr>
        <w:instrText xml:space="preserve"> HYPERLINK "https://suttacentral.net/XXX/en/sujato" \l "YYY"</w:instrText>
      </w:r>
      <w:r>
        <w:rPr>
          <w:rStyle w:val="Hyperlink"/>
        </w:rPr>
        <w:fldChar w:fldCharType="separate"/>
      </w:r>
      <w:r>
        <w:rPr>
          <w:rStyle w:val="Hyperlink"/>
        </w:rPr>
        <w:t>AN 10.65:2.2</w:t>
      </w:r>
      <w:r>
        <w:rPr>
          <w:rStyle w:val="Hyperlink"/>
        </w:rPr>
        <w:fldChar w:fldCharType="end"/>
      </w:r>
      <w:r>
        <w:rPr/>
        <w:t>, “being reborn (</w:t>
      </w:r>
      <w:r>
        <w:rPr>
          <w:rStyle w:val="wwc-pali"/>
        </w:rPr>
        <w:t>abhinibbatti</w:t>
      </w:r>
      <w:r>
        <w:rPr/>
        <w:t xml:space="preserve">) is painful”, or the definition of birth in </w:t>
      </w:r>
      <w:hyperlink w:anchor="bqseg20">
        <w:r>
          <w:rPr>
            <w:rStyle w:val="Hyperlink"/>
          </w:rPr>
          <w:t>§20</w:t>
        </w:r>
      </w:hyperlink>
      <w:r>
        <w:rPr/>
        <w:t xml:space="preserve">, which includes </w:t>
      </w:r>
      <w:r>
        <w:rPr>
          <w:rStyle w:val="wwc-pali"/>
        </w:rPr>
        <w:t>abhinibbatti</w:t>
      </w:r>
      <w:r>
        <w:rPr/>
        <w:t xml:space="preserve">. To capture this meaning, which is surely implied given the context of transmigration, I translate it here as ‘they produce a next life’, following the example of </w:t>
      </w:r>
      <w:r>
        <w:rPr>
          <w:rStyle w:val="wwc-sesame-zot-reference"/>
        </w:rPr>
        <w:t>Sujato 2023</w:t>
      </w:r>
    </w:p>
  </w:footnote>
  <w:footnote w:id="1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22.99:2.9</w:t>
      </w:r>
      <w:r>
        <w:rPr>
          <w:rStyle w:val="Hyperlink"/>
        </w:rPr>
        <w:fldChar w:fldCharType="end"/>
      </w:r>
    </w:p>
  </w:footnote>
  <w:footnote w:id="170">
    <w:p>
      <w:pPr>
        <w:pStyle w:val="FootnoteText"/>
        <w:rPr/>
      </w:pPr>
      <w:r>
        <w:rPr>
          <w:rStyle w:val="FootnoteCharacters"/>
        </w:rPr>
        <w:footnoteRef/>
      </w:r>
      <w:r>
        <w:rPr>
          <w:rStyle w:val="wwc-sesame"/>
        </w:rPr>
        <w:t>Bodhi 2000 n.206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71">
    <w:p>
      <w:pPr>
        <w:pStyle w:val="FootnoteText"/>
        <w:rPr/>
      </w:pPr>
      <w:r>
        <w:rPr>
          <w:rStyle w:val="FootnoteCharacters"/>
        </w:rPr>
        <w:footnoteRef/>
      </w:r>
      <w:r>
        <w:rPr/>
        <w:t xml:space="preserve">See also </w:t>
      </w:r>
      <w:r>
        <w:rPr>
          <w:rStyle w:val="wwc-sesame-zot-reference"/>
        </w:rPr>
        <w:t>Piyadassi</w:t>
      </w:r>
      <w:r>
        <w:rPr/>
        <w:t xml:space="preserve"> p.6 </w:t>
      </w:r>
      <w:r>
        <w:rPr>
          <w:rStyle w:val="Emphasis"/>
        </w:rPr>
        <w:t>(ed. p.15 in PDF)</w:t>
      </w:r>
      <w:r>
        <w:rPr/>
        <w:t xml:space="preserve">, </w:t>
      </w:r>
      <w:r>
        <w:rPr>
          <w:rStyle w:val="wwc-sesame-zot-reference"/>
        </w:rPr>
        <w:t>Bodhi 1984</w:t>
      </w:r>
      <w:r>
        <w:rPr/>
        <w:t xml:space="preserve"> p.5, </w:t>
      </w:r>
      <w:r>
        <w:rPr>
          <w:rStyle w:val="wwc-sesame-zot-reference"/>
        </w:rPr>
        <w:t>Nyanatiloka</w:t>
      </w:r>
      <w:r>
        <w:rPr/>
        <w:t xml:space="preserve"> p.13</w:t>
      </w:r>
    </w:p>
  </w:footnote>
  <w:footnote w:id="1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98:13.1–13.8</w:t>
      </w:r>
      <w:r>
        <w:rPr>
          <w:rStyle w:val="Hyperlink"/>
        </w:rPr>
        <w:fldChar w:fldCharType="end"/>
      </w:r>
      <w:r>
        <w:rPr/>
        <w:t xml:space="preserve"> </w:t>
      </w:r>
      <w:r>
        <w:rPr>
          <w:rStyle w:val="wwc-PTS-reference"/>
        </w:rPr>
        <w:t>M II 123</w:t>
      </w:r>
    </w:p>
  </w:footnote>
  <w:footnote w:id="173">
    <w:p>
      <w:pPr>
        <w:pStyle w:val="FootnoteText"/>
        <w:rPr/>
      </w:pPr>
      <w:r>
        <w:rPr>
          <w:rStyle w:val="FootnoteCharacters"/>
        </w:rPr>
        <w:footnoteRef/>
      </w:r>
      <w:r>
        <w:rPr/>
        <w:t xml:space="preserve">For example </w:t>
      </w:r>
      <w:hyperlink w:anchor="bqseg49">
        <w:r>
          <w:rPr>
            <w:rStyle w:val="Hyperlink"/>
          </w:rPr>
          <w:t>§49</w:t>
        </w:r>
      </w:hyperlink>
      <w:r>
        <w:rPr/>
        <w:t xml:space="preserve"> and </w:t>
      </w:r>
      <w:hyperlink w:anchor="bqseg62">
        <w:r>
          <w:rPr>
            <w:rStyle w:val="Hyperlink"/>
          </w:rPr>
          <w:t>§62</w:t>
        </w:r>
      </w:hyperlink>
    </w:p>
  </w:footnote>
  <w:footnote w:id="1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22.56:10.1–10.4</w:t>
      </w:r>
      <w:r>
        <w:rPr>
          <w:rStyle w:val="Hyperlink"/>
        </w:rPr>
        <w:fldChar w:fldCharType="end"/>
      </w:r>
    </w:p>
  </w:footnote>
  <w:footnote w:id="1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6.63:33.3–33.5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136:2.13–2.14, 6.10–6.12</w:t>
      </w:r>
      <w:r>
        <w:rPr>
          <w:rStyle w:val="Hyperlink"/>
        </w:rPr>
        <w:fldChar w:fldCharType="end"/>
      </w:r>
      <w:r>
        <w:rPr/>
        <w:t xml:space="preserve"> </w:t>
      </w:r>
      <w:r>
        <w:rPr>
          <w:rStyle w:val="wwc-PTS-reference"/>
        </w:rPr>
        <w:t>M III 207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10.219</w:t>
      </w:r>
      <w:r>
        <w:rPr>
          <w:rStyle w:val="Hyperlink"/>
        </w:rPr>
        <w:fldChar w:fldCharType="end"/>
      </w:r>
      <w:r>
        <w:rPr/>
        <w:t xml:space="preserve"> also speak of intentional deeds (</w:t>
      </w:r>
      <w:r>
        <w:rPr>
          <w:rStyle w:val="wwc-pali"/>
        </w:rPr>
        <w:t>sañcetanika kamma</w:t>
      </w:r>
      <w:r>
        <w:rPr/>
        <w:t>).</w:t>
      </w:r>
    </w:p>
  </w:footnote>
  <w:footnote w:id="1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4.237:2.1–3.2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4.238:1.2–2.2</w:t>
      </w:r>
      <w:r>
        <w:rPr>
          <w:rStyle w:val="Hyperlink"/>
        </w:rPr>
        <w:fldChar w:fldCharType="end"/>
      </w:r>
    </w:p>
  </w:footnote>
  <w:footnote w:id="1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w:t>
      </w:r>
      <w:r>
        <w:rPr>
          <w:rStyle w:val="Hyperlink"/>
        </w:rPr>
        <w:fldChar w:fldCharType="end"/>
      </w:r>
    </w:p>
  </w:footnote>
  <w:footnote w:id="179">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1.43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AN 1.44</w:t>
      </w:r>
      <w:r>
        <w:rPr>
          <w:rStyle w:val="Hyperlink"/>
        </w:rPr>
        <w:fldChar w:fldCharType="end"/>
      </w:r>
      <w:r>
        <w:rPr/>
        <w:t>, where “end up in heaven as if carried up there” follows “if a person dies”.</w:t>
      </w:r>
    </w:p>
  </w:footnote>
  <w:footnote w:id="1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2.17:2.1–2.8</w:t>
      </w:r>
      <w:r>
        <w:rPr>
          <w:rStyle w:val="Hyperlink"/>
        </w:rPr>
        <w:fldChar w:fldCharType="end"/>
      </w:r>
    </w:p>
  </w:footnote>
  <w:footnote w:id="1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57:8.1–9.10</w:t>
      </w:r>
      <w:r>
        <w:rPr>
          <w:rStyle w:val="Hyperlink"/>
        </w:rPr>
        <w:fldChar w:fldCharType="end"/>
      </w:r>
      <w:r>
        <w:rPr/>
        <w:t xml:space="preserve"> </w:t>
      </w:r>
      <w:r>
        <w:rPr>
          <w:rStyle w:val="wwc-PTS-reference"/>
        </w:rPr>
        <w:t>M I 389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AN 4.233:2.1–3.6</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AN 4.234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4.240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3.8</w:t>
      </w:r>
      <w:r>
        <w:rPr>
          <w:rStyle w:val="Hyperlink"/>
        </w:rPr>
        <w:fldChar w:fldCharType="end"/>
      </w:r>
    </w:p>
  </w:footnote>
  <w:footnote w:id="1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3.23</w:t>
      </w:r>
      <w:r>
        <w:rPr>
          <w:rStyle w:val="Hyperlink"/>
        </w:rPr>
        <w:fldChar w:fldCharType="end"/>
      </w:r>
    </w:p>
  </w:footnote>
  <w:footnote w:id="1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44:13.2–13.3</w:t>
      </w:r>
      <w:r>
        <w:rPr>
          <w:rStyle w:val="Hyperlink"/>
        </w:rPr>
        <w:fldChar w:fldCharType="end"/>
      </w:r>
      <w:r>
        <w:rPr/>
        <w:t xml:space="preserve"> </w:t>
      </w:r>
      <w:r>
        <w:rPr>
          <w:rStyle w:val="wwc-PTS-reference"/>
        </w:rPr>
        <w:t>M I 301</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41.6:1.3–1.5</w:t>
      </w:r>
      <w:r>
        <w:rPr>
          <w:rStyle w:val="Hyperlink"/>
        </w:rPr>
        <w:fldChar w:fldCharType="end"/>
      </w:r>
    </w:p>
  </w:footnote>
  <w:footnote w:id="184">
    <w:p>
      <w:pPr>
        <w:pStyle w:val="FootnoteText"/>
        <w:rPr/>
      </w:pPr>
      <w:r>
        <w:rPr>
          <w:rStyle w:val="FootnoteCharacters"/>
        </w:rPr>
        <w:footnoteRef/>
      </w:r>
      <w:r>
        <w:rPr/>
        <w:t xml:space="preserve">For similar arguments see </w:t>
      </w:r>
      <w:r>
        <w:rPr>
          <w:rStyle w:val="wwc-sesame-zot-reference"/>
        </w:rPr>
        <w:t>Bodhi 1998</w:t>
      </w:r>
      <w:r>
        <w:rPr/>
        <w:t xml:space="preserve"> p.57, contra e.g. </w:t>
      </w:r>
      <w:r>
        <w:rPr>
          <w:rStyle w:val="wwc-sesame-zot-reference"/>
        </w:rPr>
        <w:t>Ñāṇavīra</w:t>
      </w:r>
      <w:r>
        <w:rPr/>
        <w:t xml:space="preserve"> p.16, </w:t>
      </w:r>
      <w:r>
        <w:rPr>
          <w:rStyle w:val="wwc-sesame-zot-reference"/>
        </w:rPr>
        <w:t>Ñāṇananda 2015</w:t>
      </w:r>
      <w:r>
        <w:rPr/>
        <w:t xml:space="preserve"> p.125, </w:t>
      </w:r>
      <w:r>
        <w:rPr>
          <w:rStyle w:val="wwc-sesame-zot-reference"/>
        </w:rPr>
        <w:t>Ṭhānissaro 2008b</w:t>
      </w:r>
      <w:r>
        <w:rPr/>
        <w:t xml:space="preserve"> p.3 </w:t>
      </w:r>
      <w:r>
        <w:rPr>
          <w:rStyle w:val="Emphasis"/>
        </w:rPr>
        <w:t>(ed: p.8 in PDF)</w:t>
      </w:r>
      <w:r>
        <w:rPr/>
        <w:t xml:space="preserve">. Bodhi also argues: “In analyzing the teaching of </w:t>
      </w:r>
      <w:r>
        <w:rPr>
          <w:rStyle w:val="wwc-pali"/>
        </w:rPr>
        <w:t>paṭiccasamuppāda</w:t>
      </w:r>
      <w:r>
        <w:rPr/>
        <w:t xml:space="preserve">, the texts use the two terms </w:t>
      </w:r>
      <w:r>
        <w:rPr>
          <w:rStyle w:val="wwc-pali"/>
        </w:rPr>
        <w:t>cittasaṅkhārā</w:t>
      </w:r>
      <w:r>
        <w:rPr/>
        <w:t xml:space="preserve"> and </w:t>
      </w:r>
      <w:r>
        <w:rPr>
          <w:rStyle w:val="wwc-pali"/>
        </w:rPr>
        <w:t>manosaṅkhārā</w:t>
      </w:r>
      <w:r>
        <w:rPr/>
        <w:t xml:space="preserve"> as though they were interchangeable.” Sanskrit parallels to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 xml:space="preserve"> indeed use </w:t>
      </w:r>
      <w:r>
        <w:rPr>
          <w:rStyle w:val="wwc-sanskrit"/>
        </w:rPr>
        <w:t>manaḥsaṁskāra</w:t>
      </w:r>
      <w:r>
        <w:rPr/>
        <w:t xml:space="preserve"> instead of </w:t>
      </w:r>
      <w:r>
        <w:rPr>
          <w:rStyle w:val="wwc-sanskrit"/>
        </w:rPr>
        <w:t>cittasaṅkhāra</w:t>
      </w:r>
      <w:r>
        <w:rPr/>
        <w:t xml:space="preserve"> (</w:t>
      </w:r>
      <w:hyperlink r:id="rId15">
        <w:r>
          <w:rPr>
            <w:rStyle w:val="Hyperlink"/>
          </w:rPr>
          <w:t>SF 165</w:t>
        </w:r>
      </w:hyperlink>
      <w:r>
        <w:rPr/>
        <w:t xml:space="preserve">, </w:t>
      </w:r>
      <w:hyperlink r:id="rId16">
        <w:r>
          <w:rPr>
            <w:rStyle w:val="Hyperlink"/>
          </w:rPr>
          <w:t>SF 238</w:t>
        </w:r>
      </w:hyperlink>
      <w:r>
        <w:rPr/>
        <w:t>).</w:t>
      </w:r>
    </w:p>
  </w:footnote>
  <w:footnote w:id="1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3.146:2.1–2.4</w:t>
      </w:r>
      <w:r>
        <w:rPr>
          <w:rStyle w:val="Hyperlink"/>
        </w:rPr>
        <w:fldChar w:fldCharType="end"/>
      </w:r>
    </w:p>
  </w:footnote>
  <w:footnote w:id="1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10.221:2.1–2.4</w:t>
      </w:r>
      <w:r>
        <w:rPr>
          <w:rStyle w:val="Hyperlink"/>
        </w:rPr>
        <w:fldChar w:fldCharType="end"/>
      </w:r>
    </w:p>
  </w:footnote>
  <w:footnote w:id="1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41:7.1</w:t>
      </w:r>
      <w:r>
        <w:rPr>
          <w:rStyle w:val="Hyperlink"/>
        </w:rPr>
        <w:fldChar w:fldCharType="end"/>
      </w:r>
      <w:r>
        <w:rPr/>
        <w:t xml:space="preserve"> </w:t>
      </w:r>
      <w:r>
        <w:rPr>
          <w:rStyle w:val="wwc-PTS-reference"/>
        </w:rPr>
        <w:t>M I 287</w:t>
      </w:r>
      <w:r>
        <w:rPr/>
        <w:t xml:space="preserve">, idem at </w:t>
      </w:r>
      <w:r>
        <w:fldChar w:fldCharType="begin"/>
      </w:r>
      <w:r>
        <w:rPr>
          <w:rStyle w:val="Hyperlink"/>
        </w:rPr>
        <w:instrText xml:space="preserve"> HYPERLINK "https://suttacentral.net/XXX/en/sujato" \l "YYY"</w:instrText>
      </w:r>
      <w:r>
        <w:rPr>
          <w:rStyle w:val="Hyperlink"/>
        </w:rPr>
        <w:fldChar w:fldCharType="separate"/>
      </w:r>
      <w:r>
        <w:rPr>
          <w:rStyle w:val="Hyperlink"/>
        </w:rPr>
        <w:t>MN 42</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10.176:24.1–24.3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10.220:8.1–8.3</w:t>
      </w:r>
      <w:r>
        <w:rPr>
          <w:rStyle w:val="Hyperlink"/>
        </w:rPr>
        <w:fldChar w:fldCharType="end"/>
      </w:r>
    </w:p>
  </w:footnote>
  <w:footnote w:id="189">
    <w:p>
      <w:pPr>
        <w:pStyle w:val="FootnoteText"/>
        <w:rPr/>
      </w:pPr>
      <w:r>
        <w:rPr>
          <w:rStyle w:val="FootnoteCharacters"/>
        </w:rPr>
        <w:footnoteRef/>
      </w:r>
      <w:hyperlink w:anchor="bqseg55">
        <w:r>
          <w:rPr>
            <w:rStyle w:val="Hyperlink"/>
          </w:rPr>
          <w:t>§55</w:t>
        </w:r>
      </w:hyperlink>
    </w:p>
  </w:footnote>
  <w:footnote w:id="1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191">
    <w:p>
      <w:pPr>
        <w:pStyle w:val="FootnoteText"/>
        <w:rPr/>
      </w:pPr>
      <w:r>
        <w:rPr>
          <w:rStyle w:val="FootnoteCharacters"/>
        </w:rPr>
        <w:footnoteRef/>
      </w:r>
      <w:r>
        <w:rPr/>
        <w:t xml:space="preserve">See also </w:t>
      </w:r>
      <w:r>
        <w:rPr>
          <w:rStyle w:val="wwc-sesame-zot-reference"/>
        </w:rPr>
        <w:t>Vetter 1988</w:t>
      </w:r>
      <w:r>
        <w:rPr/>
        <w:t xml:space="preserve"> p.50: “</w:t>
      </w:r>
      <w:r>
        <w:rPr>
          <w:rStyle w:val="wwc-pali"/>
        </w:rPr>
        <w:t>Saṅkhārā</w:t>
      </w:r>
      <w:r>
        <w:rPr/>
        <w:t xml:space="preserve"> as a condition of ‘perception’ [</w:t>
      </w:r>
      <w:r>
        <w:rPr>
          <w:rStyle w:val="wwc-pali"/>
        </w:rPr>
        <w:t>viññāṇa</w:t>
      </w:r>
      <w:r>
        <w:rP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2">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2.18</w:t>
      </w:r>
      <w:r>
        <w:rPr>
          <w:rStyle w:val="Hyperlink"/>
        </w:rPr>
        <w:fldChar w:fldCharType="end"/>
      </w:r>
    </w:p>
  </w:footnote>
  <w:footnote w:id="193">
    <w:p>
      <w:pPr>
        <w:pStyle w:val="FootnoteText"/>
        <w:rPr/>
      </w:pPr>
      <w:r>
        <w:rPr>
          <w:rStyle w:val="FootnoteCharacters"/>
        </w:rPr>
        <w:footnoteRef/>
      </w:r>
      <w:bookmarkStart w:id="159" w:name="footnote192"/>
      <w:bookmarkEnd w:id="159"/>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2.23:12.5</w:t>
      </w:r>
      <w:r>
        <w:rPr>
          <w:rStyle w:val="Hyperlink"/>
        </w:rPr>
        <w:fldChar w:fldCharType="end"/>
      </w:r>
      <w:r>
        <w:rPr/>
        <w:t>, which equates deeds of merit (</w:t>
      </w:r>
      <w:r>
        <w:rPr>
          <w:rStyle w:val="wwc-pali"/>
        </w:rPr>
        <w:t>katānaṁ puññānaṁ</w:t>
      </w:r>
      <w:r>
        <w:rPr/>
        <w:t>) to wholesome deeds (</w:t>
      </w:r>
      <w:r>
        <w:rPr>
          <w:rStyle w:val="wwc-pali"/>
        </w:rPr>
        <w:t>katānaṁ kusalānaṁ</w:t>
      </w:r>
      <w:r>
        <w:rPr/>
        <w:t xml:space="preserve">); or </w:t>
      </w:r>
      <w:r>
        <w:fldChar w:fldCharType="begin"/>
      </w:r>
      <w:r>
        <w:rPr>
          <w:rStyle w:val="Hyperlink"/>
        </w:rPr>
        <w:instrText xml:space="preserve"> HYPERLINK "https://suttacentral.net/XXX/en/sujato" \l "YYY"</w:instrText>
      </w:r>
      <w:r>
        <w:rPr>
          <w:rStyle w:val="Hyperlink"/>
        </w:rPr>
        <w:fldChar w:fldCharType="separate"/>
      </w:r>
      <w:r>
        <w:rPr>
          <w:rStyle w:val="Hyperlink"/>
        </w:rPr>
        <w:t>AN 3.9</w:t>
      </w:r>
      <w:r>
        <w:rPr>
          <w:rStyle w:val="Hyperlink"/>
        </w:rPr>
        <w:fldChar w:fldCharType="end"/>
      </w:r>
      <w:r>
        <w:rPr/>
        <w:t>, which says moral physical, verbal, and mental conduct results in merit.</w:t>
      </w:r>
    </w:p>
  </w:footnote>
  <w:footnote w:id="194">
    <w:p>
      <w:pPr>
        <w:pStyle w:val="FootnoteText"/>
        <w:rPr/>
      </w:pPr>
      <w:r>
        <w:rPr>
          <w:rStyle w:val="FootnoteCharacters"/>
        </w:rPr>
        <w:footnoteRef/>
      </w:r>
      <w:r>
        <w:rPr/>
        <w:t>There seems to be a play on words here, because it could also be rendered, “traveling on to (</w:t>
      </w:r>
      <w:r>
        <w:rPr>
          <w:rStyle w:val="wwc-pali"/>
        </w:rPr>
        <w:t>upaga</w:t>
      </w:r>
      <w:r>
        <w:rPr/>
        <w:t>) the fruits of meritorious and bad acts”, which implies rebirth.</w:t>
      </w:r>
    </w:p>
  </w:footnote>
  <w:footnote w:id="1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3.22:4.1–4.6</w:t>
      </w:r>
      <w:r>
        <w:rPr>
          <w:rStyle w:val="Hyperlink"/>
        </w:rPr>
        <w:fldChar w:fldCharType="end"/>
      </w:r>
    </w:p>
  </w:footnote>
  <w:footnote w:id="19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1.314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1.315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4.171</w:t>
      </w:r>
      <w:r>
        <w:rPr>
          <w:rStyle w:val="Hyperlink"/>
        </w:rPr>
        <w:fldChar w:fldCharType="end"/>
      </w:r>
    </w:p>
  </w:footnote>
  <w:footnote w:id="1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82:42.35–42.46</w:t>
      </w:r>
      <w:r>
        <w:rPr>
          <w:rStyle w:val="Hyperlink"/>
        </w:rPr>
        <w:fldChar w:fldCharType="end"/>
      </w:r>
      <w:r>
        <w:rPr/>
        <w:t xml:space="preserve"> </w:t>
      </w:r>
      <w:r>
        <w:rPr>
          <w:rStyle w:val="wwc-PTS-reference"/>
        </w:rPr>
        <w:t>M II 73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16.4:16.1–18.4</w:t>
      </w:r>
      <w:r>
        <w:rPr>
          <w:rStyle w:val="Hyperlink"/>
        </w:rPr>
        <w:fldChar w:fldCharType="end"/>
      </w:r>
    </w:p>
  </w:footnote>
  <w:footnote w:id="198">
    <w:p>
      <w:pPr>
        <w:pStyle w:val="FootnoteText"/>
        <w:rPr/>
      </w:pPr>
      <w:r>
        <w:rPr>
          <w:rStyle w:val="FootnoteCharacters"/>
        </w:rPr>
        <w:footnoteRef/>
      </w:r>
      <w:r>
        <w:rPr/>
        <w:t xml:space="preserve">See for example </w:t>
      </w:r>
      <w:r>
        <w:rPr>
          <w:rStyle w:val="wwc-sesame-zot-reference"/>
        </w:rPr>
        <w:t>Gombrich 1980</w:t>
      </w:r>
      <w:r>
        <w:rPr/>
        <w:t xml:space="preserve"> p.50</w:t>
      </w:r>
    </w:p>
  </w:footnote>
  <w:footnote w:id="199">
    <w:p>
      <w:pPr>
        <w:pStyle w:val="FootnoteText"/>
        <w:rPr/>
      </w:pPr>
      <w:r>
        <w:rPr>
          <w:rStyle w:val="FootnoteCharacters"/>
        </w:rPr>
        <w:footnoteRef/>
      </w:r>
      <w:r>
        <w:rPr/>
        <w:t xml:space="preserve">In Jain context </w:t>
      </w:r>
      <w:r>
        <w:rPr>
          <w:rStyle w:val="wwc-pali"/>
        </w:rPr>
        <w:t>āsava</w:t>
      </w:r>
      <w:r>
        <w:rPr/>
        <w:t>/</w:t>
      </w:r>
      <w:r>
        <w:rPr>
          <w:rStyle w:val="wwc-sanskrit"/>
        </w:rPr>
        <w:t>āsrava</w:t>
      </w:r>
      <w:r>
        <w:rPr/>
        <w:t xml:space="preserve"> refers to the inflow of physical karmic particles, which in the Jain texts is compared to water flowing into a pond. (</w:t>
      </w:r>
      <w:r>
        <w:rPr>
          <w:rStyle w:val="wwc-sesame-zot-reference"/>
        </w:rPr>
        <w:t>Malvania</w:t>
      </w:r>
      <w:r>
        <w:rPr/>
        <w:t xml:space="preserve"> p.47, 83) The Buddha used the same terminology, possibly having adopted it directly from the Jains. For him </w:t>
      </w:r>
      <w:r>
        <w:rPr>
          <w:rStyle w:val="wwc-pali"/>
        </w:rPr>
        <w:t>āsavas</w:t>
      </w:r>
      <w:r>
        <w:rPr/>
        <w:t xml:space="preserve"> are not physical particles but states of mind that defile (</w:t>
      </w:r>
      <w:r>
        <w:rPr>
          <w:rStyle w:val="wwc-pali"/>
        </w:rPr>
        <w:t>saṅkilesikā</w:t>
      </w:r>
      <w:r>
        <w:rPr/>
        <w:t xml:space="preserve">), that lead to rebirth—see </w:t>
      </w:r>
      <w:r>
        <w:fldChar w:fldCharType="begin"/>
      </w:r>
      <w:r>
        <w:rPr>
          <w:rStyle w:val="Hyperlink"/>
        </w:rPr>
        <w:instrText xml:space="preserve"> HYPERLINK "https://suttacentral.net/XXX/en/sujato" \l "YYY"</w:instrText>
      </w:r>
      <w:r>
        <w:rPr>
          <w:rStyle w:val="Hyperlink"/>
        </w:rPr>
        <w:fldChar w:fldCharType="separate"/>
      </w:r>
      <w:r>
        <w:rPr>
          <w:rStyle w:val="Hyperlink"/>
        </w:rPr>
        <w:t>MN 36:47.1–47.7</w:t>
      </w:r>
      <w:r>
        <w:rPr>
          <w:rStyle w:val="Hyperlink"/>
        </w:rPr>
        <w:fldChar w:fldCharType="end"/>
      </w:r>
      <w:r>
        <w:rPr/>
        <w:t xml:space="preserve"> </w:t>
      </w:r>
      <w:r>
        <w:rPr>
          <w:rStyle w:val="wwc-PTS-reference"/>
        </w:rPr>
        <w:t>M I 250</w:t>
      </w:r>
      <w:r>
        <w:rPr/>
        <w:t>.</w:t>
      </w:r>
    </w:p>
  </w:footnote>
  <w:footnote w:id="200">
    <w:p>
      <w:pPr>
        <w:pStyle w:val="FootnoteText"/>
        <w:rPr/>
      </w:pPr>
      <w:r>
        <w:rPr>
          <w:rStyle w:val="FootnoteCharacters"/>
        </w:rPr>
        <w:footnoteRef/>
      </w:r>
      <w:r>
        <w:rPr/>
        <w:t xml:space="preserve">More literally it says the pain-producing </w:t>
      </w:r>
      <w:r>
        <w:rPr>
          <w:rStyle w:val="wwc-pali"/>
        </w:rPr>
        <w:t>āsavas</w:t>
      </w:r>
      <w:r>
        <w:rPr/>
        <w:t xml:space="preserve"> (lit. ‘inflowings’) flow into (</w:t>
      </w:r>
      <w:r>
        <w:rPr>
          <w:rStyle w:val="wwc-pali"/>
        </w:rPr>
        <w:t>assaveyyuṁ</w:t>
      </w:r>
      <w:r>
        <w:rPr/>
        <w:t>) that person.</w:t>
      </w:r>
    </w:p>
  </w:footnote>
  <w:footnote w:id="2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4.195</w:t>
      </w:r>
      <w:r>
        <w:rPr>
          <w:rStyle w:val="Hyperlink"/>
        </w:rPr>
        <w:fldChar w:fldCharType="end"/>
      </w:r>
    </w:p>
  </w:footnote>
  <w:footnote w:id="202">
    <w:p>
      <w:pPr>
        <w:pStyle w:val="FootnoteText"/>
        <w:rPr/>
      </w:pPr>
      <w:r>
        <w:rPr>
          <w:rStyle w:val="FootnoteCharacters"/>
        </w:rPr>
        <w:footnoteRef/>
      </w:r>
      <w:r>
        <w:rPr/>
        <w:t xml:space="preserve">See </w:t>
      </w:r>
      <w:r>
        <w:rPr>
          <w:rStyle w:val="wwc-sesame"/>
        </w:rPr>
        <w:t>Gombrich 2009</w:t>
      </w:r>
      <w:r>
        <w:rPr/>
        <w:t xml:space="preserve"> p.56: “The Buddha converts a Jain by making play with two words, </w:t>
      </w:r>
      <w:r>
        <w:rPr>
          <w:rStyle w:val="wwc-pali"/>
        </w:rPr>
        <w:t>āsava</w:t>
      </w:r>
      <w:r>
        <w:rPr/>
        <w:t xml:space="preserve"> and </w:t>
      </w:r>
      <w:r>
        <w:rPr>
          <w:rStyle w:val="wwc-pali"/>
        </w:rPr>
        <w:t>samārambha</w:t>
      </w:r>
      <w:r>
        <w:rPr/>
        <w:t>.”</w:t>
      </w:r>
    </w:p>
  </w:footnote>
  <w:footnote w:id="20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35.146:1.3–1.7</w:t>
      </w:r>
      <w:r>
        <w:rPr>
          <w:rStyle w:val="Hyperlink"/>
        </w:rPr>
        <w:fldChar w:fldCharType="end"/>
      </w:r>
    </w:p>
  </w:footnote>
  <w:footnote w:id="2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12.37</w:t>
      </w:r>
      <w:r>
        <w:rPr>
          <w:rStyle w:val="Hyperlink"/>
        </w:rPr>
        <w:fldChar w:fldCharType="end"/>
      </w:r>
    </w:p>
  </w:footnote>
  <w:footnote w:id="205">
    <w:p>
      <w:pPr>
        <w:pStyle w:val="FootnoteText"/>
        <w:rPr/>
      </w:pPr>
      <w:r>
        <w:rPr>
          <w:rStyle w:val="FootnoteCharacters"/>
        </w:rPr>
        <w:footnoteRef/>
      </w:r>
      <w:r>
        <w:rPr>
          <w:rStyle w:val="wwc-sesam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12.37</w:t>
      </w:r>
      <w:r>
        <w:rPr>
          <w:rStyle w:val="Hyperlink"/>
        </w:rPr>
        <w:fldChar w:fldCharType="end"/>
      </w:r>
      <w:r>
        <w:rPr/>
        <w:t xml:space="preserve">: “It’s old deeds, and should be seen as </w:t>
      </w:r>
      <w:r>
        <w:rPr>
          <w:rStyle w:val="Emphasis"/>
        </w:rPr>
        <w:t>produced by choices</w:t>
      </w:r>
      <w:r>
        <w:rPr/>
        <w:t xml:space="preserve"> and intentions, as something to be felt.”</w:t>
      </w:r>
    </w:p>
  </w:footnote>
  <w:footnote w:id="20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Dhp 278</w:t>
      </w:r>
      <w:r>
        <w:rPr>
          <w:rStyle w:val="Hyperlink"/>
        </w:rPr>
        <w:fldChar w:fldCharType="end"/>
      </w:r>
    </w:p>
  </w:footnote>
  <w:footnote w:id="207">
    <w:p>
      <w:pPr>
        <w:pStyle w:val="FootnoteText"/>
        <w:rPr/>
      </w:pPr>
      <w:r>
        <w:rPr>
          <w:rStyle w:val="FootnoteCharacters"/>
        </w:rPr>
        <w:footnoteRef/>
      </w:r>
      <w:r>
        <w:rPr/>
        <w:t xml:space="preserve">See also </w:t>
      </w:r>
      <w:r>
        <w:rPr>
          <w:rStyle w:val="wwc-sesame"/>
        </w:rPr>
        <w:t>Piyadassi</w:t>
      </w:r>
      <w:r>
        <w:rPr/>
        <w:t xml:space="preserve"> p.6 </w:t>
      </w:r>
      <w:r>
        <w:rPr>
          <w:rStyle w:val="Emphasis"/>
        </w:rPr>
        <w:t>(ed: p.15 in PDF)</w:t>
      </w:r>
    </w:p>
  </w:footnote>
  <w:footnote w:id="208">
    <w:p>
      <w:pPr>
        <w:pStyle w:val="FootnoteText"/>
        <w:rPr/>
      </w:pPr>
      <w:r>
        <w:rPr>
          <w:rStyle w:val="FootnoteCharacters"/>
        </w:rPr>
        <w:footnoteRef/>
      </w:r>
      <w:r>
        <w:rPr/>
        <w:t xml:space="preserve">Contextually this refers to the aggregate of </w:t>
      </w:r>
      <w:r>
        <w:rPr>
          <w:rStyle w:val="wwc-pali"/>
        </w:rPr>
        <w:t>saṅkhāra</w:t>
      </w:r>
      <w:r>
        <w:rPr/>
        <w:t>, which I usually translate as ‘will’, but to show the connections with Dependent Arising I translated it here as ‘willful actions’.</w:t>
      </w:r>
    </w:p>
  </w:footnote>
  <w:footnote w:id="209">
    <w:p>
      <w:pPr>
        <w:pStyle w:val="FootnoteText"/>
        <w:rPr/>
      </w:pPr>
      <w:r>
        <w:rPr>
          <w:rStyle w:val="FootnoteCharacters"/>
        </w:rPr>
        <w:footnoteRef/>
      </w:r>
      <w:r>
        <w:rPr>
          <w:rStyle w:val="wwc-pali"/>
        </w:rPr>
        <w:t>Saṅkhata</w:t>
      </w:r>
      <w:r>
        <w:rPr/>
        <w:t>, quite literally ‘put (</w:t>
      </w:r>
      <w:r>
        <w:rPr>
          <w:rStyle w:val="wwc-pali"/>
        </w:rPr>
        <w:t>khata</w:t>
      </w:r>
      <w:r>
        <w:rPr/>
        <w:t>) together (</w:t>
      </w:r>
      <w:r>
        <w:rPr>
          <w:rStyle w:val="wwc-pali"/>
        </w:rPr>
        <w:t>saṁ</w:t>
      </w:r>
      <w:r>
        <w:rPr/>
        <w:t>)’, means ‘fabricated’, ‘constructed’, ‘created’, and so forth. In daily speech it is used for a raft that is properly assembled and for a well-made meal (</w:t>
      </w:r>
      <w:r>
        <w:fldChar w:fldCharType="begin"/>
      </w:r>
      <w:r>
        <w:rPr>
          <w:rStyle w:val="Hyperlink"/>
        </w:rPr>
        <w:instrText xml:space="preserve"> HYPERLINK "https://suttacentral.net/XXX/en/sujato" \l "YYY"</w:instrText>
      </w:r>
      <w:r>
        <w:rPr>
          <w:rStyle w:val="Hyperlink"/>
        </w:rPr>
        <w:fldChar w:fldCharType="separate"/>
      </w:r>
      <w:r>
        <w:rPr>
          <w:rStyle w:val="Hyperlink"/>
        </w:rPr>
        <w:t>Snp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4.57:3.1</w:t>
      </w:r>
      <w:r>
        <w:rPr>
          <w:rStyle w:val="Hyperlink"/>
        </w:rPr>
        <w:fldChar w:fldCharType="end"/>
      </w:r>
      <w:r>
        <w:rPr/>
        <w:t xml:space="preserve">). The noun </w:t>
      </w:r>
      <w:r>
        <w:rPr>
          <w:rStyle w:val="wwc-pali"/>
        </w:rPr>
        <w:t>saṅkhāra</w:t>
      </w:r>
      <w:r>
        <w:rPr/>
        <w:t xml:space="preserve"> is used for medicine that is prepared (</w:t>
      </w:r>
      <w:hyperlink r:id="rId17">
        <w:r>
          <w:rPr>
            <w:rStyle w:val="Hyperlink"/>
          </w:rPr>
          <w:t>Kd6</w:t>
        </w:r>
      </w:hyperlink>
      <w:r>
        <w:rPr/>
        <w:t xml:space="preserve">). In none of these contexts does the common translation ‘conditioned’ work, and neither is it intended in deeper philosophical contexts such as Dependent Arising. 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Dhp 154</w:t>
      </w:r>
      <w:r>
        <w:rPr>
          <w:rStyle w:val="Hyperlink"/>
        </w:rPr>
        <w:fldChar w:fldCharType="end"/>
      </w:r>
      <w:r>
        <w:rPr/>
        <w:t xml:space="preserve"> </w:t>
      </w:r>
      <w:r>
        <w:rPr>
          <w:rStyle w:val="wwc-pali"/>
        </w:rPr>
        <w:t>vi-saṅkhata</w:t>
      </w:r>
      <w:r>
        <w:rPr/>
        <w:t xml:space="preserve"> describes taking apart a house—with the prefix </w:t>
      </w:r>
      <w:r>
        <w:rPr>
          <w:rStyle w:val="wwc-pali"/>
        </w:rPr>
        <w:t>vi</w:t>
      </w:r>
      <w:r>
        <w:rPr/>
        <w:t xml:space="preserve">- indicating the opposite of putting together—where the house is symbolic for lives in </w:t>
      </w:r>
      <w:r>
        <w:rPr>
          <w:rStyle w:val="wwc-pali"/>
        </w:rPr>
        <w:t>saṁsāra</w:t>
      </w:r>
      <w:r>
        <w:rPr/>
        <w:t xml:space="preserve">. The point is that lives are </w:t>
      </w:r>
      <w:r>
        <w:rPr>
          <w:rStyle w:val="Emphasis"/>
        </w:rPr>
        <w:t>created</w:t>
      </w:r>
      <w:r>
        <w:rPr/>
        <w:t xml:space="preserve"> by craving and karma, not merely conditioned by it.</w:t>
      </w:r>
    </w:p>
  </w:footnote>
  <w:footnote w:id="2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22.79:5.1–5.5</w:t>
      </w:r>
      <w:r>
        <w:rPr>
          <w:rStyle w:val="Hyperlink"/>
        </w:rPr>
        <w:fldChar w:fldCharType="end"/>
      </w:r>
    </w:p>
  </w:footnote>
  <w:footnote w:id="211">
    <w:p>
      <w:pPr>
        <w:pStyle w:val="FootnoteText"/>
        <w:rPr/>
      </w:pPr>
      <w:r>
        <w:rPr>
          <w:rStyle w:val="FootnoteCharacters"/>
        </w:rPr>
        <w:footnoteRef/>
      </w:r>
      <w:r>
        <w:rPr/>
        <w:t xml:space="preserve">See </w:t>
      </w:r>
      <w:r>
        <w:rPr>
          <w:rStyle w:val="wwc-sesame"/>
        </w:rPr>
        <w:t>Bodhi 2000 n.110</w:t>
      </w:r>
      <w:r>
        <w:rPr/>
        <w:t xml:space="preserve"> at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22.79</w:t>
      </w:r>
      <w:r>
        <w:rPr>
          <w:rStyle w:val="Hyperlink"/>
        </w:rPr>
        <w:fldChar w:fldCharType="end"/>
      </w:r>
      <w:r>
        <w:rPr/>
        <w:t xml:space="preserve">, </w:t>
      </w:r>
      <w:r>
        <w:rPr>
          <w:rStyle w:val="wwc-sesame-zot-reference"/>
        </w:rPr>
        <w:t>Hamilton</w:t>
      </w:r>
      <w:r>
        <w:rPr/>
        <w:t xml:space="preserve"> p.4</w:t>
      </w:r>
    </w:p>
  </w:footnote>
  <w:footnote w:id="212">
    <w:p>
      <w:pPr>
        <w:pStyle w:val="FootnoteText"/>
        <w:rPr/>
      </w:pPr>
      <w:r>
        <w:rPr>
          <w:rStyle w:val="FootnoteCharacters"/>
        </w:rPr>
        <w:footnoteRef/>
      </w:r>
      <w:r>
        <w:rPr/>
        <w:t xml:space="preserve">See also </w:t>
      </w:r>
      <w:r>
        <w:rPr>
          <w:rStyle w:val="wwc-sesame-zot-reference"/>
        </w:rPr>
        <w:t>PED</w:t>
      </w:r>
      <w:r>
        <w:rPr/>
        <w:t xml:space="preserve"> under </w:t>
      </w:r>
      <w:r>
        <w:rPr>
          <w:rStyle w:val="wwc-pali"/>
        </w:rPr>
        <w:t>sankhata</w:t>
      </w:r>
      <w:r>
        <w:rPr/>
        <w:t>: “‘created’, brought about as effect of actions in former births”.</w:t>
      </w:r>
    </w:p>
  </w:footnote>
  <w:footnote w:id="2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22.21</w:t>
      </w:r>
      <w:r>
        <w:rPr>
          <w:rStyle w:val="Hyperlink"/>
        </w:rPr>
        <w:fldChar w:fldCharType="end"/>
      </w:r>
    </w:p>
  </w:footnote>
  <w:footnote w:id="2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56.42</w:t>
      </w:r>
      <w:r>
        <w:rPr>
          <w:rStyle w:val="Hyperlink"/>
        </w:rPr>
        <w:fldChar w:fldCharType="end"/>
      </w:r>
      <w:r>
        <w:rPr/>
        <w:t xml:space="preserve">, cf. </w:t>
      </w:r>
      <w:r>
        <w:fldChar w:fldCharType="begin"/>
      </w:r>
      <w:r>
        <w:rPr>
          <w:rStyle w:val="Hyperlink"/>
        </w:rPr>
        <w:instrText xml:space="preserve"> HYPERLINK "https://suttacentral.net/XXX/en/sujato" \l "YYY"</w:instrText>
      </w:r>
      <w:r>
        <w:rPr>
          <w:rStyle w:val="Hyperlink"/>
        </w:rPr>
        <w:fldChar w:fldCharType="separate"/>
      </w:r>
      <w:r>
        <w:rPr>
          <w:rStyle w:val="Hyperlink"/>
        </w:rPr>
        <w:t>SN 56.43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56.46</w:t>
      </w:r>
      <w:r>
        <w:rPr>
          <w:rStyle w:val="Hyperlink"/>
        </w:rPr>
        <w:fldChar w:fldCharType="end"/>
      </w:r>
    </w:p>
  </w:footnote>
  <w:footnote w:id="2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12.2:14.1–14.3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12.33:10.1–11.2</w:t>
      </w:r>
      <w:r>
        <w:rPr>
          <w:rStyle w:val="Hyperlink"/>
        </w:rPr>
        <w:fldChar w:fldCharType="end"/>
      </w:r>
    </w:p>
  </w:footnote>
  <w:footnote w:id="216">
    <w:p>
      <w:pPr>
        <w:pStyle w:val="FootnoteText"/>
        <w:rPr/>
      </w:pPr>
      <w:r>
        <w:rPr>
          <w:rStyle w:val="FootnoteCharacters"/>
        </w:rPr>
        <w:footnoteRef/>
      </w:r>
      <w:r>
        <w:rPr>
          <w:rStyle w:val="wwc-pali"/>
        </w:rPr>
        <w:t>Patiṭṭhā viññaṇassa</w:t>
      </w:r>
      <w:r>
        <w:rPr/>
        <w:t xml:space="preserve">, ‘a support for the planting of consciousness’. </w:t>
      </w:r>
      <w:r>
        <w:rPr>
          <w:rStyle w:val="wwc-sesame"/>
        </w:rPr>
        <w:t>Bodhi 2000 n.112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explains: “‘a support for the establishing of consciousness’ renders </w:t>
      </w:r>
      <w:r>
        <w:rPr>
          <w:rStyle w:val="wwc-pali"/>
        </w:rPr>
        <w:t>patiṭṭhā viññaṇassa</w:t>
      </w:r>
      <w:r>
        <w:rPr/>
        <w:t xml:space="preserve">. I find that ‘established’ works consistently better as a rendering for the participle </w:t>
      </w:r>
      <w:r>
        <w:rPr>
          <w:rStyle w:val="wwc-pali"/>
        </w:rPr>
        <w:t>patiṭṭhita</w:t>
      </w:r>
      <w:r>
        <w:rPr/>
        <w:t xml:space="preserve">, but ‘support’ for the noun </w:t>
      </w:r>
      <w:r>
        <w:rPr>
          <w:rStyle w:val="wwc-pali"/>
        </w:rPr>
        <w:t>patiṭṭhā</w:t>
      </w:r>
      <w:r>
        <w:rPr/>
        <w:t xml:space="preserve">, so to bridge the participle and the noun in the present passage (and at </w:t>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r>
        <w:rPr/>
        <w:t>) I have coined this compound expression.” I followed this example, although with ‘planting’ instead of ‘establishing’.</w:t>
      </w:r>
    </w:p>
  </w:footnote>
  <w:footnote w:id="2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12.38:1.2–1.6</w:t>
      </w:r>
      <w:r>
        <w:rPr>
          <w:rStyle w:val="Hyperlink"/>
        </w:rPr>
        <w:fldChar w:fldCharType="end"/>
      </w:r>
    </w:p>
  </w:footnote>
  <w:footnote w:id="2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4.184:5.1–5.8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129:5.1–5.9</w:t>
      </w:r>
      <w:r>
        <w:rPr>
          <w:rStyle w:val="Hyperlink"/>
        </w:rPr>
        <w:fldChar w:fldCharType="end"/>
      </w:r>
      <w:r>
        <w:rPr/>
        <w:t xml:space="preserve"> </w:t>
      </w:r>
      <w:r>
        <w:rPr>
          <w:rStyle w:val="wwc-PTS-reference"/>
        </w:rPr>
        <w:t>M III 165</w:t>
      </w:r>
    </w:p>
  </w:footnote>
  <w:footnote w:id="2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220">
    <w:p>
      <w:pPr>
        <w:pStyle w:val="FootnoteText"/>
        <w:rPr/>
      </w:pPr>
      <w:r>
        <w:rPr>
          <w:rStyle w:val="FootnoteCharacters"/>
        </w:rPr>
        <w:footnoteRef/>
      </w:r>
      <w:r>
        <w:rPr/>
        <w:t xml:space="preserve">See also </w:t>
      </w:r>
      <w:r>
        <w:rPr>
          <w:rStyle w:val="wwc-sesame"/>
        </w:rPr>
        <w:t>Bodhi 2000 p.522</w:t>
      </w:r>
    </w:p>
  </w:footnote>
  <w:footnote w:id="221">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7.11</w:t>
      </w:r>
      <w:r>
        <w:rPr>
          <w:rStyle w:val="Hyperlink"/>
        </w:rPr>
        <w:fldChar w:fldCharType="end"/>
      </w:r>
    </w:p>
  </w:footnote>
  <w:footnote w:id="222">
    <w:p>
      <w:pPr>
        <w:pStyle w:val="FootnoteText"/>
        <w:rPr/>
      </w:pPr>
      <w:r>
        <w:rPr>
          <w:rStyle w:val="FootnoteCharacters"/>
        </w:rPr>
        <w:footnoteRef/>
      </w:r>
      <w:r>
        <w:rPr/>
        <w:t>Langer p.30 says the three discourses on intention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“limit themselves […] to descriptions of rebirth” (translation mine). Likewise, although I believe he misunderstands </w:t>
      </w:r>
      <w:r>
        <w:rPr>
          <w:rStyle w:val="wwc-pali"/>
        </w:rPr>
        <w:t>appatiṭṭhita viññāṇa</w:t>
      </w:r>
      <w:r>
        <w:rPr/>
        <w:t xml:space="preserve"> to be a state of mind, </w:t>
      </w:r>
      <w:r>
        <w:rPr>
          <w:rStyle w:val="wwc-sesame-zot-reference"/>
        </w:rPr>
        <w:t>Ñāṇananda 2016</w:t>
      </w:r>
      <w:r>
        <w:rPr/>
        <w:t xml:space="preserve"> p.97 states: “The point at issue [in the </w:t>
      </w:r>
      <w:r>
        <w:rPr>
          <w:rStyle w:val="wwc-sesame"/>
        </w:rPr>
        <w:t>First Discourse on Intention</w:t>
      </w:r>
      <w:r>
        <w:rP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rPr/>
        <w:t xml:space="preserve"> p.28</w:t>
      </w:r>
    </w:p>
  </w:footnote>
  <w:footnote w:id="223">
    <w:p>
      <w:pPr>
        <w:pStyle w:val="FootnoteText"/>
        <w:rPr/>
      </w:pPr>
      <w:r>
        <w:rPr>
          <w:rStyle w:val="FootnoteCharacters"/>
        </w:rPr>
        <w:footnoteRef/>
      </w:r>
      <w:r>
        <w:rPr/>
        <w:t xml:space="preserve">See also </w:t>
      </w:r>
      <w:r>
        <w:rPr>
          <w:rStyle w:val="wwc-sesame-zot-reference"/>
        </w:rPr>
        <w:t>Langer</w:t>
      </w:r>
      <w:r>
        <w:rPr/>
        <w:t xml:space="preserve"> p.32 (translation mine): “In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w:t>
      </w:r>
      <w:r>
        <w:rPr>
          <w:rStyle w:val="wwc-pali"/>
        </w:rPr>
        <w:t>viruḷhi</w:t>
      </w:r>
      <w:r>
        <w:rPr/>
        <w:t xml:space="preserve"> [means] ‘a new growth’, like a part taken from the mother plant grows again somewhere else. With that, </w:t>
      </w:r>
      <w:r>
        <w:rPr>
          <w:rStyle w:val="wwc-pali"/>
        </w:rPr>
        <w:t>viruḷhi</w:t>
      </w:r>
      <w:r>
        <w:rPr/>
        <w:t xml:space="preserve"> marks the beginning of a new existence.”</w:t>
      </w:r>
    </w:p>
  </w:footnote>
  <w:footnote w:id="224">
    <w:p>
      <w:pPr>
        <w:pStyle w:val="FootnoteText"/>
        <w:rPr/>
      </w:pPr>
      <w:r>
        <w:rPr>
          <w:rStyle w:val="FootnoteCharacters"/>
        </w:rPr>
        <w:footnoteRef/>
      </w:r>
      <w:hyperlink r:id="rId18">
        <w:r>
          <w:rPr>
            <w:rStyle w:val="Hyperlink"/>
          </w:rPr>
          <w:t>SĀ 359</w:t>
        </w:r>
      </w:hyperlink>
      <w:r>
        <w:rPr/>
        <w:t xml:space="preserve">, translation mine. Compare </w:t>
      </w:r>
      <w:hyperlink r:id="rId19">
        <w:r>
          <w:rPr>
            <w:rStyle w:val="Hyperlink"/>
          </w:rPr>
          <w:t>SĀ 360</w:t>
        </w:r>
      </w:hyperlink>
      <w:r>
        <w:rPr/>
        <w:t xml:space="preserve"> in </w:t>
      </w:r>
      <w:r>
        <w:rPr>
          <w:rStyle w:val="wwc-sesame-zot-reference"/>
        </w:rPr>
        <w:t>Choong</w:t>
      </w:r>
      <w:r>
        <w:rPr/>
        <w:t xml:space="preserve"> p.170</w:t>
      </w:r>
    </w:p>
  </w:footnote>
  <w:footnote w:id="22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12.39</w:t>
      </w:r>
      <w:r>
        <w:rPr>
          <w:rStyle w:val="Hyperlink"/>
        </w:rPr>
        <w:fldChar w:fldCharType="end"/>
      </w:r>
    </w:p>
  </w:footnote>
  <w:footnote w:id="226">
    <w:p>
      <w:pPr>
        <w:pStyle w:val="FootnoteText"/>
        <w:rPr/>
      </w:pPr>
      <w:r>
        <w:rPr>
          <w:rStyle w:val="FootnoteCharacters"/>
        </w:rPr>
        <w:footnoteRef/>
      </w:r>
      <w:hyperlink r:id="rId20">
        <w:r>
          <w:rPr>
            <w:rStyle w:val="Hyperlink"/>
          </w:rPr>
          <w:t>SĀ 360</w:t>
        </w:r>
      </w:hyperlink>
      <w:r>
        <w:rPr/>
        <w:t xml:space="preserve">: </w:t>
      </w:r>
      <w:r>
        <w:rPr/>
        <w:t>入名色故</w:t>
      </w:r>
      <w:r>
        <w:rPr/>
        <w:t xml:space="preserve">, </w:t>
      </w:r>
      <w:r>
        <w:rPr/>
        <w:t>有未來世生</w:t>
      </w:r>
      <w:r>
        <w:rPr/>
        <w:t xml:space="preserve">. </w:t>
      </w:r>
      <w:r>
        <w:rPr>
          <w:rStyle w:val="wwc-sesame-zot-reference"/>
        </w:rPr>
        <w:t>Choong</w:t>
      </w:r>
      <w:r>
        <w:rPr/>
        <w:t xml:space="preserve"> p.170 translates: “Because of the entry [i.e. conception] of name-and-material form, there are, in the future, birth, ageing-sickness-and-death […]”</w:t>
      </w:r>
    </w:p>
  </w:footnote>
  <w:footnote w:id="227">
    <w:p>
      <w:pPr>
        <w:pStyle w:val="FootnoteText"/>
        <w:rPr/>
      </w:pPr>
      <w:r>
        <w:rPr>
          <w:rStyle w:val="FootnoteCharacters"/>
        </w:rPr>
        <w:footnoteRef/>
      </w:r>
      <w:r>
        <w:rPr/>
        <w:t xml:space="preserve">See </w:t>
      </w:r>
      <w:hyperlink w:anchor="footnote192">
        <w:r>
          <w:rPr>
            <w:rStyle w:val="Hyperlink"/>
          </w:rPr>
          <w:t>note 192</w:t>
        </w:r>
      </w:hyperlink>
      <w:r>
        <w:rPr/>
        <w:t xml:space="preserve">. The translation ‘demerit’ for </w:t>
      </w:r>
      <w:r>
        <w:rPr>
          <w:rStyle w:val="wwc-pali"/>
        </w:rPr>
        <w:t>apuñña</w:t>
      </w:r>
      <w:r>
        <w:rPr/>
        <w:t xml:space="preserve"> is perhaps a bit artificial, having connotations with demerit points on a driver’s license, but it keeps consistency with ‘merit’ (</w:t>
      </w:r>
      <w:r>
        <w:rPr>
          <w:rStyle w:val="wwc-pali"/>
        </w:rPr>
        <w:t>puñña</w:t>
      </w:r>
      <w:r>
        <w:rPr/>
        <w:t xml:space="preserve">). I tried various other translations for </w:t>
      </w:r>
      <w:r>
        <w:rPr>
          <w:rStyle w:val="wwc-pali"/>
        </w:rPr>
        <w:t>puñña</w:t>
      </w:r>
      <w:r>
        <w:rPr/>
        <w:t>, but overall ‘merit’ just seems to work best.</w:t>
      </w:r>
    </w:p>
  </w:footnote>
  <w:footnote w:id="228">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12.51:9.1–9.3</w:t>
      </w:r>
      <w:r>
        <w:rPr>
          <w:rStyle w:val="Hyperlink"/>
        </w:rPr>
        <w:fldChar w:fldCharType="end"/>
      </w:r>
    </w:p>
  </w:footnote>
  <w:footnote w:id="2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6.63:30.2</w:t>
      </w:r>
      <w:r>
        <w:rPr>
          <w:rStyle w:val="Hyperlink"/>
        </w:rPr>
        <w:fldChar w:fldCharType="end"/>
      </w:r>
    </w:p>
  </w:footnote>
  <w:footnote w:id="230">
    <w:p>
      <w:pPr>
        <w:pStyle w:val="FootnoteText"/>
        <w:rPr/>
      </w:pPr>
      <w:r>
        <w:rPr>
          <w:rStyle w:val="FootnoteCharacters"/>
        </w:rPr>
        <w:footnoteRef/>
      </w:r>
      <w:r>
        <w:rPr/>
        <w:t xml:space="preserve">See </w:t>
      </w:r>
      <w:r>
        <w:rPr>
          <w:rStyle w:val="wwc-sesame-zot-reference"/>
        </w:rPr>
        <w:t>DPD</w:t>
      </w:r>
      <w:r>
        <w:rPr/>
        <w:t xml:space="preserve"> under </w:t>
      </w:r>
      <w:r>
        <w:rPr>
          <w:rStyle w:val="wwc-pali"/>
        </w:rPr>
        <w:t>upaga</w:t>
      </w:r>
      <w:r>
        <w:rPr/>
        <w:t xml:space="preserve">: “passing on to (used of consciousness’s linking at death with a new existence)”. See also </w:t>
      </w:r>
      <w:r>
        <w:rPr>
          <w:rStyle w:val="wwc-sesame-zot-reference"/>
        </w:rPr>
        <w:t>Bodhi 1998</w:t>
      </w:r>
      <w:r>
        <w:rPr/>
        <w:t xml:space="preserve"> p.161</w:t>
      </w:r>
    </w:p>
  </w:footnote>
  <w:footnote w:id="231">
    <w:p>
      <w:pPr>
        <w:pStyle w:val="FootnoteText"/>
        <w:rPr/>
      </w:pPr>
      <w:r>
        <w:rPr>
          <w:rStyle w:val="FootnoteCharacters"/>
        </w:rPr>
        <w:footnoteRef/>
      </w:r>
      <w:hyperlink w:anchor="bqseg108">
        <w:r>
          <w:rPr>
            <w:rStyle w:val="Hyperlink"/>
          </w:rPr>
          <w:t>§108</w:t>
        </w:r>
      </w:hyperlink>
      <w:r>
        <w:rPr/>
        <w:t xml:space="preserve">; </w:t>
      </w:r>
      <w:hyperlink w:anchor="bqseg77">
        <w:r>
          <w:rPr>
            <w:rStyle w:val="Hyperlink"/>
          </w:rPr>
          <w:t>§77</w:t>
        </w:r>
      </w:hyperlink>
    </w:p>
  </w:footnote>
  <w:footnote w:id="2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106:3.12, 4.7, 5.10, 6.12, 7.5, 8.5, 9.12</w:t>
      </w:r>
      <w:r>
        <w:rPr>
          <w:rStyle w:val="Hyperlink"/>
        </w:rPr>
        <w:fldChar w:fldCharType="end"/>
      </w:r>
      <w:r>
        <w:rPr/>
        <w:t xml:space="preserve"> </w:t>
      </w:r>
      <w:r>
        <w:rPr>
          <w:rStyle w:val="wwc-PTS-reference"/>
        </w:rPr>
        <w:t>M II 262</w:t>
      </w:r>
    </w:p>
  </w:footnote>
  <w:footnote w:id="233">
    <w:p>
      <w:pPr>
        <w:pStyle w:val="FootnoteText"/>
        <w:rPr/>
      </w:pPr>
      <w:r>
        <w:rPr>
          <w:rStyle w:val="FootnoteCharacters"/>
        </w:rPr>
        <w:footnoteRef/>
      </w:r>
      <w:r>
        <w:rPr/>
        <w:t xml:space="preserve">See also </w:t>
      </w:r>
      <w:r>
        <w:rPr>
          <w:rStyle w:val="wwc-sesame-zot-reference"/>
        </w:rPr>
        <w:t>Langer</w:t>
      </w:r>
      <w:r>
        <w:rPr/>
        <w:t xml:space="preserve"> p.28</w:t>
      </w:r>
    </w:p>
  </w:footnote>
  <w:footnote w:id="2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15:33.0–34.10</w:t>
      </w:r>
      <w:r>
        <w:rPr>
          <w:rStyle w:val="Hyperlink"/>
        </w:rPr>
        <w:fldChar w:fldCharType="end"/>
      </w:r>
      <w:r>
        <w:rPr/>
        <w:t xml:space="preserve"> </w:t>
      </w:r>
      <w:r>
        <w:rPr>
          <w:rStyle w:val="wwc-PTS-reference"/>
        </w:rPr>
        <w:t>D II 69</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AN 7.44</w:t>
      </w:r>
      <w:r>
        <w:rPr>
          <w:rStyle w:val="Hyperlink"/>
        </w:rPr>
        <w:fldChar w:fldCharType="end"/>
      </w:r>
    </w:p>
  </w:footnote>
  <w:footnote w:id="235">
    <w:p>
      <w:pPr>
        <w:pStyle w:val="FootnoteText"/>
        <w:rPr/>
      </w:pPr>
      <w:r>
        <w:rPr>
          <w:rStyle w:val="FootnoteCharacters"/>
        </w:rPr>
        <w:footnoteRef/>
      </w:r>
      <w:r>
        <w:rPr/>
        <w:t xml:space="preserve">See also </w:t>
      </w:r>
      <w:r>
        <w:rPr>
          <w:rStyle w:val="wwc-sesame-zot-reference"/>
        </w:rPr>
        <w:t>Bodhi 2003</w:t>
      </w:r>
      <w:r>
        <w:rPr/>
        <w:t xml:space="preserve"> p.30</w:t>
      </w:r>
    </w:p>
  </w:footnote>
  <w:footnote w:id="2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12.63:3.7–3.8</w:t>
      </w:r>
      <w:r>
        <w:rPr>
          <w:rStyle w:val="Hyperlink"/>
        </w:rPr>
        <w:fldChar w:fldCharType="end"/>
      </w:r>
    </w:p>
  </w:footnote>
  <w:footnote w:id="237">
    <w:p>
      <w:pPr>
        <w:pStyle w:val="FootnoteText"/>
        <w:rPr/>
      </w:pPr>
      <w:r>
        <w:rPr>
          <w:rStyle w:val="FootnoteCharacters"/>
        </w:rPr>
        <w:footnoteRef/>
      </w:r>
      <w:r>
        <w:rPr/>
        <w:t xml:space="preserve">For example </w:t>
      </w:r>
      <w:hyperlink w:anchor="bqseg118">
        <w:r>
          <w:rPr>
            <w:rStyle w:val="Hyperlink"/>
          </w:rPr>
          <w:t>§118</w:t>
        </w:r>
      </w:hyperlink>
      <w:r>
        <w:rPr/>
        <w:t xml:space="preserve">, </w:t>
      </w:r>
      <w:hyperlink w:anchor="bqseg119">
        <w:r>
          <w:rPr>
            <w:rStyle w:val="Hyperlink"/>
          </w:rPr>
          <w:t>§119</w:t>
        </w:r>
      </w:hyperlink>
    </w:p>
  </w:footnote>
  <w:footnote w:id="238">
    <w:p>
      <w:pPr>
        <w:pStyle w:val="FootnoteText"/>
        <w:rPr/>
      </w:pPr>
      <w:r>
        <w:rPr>
          <w:rStyle w:val="FootnoteCharacters"/>
        </w:rPr>
        <w:footnoteRef/>
      </w:r>
      <w:r>
        <w:rPr/>
        <w:t xml:space="preserve">See </w:t>
      </w:r>
      <w:r>
        <w:rPr>
          <w:rStyle w:val="wwc-sesame-zot-reference"/>
        </w:rPr>
        <w:t>Nyanaponika 1981</w:t>
      </w:r>
      <w:r>
        <w:rPr/>
        <w:t xml:space="preserve"> for a translation of the commentary to this sutta. Also see </w:t>
      </w:r>
      <w:r>
        <w:rPr>
          <w:rStyle w:val="wwc-sesame"/>
        </w:rPr>
        <w:t>Bodhi 2000 n.166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12.63</w:t>
      </w:r>
      <w:r>
        <w:rPr>
          <w:rStyle w:val="Hyperlink"/>
        </w:rPr>
        <w:fldChar w:fldCharType="end"/>
      </w:r>
    </w:p>
  </w:footnote>
  <w:footnote w:id="239">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56.11:4.4–4.5</w:t>
      </w:r>
      <w:r>
        <w:rPr>
          <w:rStyle w:val="Hyperlink"/>
        </w:rPr>
        <w:fldChar w:fldCharType="end"/>
      </w:r>
    </w:p>
  </w:footnote>
  <w:footnote w:id="2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12:37.1–37.11</w:t>
      </w:r>
      <w:r>
        <w:rPr>
          <w:rStyle w:val="Hyperlink"/>
        </w:rPr>
        <w:fldChar w:fldCharType="end"/>
      </w:r>
      <w:r>
        <w:rPr/>
        <w:t xml:space="preserve"> </w:t>
      </w:r>
      <w:r>
        <w:rPr>
          <w:rStyle w:val="wwc-PTS-reference"/>
        </w:rPr>
        <w:t>M I 74</w:t>
      </w:r>
    </w:p>
  </w:footnote>
  <w:footnote w:id="241">
    <w:p>
      <w:pPr>
        <w:pStyle w:val="FootnoteText"/>
        <w:rPr/>
      </w:pPr>
      <w:r>
        <w:rPr>
          <w:rStyle w:val="FootnoteCharacters"/>
        </w:rPr>
        <w:footnoteRef/>
      </w:r>
      <w:r>
        <w:rPr/>
        <w:t xml:space="preserve">See for example </w:t>
      </w:r>
      <w:hyperlink w:anchor="bqseg17">
        <w:r>
          <w:rPr>
            <w:rStyle w:val="Hyperlink"/>
          </w:rPr>
          <w:t>§17</w:t>
        </w:r>
      </w:hyperlink>
    </w:p>
  </w:footnote>
  <w:footnote w:id="242">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7.74:8.1–8.2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3.8:7.1–7.4</w:t>
      </w:r>
      <w:r>
        <w:rPr>
          <w:rStyle w:val="Hyperlink"/>
        </w:rPr>
        <w:fldChar w:fldCharType="end"/>
      </w:r>
    </w:p>
  </w:footnote>
  <w:footnote w:id="243">
    <w:p>
      <w:pPr>
        <w:pStyle w:val="FootnoteText"/>
        <w:rPr/>
      </w:pPr>
      <w:r>
        <w:rPr>
          <w:rStyle w:val="FootnoteCharacters"/>
        </w:rPr>
        <w:footnoteRef/>
      </w:r>
      <w:r>
        <w:rPr>
          <w:rStyle w:val="wwc-pali"/>
        </w:rPr>
        <w:t>Ādicca</w:t>
      </w:r>
      <w:r>
        <w:rPr/>
        <w:t xml:space="preserve"> (‘Sun’) was a name for the clan of the Buddha, possibly an honorific. See </w:t>
      </w:r>
      <w:r>
        <w:fldChar w:fldCharType="begin"/>
      </w:r>
      <w:r>
        <w:rPr>
          <w:rStyle w:val="Hyperlink"/>
        </w:rPr>
        <w:instrText xml:space="preserve"> HYPERLINK "https://suttacentral.net/XXX/en/sujato" \l "YYY"</w:instrText>
      </w:r>
      <w:r>
        <w:rPr>
          <w:rStyle w:val="Hyperlink"/>
        </w:rPr>
        <w:fldChar w:fldCharType="separate"/>
      </w:r>
      <w:r>
        <w:rPr>
          <w:rStyle w:val="Hyperlink"/>
        </w:rPr>
        <w:t>Snp 3.1:19.1–19.2</w:t>
      </w:r>
      <w:r>
        <w:rPr>
          <w:rStyle w:val="Hyperlink"/>
        </w:rPr>
        <w:fldChar w:fldCharType="end"/>
      </w:r>
      <w:r>
        <w:rPr/>
        <w:t xml:space="preserve"> and </w:t>
      </w:r>
      <w:r>
        <w:rPr>
          <w:rStyle w:val="wwc-sesame-zot-reference"/>
        </w:rPr>
        <w:t>DPPN</w:t>
      </w:r>
      <w:r>
        <w:rPr/>
        <w:t xml:space="preserve"> under ‘</w:t>
      </w:r>
      <w:r>
        <w:rPr>
          <w:rStyle w:val="wwc-pali"/>
        </w:rPr>
        <w:t>Ādicca</w:t>
      </w:r>
      <w:r>
        <w:rPr/>
        <w:t>’.</w:t>
      </w:r>
    </w:p>
  </w:footnote>
  <w:footnote w:id="24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6.8</w:t>
      </w:r>
      <w:r>
        <w:rPr>
          <w:rStyle w:val="Hyperlink"/>
        </w:rPr>
        <w:fldChar w:fldCharType="end"/>
      </w:r>
    </w:p>
  </w:footnote>
  <w:footnote w:id="245">
    <w:p>
      <w:pPr>
        <w:pStyle w:val="FootnoteText"/>
        <w:rPr/>
      </w:pPr>
      <w:r>
        <w:rPr>
          <w:rStyle w:val="FootnoteCharacters"/>
        </w:rPr>
        <w:footnoteRef/>
      </w:r>
      <w:r>
        <w:rPr>
          <w:rStyle w:val="wwc-sesame-zot-reference"/>
        </w:rPr>
        <w:t>Hamilton</w:t>
      </w:r>
      <w:r>
        <w:rPr/>
        <w:t xml:space="preserve"> p.98</w:t>
      </w:r>
    </w:p>
  </w:footnote>
  <w:footnote w:id="2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56.35</w:t>
      </w:r>
      <w:r>
        <w:rPr>
          <w:rStyle w:val="Hyperlink"/>
        </w:rPr>
        <w:fldChar w:fldCharType="end"/>
      </w:r>
    </w:p>
  </w:footnote>
  <w:footnote w:id="2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Thig 16.1:26.1–26.4</w:t>
      </w:r>
      <w:r>
        <w:rPr>
          <w:rStyle w:val="Hyperlink"/>
        </w:rPr>
        <w:fldChar w:fldCharType="end"/>
      </w:r>
    </w:p>
  </w:footnote>
  <w:footnote w:id="248">
    <w:p>
      <w:pPr>
        <w:pStyle w:val="FootnoteText"/>
        <w:rPr/>
      </w:pPr>
      <w:r>
        <w:rPr>
          <w:rStyle w:val="FootnoteCharacters"/>
        </w:rPr>
        <w:footnoteRef/>
      </w:r>
      <w:r>
        <w:rPr>
          <w:rStyle w:val="wwc-sesame-zot-reference"/>
        </w:rPr>
        <w:t>Hecker</w:t>
      </w:r>
      <w:r>
        <w:rPr/>
        <w:t xml:space="preserve"> p.50</w:t>
      </w:r>
    </w:p>
  </w:footnote>
  <w:footnote w:id="249">
    <w:p>
      <w:pPr>
        <w:pStyle w:val="FootnoteText"/>
        <w:rPr/>
      </w:pPr>
      <w:r>
        <w:rPr>
          <w:rStyle w:val="FootnoteCharacters"/>
        </w:rPr>
        <w:footnoteRef/>
      </w:r>
      <w:r>
        <w:rPr>
          <w:rStyle w:val="wwc-sesame-zot-reference"/>
        </w:rPr>
        <w:t>Nyanaponika 1981</w:t>
      </w:r>
      <w:r>
        <w:rPr/>
        <w:t xml:space="preserve"> p.9. See also </w:t>
      </w:r>
      <w:r>
        <w:rPr>
          <w:rStyle w:val="wwc-sesame-zot-reference"/>
        </w:rPr>
        <w:t>PED</w:t>
      </w:r>
      <w:r>
        <w:rPr/>
        <w:t xml:space="preserve"> s.v. </w:t>
      </w:r>
      <w:r>
        <w:rPr>
          <w:rStyle w:val="wwc-pali"/>
        </w:rPr>
        <w:t>viññāṇa</w:t>
      </w:r>
      <w:r>
        <w:rPr/>
        <w:t xml:space="preserve">: “As one of the four </w:t>
      </w:r>
      <w:r>
        <w:rPr>
          <w:rStyle w:val="wwc-pali"/>
        </w:rPr>
        <w:t>āhāras viññāṇa</w:t>
      </w:r>
      <w:r>
        <w:rPr/>
        <w:t xml:space="preserve"> is considered as the material, food or cause, through which comes rebirth. As such it is likened to seed in the field of action (</w:t>
      </w:r>
      <w:r>
        <w:rPr>
          <w:rStyle w:val="wwc-pali"/>
        </w:rPr>
        <w:t>kamma</w:t>
      </w:r>
      <w:r>
        <w:rPr/>
        <w:t xml:space="preserve">), and as entering (a body) at rebirth the phrase </w:t>
      </w:r>
      <w:r>
        <w:rPr>
          <w:rStyle w:val="wwc-pali"/>
        </w:rPr>
        <w:t>viññāṇassa avakkanti</w:t>
      </w:r>
      <w:r>
        <w:rPr/>
        <w:t xml:space="preserve"> is used.”</w:t>
      </w:r>
    </w:p>
  </w:footnote>
  <w:footnote w:id="2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12.12:2.11</w:t>
      </w:r>
      <w:r>
        <w:rPr>
          <w:rStyle w:val="Hyperlink"/>
        </w:rPr>
        <w:fldChar w:fldCharType="end"/>
      </w:r>
    </w:p>
  </w:footnote>
  <w:footnote w:id="251">
    <w:p>
      <w:pPr>
        <w:pStyle w:val="FootnoteText"/>
        <w:rPr/>
      </w:pPr>
      <w:r>
        <w:rPr>
          <w:rStyle w:val="FootnoteCharacters"/>
        </w:rPr>
        <w:footnoteRef/>
      </w:r>
      <w:r>
        <w:rPr>
          <w:rStyle w:val="wwc-sesame"/>
        </w:rPr>
        <w:t>Bodhi 2000 n.24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p>
  </w:footnote>
  <w:footnote w:id="252">
    <w:p>
      <w:pPr>
        <w:pStyle w:val="FootnoteText"/>
        <w:rPr/>
      </w:pPr>
      <w:r>
        <w:rPr>
          <w:rStyle w:val="FootnoteCharacters"/>
        </w:rPr>
        <w:footnoteRef/>
      </w:r>
      <w:r>
        <w:rPr>
          <w:rStyle w:val="wwc-sesame"/>
        </w:rPr>
        <w:t>Bodhi 2000 n.25</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r>
        <w:rPr/>
        <w:t xml:space="preserve">: “The conjunction </w:t>
      </w:r>
      <w:r>
        <w:rPr>
          <w:rStyle w:val="wwc-pali"/>
        </w:rPr>
        <w:t>bhūte sati</w:t>
      </w:r>
      <w:r>
        <w:rPr/>
        <w:t xml:space="preserve"> [‘when the being is born’] is unusual and the redundancy can only be avoided if the past participle </w:t>
      </w:r>
      <w:r>
        <w:rPr>
          <w:rStyle w:val="wwc-pali"/>
        </w:rPr>
        <w:t>bhūte</w:t>
      </w:r>
      <w:r>
        <w:rPr/>
        <w:t xml:space="preserve"> is here understood to function as a noun denoting the being that has come to be.”</w:t>
      </w:r>
    </w:p>
  </w:footnote>
  <w:footnote w:id="2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3.61:9.3, 13.4–13.6</w:t>
      </w:r>
      <w:r>
        <w:rPr>
          <w:rStyle w:val="Hyperlink"/>
        </w:rPr>
        <w:fldChar w:fldCharType="end"/>
      </w:r>
    </w:p>
  </w:footnote>
  <w:footnote w:id="2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140:8.1–8.6</w:t>
      </w:r>
      <w:r>
        <w:rPr>
          <w:rStyle w:val="Hyperlink"/>
        </w:rPr>
        <w:fldChar w:fldCharType="end"/>
      </w:r>
      <w:r>
        <w:rPr/>
        <w:t xml:space="preserve"> </w:t>
      </w:r>
      <w:r>
        <w:rPr>
          <w:rStyle w:val="wwc-PTS-reference"/>
        </w:rPr>
        <w:t>M III 239</w:t>
      </w:r>
      <w:r>
        <w:rPr/>
        <w:t xml:space="preserve">. See also </w:t>
      </w:r>
      <w:r>
        <w:rPr>
          <w:rStyle w:val="wwc-sesame-zot-reference"/>
        </w:rPr>
        <w:t>Wynne</w:t>
      </w:r>
      <w:r>
        <w:rP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62:12.1–12.9</w:t>
      </w:r>
      <w:r>
        <w:rPr>
          <w:rStyle w:val="Hyperlink"/>
        </w:rPr>
        <w:fldChar w:fldCharType="end"/>
      </w:r>
      <w:r>
        <w:rPr/>
        <w:t xml:space="preserve"> </w:t>
      </w:r>
      <w:r>
        <w:rPr>
          <w:rStyle w:val="wwc-PTS-reference"/>
        </w:rPr>
        <w:t>M I 423</w:t>
      </w:r>
    </w:p>
  </w:footnote>
  <w:footnote w:id="256">
    <w:p>
      <w:pPr>
        <w:pStyle w:val="FootnoteText"/>
        <w:rPr/>
      </w:pPr>
      <w:r>
        <w:rPr>
          <w:rStyle w:val="FootnoteCharacters"/>
        </w:rPr>
        <w:footnoteRef/>
      </w:r>
      <w:r>
        <w:rPr/>
        <w:t xml:space="preserve">See </w:t>
      </w:r>
      <w:r>
        <w:rPr>
          <w:rStyle w:val="wwc-sesame-zot-reference"/>
        </w:rPr>
        <w:t>Hamilton</w:t>
      </w:r>
      <w:r>
        <w:rPr/>
        <w:t xml:space="preserve"> p.5 and </w:t>
      </w:r>
      <w:r>
        <w:rPr>
          <w:rStyle w:val="wwc-sesame"/>
        </w:rPr>
        <w:t>Bodhi 2000 n.339</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18.9</w:t>
      </w:r>
      <w:r>
        <w:rPr>
          <w:rStyle w:val="Hyperlink"/>
        </w:rPr>
        <w:fldChar w:fldCharType="end"/>
      </w:r>
      <w:r>
        <w:rPr/>
        <w:t>: “To the four primary elements of the form aggregate the suttas sometimes add the space element.”</w:t>
      </w:r>
    </w:p>
  </w:footnote>
  <w:footnote w:id="2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46.2:1.2</w:t>
      </w:r>
      <w:r>
        <w:rPr>
          <w:rStyle w:val="Hyperlink"/>
        </w:rPr>
        <w:fldChar w:fldCharType="end"/>
      </w:r>
    </w:p>
  </w:footnote>
  <w:footnote w:id="25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4.18:4.3–4.4</w:t>
      </w:r>
      <w:r>
        <w:rPr>
          <w:rStyle w:val="Hyperlink"/>
        </w:rPr>
        <w:fldChar w:fldCharType="end"/>
      </w:r>
    </w:p>
  </w:footnote>
  <w:footnote w:id="2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22.22:6.1–7.4</w:t>
      </w:r>
      <w:r>
        <w:rPr>
          <w:rStyle w:val="Hyperlink"/>
        </w:rPr>
        <w:fldChar w:fldCharType="end"/>
      </w:r>
    </w:p>
  </w:footnote>
  <w:footnote w:id="2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10.27:10.5</w:t>
      </w:r>
      <w:r>
        <w:rPr>
          <w:rStyle w:val="Hyperlink"/>
        </w:rPr>
        <w:fldChar w:fldCharType="end"/>
      </w:r>
      <w:r>
        <w:rPr>
          <w:rStyle w:val="Hyperlink"/>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Kp 4:1.2</w:t>
      </w:r>
      <w:r>
        <w:rPr>
          <w:rStyle w:val="Hyperlink"/>
        </w:rPr>
        <w:fldChar w:fldCharType="end"/>
      </w:r>
    </w:p>
  </w:footnote>
  <w:footnote w:id="261">
    <w:p>
      <w:pPr>
        <w:pStyle w:val="FootnoteText"/>
        <w:rPr/>
      </w:pPr>
      <w:r>
        <w:rPr>
          <w:rStyle w:val="FootnoteCharacters"/>
        </w:rPr>
        <w:footnoteRef/>
      </w:r>
      <w:r>
        <w:rPr/>
        <w:t xml:space="preserve">TU 2.2.1, translation </w:t>
      </w:r>
      <w:r>
        <w:rPr>
          <w:rStyle w:val="wwc-sesame-zot-reference"/>
        </w:rPr>
        <w:t>Purohit</w:t>
      </w:r>
    </w:p>
  </w:footnote>
  <w:footnote w:id="262">
    <w:p>
      <w:pPr>
        <w:pStyle w:val="FootnoteText"/>
        <w:rPr/>
      </w:pPr>
      <w:r>
        <w:rPr>
          <w:rStyle w:val="FootnoteCharacters"/>
        </w:rPr>
        <w:footnoteRef/>
      </w:r>
      <w:r>
        <w:rPr>
          <w:rStyle w:val="wwc-sesame-zot-reference"/>
        </w:rPr>
        <w:t>Lopez</w:t>
      </w:r>
    </w:p>
  </w:footnote>
  <w:footnote w:id="2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7:6.3–13.4</w:t>
      </w:r>
      <w:r>
        <w:rPr>
          <w:rStyle w:val="Hyperlink"/>
        </w:rPr>
        <w:fldChar w:fldCharType="end"/>
      </w:r>
    </w:p>
  </w:footnote>
  <w:footnote w:id="264">
    <w:p>
      <w:pPr>
        <w:pStyle w:val="FootnoteText"/>
        <w:rPr/>
      </w:pPr>
      <w:r>
        <w:rPr>
          <w:rStyle w:val="FootnoteCharacters"/>
        </w:rPr>
        <w:footnoteRef/>
      </w:r>
      <w:r>
        <w:rPr>
          <w:rStyle w:val="wwc-sesame-zot-reference"/>
        </w:rPr>
        <w:t>Norman 1991</w:t>
      </w:r>
      <w:r>
        <w:rPr/>
        <w:t xml:space="preserve"> p.194</w:t>
      </w:r>
    </w:p>
  </w:footnote>
  <w:footnote w:id="2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3.12:38.1–38.4</w:t>
      </w:r>
      <w:r>
        <w:rPr>
          <w:rStyle w:val="Hyperlink"/>
        </w:rPr>
        <w:fldChar w:fldCharType="end"/>
      </w:r>
    </w:p>
  </w:footnote>
  <w:footnote w:id="266">
    <w:p>
      <w:pPr>
        <w:pStyle w:val="FootnoteText"/>
        <w:rPr/>
      </w:pPr>
      <w:r>
        <w:rPr>
          <w:rStyle w:val="FootnoteCharacters"/>
        </w:rPr>
        <w:footnoteRef/>
      </w:r>
      <w:r>
        <w:rPr/>
        <w:t xml:space="preserve">See for example </w:t>
      </w:r>
      <w:r>
        <w:rPr>
          <w:rStyle w:val="wwc-sesame-zot-reference"/>
        </w:rPr>
        <w:t>Nyanaponika 1981</w:t>
      </w:r>
    </w:p>
  </w:footnote>
  <w:footnote w:id="2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p>
  </w:footnote>
  <w:footnote w:id="2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3.92:1.3–1.4</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23:31.3, 31.10</w:t>
      </w:r>
      <w:r>
        <w:rPr>
          <w:rStyle w:val="Hyperlink"/>
        </w:rPr>
        <w:fldChar w:fldCharType="end"/>
      </w:r>
      <w:r>
        <w:rPr/>
        <w:t xml:space="preserve"> </w:t>
      </w:r>
      <w:r>
        <w:rPr>
          <w:rStyle w:val="wwc-PTS-reference"/>
        </w:rPr>
        <w:t>D II 353</w:t>
      </w:r>
    </w:p>
  </w:footnote>
  <w:footnote w:id="269">
    <w:p>
      <w:pPr>
        <w:pStyle w:val="FootnoteText"/>
        <w:rPr/>
      </w:pPr>
      <w:r>
        <w:rPr>
          <w:rStyle w:val="FootnoteCharacters"/>
        </w:rPr>
        <w:footnoteRef/>
      </w:r>
      <w:r>
        <w:rPr/>
        <w:t xml:space="preserve">This translation fits other contexts of the word too. </w:t>
      </w:r>
      <w:r>
        <w:rPr>
          <w:rStyle w:val="wwc-pali"/>
        </w:rPr>
        <w:t>Patiṭṭhita</w:t>
      </w:r>
      <w:r>
        <w:rPr/>
        <w:t xml:space="preserve"> is used for a cow planting down her feet—see </w:t>
      </w:r>
      <w:r>
        <w:fldChar w:fldCharType="begin"/>
      </w:r>
      <w:r>
        <w:rPr>
          <w:rStyle w:val="Hyperlink"/>
        </w:rPr>
        <w:instrText xml:space="preserve"> HYPERLINK "https://suttacentral.net/XXX/en/sujato" \l "YYY"</w:instrText>
      </w:r>
      <w:r>
        <w:rPr>
          <w:rStyle w:val="Hyperlink"/>
        </w:rPr>
        <w:fldChar w:fldCharType="separate"/>
      </w:r>
      <w:r>
        <w:rPr>
          <w:rStyle w:val="Hyperlink"/>
        </w:rPr>
        <w:t>AN 9.35:1.4, 3.4</w:t>
      </w:r>
      <w:r>
        <w:rPr>
          <w:rStyle w:val="Hyperlink"/>
        </w:rPr>
        <w:fldChar w:fldCharType="end"/>
      </w:r>
      <w:r>
        <w:rPr/>
        <w:t xml:space="preserve">. In English we also say “to plant an arrow”, and </w:t>
      </w:r>
      <w:r>
        <w:rPr>
          <w:rStyle w:val="wwc-pali"/>
        </w:rPr>
        <w:t>patiṭṭhita</w:t>
      </w:r>
      <w:r>
        <w:rPr/>
        <w:t xml:space="preserve"> is also used for planting arrows in a target—see </w:t>
      </w:r>
      <w:r>
        <w:fldChar w:fldCharType="begin"/>
      </w:r>
      <w:r>
        <w:rPr>
          <w:rStyle w:val="Hyperlink"/>
        </w:rPr>
        <w:instrText xml:space="preserve"> HYPERLINK "https://suttacentral.net/XXX/en/sujato" \l "YYY"</w:instrText>
      </w:r>
      <w:r>
        <w:rPr>
          <w:rStyle w:val="Hyperlink"/>
        </w:rPr>
        <w:fldChar w:fldCharType="separate"/>
      </w:r>
      <w:r>
        <w:rPr>
          <w:rStyle w:val="Hyperlink"/>
        </w:rPr>
        <w:t>DN 3:1.23.17–1.23.20</w:t>
      </w:r>
      <w:r>
        <w:rPr>
          <w:rStyle w:val="Hyperlink"/>
        </w:rPr>
        <w:fldChar w:fldCharType="end"/>
      </w:r>
      <w:r>
        <w:rPr/>
        <w:t xml:space="preserve"> </w:t>
      </w:r>
      <w:r>
        <w:rPr>
          <w:rStyle w:val="wwc-PTS-reference"/>
        </w:rPr>
        <w:t>D I 97</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20.6:1.4, 2.1</w:t>
      </w:r>
      <w:r>
        <w:rPr>
          <w:rStyle w:val="Hyperlink"/>
        </w:rPr>
        <w:fldChar w:fldCharType="end"/>
      </w:r>
      <w:r>
        <w:rPr/>
        <w:t>. English also uses ‘plant’ as a synonym for ‘establish’, like in “to plant a religion in a country”.</w:t>
      </w:r>
    </w:p>
  </w:footnote>
  <w:footnote w:id="2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45:4.7</w:t>
      </w:r>
      <w:r>
        <w:rPr>
          <w:rStyle w:val="Hyperlink"/>
        </w:rPr>
        <w:fldChar w:fldCharType="end"/>
      </w:r>
      <w:r>
        <w:rPr/>
        <w:t xml:space="preserve"> </w:t>
      </w:r>
      <w:r>
        <w:rPr>
          <w:rStyle w:val="wwc-PTS-reference"/>
        </w:rPr>
        <w:t>M I 307</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3.34:5.1–5.3</w:t>
      </w:r>
      <w:r>
        <w:rPr>
          <w:rStyle w:val="Hyperlink"/>
        </w:rPr>
        <w:fldChar w:fldCharType="end"/>
      </w:r>
      <w:r>
        <w:rPr/>
        <w:t>, which says seeds that are put underground will “develop, sprout, and mature” when rained upon.</w:t>
      </w:r>
    </w:p>
  </w:footnote>
  <w:footnote w:id="271">
    <w:p>
      <w:pPr>
        <w:pStyle w:val="FootnoteText"/>
        <w:rPr/>
      </w:pPr>
      <w:r>
        <w:rPr>
          <w:rStyle w:val="FootnoteCharacters"/>
        </w:rPr>
        <w:footnoteRef/>
      </w:r>
      <w:hyperlink r:id="rId21">
        <w:r>
          <w:rPr>
            <w:rStyle w:val="Hyperlink"/>
          </w:rPr>
          <w:t>Mil 3.6.9</w:t>
        </w:r>
      </w:hyperlink>
    </w:p>
  </w:footnote>
  <w:footnote w:id="272">
    <w:p>
      <w:pPr>
        <w:pStyle w:val="FootnoteText"/>
        <w:rPr/>
      </w:pPr>
      <w:r>
        <w:rPr>
          <w:rStyle w:val="FootnoteCharacters"/>
        </w:rPr>
        <w:footnoteRef/>
      </w:r>
      <w:r>
        <w:rPr>
          <w:rStyle w:val="wwc-sesame"/>
        </w:rPr>
        <w:t>Vism</w:t>
      </w:r>
      <w:r>
        <w:rPr/>
        <w:t xml:space="preserve"> 602 and 688</w:t>
      </w:r>
    </w:p>
  </w:footnote>
  <w:footnote w:id="27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5.9:4.1–6.4</w:t>
      </w:r>
      <w:r>
        <w:rPr>
          <w:rStyle w:val="Hyperlink"/>
        </w:rPr>
        <w:fldChar w:fldCharType="end"/>
      </w:r>
    </w:p>
  </w:footnote>
  <w:footnote w:id="2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6:15.1–15.4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2.1:15.1–15.4</w:t>
      </w:r>
      <w:r>
        <w:rPr>
          <w:rStyle w:val="Hyperlink"/>
        </w:rPr>
        <w:fldChar w:fldCharType="end"/>
      </w:r>
    </w:p>
  </w:footnote>
  <w:footnote w:id="275">
    <w:p>
      <w:pPr>
        <w:pStyle w:val="FootnoteText"/>
        <w:rPr/>
      </w:pPr>
      <w:r>
        <w:rPr>
          <w:rStyle w:val="FootnoteCharacters"/>
        </w:rPr>
        <w:footnoteRef/>
      </w:r>
      <w:r>
        <w:rPr/>
        <w:t xml:space="preserve">See </w:t>
      </w:r>
      <w:r>
        <w:rPr>
          <w:rStyle w:val="wwc-sesame"/>
        </w:rPr>
        <w:t>Bodhi 2017 p.523</w:t>
      </w:r>
    </w:p>
  </w:footnote>
  <w:footnote w:id="276">
    <w:p>
      <w:pPr>
        <w:pStyle w:val="FootnoteText"/>
        <w:rPr/>
      </w:pPr>
      <w:r>
        <w:rPr>
          <w:rStyle w:val="FootnoteCharacters"/>
        </w:rPr>
        <w:footnoteRef/>
      </w:r>
      <w:r>
        <w:rPr>
          <w:rStyle w:val="wwc-pali"/>
        </w:rPr>
        <w:t>Santipada</w:t>
      </w:r>
      <w:r>
        <w:rPr/>
        <w:t xml:space="preserve">, ‘place of peace’. In contexts such as this, </w:t>
      </w:r>
      <w:r>
        <w:rPr>
          <w:rStyle w:val="wwc-pali"/>
        </w:rPr>
        <w:t>pada</w:t>
      </w:r>
      <w:r>
        <w:rPr/>
        <w:t xml:space="preserve"> is commonly translated as ‘state’. But related to the English ‘pedal’, it literally means ‘foot’ or ‘step’ and by extent can mean ‘path’ (where one walks) or ‘place’ (where one stands). For example, </w:t>
      </w:r>
      <w:r>
        <w:rPr>
          <w:rStyle w:val="wwc-pali"/>
        </w:rPr>
        <w:t>janapada</w:t>
      </w:r>
      <w:r>
        <w:rPr/>
        <w:t xml:space="preserve">, ‘country’, is literally ‘people’s place’. </w:t>
      </w:r>
      <w:r>
        <w:rPr>
          <w:rStyle w:val="wwc-sesame-zot-reference"/>
        </w:rPr>
        <w:t>Monier-Williams</w:t>
      </w:r>
      <w:r>
        <w:rPr/>
        <w:t xml:space="preserve"> lists ‘a plot of ground’ as one meaning of the Sanskrit </w:t>
      </w:r>
      <w:r>
        <w:rPr>
          <w:rStyle w:val="wwc-sanskrit"/>
        </w:rPr>
        <w:t>pada</w:t>
      </w:r>
      <w:r>
        <w:rPr/>
        <w:t xml:space="preserve">, and refers to </w:t>
      </w:r>
      <w:r>
        <w:rPr>
          <w:rStyle w:val="wwc-sanskrit"/>
        </w:rPr>
        <w:t>padajñā</w:t>
      </w:r>
      <w:r>
        <w:rPr/>
        <w:t xml:space="preserve"> in RV 1.62.2, which seems to refer to knowing (</w:t>
      </w:r>
      <w:r>
        <w:rPr>
          <w:rStyle w:val="wwc-sanskrit"/>
        </w:rPr>
        <w:t>jñā</w:t>
      </w:r>
      <w:r>
        <w:rPr/>
        <w:t>) the places (</w:t>
      </w:r>
      <w:r>
        <w:rPr>
          <w:rStyle w:val="wwc-sanskrit"/>
        </w:rPr>
        <w:t>pada</w:t>
      </w:r>
      <w:r>
        <w:rPr/>
        <w:t xml:space="preserve">) where to find cattle. I am not aware of any instance in the Nikāyas where </w:t>
      </w:r>
      <w:r>
        <w:rPr>
          <w:rStyle w:val="wwc-pali"/>
        </w:rPr>
        <w:t>pada</w:t>
      </w:r>
      <w:r>
        <w:rPr/>
        <w:t xml:space="preserve"> unambiguously means ‘state’, so, following </w:t>
      </w:r>
      <w:r>
        <w:rPr>
          <w:rStyle w:val="wwc-sesame-zot-reference"/>
        </w:rPr>
        <w:t>Norman 1997</w:t>
      </w:r>
      <w:r>
        <w:rPr/>
        <w:t xml:space="preserve"> p.13, I translate ‘the sorrowless place’, ‘the peaceful place’, and so on.</w:t>
      </w:r>
    </w:p>
  </w:footnote>
  <w:footnote w:id="2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1.12:2.1–4.4</w:t>
      </w:r>
      <w:r>
        <w:rPr>
          <w:rStyle w:val="Hyperlink"/>
        </w:rPr>
        <w:fldChar w:fldCharType="end"/>
      </w:r>
    </w:p>
  </w:footnote>
  <w:footnote w:id="278">
    <w:p>
      <w:pPr>
        <w:pStyle w:val="FootnoteText"/>
        <w:rPr/>
      </w:pPr>
      <w:r>
        <w:rPr>
          <w:rStyle w:val="FootnoteCharacters"/>
        </w:rPr>
        <w:footnoteRef/>
      </w:r>
      <w:bookmarkStart w:id="160" w:name="footnote277"/>
      <w:bookmarkEnd w:id="160"/>
      <w:r>
        <w:rP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rPr/>
        <w:t xml:space="preserve"> seeds with water and earth, and unbroken seeds with water and earth. This seems incorrect, for at no point can consciousness (the seed) be broken while desire (the water) still remains. The Chinese parallel at </w:t>
      </w:r>
      <w:hyperlink r:id="rId22">
        <w:r>
          <w:rPr>
            <w:rStyle w:val="Hyperlink"/>
          </w:rPr>
          <w:t>SĀ 39</w:t>
        </w:r>
      </w:hyperlink>
      <w:r>
        <w:rP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9">
    <w:p>
      <w:pPr>
        <w:pStyle w:val="FootnoteText"/>
        <w:rPr/>
      </w:pPr>
      <w:r>
        <w:rPr>
          <w:rStyle w:val="FootnoteCharacters"/>
        </w:rPr>
        <w:footnoteRef/>
      </w:r>
      <w:bookmarkStart w:id="161" w:name="footnote278"/>
      <w:bookmarkEnd w:id="161"/>
      <w:r>
        <w:rP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rP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rPr/>
        <w:t>), so any desire for consciousness will be accompanied by a desire for sensation and perception.</w:t>
      </w:r>
    </w:p>
  </w:footnote>
  <w:footnote w:id="280">
    <w:p>
      <w:pPr>
        <w:pStyle w:val="FootnoteText"/>
        <w:rPr/>
      </w:pPr>
      <w:r>
        <w:rPr>
          <w:rStyle w:val="FootnoteCharacters"/>
        </w:rPr>
        <w:footnoteRef/>
      </w:r>
      <w:bookmarkStart w:id="162" w:name="footnote279"/>
      <w:bookmarkEnd w:id="162"/>
      <w:r>
        <w:rPr/>
        <w:t xml:space="preserve">I follow </w:t>
      </w:r>
      <w:r>
        <w:rPr>
          <w:rStyle w:val="wwc-pali"/>
        </w:rPr>
        <w:t>tadappatiṭṭhitaṁ viññāṇaṁ avirūḷhaṁ anabhisaṅkhārañ-ca vimuttaṁ</w:t>
      </w:r>
      <w:r>
        <w:rPr/>
        <w:t xml:space="preserve">, instead of alternative manuscripts which have </w:t>
      </w:r>
      <w:r>
        <w:rPr>
          <w:rStyle w:val="wwc-pali"/>
        </w:rPr>
        <w:t>anabhisaṅkhacca</w:t>
      </w:r>
      <w:r>
        <w:rPr/>
        <w:t xml:space="preserve">. Both </w:t>
      </w:r>
      <w:r>
        <w:rPr>
          <w:rStyle w:val="wwc-pali"/>
        </w:rPr>
        <w:t>anabhisaṅkhāraṁ</w:t>
      </w:r>
      <w:r>
        <w:rPr/>
        <w:t xml:space="preserve"> (not willing) and </w:t>
      </w:r>
      <w:r>
        <w:rPr>
          <w:rStyle w:val="wwc-pali"/>
        </w:rPr>
        <w:t>vimuttaṁ</w:t>
      </w:r>
      <w:r>
        <w:rPr/>
        <w:t xml:space="preserve"> (liberated) could be taken as adjectives of </w:t>
      </w:r>
      <w:r>
        <w:rPr>
          <w:rStyle w:val="wwc-pali"/>
        </w:rPr>
        <w:t>viññāṇaṁ</w:t>
      </w:r>
      <w:r>
        <w:rPr/>
        <w:t>. However:</w:t>
      </w:r>
    </w:p>
    <w:p>
      <w:pPr>
        <w:pStyle w:val="FootnoteText"/>
        <w:rPr/>
      </w:pPr>
      <w:r>
        <w:rPr/>
        <w:t xml:space="preserve">(1) Consciousness as one of the </w:t>
      </w:r>
      <w:r>
        <w:rPr>
          <w:rStyle w:val="wwc-pali"/>
        </w:rPr>
        <w:t>khandhas</w:t>
      </w:r>
      <w:r>
        <w:rPr/>
        <w:t xml:space="preserve"> is just aware of things, it does not do things nor stop doing things at enlightenment, so ‘not willing’ would likely not be said of it.</w:t>
      </w:r>
    </w:p>
    <w:p>
      <w:pPr>
        <w:pStyle w:val="FootnoteText"/>
        <w:rPr/>
      </w:pPr>
      <w:r>
        <w:rPr/>
        <w:t>(2) The before is about how consciousness comes to cease when “its foundation is destroyed”, not about liberating it.</w:t>
      </w:r>
    </w:p>
    <w:p>
      <w:pPr>
        <w:pStyle w:val="FootnoteText"/>
        <w:rPr/>
      </w:pPr>
      <w:r>
        <w:rPr/>
        <w:t xml:space="preserve">(3) Although </w:t>
      </w:r>
      <w:r>
        <w:rPr>
          <w:rStyle w:val="wwc-pali"/>
        </w:rPr>
        <w:t>viññāṇa</w:t>
      </w:r>
      <w:r>
        <w:rPr/>
        <w:t xml:space="preserve"> can be a near synonym for the mind (</w:t>
      </w:r>
      <w:r>
        <w:rPr>
          <w:rStyle w:val="wwc-pali"/>
        </w:rPr>
        <w:t>citta</w:t>
      </w:r>
      <w:r>
        <w:rPr/>
        <w:t xml:space="preserve">), the two words are still used in different senses, and elsewhere in the Nikāyas it is always either the mind or the person that is said to be liberated, never </w:t>
      </w:r>
      <w:r>
        <w:rPr>
          <w:rStyle w:val="wwc-pali"/>
        </w:rPr>
        <w:t>viññāṇa</w:t>
      </w:r>
      <w:r>
        <w:rPr/>
        <w:t>.</w:t>
      </w:r>
    </w:p>
    <w:p>
      <w:pPr>
        <w:pStyle w:val="FootnoteText"/>
        <w:rPr/>
      </w:pPr>
      <w:r>
        <w:rPr/>
        <w:t xml:space="preserve">(4) </w:t>
      </w:r>
      <w:r>
        <w:fldChar w:fldCharType="begin"/>
      </w:r>
      <w:r>
        <w:rPr>
          <w:rStyle w:val="Hyperlink"/>
        </w:rPr>
        <w:instrText xml:space="preserve"> HYPERLINK "https://suttacentral.net/XXX/en/sujato" \l "YYY"</w:instrText>
      </w:r>
      <w:r>
        <w:rPr>
          <w:rStyle w:val="Hyperlink"/>
        </w:rPr>
        <w:fldChar w:fldCharType="separate"/>
      </w:r>
      <w:r>
        <w:rPr>
          <w:rStyle w:val="Hyperlink"/>
        </w:rPr>
        <w:t>SN 22.45</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22.46</w:t>
      </w:r>
      <w:r>
        <w:rPr>
          <w:rStyle w:val="Hyperlink"/>
        </w:rPr>
        <w:fldChar w:fldCharType="end"/>
      </w:r>
      <w:r>
        <w:rPr/>
        <w:t xml:space="preserve"> share their closing paragraph with this sutta, and there it is nmistakably the mind that is liberated.</w:t>
      </w:r>
    </w:p>
    <w:p>
      <w:pPr>
        <w:pStyle w:val="FootnoteText"/>
        <w:rPr/>
      </w:pPr>
      <w:r>
        <w:rPr/>
        <w:t xml:space="preserve">For these reasons I think the mind is intended in this sutta as well. I take </w:t>
      </w:r>
      <w:r>
        <w:rPr>
          <w:rStyle w:val="wwc-pali"/>
        </w:rPr>
        <w:t>ca</w:t>
      </w:r>
      <w:r>
        <w:rPr/>
        <w:t xml:space="preserve"> (and) to indicate there to be two separate sentences: </w:t>
      </w:r>
      <w:r>
        <w:rPr>
          <w:rStyle w:val="wwc-pali"/>
        </w:rPr>
        <w:t>Tadappatiṭṭhitaṁ viññāṇaṁ avirūḷhaṁ. Anabhisaṅkhārañ-ca vimuttaṁ</w:t>
      </w:r>
      <w:r>
        <w:rPr/>
        <w:t xml:space="preserve">. Seeing the first part as a full sentence is supported by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12.40:3.3</w:t>
      </w:r>
      <w:r>
        <w:rPr>
          <w:rStyle w:val="Hyperlink"/>
        </w:rPr>
        <w:fldChar w:fldCharType="end"/>
      </w:r>
      <w:r>
        <w:rPr/>
        <w:t xml:space="preserve">, where </w:t>
      </w:r>
      <w:r>
        <w:rPr>
          <w:rStyle w:val="wwc-pali"/>
        </w:rPr>
        <w:t>tadappatiṭṭhite viññāṇe avirūḷhe</w:t>
      </w:r>
      <w:r>
        <w:rP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rPr/>
        <w:t xml:space="preserve">, “when liberated, there is the knowledge ‘it [the mind] is liberated’.” Previous translators similarly separated </w:t>
      </w:r>
      <w:r>
        <w:rPr>
          <w:rStyle w:val="wwc-pali"/>
        </w:rPr>
        <w:t>viññāṇaṁ</w:t>
      </w:r>
      <w:r>
        <w:rPr/>
        <w:t xml:space="preserve"> from </w:t>
      </w:r>
      <w:r>
        <w:rPr>
          <w:rStyle w:val="wwc-pali"/>
        </w:rPr>
        <w:t>vimuttaṁ</w:t>
      </w:r>
      <w:r>
        <w:rPr/>
        <w:t xml:space="preserve"> in the </w:t>
      </w:r>
      <w:r>
        <w:rPr>
          <w:rStyle w:val="wwc-sesame"/>
        </w:rPr>
        <w:t>Seeds Discourse</w:t>
      </w:r>
      <w:r>
        <w:rPr/>
        <w:t xml:space="preserve"> (see </w:t>
      </w:r>
      <w:hyperlink w:anchor="footnote504">
        <w:r>
          <w:rPr>
            <w:rStyle w:val="Hyperlink"/>
          </w:rPr>
          <w:t>note 504</w:t>
        </w:r>
      </w:hyperlink>
      <w:r>
        <w:rPr/>
        <w:t xml:space="preserve">). </w:t>
      </w:r>
      <w:r>
        <w:rPr>
          <w:rStyle w:val="wwc-sesame-zot-reference"/>
        </w:rPr>
        <w:t>Nyanaponika 1990</w:t>
      </w:r>
      <w:r>
        <w:rPr/>
        <w:t xml:space="preserve"> has “</w:t>
      </w:r>
      <w:r>
        <w:rPr>
          <w:rStyle w:val="wwc-german"/>
        </w:rPr>
        <w:t>ist man befreit</w:t>
      </w:r>
      <w:r>
        <w:rPr/>
        <w:t>”, meaning “</w:t>
      </w:r>
      <w:r>
        <w:rPr>
          <w:rStyle w:val="Emphasis"/>
        </w:rPr>
        <w:t>one</w:t>
      </w:r>
      <w:r>
        <w:rPr/>
        <w:t xml:space="preserve"> is liberated”. But </w:t>
      </w:r>
      <w:r>
        <w:rPr>
          <w:rStyle w:val="wwc-pali"/>
        </w:rPr>
        <w:t>vimuttaṁ</w:t>
      </w:r>
      <w:r>
        <w:rPr/>
        <w:t xml:space="preserve"> being neuter, ‘the mind’ is preferable over ‘one’, which would require the masculine.</w:t>
      </w:r>
    </w:p>
    <w:p>
      <w:pPr>
        <w:pStyle w:val="FootnoteText"/>
        <w:rPr/>
      </w:pPr>
      <w:r>
        <w:rPr/>
        <w:t xml:space="preserve">The Chinese parallel at </w:t>
      </w:r>
      <w:hyperlink r:id="rId23">
        <w:r>
          <w:rPr>
            <w:rStyle w:val="Hyperlink"/>
          </w:rPr>
          <w:t>SĀ 39</w:t>
        </w:r>
      </w:hyperlink>
      <w:r>
        <w:rPr/>
        <w:t xml:space="preserve"> also supports the separation of consciousness and liberation, as it disjoints the two with a set of phrases not found in the Pāli. </w:t>
      </w:r>
      <w:r>
        <w:rPr>
          <w:rStyle w:val="wwc-sesame-zot-reference"/>
        </w:rPr>
        <w:t>Anālayo 2014</w:t>
      </w:r>
      <w:r>
        <w:rP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rPr/>
        <w:t xml:space="preserve"> and </w:t>
      </w:r>
      <w:hyperlink w:anchor="footnote278">
        <w:r>
          <w:rPr>
            <w:rStyle w:val="Hyperlink"/>
          </w:rPr>
          <w:t>note 278</w:t>
        </w:r>
      </w:hyperlink>
      <w:r>
        <w:rPr/>
        <w:t>, seems more on point than the Pāli.</w:t>
      </w:r>
    </w:p>
  </w:footnote>
  <w:footnote w:id="2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p>
  </w:footnote>
  <w:footnote w:id="28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3.58:5.1–6.4</w:t>
      </w:r>
      <w:r>
        <w:rPr>
          <w:rStyle w:val="Hyperlink"/>
        </w:rPr>
        <w:fldChar w:fldCharType="end"/>
      </w:r>
    </w:p>
  </w:footnote>
  <w:footnote w:id="2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6.10:7.3</w:t>
      </w:r>
      <w:r>
        <w:rPr>
          <w:rStyle w:val="Hyperlink"/>
        </w:rPr>
        <w:fldChar w:fldCharType="end"/>
      </w:r>
    </w:p>
  </w:footnote>
  <w:footnote w:id="28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44.9:6.4</w:t>
      </w:r>
      <w:r>
        <w:rPr>
          <w:rStyle w:val="Hyperlink"/>
        </w:rPr>
        <w:fldChar w:fldCharType="end"/>
      </w:r>
    </w:p>
  </w:footnote>
  <w:footnote w:id="285">
    <w:p>
      <w:pPr>
        <w:pStyle w:val="FootnoteText"/>
        <w:rPr/>
      </w:pPr>
      <w:r>
        <w:rPr>
          <w:rStyle w:val="FootnoteCharacters"/>
        </w:rPr>
        <w:footnoteRef/>
      </w:r>
      <w:r>
        <w:rPr/>
        <w:t xml:space="preserve">Gati, ‘departing’, is usually translated as ‘going’ (with </w:t>
      </w:r>
      <w:r>
        <w:rPr>
          <w:rStyle w:val="wwc-pali"/>
        </w:rPr>
        <w:t>agati</w:t>
      </w:r>
      <w:r>
        <w:rPr/>
        <w:t xml:space="preserve"> as ‘coming’). But it being a euphemism for dying in this context, I prefer ‘departing’, which in English is also a euphemism for death. I translate </w:t>
      </w:r>
      <w:r>
        <w:rPr>
          <w:rStyle w:val="wwc-pali"/>
        </w:rPr>
        <w:t>āgati</w:t>
      </w:r>
      <w:r>
        <w:rPr/>
        <w:t xml:space="preserve"> accordingly as ‘arriving’.</w:t>
      </w:r>
    </w:p>
  </w:footnote>
  <w:footnote w:id="2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16.9:26.1–26.4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8:3.6</w:t>
      </w:r>
      <w:r>
        <w:rPr>
          <w:rStyle w:val="Hyperlink"/>
        </w:rPr>
        <w:fldChar w:fldCharType="end"/>
      </w:r>
      <w:r>
        <w:rPr/>
        <w:t xml:space="preserve"> </w:t>
      </w:r>
      <w:r>
        <w:rPr>
          <w:rStyle w:val="wwc-PTS-reference"/>
        </w:rPr>
        <w:t>D I 162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6.1:4.1–4.4</w:t>
      </w:r>
      <w:r>
        <w:rPr>
          <w:rStyle w:val="Hyperlink"/>
        </w:rPr>
        <w:fldChar w:fldCharType="end"/>
      </w:r>
    </w:p>
  </w:footnote>
  <w:footnote w:id="287">
    <w:p>
      <w:pPr>
        <w:pStyle w:val="FootnoteText"/>
        <w:rPr/>
      </w:pPr>
      <w:r>
        <w:rPr>
          <w:rStyle w:val="FootnoteCharacters"/>
        </w:rPr>
        <w:footnoteRef/>
      </w:r>
      <w:r>
        <w:rPr/>
        <w:t xml:space="preserve">See also </w:t>
      </w:r>
      <w:r>
        <w:rPr>
          <w:rStyle w:val="wwc-sesame-zot-reference"/>
        </w:rPr>
        <w:t>Harvey 1995</w:t>
      </w:r>
      <w:r>
        <w:rPr/>
        <w:t xml:space="preserve"> p.97f</w:t>
      </w:r>
    </w:p>
  </w:footnote>
  <w:footnote w:id="2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3.34:5.3</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45.150:1.1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55.25:10.2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6.62:7.8</w:t>
      </w:r>
      <w:r>
        <w:rPr>
          <w:rStyle w:val="Hyperlink"/>
        </w:rPr>
        <w:fldChar w:fldCharType="end"/>
      </w:r>
    </w:p>
  </w:footnote>
  <w:footnote w:id="289">
    <w:p>
      <w:pPr>
        <w:pStyle w:val="FootnoteText"/>
        <w:rPr/>
      </w:pPr>
      <w:r>
        <w:rPr>
          <w:rStyle w:val="FootnoteCharacters"/>
        </w:rPr>
        <w:footnoteRef/>
      </w:r>
      <w:r>
        <w:rPr>
          <w:rStyle w:val="wwc-pali"/>
        </w:rPr>
        <w:t>Rūpupayaṁ viññāṇaṁ tiṭṭhamānaṁ tiṭṭheyya</w:t>
      </w:r>
      <w:r>
        <w:rPr/>
        <w:t xml:space="preserve">, ‘consciousness would continue to exist if it is attracted to form’. </w:t>
      </w:r>
      <w:r>
        <w:rPr>
          <w:rStyle w:val="wwc-sesame-zot-reference"/>
        </w:rPr>
        <w:t>Bodhi 2000</w:t>
      </w:r>
      <w:r>
        <w:rPr/>
        <w:t xml:space="preserve"> translates: “Consciousness, while standing, might stand engaged with form.” </w:t>
      </w:r>
      <w:r>
        <w:rPr>
          <w:rStyle w:val="wwc-sesame-zot-reference"/>
        </w:rPr>
        <w:t>Ṭhānissaro 2008a</w:t>
      </w:r>
      <w:r>
        <w:rPr/>
        <w:t xml:space="preserve"> p.27 has: “Should consciousness, when standing, stand attached to form […]” Under </w:t>
      </w:r>
      <w:r>
        <w:rPr>
          <w:rStyle w:val="wwc-pali"/>
        </w:rPr>
        <w:t>tiṭṭhati</w:t>
      </w:r>
      <w:r>
        <w:rPr/>
        <w:t xml:space="preserve"> </w:t>
      </w:r>
      <w:r>
        <w:rPr>
          <w:rStyle w:val="wwc-sesame-zot-reference"/>
        </w:rPr>
        <w:t>DOP</w:t>
      </w:r>
      <w:r>
        <w:rPr/>
        <w:t xml:space="preserve"> glosses the literal ‘stands’ but also ‘continues to exist’. The latter is meant here, not ‘stand’, which is too literal. </w:t>
      </w:r>
      <w:r>
        <w:rPr>
          <w:rStyle w:val="wwc-sesame-zot-reference"/>
        </w:rPr>
        <w:t>Choong</w:t>
      </w:r>
      <w:r>
        <w:rPr/>
        <w:t xml:space="preserve"> p.50 more accurately translates ‘may persist’. See also </w:t>
      </w:r>
      <w:r>
        <w:rPr>
          <w:rStyle w:val="wwc-sesame-zot-reference"/>
        </w:rPr>
        <w:t>Hamilton</w:t>
      </w:r>
      <w:r>
        <w:rPr/>
        <w:t xml:space="preserve"> p.97: “This term [</w:t>
      </w:r>
      <w:r>
        <w:rPr>
          <w:rStyle w:val="wwc-pali"/>
        </w:rPr>
        <w:t>ṭhiti</w:t>
      </w:r>
      <w:r>
        <w:rPr/>
        <w:t xml:space="preserve">] itself implies continuity: being ‘stationed’ means that [consciousness] ‘persists’.” </w:t>
      </w:r>
      <w:r>
        <w:rPr>
          <w:rStyle w:val="wwc-sesame-zot-reference"/>
        </w:rPr>
        <w:t>Harvey 1995</w:t>
      </w:r>
      <w:r>
        <w:rPr/>
        <w:t xml:space="preserve"> p.97 also renders this term as ‘maintenance’.</w:t>
      </w:r>
    </w:p>
    <w:p>
      <w:pPr>
        <w:pStyle w:val="FootnoteText"/>
        <w:rPr/>
      </w:pPr>
      <w:r>
        <w:rPr/>
        <w:t xml:space="preserve">Although </w:t>
      </w:r>
      <w:r>
        <w:rPr>
          <w:rStyle w:val="wwc-pali"/>
        </w:rPr>
        <w:t>viññāṇaṁ tiṭṭhamānaṁ tiṭṭheyya</w:t>
      </w:r>
      <w:r>
        <w:rPr/>
        <w:t xml:space="preserve"> literally is ‘</w:t>
      </w:r>
      <w:r>
        <w:rPr>
          <w:rStyle w:val="Emphasis"/>
        </w:rPr>
        <w:t>existing</w:t>
      </w:r>
      <w:r>
        <w:rPr/>
        <w:t xml:space="preserve"> consciousness would continue’, a present participle followed by a finite form of the same verb is a form of emphasis. For example, </w:t>
      </w:r>
      <w:r>
        <w:rPr>
          <w:rStyle w:val="wwc-pali"/>
        </w:rPr>
        <w:t>cittaṁ bahulaṁ gacchamānaṁ gaccheyya</w:t>
      </w:r>
      <w:r>
        <w:rPr/>
        <w:t>, literally ‘the straying mind may often stray’, simply means the mind may often stray. (</w:t>
      </w:r>
      <w:r>
        <w:fldChar w:fldCharType="begin"/>
      </w:r>
      <w:r>
        <w:rPr>
          <w:rStyle w:val="Hyperlink"/>
        </w:rPr>
        <w:instrText xml:space="preserve"> HYPERLINK "https://suttacentral.net/XXX/en/sujato" \l "YYY"</w:instrText>
      </w:r>
      <w:r>
        <w:rPr>
          <w:rStyle w:val="Hyperlink"/>
        </w:rPr>
        <w:fldChar w:fldCharType="separate"/>
      </w:r>
      <w:r>
        <w:rPr>
          <w:rStyle w:val="Hyperlink"/>
        </w:rPr>
        <w:t>SN 35.117:1.2</w:t>
      </w:r>
      <w:r>
        <w:rPr>
          <w:rStyle w:val="Hyperlink"/>
        </w:rPr>
        <w:fldChar w:fldCharType="end"/>
      </w:r>
      <w:r>
        <w:rPr/>
        <w:t xml:space="preserve">) So I excluded the present participle </w:t>
      </w:r>
      <w:r>
        <w:rPr>
          <w:rStyle w:val="wwc-pali"/>
        </w:rPr>
        <w:t>tiṭṭhamānaṁ</w:t>
      </w:r>
      <w:r>
        <w:rPr/>
        <w:t xml:space="preserve">, like other translators have done in this example case and similar instances, and instead emphasize the verb with ‘continue to exist’. Further, </w:t>
      </w:r>
      <w:r>
        <w:rPr>
          <w:rStyle w:val="wwc-pali"/>
        </w:rPr>
        <w:t>rūpupayaṁ</w:t>
      </w:r>
      <w:r>
        <w:rPr/>
        <w:t xml:space="preserve"> is a </w:t>
      </w:r>
      <w:r>
        <w:rPr>
          <w:rStyle w:val="wwc-pali"/>
        </w:rPr>
        <w:t>bahubbīhi</w:t>
      </w:r>
      <w:r>
        <w:rPr/>
        <w:t xml:space="preserve"> compound, so the sentence literally says, “existing consciousness which has an attraction to form will continue”. Like </w:t>
      </w:r>
      <w:r>
        <w:rPr>
          <w:rStyle w:val="wwc-sesame-zot-reference"/>
        </w:rPr>
        <w:t>Choong</w:t>
      </w:r>
      <w:r>
        <w:rPr/>
        <w:t xml:space="preserve"> I therefore also think it is incorrect to treat </w:t>
      </w:r>
      <w:r>
        <w:rPr>
          <w:rStyle w:val="wwc-pali"/>
        </w:rPr>
        <w:t>rūpa</w:t>
      </w:r>
      <w:r>
        <w:rPr/>
        <w:t xml:space="preserve"> as an object of </w:t>
      </w:r>
      <w:r>
        <w:rPr>
          <w:rStyle w:val="wwc-pali"/>
        </w:rPr>
        <w:t>tiṭṭheyya</w:t>
      </w:r>
      <w:r>
        <w:rPr/>
        <w:t>, as in “stand engaged with form” of other translators.</w:t>
      </w:r>
    </w:p>
  </w:footnote>
  <w:footnote w:id="2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35.235:1.4–1.7</w:t>
      </w:r>
      <w:r>
        <w:rPr>
          <w:rStyle w:val="Hyperlink"/>
        </w:rPr>
        <w:fldChar w:fldCharType="end"/>
      </w:r>
    </w:p>
  </w:footnote>
  <w:footnote w:id="291">
    <w:p>
      <w:pPr>
        <w:pStyle w:val="FootnoteText"/>
        <w:rPr/>
      </w:pPr>
      <w:r>
        <w:rPr>
          <w:rStyle w:val="FootnoteCharacters"/>
        </w:rPr>
        <w:footnoteRef/>
      </w:r>
      <w:r>
        <w:rPr/>
        <w:t xml:space="preserve">On one-seeders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3.87</w:t>
      </w:r>
      <w:r>
        <w:rPr>
          <w:rStyle w:val="Hyperlink"/>
        </w:rPr>
        <w:fldChar w:fldCharType="end"/>
      </w:r>
      <w:r>
        <w:rPr/>
        <w:t xml:space="preserve">. Other suttas on seeds and rebirth are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3.77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w:t>
      </w:r>
      <w:r>
        <w:rPr>
          <w:rStyle w:val="Hyperlink"/>
        </w:rPr>
        <w:fldChar w:fldCharType="end"/>
      </w:r>
    </w:p>
  </w:footnote>
  <w:footnote w:id="2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12.57</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12.56</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12.60</w:t>
      </w:r>
      <w:r>
        <w:rPr>
          <w:rStyle w:val="Hyperlink"/>
        </w:rPr>
        <w:fldChar w:fldCharType="end"/>
      </w:r>
    </w:p>
  </w:footnote>
  <w:footnote w:id="293">
    <w:p>
      <w:pPr>
        <w:pStyle w:val="FootnoteText"/>
        <w:rPr/>
      </w:pPr>
      <w:r>
        <w:rPr>
          <w:rStyle w:val="FootnoteCharacters"/>
        </w:rPr>
        <w:footnoteRef/>
      </w:r>
      <w:r>
        <w:rPr/>
        <w:t xml:space="preserve">See also </w:t>
      </w:r>
      <w:r>
        <w:rPr>
          <w:rStyle w:val="wwc-sesame-zot-reference"/>
        </w:rPr>
        <w:t>Sunyo 2017</w:t>
      </w:r>
    </w:p>
  </w:footnote>
  <w:footnote w:id="2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1.314:1.4</w:t>
      </w:r>
      <w:r>
        <w:rPr>
          <w:rStyle w:val="Hyperlink"/>
        </w:rPr>
        <w:fldChar w:fldCharType="end"/>
      </w:r>
    </w:p>
  </w:footnote>
  <w:footnote w:id="295">
    <w:p>
      <w:pPr>
        <w:pStyle w:val="FootnoteText"/>
        <w:rPr/>
      </w:pPr>
      <w:r>
        <w:rPr>
          <w:rStyle w:val="FootnoteCharacters"/>
        </w:rPr>
        <w:footnoteRef/>
      </w:r>
      <w:r>
        <w:rPr>
          <w:rStyle w:val="wwc-pali"/>
        </w:rPr>
        <w:t>Saṁyojaniyesu, bhikkhave, dhammesu assādānupassino viharato</w:t>
      </w:r>
      <w:r>
        <w:rPr/>
        <w:t xml:space="preserve">, ‘for those who live focusing on the gratification of things that can chain them’. </w:t>
      </w:r>
      <w:r>
        <w:rPr>
          <w:rStyle w:val="wwc-sesame-zot-reference"/>
        </w:rPr>
        <w:t>Bodhi 2000</w:t>
      </w:r>
      <w:r>
        <w:rPr/>
        <w:t xml:space="preserve"> translates the phrase here as “</w:t>
      </w:r>
      <w:r>
        <w:rPr>
          <w:rStyle w:val="wwc-sesame"/>
          <w:i/>
          <w:iCs/>
        </w:rPr>
        <w:t>when</w:t>
      </w:r>
      <w:r>
        <w:rPr>
          <w:rStyle w:val="wwc-sesame"/>
        </w:rPr>
        <w:t xml:space="preserve"> one dwells contemplating gratification in things that can fetter</w:t>
      </w:r>
      <w:r>
        <w:rPr/>
        <w:t xml:space="preserve">”, but in his later translation of the </w:t>
      </w:r>
      <w:r>
        <w:rPr>
          <w:rStyle w:val="wwc-sesame"/>
        </w:rPr>
        <w:t>Aṅguttara Nikāya</w:t>
      </w:r>
      <w:r>
        <w:rPr/>
        <w:t xml:space="preserve"> he translates -</w:t>
      </w:r>
      <w:r>
        <w:rPr>
          <w:rStyle w:val="wwc-pali"/>
        </w:rPr>
        <w:t>anupassino viharato</w:t>
      </w:r>
      <w:r>
        <w:rPr/>
        <w:t xml:space="preserve"> as “</w:t>
      </w:r>
      <w:r>
        <w:rPr>
          <w:rStyle w:val="Emphasis"/>
        </w:rPr>
        <w:t>for one who</w:t>
      </w:r>
      <w:r>
        <w:rPr/>
        <w:t xml:space="preserve"> dwells contemplating”. (</w:t>
      </w:r>
      <w:r>
        <w:rPr>
          <w:rStyle w:val="wwc-sesame-zot-reference"/>
        </w:rPr>
        <w:t>Bodhi 2012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5.30</w:t>
      </w:r>
      <w:r>
        <w:rPr>
          <w:rStyle w:val="Hyperlink"/>
        </w:rPr>
        <w:fldChar w:fldCharType="end"/>
      </w:r>
      <w:r>
        <w:rPr/>
        <w:t xml:space="preserve">) </w:t>
      </w:r>
      <w:r>
        <w:rPr>
          <w:rStyle w:val="wwc-pali"/>
        </w:rPr>
        <w:t>Assādānupassino viharato</w:t>
      </w:r>
      <w:r>
        <w:rPr/>
        <w:t xml:space="preserve"> is a genitive absolute of “whom it concerns” (cf. </w:t>
      </w:r>
      <w:r>
        <w:rPr>
          <w:rStyle w:val="wwc-sesame-zot-reference"/>
        </w:rPr>
        <w:t>Wijesekera 1993</w:t>
      </w:r>
      <w:r>
        <w:rPr/>
        <w:t xml:space="preserve"> §159), so is best translated with “</w:t>
      </w:r>
      <w:r>
        <w:rPr>
          <w:rStyle w:val="Emphasis"/>
        </w:rPr>
        <w:t>for those who</w:t>
      </w:r>
      <w:r>
        <w:rPr/>
        <w:t xml:space="preserve">”, like </w:t>
      </w:r>
      <w:r>
        <w:rPr>
          <w:rStyle w:val="wwc-sesame-zot-reference"/>
        </w:rPr>
        <w:t>Olalde 2014</w:t>
      </w:r>
      <w:r>
        <w:rPr/>
        <w:t xml:space="preserve"> p.84, “für denjenigen”. The point is that for those who live dwelling on these things, there will be rebirth, but for those who do not, there won’t be. There are no temporal implications of “when” here.</w:t>
      </w:r>
    </w:p>
  </w:footnote>
  <w:footnote w:id="2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12.58</w:t>
      </w:r>
      <w:r>
        <w:rPr>
          <w:rStyle w:val="Hyperlink"/>
        </w:rPr>
        <w:fldChar w:fldCharType="end"/>
      </w:r>
    </w:p>
  </w:footnote>
  <w:footnote w:id="2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12.59</w:t>
      </w:r>
      <w:r>
        <w:rPr>
          <w:rStyle w:val="Hyperlink"/>
        </w:rPr>
        <w:fldChar w:fldCharType="end"/>
      </w:r>
    </w:p>
  </w:footnote>
  <w:footnote w:id="29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22.3:4.1–4.9</w:t>
      </w:r>
      <w:r>
        <w:rPr>
          <w:rStyle w:val="Hyperlink"/>
        </w:rPr>
        <w:fldChar w:fldCharType="end"/>
      </w:r>
    </w:p>
  </w:footnote>
  <w:footnote w:id="299">
    <w:p>
      <w:pPr>
        <w:pStyle w:val="FootnoteText"/>
        <w:rPr/>
      </w:pPr>
      <w:r>
        <w:rPr>
          <w:rStyle w:val="FootnoteCharacters"/>
        </w:rPr>
        <w:footnoteRef/>
      </w:r>
      <w:r>
        <w:rPr/>
        <w:t xml:space="preserve">See also </w:t>
      </w:r>
      <w:r>
        <w:rPr>
          <w:rStyle w:val="wwc-sesame-zot-reference"/>
        </w:rPr>
        <w:t>Wijesekera 1994</w:t>
      </w:r>
      <w:r>
        <w:rPr/>
        <w:t xml:space="preserve"> p.106</w:t>
      </w:r>
    </w:p>
  </w:footnote>
  <w:footnote w:id="3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12.65:1.2–3.8</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15:2.15–2.18, 21.1–22.6</w:t>
      </w:r>
      <w:r>
        <w:rPr>
          <w:rStyle w:val="Hyperlink"/>
        </w:rPr>
        <w:fldChar w:fldCharType="end"/>
      </w:r>
      <w:r>
        <w:rPr/>
        <w:t xml:space="preserve"> </w:t>
      </w:r>
      <w:r>
        <w:rPr>
          <w:rStyle w:val="wwc-PTS-reference"/>
        </w:rPr>
        <w:t>D II 63</w:t>
      </w:r>
    </w:p>
  </w:footnote>
  <w:footnote w:id="302">
    <w:p>
      <w:pPr>
        <w:pStyle w:val="FootnoteText"/>
        <w:rPr/>
      </w:pPr>
      <w:r>
        <w:rPr>
          <w:rStyle w:val="FootnoteCharacters"/>
        </w:rPr>
        <w:footnoteRef/>
      </w:r>
      <w:r>
        <w:rPr/>
        <w:t xml:space="preserve">See </w:t>
      </w:r>
      <w:hyperlink w:anchor="footnote435">
        <w:r>
          <w:rPr>
            <w:rStyle w:val="Hyperlink"/>
          </w:rPr>
          <w:t>note 435</w:t>
        </w:r>
      </w:hyperlink>
      <w:r>
        <w:rPr/>
        <w:t xml:space="preserve"> and </w:t>
      </w:r>
      <w:hyperlink w:anchor="footnote436">
        <w:r>
          <w:rPr>
            <w:rStyle w:val="Hyperlink"/>
          </w:rPr>
          <w:t>note 436</w:t>
        </w:r>
      </w:hyperlink>
    </w:p>
  </w:footnote>
  <w:footnote w:id="303">
    <w:p>
      <w:pPr>
        <w:pStyle w:val="FootnoteText"/>
        <w:rPr/>
      </w:pPr>
      <w:r>
        <w:rPr>
          <w:rStyle w:val="FootnoteCharacters"/>
        </w:rPr>
        <w:footnoteRef/>
      </w:r>
      <w:hyperlink r:id="rId24">
        <w:r>
          <w:rPr>
            <w:rStyle w:val="Hyperlink"/>
          </w:rPr>
          <w:t>MĀ 97</w:t>
        </w:r>
      </w:hyperlink>
      <w:r>
        <w:rPr/>
        <w:t xml:space="preserve">, translation </w:t>
      </w:r>
      <w:r>
        <w:rPr>
          <w:rStyle w:val="wwc-sesame-zot-reference"/>
        </w:rPr>
        <w:t>Anālayo 2020</w:t>
      </w:r>
      <w:r>
        <w:rPr/>
        <w:t>(a), emphasis added</w:t>
      </w:r>
    </w:p>
  </w:footnote>
  <w:footnote w:id="304">
    <w:p>
      <w:pPr>
        <w:pStyle w:val="FootnoteText"/>
        <w:rPr/>
      </w:pPr>
      <w:r>
        <w:rPr>
          <w:rStyle w:val="FootnoteCharacters"/>
        </w:rPr>
        <w:footnoteRef/>
      </w:r>
      <w:hyperlink r:id="rId25">
        <w:r>
          <w:rPr>
            <w:rStyle w:val="Hyperlink"/>
          </w:rPr>
          <w:t>DĀ 13</w:t>
        </w:r>
      </w:hyperlink>
      <w:r>
        <w:rPr/>
        <w:t xml:space="preserve">, translation </w:t>
      </w:r>
      <w:r>
        <w:rPr>
          <w:rStyle w:val="wwc-sesame-zot-reference"/>
        </w:rPr>
        <w:t>Patton</w:t>
      </w:r>
    </w:p>
  </w:footnote>
  <w:footnote w:id="305">
    <w:p>
      <w:pPr>
        <w:pStyle w:val="FootnoteText"/>
        <w:rPr/>
      </w:pPr>
      <w:r>
        <w:rPr>
          <w:rStyle w:val="FootnoteCharacters"/>
        </w:rPr>
        <w:footnoteRef/>
      </w:r>
      <w:r>
        <w:rPr/>
        <w:t xml:space="preserve">Contra </w:t>
      </w:r>
      <w:r>
        <w:rPr>
          <w:rStyle w:val="wwc-sesame-zot-reference"/>
        </w:rPr>
        <w:t>Ñāṇananda 2015</w:t>
      </w:r>
      <w:r>
        <w:rPr/>
        <w:t xml:space="preserve"> p.65, p.36. </w:t>
      </w:r>
      <w:r>
        <w:rPr>
          <w:rStyle w:val="wwc-sesame-zot-reference"/>
        </w:rPr>
        <w:t>PED</w:t>
      </w:r>
      <w:r>
        <w:rPr/>
        <w:t xml:space="preserve"> states that translating </w:t>
      </w:r>
      <w:r>
        <w:rPr>
          <w:rStyle w:val="wwc-pali"/>
        </w:rPr>
        <w:t>itthatta</w:t>
      </w:r>
      <w:r>
        <w:rPr/>
        <w:t xml:space="preserve"> as ‘thusness’ is incorrect. The word instead refers to existence, literally ‘a state (-</w:t>
      </w:r>
      <w:r>
        <w:rPr>
          <w:rStyle w:val="wwc-pali"/>
        </w:rPr>
        <w:t>tta</w:t>
      </w:r>
      <w:r>
        <w:rPr/>
        <w:t>) here (</w:t>
      </w:r>
      <w:r>
        <w:rPr>
          <w:rStyle w:val="wwc-pali"/>
        </w:rPr>
        <w:t>ittha</w:t>
      </w:r>
      <w:r>
        <w:rPr/>
        <w:t xml:space="preserve">)’. 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2.36:2.4, 3.5, 4.7</w:t>
      </w:r>
      <w:r>
        <w:rPr>
          <w:rStyle w:val="Hyperlink"/>
        </w:rPr>
        <w:fldChar w:fldCharType="end"/>
      </w:r>
      <w:r>
        <w:rPr/>
        <w:t xml:space="preserve">: </w:t>
      </w:r>
      <w:r>
        <w:rPr>
          <w:rStyle w:val="wwc-pali"/>
        </w:rPr>
        <w:t>so tato cuto […] āgantā itthattaṁ</w:t>
      </w:r>
      <w:r>
        <w:rPr/>
        <w:t>, “passing on from there […] he comes to ‘life here’”.</w:t>
      </w:r>
    </w:p>
  </w:footnote>
  <w:footnote w:id="306">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DN 24:2.17.5</w:t>
      </w:r>
      <w:r>
        <w:rPr>
          <w:rStyle w:val="Hyperlink"/>
        </w:rPr>
        <w:fldChar w:fldCharType="end"/>
      </w:r>
      <w:r>
        <w:rPr/>
        <w:t xml:space="preserve"> </w:t>
      </w:r>
      <w:r>
        <w:rPr>
          <w:rStyle w:val="wwc-PTS-reference"/>
        </w:rPr>
        <w:t>D III 29</w:t>
      </w:r>
      <w:r>
        <w:rPr/>
        <w:t xml:space="preserve"> </w:t>
      </w:r>
      <w:r>
        <w:rPr>
          <w:rStyle w:val="wwc-pali"/>
        </w:rPr>
        <w:t>itthatta</w:t>
      </w:r>
      <w:r>
        <w:rPr/>
        <w:t xml:space="preserve"> refers to a state of existence in the realm of Brahmā. See also </w:t>
      </w:r>
      <w:r>
        <w:rPr>
          <w:rStyle w:val="wwc-sesame-zot-reference"/>
        </w:rPr>
        <w:t>Bodhi 2015</w:t>
      </w:r>
      <w:r>
        <w:rPr/>
        <w:t xml:space="preserve"> p.168</w:t>
      </w:r>
    </w:p>
  </w:footnote>
  <w:footnote w:id="307">
    <w:p>
      <w:pPr>
        <w:pStyle w:val="FootnoteText"/>
        <w:rPr/>
      </w:pPr>
      <w:r>
        <w:rPr>
          <w:rStyle w:val="FootnoteCharacters"/>
        </w:rPr>
        <w:footnoteRef/>
      </w:r>
      <w:r>
        <w:rPr/>
        <w:t xml:space="preserve">See </w:t>
      </w:r>
      <w:r>
        <w:rPr>
          <w:rStyle w:val="wwc-sesame-zot-reference"/>
        </w:rPr>
        <w:t>Bodhi 1984</w:t>
      </w:r>
      <w:r>
        <w:rPr/>
        <w:t xml:space="preserve"> p.29</w:t>
      </w:r>
    </w:p>
  </w:footnote>
  <w:footnote w:id="30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9">
    <w:p>
      <w:pPr>
        <w:pStyle w:val="FootnoteText"/>
        <w:rPr/>
      </w:pPr>
      <w:r>
        <w:rPr>
          <w:rStyle w:val="FootnoteCharacters"/>
        </w:rPr>
        <w:footnoteRef/>
      </w:r>
      <w:hyperlink r:id="rId26">
        <w:r>
          <w:rPr>
            <w:rStyle w:val="Hyperlink"/>
          </w:rPr>
          <w:t>DĀ 13</w:t>
        </w:r>
      </w:hyperlink>
    </w:p>
  </w:footnote>
  <w:footnote w:id="310">
    <w:p>
      <w:pPr>
        <w:pStyle w:val="FootnoteText"/>
        <w:rPr/>
      </w:pPr>
      <w:r>
        <w:rPr>
          <w:rStyle w:val="FootnoteCharacters"/>
        </w:rPr>
        <w:footnoteRef/>
      </w:r>
      <w:r>
        <w:rPr>
          <w:rStyle w:val="wwc-sesame-zot-reference"/>
        </w:rPr>
        <w:t>Vetter 1994</w:t>
      </w:r>
      <w:r>
        <w:rPr/>
        <w:t xml:space="preserve"> p.151</w:t>
      </w:r>
    </w:p>
  </w:footnote>
  <w:footnote w:id="3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15:32.11</w:t>
      </w:r>
      <w:r>
        <w:rPr>
          <w:rStyle w:val="Hyperlink"/>
        </w:rPr>
        <w:fldChar w:fldCharType="end"/>
      </w:r>
      <w:r>
        <w:rPr/>
        <w:t xml:space="preserve"> </w:t>
      </w:r>
      <w:r>
        <w:rPr>
          <w:rStyle w:val="wwc-PTS-reference"/>
        </w:rPr>
        <w:t>D II 68</w:t>
      </w:r>
    </w:p>
  </w:footnote>
  <w:footnote w:id="312">
    <w:p>
      <w:pPr>
        <w:pStyle w:val="FootnoteText"/>
        <w:rPr/>
      </w:pPr>
      <w:r>
        <w:rPr>
          <w:rStyle w:val="FootnoteCharacters"/>
        </w:rPr>
        <w:footnoteRef/>
      </w:r>
      <w:r>
        <w:rPr/>
        <w:t xml:space="preserve">As argued by </w:t>
      </w:r>
      <w:r>
        <w:rPr>
          <w:rStyle w:val="wwc-sesame-zot-reference"/>
        </w:rPr>
        <w:t>Olalde 2014</w:t>
      </w:r>
      <w:r>
        <w:rPr/>
        <w:t xml:space="preserve"> p.102</w:t>
      </w:r>
    </w:p>
  </w:footnote>
  <w:footnote w:id="313">
    <w:p>
      <w:pPr>
        <w:pStyle w:val="FootnoteText"/>
        <w:rPr/>
      </w:pPr>
      <w:r>
        <w:rPr>
          <w:rStyle w:val="FootnoteCharacters"/>
        </w:rPr>
        <w:footnoteRef/>
      </w:r>
      <w:r>
        <w:rPr>
          <w:rStyle w:val="wwc-sesame"/>
        </w:rPr>
        <w:t>Brahmavamso 2006 p.221</w:t>
      </w:r>
    </w:p>
  </w:footnote>
  <w:footnote w:id="314">
    <w:p>
      <w:pPr>
        <w:pStyle w:val="FootnoteText"/>
        <w:rPr/>
      </w:pPr>
      <w:r>
        <w:rPr>
          <w:rStyle w:val="FootnoteCharacters"/>
        </w:rPr>
        <w:footnoteRef/>
      </w:r>
      <w:r>
        <w:rPr>
          <w:rStyle w:val="wwc-sesame-zot-reference"/>
        </w:rPr>
        <w:t>Bodhi 1984</w:t>
      </w:r>
      <w:r>
        <w:rPr/>
        <w:t xml:space="preserve"> p.30</w:t>
      </w:r>
    </w:p>
  </w:footnote>
  <w:footnote w:id="315">
    <w:p>
      <w:pPr>
        <w:pStyle w:val="FootnoteText"/>
        <w:rPr/>
      </w:pPr>
      <w:r>
        <w:rPr>
          <w:rStyle w:val="FootnoteCharacters"/>
        </w:rPr>
        <w:footnoteRef/>
      </w:r>
      <w:hyperlink r:id="rId27">
        <w:r>
          <w:rPr>
            <w:rStyle w:val="Hyperlink"/>
          </w:rPr>
          <w:t>Cnd 5</w:t>
        </w:r>
      </w:hyperlink>
    </w:p>
  </w:footnote>
  <w:footnote w:id="316">
    <w:p>
      <w:pPr>
        <w:pStyle w:val="FootnoteText"/>
        <w:rPr/>
      </w:pPr>
      <w:r>
        <w:rPr>
          <w:rStyle w:val="FootnoteCharacters"/>
        </w:rPr>
        <w:footnoteRef/>
      </w:r>
      <w:r>
        <w:rPr/>
        <w:t xml:space="preserve">For example </w:t>
      </w:r>
      <w:r>
        <w:rPr>
          <w:rStyle w:val="wwc-sesame-zot-reference"/>
        </w:rPr>
        <w:t>Ñāṇananda 2015</w:t>
      </w:r>
      <w:r>
        <w:rP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7">
    <w:p>
      <w:pPr>
        <w:pStyle w:val="FootnoteText"/>
        <w:rPr/>
      </w:pPr>
      <w:r>
        <w:rPr>
          <w:rStyle w:val="FootnoteCharacters"/>
        </w:rPr>
        <w:footnoteRef/>
      </w:r>
      <w:r>
        <w:rPr/>
        <w:t xml:space="preserve">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15:22.6</w:t>
      </w:r>
      <w:r>
        <w:rPr>
          <w:rStyle w:val="Hyperlink"/>
        </w:rPr>
        <w:fldChar w:fldCharType="end"/>
      </w:r>
      <w:r>
        <w:rP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14:2.18.40–2.18.43</w:t>
      </w:r>
      <w:r>
        <w:rPr>
          <w:rStyle w:val="Hyperlink"/>
        </w:rPr>
        <w:fldChar w:fldCharType="end"/>
      </w:r>
      <w:r>
        <w:rPr/>
        <w:t xml:space="preserve"> </w:t>
      </w:r>
      <w:r>
        <w:rPr>
          <w:rStyle w:val="wwc-PTS-reference"/>
        </w:rPr>
        <w:t>D 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15:22.1–22.2</w:t>
      </w:r>
      <w:r>
        <w:rPr>
          <w:rStyle w:val="Hyperlink"/>
        </w:rPr>
        <w:fldChar w:fldCharType="end"/>
      </w:r>
      <w:r>
        <w:rPr/>
        <w:t xml:space="preserve"> </w:t>
      </w:r>
      <w:r>
        <w:rPr>
          <w:rStyle w:val="wwc-PTS-reference"/>
        </w:rPr>
        <w:t>D II 63</w:t>
      </w:r>
      <w:r>
        <w:rPr/>
        <w:t xml:space="preserve"> (</w:t>
      </w:r>
      <w:hyperlink w:anchor="bqseg84">
        <w:r>
          <w:rPr>
            <w:rStyle w:val="Hyperlink"/>
          </w:rPr>
          <w:t>§84</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12.65:2.14–2.16</w:t>
      </w:r>
      <w:r>
        <w:rPr>
          <w:rStyle w:val="Hyperlink"/>
        </w:rPr>
        <w:fldChar w:fldCharType="end"/>
      </w:r>
      <w:r>
        <w:rPr/>
        <w:t xml:space="preserve"> (</w:t>
      </w:r>
      <w:hyperlink w:anchor="bqseg83">
        <w:r>
          <w:rPr>
            <w:rStyle w:val="Hyperlink"/>
          </w:rPr>
          <w:t>§83</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12.67:4.2–4.3</w:t>
      </w:r>
      <w:r>
        <w:rPr>
          <w:rStyle w:val="Hyperlink"/>
        </w:rPr>
        <w:fldChar w:fldCharType="end"/>
      </w:r>
      <w:r>
        <w:rPr/>
        <w:t xml:space="preserve"> (</w:t>
      </w:r>
      <w:hyperlink w:anchor="bqseg95">
        <w:r>
          <w:rPr>
            <w:rStyle w:val="Hyperlink"/>
          </w:rPr>
          <w:t>§95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22.57:14.5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22.82:7.10</w:t>
      </w:r>
      <w:r>
        <w:rPr>
          <w:rStyle w:val="Hyperlink"/>
        </w:rPr>
        <w:fldChar w:fldCharType="end"/>
      </w:r>
    </w:p>
  </w:footnote>
  <w:footnote w:id="319">
    <w:p>
      <w:pPr>
        <w:pStyle w:val="FootnoteText"/>
        <w:rPr/>
      </w:pPr>
      <w:r>
        <w:rPr>
          <w:rStyle w:val="FootnoteCharacters"/>
        </w:rPr>
        <w:footnoteRef/>
      </w:r>
      <w:r>
        <w:rPr>
          <w:rStyle w:val="wwc-pali"/>
        </w:rPr>
        <w:t>Viññāṇañca hi, Ānanda, nāmarūpe patiṭṭhaṁ na labhissatha</w:t>
      </w:r>
      <w:r>
        <w:rPr/>
        <w:t xml:space="preserve">. For </w:t>
      </w:r>
      <w:r>
        <w:rPr>
          <w:rStyle w:val="wwc-pali"/>
        </w:rPr>
        <w:t>patiṭṭhaṁ</w:t>
      </w:r>
      <w:r>
        <w:rPr/>
        <w:t xml:space="preserve"> as ‘support to be planted’ see note 215. 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15:22.2</w:t>
      </w:r>
      <w:r>
        <w:rPr>
          <w:rStyle w:val="Hyperlink"/>
        </w:rPr>
        <w:fldChar w:fldCharType="end"/>
      </w:r>
      <w:r>
        <w:rP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rPr/>
        <w:t>), my support (</w:t>
      </w:r>
      <w:r>
        <w:rPr>
          <w:rStyle w:val="wwc-sanskrit"/>
        </w:rPr>
        <w:t>pratiṣṭhā</w:t>
      </w:r>
      <w:r>
        <w:rPr/>
        <w:t>)”.</w:t>
      </w:r>
    </w:p>
  </w:footnote>
  <w:footnote w:id="320">
    <w:p>
      <w:pPr>
        <w:pStyle w:val="FootnoteText"/>
        <w:rPr/>
      </w:pPr>
      <w:r>
        <w:rPr>
          <w:rStyle w:val="FootnoteCharacters"/>
        </w:rPr>
        <w:footnoteRef/>
      </w:r>
      <w:r>
        <w:rPr>
          <w:rStyle w:val="wwc-sesame-zot-reference"/>
        </w:rPr>
        <w:t>Hamilton</w:t>
      </w:r>
      <w:r>
        <w:rPr/>
        <w:t xml:space="preserve"> p.129</w:t>
      </w:r>
    </w:p>
  </w:footnote>
  <w:footnote w:id="321">
    <w:p>
      <w:pPr>
        <w:pStyle w:val="FootnoteText"/>
        <w:rPr/>
      </w:pPr>
      <w:r>
        <w:rPr>
          <w:rStyle w:val="FootnoteCharacters"/>
        </w:rPr>
        <w:footnoteRef/>
      </w:r>
      <w:r>
        <w:rPr>
          <w:rStyle w:val="wwc-sesame-zot-reference"/>
        </w:rPr>
        <w:t>Bodhi 1984</w:t>
      </w:r>
      <w:r>
        <w:rPr/>
        <w:t xml:space="preserve"> p.25</w:t>
      </w:r>
    </w:p>
  </w:footnote>
  <w:footnote w:id="322">
    <w:p>
      <w:pPr>
        <w:pStyle w:val="FootnoteText"/>
        <w:rPr/>
      </w:pPr>
      <w:r>
        <w:rPr>
          <w:rStyle w:val="FootnoteCharacters"/>
        </w:rPr>
        <w:footnoteRef/>
      </w:r>
      <w:r>
        <w:rPr>
          <w:rStyle w:val="wwc-sesame-zot-reference"/>
        </w:rPr>
        <w:t>Langer</w:t>
      </w:r>
      <w:r>
        <w:rPr/>
        <w:t xml:space="preserve"> p.25, translation mine</w:t>
      </w:r>
    </w:p>
  </w:footnote>
  <w:footnote w:id="3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10:2.22.1</w:t>
      </w:r>
      <w:r>
        <w:rPr>
          <w:rStyle w:val="Hyperlink"/>
        </w:rPr>
        <w:fldChar w:fldCharType="end"/>
      </w:r>
      <w:r>
        <w:rPr/>
        <w:t xml:space="preserve"> </w:t>
      </w:r>
      <w:r>
        <w:rPr>
          <w:rStyle w:val="wwc-PTS-reference"/>
        </w:rPr>
        <w:t>D I 209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DN 2:84.1</w:t>
      </w:r>
      <w:r>
        <w:rPr>
          <w:rStyle w:val="Hyperlink"/>
        </w:rPr>
        <w:fldChar w:fldCharType="end"/>
      </w:r>
      <w:r>
        <w:rPr/>
        <w:t xml:space="preserve"> </w:t>
      </w:r>
      <w:r>
        <w:rPr>
          <w:rStyle w:val="wwc-PTS-reference"/>
        </w:rPr>
        <w:t>D I 76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77:29.9</w:t>
      </w:r>
      <w:r>
        <w:rPr>
          <w:rStyle w:val="Hyperlink"/>
        </w:rPr>
        <w:fldChar w:fldCharType="end"/>
      </w:r>
      <w:r>
        <w:rPr/>
        <w:t xml:space="preserve"> </w:t>
      </w:r>
      <w:r>
        <w:rPr>
          <w:rStyle w:val="wwc-PTS-reference"/>
        </w:rPr>
        <w:t>M II 17</w:t>
      </w:r>
    </w:p>
  </w:footnote>
  <w:footnote w:id="3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14:1.21.2</w:t>
      </w:r>
      <w:r>
        <w:rPr>
          <w:rStyle w:val="Hyperlink"/>
        </w:rPr>
        <w:fldChar w:fldCharType="end"/>
      </w:r>
      <w:r>
        <w:rPr/>
        <w:t xml:space="preserve"> </w:t>
      </w:r>
      <w:r>
        <w:rPr>
          <w:rStyle w:val="wwc-PTS-reference"/>
        </w:rPr>
        <w:t>D II 14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123:12.3</w:t>
      </w:r>
      <w:r>
        <w:rPr>
          <w:rStyle w:val="Hyperlink"/>
        </w:rPr>
        <w:fldChar w:fldCharType="end"/>
      </w:r>
      <w:r>
        <w:rPr/>
        <w:t xml:space="preserve"> </w:t>
      </w:r>
      <w:r>
        <w:rPr>
          <w:rStyle w:val="wwc-PTS-reference"/>
        </w:rPr>
        <w:t>M III 121</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79:11.1</w:t>
      </w:r>
      <w:r>
        <w:rPr>
          <w:rStyle w:val="Hyperlink"/>
        </w:rPr>
        <w:fldChar w:fldCharType="end"/>
      </w:r>
      <w:r>
        <w:rPr/>
        <w:t xml:space="preserve"> </w:t>
      </w:r>
      <w:r>
        <w:rPr>
          <w:rStyle w:val="wwc-PTS-reference"/>
        </w:rPr>
        <w:t>M II 33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80:4.1</w:t>
      </w:r>
      <w:r>
        <w:rPr>
          <w:rStyle w:val="Hyperlink"/>
        </w:rPr>
        <w:fldChar w:fldCharType="end"/>
      </w:r>
      <w:r>
        <w:rPr/>
        <w:t xml:space="preserve"> </w:t>
      </w:r>
      <w:r>
        <w:rPr>
          <w:rStyle w:val="wwc-PTS-reference"/>
        </w:rPr>
        <w:t>M II 41</w:t>
      </w:r>
    </w:p>
  </w:footnote>
  <w:footnote w:id="3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12.65:6.3–6.7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12.67:7.12–7.16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14:2.21.3</w:t>
      </w:r>
      <w:r>
        <w:rPr>
          <w:rStyle w:val="Hyperlink"/>
        </w:rPr>
        <w:fldChar w:fldCharType="end"/>
      </w:r>
      <w:r>
        <w:rPr/>
        <w:t xml:space="preserve"> </w:t>
      </w:r>
      <w:r>
        <w:rPr>
          <w:rStyle w:val="wwc-PTS-reference"/>
        </w:rPr>
        <w:t>D II 35</w:t>
      </w:r>
    </w:p>
  </w:footnote>
  <w:footnote w:id="326">
    <w:p>
      <w:pPr>
        <w:pStyle w:val="FootnoteText"/>
        <w:rPr/>
      </w:pPr>
      <w:r>
        <w:rPr>
          <w:rStyle w:val="FootnoteCharacters"/>
        </w:rPr>
        <w:footnoteRef/>
      </w:r>
      <w:r>
        <w:rPr/>
        <w:t xml:space="preserve">For example </w:t>
      </w:r>
      <w:r>
        <w:rPr>
          <w:rStyle w:val="wwc-sesame-zot-reference"/>
        </w:rPr>
        <w:t>Falk</w:t>
      </w:r>
      <w:r>
        <w:rPr/>
        <w:t xml:space="preserve"> p.40, </w:t>
      </w:r>
      <w:r>
        <w:rPr>
          <w:rStyle w:val="wwc-sesame-zot-reference"/>
        </w:rPr>
        <w:t>Hamilton</w:t>
      </w:r>
      <w:r>
        <w:rPr/>
        <w:t xml:space="preserve"> p.123, </w:t>
      </w:r>
      <w:r>
        <w:rPr>
          <w:rStyle w:val="wwc-sesame-zot-reference"/>
        </w:rPr>
        <w:t>Gombrich 2009</w:t>
      </w:r>
      <w:r>
        <w:rPr/>
        <w:t xml:space="preserve"> p.120, </w:t>
      </w:r>
      <w:r>
        <w:rPr>
          <w:rStyle w:val="wwc-sesame-zot-reference"/>
        </w:rPr>
        <w:t>Olalde 2014</w:t>
      </w:r>
      <w:r>
        <w:rPr/>
        <w:t xml:space="preserve"> p.38ff.</w:t>
      </w:r>
    </w:p>
  </w:footnote>
  <w:footnote w:id="327">
    <w:p>
      <w:pPr>
        <w:pStyle w:val="FootnoteText"/>
        <w:rPr/>
      </w:pPr>
      <w:r>
        <w:rPr>
          <w:rStyle w:val="FootnoteCharacters"/>
        </w:rPr>
        <w:footnoteRef/>
      </w:r>
      <w:r>
        <w:rPr>
          <w:rStyle w:val="wwc-sesame-zot-reference"/>
        </w:rPr>
        <w:t>Sujato 2012</w:t>
      </w:r>
      <w:r>
        <w:rPr/>
        <w:t xml:space="preserve"> Section 3.2—Insight 2.3: Im</w:t>
        <w:softHyphen/>
        <w:t>perm</w:t>
        <w:softHyphen/>
        <w:t>anence of the Mind</w:t>
      </w:r>
    </w:p>
  </w:footnote>
  <w:footnote w:id="328">
    <w:p>
      <w:pPr>
        <w:pStyle w:val="FootnoteText"/>
        <w:rPr/>
      </w:pPr>
      <w:r>
        <w:rPr>
          <w:rStyle w:val="FootnoteCharacters"/>
        </w:rPr>
        <w:footnoteRef/>
      </w:r>
      <w:r>
        <w:rPr>
          <w:rStyle w:val="wwc-sesame-zot-reference"/>
        </w:rPr>
        <w:t>Falk</w:t>
      </w:r>
      <w:r>
        <w:rPr/>
        <w:t xml:space="preserve"> p.40</w:t>
      </w:r>
    </w:p>
  </w:footnote>
  <w:footnote w:id="329">
    <w:p>
      <w:pPr>
        <w:pStyle w:val="FootnoteText"/>
        <w:rPr/>
      </w:pPr>
      <w:r>
        <w:rPr>
          <w:rStyle w:val="FootnoteCharacters"/>
        </w:rPr>
        <w:footnoteRef/>
      </w:r>
      <w:r>
        <w:rPr/>
        <w:t xml:space="preserve">See for example </w:t>
      </w:r>
      <w:r>
        <w:rPr>
          <w:rStyle w:val="wwc-sesame-zot-reference"/>
        </w:rPr>
        <w:t>Flood</w:t>
      </w:r>
      <w:r>
        <w:rPr/>
        <w:t xml:space="preserve"> p.274: “The Brahmanical tradition was not a monolithic entity.” Or </w:t>
      </w:r>
      <w:r>
        <w:rPr>
          <w:rStyle w:val="wwc-sesame-zot-reference"/>
        </w:rPr>
        <w:t>Bausch 2015</w:t>
      </w:r>
      <w:r>
        <w:rPr/>
        <w:t xml:space="preserve"> p.1: “There was never a unitary Vedic tradition against which Buddhism reacted. Vedic religiosity was a dynamic aggregate, alive with regional variation.” See also </w:t>
      </w:r>
      <w:r>
        <w:rPr>
          <w:rStyle w:val="wwc-sesame-zot-reference"/>
        </w:rPr>
        <w:t>Olivelle</w:t>
      </w:r>
      <w:r>
        <w:rPr/>
        <w:t xml:space="preserve"> pp.8–11. In </w:t>
      </w:r>
      <w:r>
        <w:fldChar w:fldCharType="begin"/>
      </w:r>
      <w:r>
        <w:rPr>
          <w:rStyle w:val="Hyperlink"/>
        </w:rPr>
        <w:instrText xml:space="preserve"> HYPERLINK "https://suttacentral.net/XXX/en/sujato" \l "YYY"</w:instrText>
      </w:r>
      <w:r>
        <w:rPr>
          <w:rStyle w:val="Hyperlink"/>
        </w:rPr>
        <w:fldChar w:fldCharType="separate"/>
      </w:r>
      <w:r>
        <w:rPr>
          <w:rStyle w:val="Hyperlink"/>
        </w:rPr>
        <w:t>DN 13</w:t>
      </w:r>
      <w:r>
        <w:rPr>
          <w:rStyle w:val="Hyperlink"/>
        </w:rPr>
        <w:fldChar w:fldCharType="end"/>
      </w:r>
      <w:r>
        <w:rPr/>
        <w:t xml:space="preserve"> different brahmin traditions are said to teach different paths to Brahma(n).</w:t>
      </w:r>
    </w:p>
  </w:footnote>
  <w:footnote w:id="330">
    <w:p>
      <w:pPr>
        <w:pStyle w:val="FootnoteText"/>
        <w:rPr/>
      </w:pPr>
      <w:r>
        <w:rPr>
          <w:rStyle w:val="FootnoteCharacters"/>
        </w:rPr>
        <w:footnoteRef/>
      </w:r>
      <w:r>
        <w:rPr/>
        <w:t xml:space="preserve">MuṇU 3.2.8, translation </w:t>
      </w:r>
      <w:r>
        <w:rPr>
          <w:rStyle w:val="wwc-sesame-zot-reference"/>
        </w:rPr>
        <w:t>Olivelle</w:t>
      </w:r>
    </w:p>
  </w:footnote>
  <w:footnote w:id="331">
    <w:p>
      <w:pPr>
        <w:pStyle w:val="FootnoteText"/>
        <w:rPr/>
      </w:pPr>
      <w:r>
        <w:rPr>
          <w:rStyle w:val="FootnoteCharacters"/>
        </w:rPr>
        <w:footnoteRef/>
      </w:r>
      <w:r>
        <w:rPr/>
        <w:t xml:space="preserve">PrU 6.5, translation </w:t>
      </w:r>
      <w:r>
        <w:rPr>
          <w:rStyle w:val="wwc-sesame-zot-reference"/>
        </w:rPr>
        <w:t>Olivelle</w:t>
      </w:r>
    </w:p>
  </w:footnote>
  <w:footnote w:id="332">
    <w:p>
      <w:pPr>
        <w:pStyle w:val="FootnoteText"/>
        <w:rPr/>
      </w:pPr>
      <w:r>
        <w:rPr>
          <w:rStyle w:val="FootnoteCharacters"/>
        </w:rPr>
        <w:footnoteRef/>
      </w:r>
      <w:r>
        <w:rPr/>
        <w:t xml:space="preserve">CU 6.10, translation </w:t>
      </w:r>
      <w:r>
        <w:rPr>
          <w:rStyle w:val="wwc-sesame-zot-reference"/>
        </w:rPr>
        <w:t>Olivelle</w:t>
      </w:r>
    </w:p>
  </w:footnote>
  <w:footnote w:id="333">
    <w:p>
      <w:pPr>
        <w:pStyle w:val="FootnoteText"/>
        <w:rPr/>
      </w:pPr>
      <w:r>
        <w:rPr>
          <w:rStyle w:val="FootnoteCharacters"/>
        </w:rPr>
        <w:footnoteRef/>
      </w:r>
      <w:r>
        <w:rPr/>
        <w:t xml:space="preserve">See also </w:t>
      </w:r>
      <w:r>
        <w:rPr>
          <w:rStyle w:val="wwc-sesame-zot-reference"/>
        </w:rPr>
        <w:t>Olalde 2014</w:t>
      </w:r>
      <w:r>
        <w:rPr/>
        <w:t xml:space="preserve"> p.39 (translation mine): “[On the basis of CU 6.10 (</w:t>
      </w:r>
      <w:hyperlink w:anchor="bqseg89">
        <w:r>
          <w:rPr>
            <w:rStyle w:val="Hyperlink"/>
          </w:rPr>
          <w:t>§89</w:t>
        </w:r>
      </w:hyperlink>
      <w:r>
        <w:rPr/>
        <w:t xml:space="preserve">)] it seems most likely to me that </w:t>
      </w:r>
      <w:r>
        <w:rPr>
          <w:rStyle w:val="wwc-pali"/>
        </w:rPr>
        <w:t>nāmarūpa</w:t>
      </w:r>
      <w:r>
        <w:rPr/>
        <w:t xml:space="preserve"> in MuṇU 3.2.8 and PrU 6.5 (</w:t>
      </w:r>
      <w:hyperlink w:anchor="bqseg87">
        <w:r>
          <w:rPr>
            <w:rStyle w:val="Hyperlink"/>
          </w:rPr>
          <w:t>§87</w:t>
        </w:r>
      </w:hyperlink>
      <w:r>
        <w:rPr/>
        <w:t xml:space="preserve"> and </w:t>
      </w:r>
      <w:hyperlink w:anchor="bqseg88">
        <w:r>
          <w:rPr>
            <w:rStyle w:val="Hyperlink"/>
          </w:rPr>
          <w:t>§88</w:t>
        </w:r>
      </w:hyperlink>
      <w:r>
        <w:rPr/>
        <w:t xml:space="preserve">) refers specifically to a person, who until the depicted point in time existed as an individual with his (proper) name and visible form.” See also </w:t>
      </w:r>
      <w:r>
        <w:rPr>
          <w:rStyle w:val="wwc-sesame-zot-reference"/>
        </w:rPr>
        <w:t>Olalde 2015</w:t>
      </w:r>
      <w:r>
        <w:rPr/>
        <w:t xml:space="preserve"> p.14</w:t>
      </w:r>
    </w:p>
  </w:footnote>
  <w:footnote w:id="3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45.91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45.92-95</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45.96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45.97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45.98-102</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45.103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45.104-108</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45.109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45.110-114</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45.116-120</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45.122-126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45.128-132</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45.134-138</w:t>
      </w:r>
      <w:r>
        <w:rPr>
          <w:rStyle w:val="Hyperlink"/>
        </w:rPr>
        <w:fldChar w:fldCharType="end"/>
      </w:r>
    </w:p>
  </w:footnote>
  <w:footnote w:id="33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22:25.5–25.6</w:t>
      </w:r>
      <w:r>
        <w:rPr>
          <w:rStyle w:val="Hyperlink"/>
        </w:rPr>
        <w:fldChar w:fldCharType="end"/>
      </w:r>
      <w:r>
        <w:rPr/>
        <w:t xml:space="preserve"> </w:t>
      </w:r>
      <w:r>
        <w:rPr>
          <w:rStyle w:val="wwc-PTS-reference"/>
        </w:rPr>
        <w:t>M I 138</w:t>
      </w:r>
      <w:r>
        <w:rPr/>
        <w:t xml:space="preserve">. See also </w:t>
      </w:r>
      <w:r>
        <w:rPr>
          <w:rStyle w:val="wwc-sesame-zot-reference"/>
        </w:rPr>
        <w:t>Wijesekera 1994</w:t>
      </w:r>
      <w:r>
        <w:rPr/>
        <w:t xml:space="preserve"> p.261</w:t>
      </w:r>
    </w:p>
  </w:footnote>
  <w:footnote w:id="3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1.50:6.1–6.4</w:t>
      </w:r>
      <w:r>
        <w:rPr>
          <w:rStyle w:val="Hyperlink"/>
        </w:rPr>
        <w:fldChar w:fldCharType="end"/>
      </w:r>
    </w:p>
  </w:footnote>
  <w:footnote w:id="337">
    <w:p>
      <w:pPr>
        <w:pStyle w:val="FootnoteText"/>
        <w:rPr/>
      </w:pPr>
      <w:r>
        <w:rPr>
          <w:rStyle w:val="FootnoteCharacters"/>
        </w:rPr>
        <w:footnoteRef/>
      </w:r>
      <w:r>
        <w:rPr>
          <w:rStyle w:val="wwc-sesame-zot-reference"/>
        </w:rPr>
        <w:t>Bausch 2018</w:t>
      </w:r>
      <w:r>
        <w:rPr/>
        <w:t xml:space="preserve"> p.39</w:t>
      </w:r>
    </w:p>
  </w:footnote>
  <w:footnote w:id="3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5.2:5.1–6.6</w:t>
      </w:r>
      <w:r>
        <w:rPr>
          <w:rStyle w:val="Hyperlink"/>
        </w:rPr>
        <w:fldChar w:fldCharType="end"/>
      </w:r>
    </w:p>
  </w:footnote>
  <w:footnote w:id="339">
    <w:p>
      <w:pPr>
        <w:pStyle w:val="FootnoteText"/>
        <w:rPr/>
      </w:pPr>
      <w:r>
        <w:rPr>
          <w:rStyle w:val="FootnoteCharacters"/>
        </w:rPr>
        <w:footnoteRef/>
      </w:r>
      <w:r>
        <w:rPr>
          <w:rStyle w:val="wwc-sesame-zot-reference"/>
        </w:rPr>
        <w:t>Sunyo 2021</w:t>
      </w:r>
    </w:p>
  </w:footnote>
  <w:footnote w:id="340">
    <w:p>
      <w:pPr>
        <w:pStyle w:val="FootnoteText"/>
        <w:rPr/>
      </w:pPr>
      <w:r>
        <w:rPr>
          <w:rStyle w:val="FootnoteCharacters"/>
        </w:rPr>
        <w:footnoteRef/>
      </w:r>
      <w:r>
        <w:rPr/>
        <w:t xml:space="preserve">See </w:t>
      </w:r>
      <w:r>
        <w:rPr>
          <w:rStyle w:val="wwc-sesame-zot-reference"/>
        </w:rPr>
        <w:t>Hinüber</w:t>
      </w:r>
      <w:r>
        <w:rPr/>
        <w:t xml:space="preserve"> p.28f</w:t>
      </w:r>
    </w:p>
  </w:footnote>
  <w:footnote w:id="3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11:85.18–85.27</w:t>
      </w:r>
      <w:r>
        <w:rPr>
          <w:rStyle w:val="Hyperlink"/>
        </w:rPr>
        <w:fldChar w:fldCharType="end"/>
      </w:r>
      <w:r>
        <w:rPr/>
        <w:t xml:space="preserve"> </w:t>
      </w:r>
      <w:r>
        <w:rPr>
          <w:rStyle w:val="wwc-PTS-reference"/>
        </w:rPr>
        <w:t>D I 223</w:t>
      </w:r>
    </w:p>
  </w:footnote>
  <w:footnote w:id="342">
    <w:p>
      <w:pPr>
        <w:pStyle w:val="FootnoteText"/>
        <w:rPr/>
      </w:pPr>
      <w:r>
        <w:rPr>
          <w:rStyle w:val="FootnoteCharacters"/>
        </w:rPr>
        <w:footnoteRef/>
      </w:r>
      <w:r>
        <w:rPr/>
        <w:t xml:space="preserve">See for example </w:t>
      </w:r>
      <w:r>
        <w:rPr>
          <w:rStyle w:val="wwc-sesame-zot-reference"/>
        </w:rPr>
        <w:t>Hamilton</w:t>
      </w:r>
      <w:r>
        <w:rPr/>
        <w:t xml:space="preserve"> p.12</w:t>
      </w:r>
    </w:p>
  </w:footnote>
  <w:footnote w:id="343">
    <w:p>
      <w:pPr>
        <w:pStyle w:val="FootnoteText"/>
        <w:rPr/>
      </w:pPr>
      <w:r>
        <w:rPr>
          <w:rStyle w:val="FootnoteCharacters"/>
        </w:rPr>
        <w:footnoteRef/>
      </w:r>
      <w:r>
        <w:rPr>
          <w:rStyle w:val="wwc-sesame-zot-reference"/>
        </w:rPr>
        <w:t>Gombrich 1980</w:t>
      </w:r>
      <w:r>
        <w:rPr/>
        <w:t xml:space="preserve"> p.45</w:t>
      </w:r>
    </w:p>
  </w:footnote>
  <w:footnote w:id="344">
    <w:p>
      <w:pPr>
        <w:pStyle w:val="FootnoteText"/>
        <w:rPr/>
      </w:pPr>
      <w:r>
        <w:rPr>
          <w:rStyle w:val="FootnoteCharacters"/>
        </w:rPr>
        <w:footnoteRef/>
      </w:r>
      <w:r>
        <w:rPr/>
        <w:t xml:space="preserve">BU 2.4.12, </w:t>
      </w:r>
      <w:r>
        <w:rPr>
          <w:rStyle w:val="wwc-pali"/>
        </w:rPr>
        <w:t>anantam apāraṁ vijñāna-ghana eva</w:t>
      </w:r>
      <w:r>
        <w:rPr/>
        <w:t xml:space="preserve">; BU 3.8.8, </w:t>
      </w:r>
      <w:r>
        <w:rPr>
          <w:rStyle w:val="wwc-pali"/>
        </w:rPr>
        <w:t>asthūlam anaṇv ahrasvam adīrgham</w:t>
      </w:r>
      <w:r>
        <w:rPr/>
        <w:t>.</w:t>
      </w:r>
    </w:p>
  </w:footnote>
  <w:footnote w:id="345">
    <w:p>
      <w:pPr>
        <w:pStyle w:val="FootnoteText"/>
        <w:rPr/>
      </w:pPr>
      <w:r>
        <w:rPr>
          <w:rStyle w:val="FootnoteCharacters"/>
        </w:rPr>
        <w:footnoteRef/>
      </w:r>
      <w:r>
        <w:rPr/>
        <w:t xml:space="preserve">BU 3.7.3–7, translation </w:t>
      </w:r>
      <w:r>
        <w:rPr>
          <w:rStyle w:val="wwc-sesame-zot-reference"/>
        </w:rPr>
        <w:t>Olivelle</w:t>
      </w:r>
      <w:r>
        <w:rP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6">
    <w:p>
      <w:pPr>
        <w:pStyle w:val="FootnoteText"/>
        <w:rPr/>
      </w:pPr>
      <w:r>
        <w:rPr>
          <w:rStyle w:val="FootnoteCharacters"/>
        </w:rPr>
        <w:footnoteRef/>
      </w:r>
      <w:r>
        <w:rPr/>
        <w:t xml:space="preserve">TU 2.8, translation </w:t>
      </w:r>
      <w:r>
        <w:rPr>
          <w:rStyle w:val="wwc-sesame-zot-reference"/>
        </w:rPr>
        <w:t>Olivelle</w:t>
      </w:r>
      <w:r>
        <w:rPr/>
        <w:t>: “For when a man finds within that invisible (</w:t>
      </w:r>
      <w:r>
        <w:rPr>
          <w:rStyle w:val="wwc-sanskrit"/>
        </w:rPr>
        <w:t>nadṛśya</w:t>
      </w:r>
      <w:r>
        <w:rPr/>
        <w:t xml:space="preserve">), incorporeal, indistinct, and supportless essence, the fearless state on which to rest, then he becomes free from fear.” The word has the same verbal root as </w:t>
      </w:r>
      <w:r>
        <w:rPr>
          <w:rStyle w:val="wwc-pali"/>
        </w:rPr>
        <w:t>anidassana</w:t>
      </w:r>
      <w:r>
        <w:rPr/>
        <w:t xml:space="preserve"> of the </w:t>
      </w:r>
      <w:r>
        <w:rPr>
          <w:rStyle w:val="wwc-sesame"/>
        </w:rPr>
        <w:t>Kevaddha Sutta</w:t>
      </w:r>
    </w:p>
  </w:footnote>
  <w:footnote w:id="347">
    <w:p>
      <w:pPr>
        <w:pStyle w:val="FootnoteText"/>
        <w:rPr/>
      </w:pPr>
      <w:r>
        <w:rPr>
          <w:rStyle w:val="FootnoteCharacters"/>
        </w:rPr>
        <w:footnoteRef/>
      </w:r>
      <w:r>
        <w:rPr/>
        <w:t xml:space="preserve">CU 3.13.7–14.2, translation </w:t>
      </w:r>
      <w:r>
        <w:rPr>
          <w:rStyle w:val="wwc-sesame-zot-reference"/>
        </w:rPr>
        <w:t>Olivelle</w:t>
      </w:r>
      <w:r>
        <w:rPr/>
        <w:t xml:space="preserve">. See also ‘inner light’ in </w:t>
      </w:r>
      <w:hyperlink w:anchor="bqseg94">
        <w:r>
          <w:rPr>
            <w:rStyle w:val="Hyperlink"/>
          </w:rPr>
          <w:t>§94</w:t>
        </w:r>
      </w:hyperlink>
    </w:p>
  </w:footnote>
  <w:footnote w:id="348">
    <w:p>
      <w:pPr>
        <w:pStyle w:val="FootnoteText"/>
        <w:rPr/>
      </w:pPr>
      <w:r>
        <w:rPr>
          <w:rStyle w:val="FootnoteCharacters"/>
        </w:rPr>
        <w:footnoteRef/>
      </w:r>
      <w:r>
        <w:rPr/>
        <w:t xml:space="preserve">See </w:t>
      </w:r>
      <w:r>
        <w:rPr>
          <w:rStyle w:val="wwc-sesame-zot-reference"/>
        </w:rPr>
        <w:t>Sunyo 2021</w:t>
      </w:r>
    </w:p>
  </w:footnote>
  <w:footnote w:id="349">
    <w:p>
      <w:pPr>
        <w:pStyle w:val="FootnoteText"/>
        <w:rPr/>
      </w:pPr>
      <w:r>
        <w:rPr>
          <w:rStyle w:val="FootnoteCharacters"/>
        </w:rPr>
        <w:footnoteRef/>
      </w:r>
      <w:r>
        <w:rPr/>
        <w:t xml:space="preserve">See also </w:t>
      </w:r>
      <w:r>
        <w:rPr>
          <w:rStyle w:val="wwc-sesame-zot-reference"/>
        </w:rPr>
        <w:t>Jayatilleke</w:t>
      </w:r>
      <w:r>
        <w:rPr/>
        <w:t xml:space="preserve"> §42: “There is no reason to believe that Yājñavalkya’s theories are based on any kind of mystical experience.”</w:t>
      </w:r>
    </w:p>
  </w:footnote>
  <w:footnote w:id="350">
    <w:p>
      <w:pPr>
        <w:pStyle w:val="FootnoteText"/>
        <w:rPr/>
      </w:pPr>
      <w:r>
        <w:rPr>
          <w:rStyle w:val="FootnoteCharacters"/>
        </w:rPr>
        <w:footnoteRef/>
      </w:r>
      <w:r>
        <w:rPr>
          <w:rStyle w:val="wwc-sesame-zot-reference"/>
        </w:rPr>
        <w:t>Werner</w:t>
      </w:r>
      <w:r>
        <w:rPr/>
        <w:t xml:space="preserve"> p.26</w:t>
      </w:r>
    </w:p>
  </w:footnote>
  <w:footnote w:id="351">
    <w:p>
      <w:pPr>
        <w:pStyle w:val="FootnoteText"/>
        <w:rPr/>
      </w:pPr>
      <w:r>
        <w:rPr>
          <w:rStyle w:val="FootnoteCharacters"/>
        </w:rPr>
        <w:footnoteRef/>
      </w:r>
      <w:r>
        <w:rPr/>
        <w:t>BU 4.4.19</w:t>
      </w:r>
    </w:p>
  </w:footnote>
  <w:footnote w:id="352">
    <w:p>
      <w:pPr>
        <w:pStyle w:val="FootnoteText"/>
        <w:rPr/>
      </w:pPr>
      <w:r>
        <w:rPr>
          <w:rStyle w:val="FootnoteCharacters"/>
        </w:rPr>
        <w:footnoteRef/>
      </w:r>
      <w:r>
        <w:rPr>
          <w:rStyle w:val="wwc-sesame-zot-reference"/>
        </w:rPr>
        <w:t>Gombrich 1980</w:t>
      </w:r>
      <w:r>
        <w:rPr/>
        <w:t xml:space="preserve"> p.45</w:t>
      </w:r>
    </w:p>
  </w:footnote>
  <w:footnote w:id="353">
    <w:p>
      <w:pPr>
        <w:pStyle w:val="FootnoteText"/>
        <w:rPr/>
      </w:pPr>
      <w:r>
        <w:rPr>
          <w:rStyle w:val="FootnoteCharacters"/>
        </w:rPr>
        <w:footnoteRef/>
      </w:r>
      <w:r>
        <w:rPr/>
        <w:t xml:space="preserve">For example </w:t>
      </w:r>
      <w:r>
        <w:rPr>
          <w:rStyle w:val="wwc-sesame-zot-reference"/>
        </w:rPr>
        <w:t>Ñāṇananda 2016</w:t>
      </w:r>
      <w:r>
        <w:rPr/>
        <w:t xml:space="preserve"> p.27: “There is a consciousness that is freed from name and form.” Also </w:t>
      </w:r>
      <w:r>
        <w:rPr>
          <w:rStyle w:val="wwc-sesame-zot-reference"/>
        </w:rPr>
        <w:t>Oldenberg</w:t>
      </w:r>
      <w:r>
        <w:rPr/>
        <w:t xml:space="preserve"> p.87, who says the “Brahmanic thinking […] is also basically valid for the Buddhistic”, both resulting in “the blissful merging with infinity” when name and form are abandoned.</w:t>
      </w:r>
    </w:p>
  </w:footnote>
  <w:footnote w:id="354">
    <w:p>
      <w:pPr>
        <w:pStyle w:val="FootnoteText"/>
        <w:rPr/>
      </w:pPr>
      <w:r>
        <w:rPr>
          <w:rStyle w:val="FootnoteCharacters"/>
        </w:rPr>
        <w:footnoteRef/>
      </w:r>
      <w:r>
        <w:rPr/>
        <w:t xml:space="preserve">As argued for example by </w:t>
      </w:r>
      <w:r>
        <w:rPr>
          <w:rStyle w:val="wwc-sesame-zot-reference"/>
        </w:rPr>
        <w:t>Ñāṇananda 2015</w:t>
      </w:r>
      <w:r>
        <w:rPr/>
        <w:t xml:space="preserve"> p.60: “In some discourses, like the </w:t>
      </w:r>
      <w:r>
        <w:rPr>
          <w:rStyle w:val="wwc-sesame"/>
        </w:rPr>
        <w:t>Mahānidāna Sutta</w:t>
      </w:r>
      <w:r>
        <w:rP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rPr/>
        <w:t xml:space="preserve"> p.227</w:t>
      </w:r>
    </w:p>
  </w:footnote>
  <w:footnote w:id="35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60:5.1–8.8</w:t>
      </w:r>
      <w:r>
        <w:rPr>
          <w:rStyle w:val="Hyperlink"/>
        </w:rPr>
        <w:fldChar w:fldCharType="end"/>
      </w:r>
      <w:r>
        <w:rPr/>
        <w:t xml:space="preserve"> </w:t>
      </w:r>
      <w:r>
        <w:rPr>
          <w:rStyle w:val="wwc-PTS-reference"/>
        </w:rPr>
        <w:t>M I 401</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76:7.1–7.10</w:t>
      </w:r>
      <w:r>
        <w:rPr>
          <w:rStyle w:val="Hyperlink"/>
        </w:rPr>
        <w:fldChar w:fldCharType="end"/>
      </w:r>
      <w:r>
        <w:rPr/>
        <w:t xml:space="preserve"> </w:t>
      </w:r>
      <w:r>
        <w:rPr>
          <w:rStyle w:val="wwc-PTS-reference"/>
        </w:rPr>
        <w:t>M I 515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110:11.1–11.4</w:t>
      </w:r>
      <w:r>
        <w:rPr>
          <w:rStyle w:val="Hyperlink"/>
        </w:rPr>
        <w:fldChar w:fldCharType="end"/>
      </w:r>
      <w:r>
        <w:rPr/>
        <w:t xml:space="preserve"> </w:t>
      </w:r>
      <w:r>
        <w:rPr>
          <w:rStyle w:val="wwc-PTS-reference"/>
        </w:rPr>
        <w:t>M III 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24.5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10.216:5.9</w:t>
      </w:r>
      <w:r>
        <w:rPr>
          <w:rStyle w:val="Hyperlink"/>
        </w:rPr>
        <w:fldChar w:fldCharType="end"/>
      </w:r>
    </w:p>
  </w:footnote>
  <w:footnote w:id="356">
    <w:p>
      <w:pPr>
        <w:pStyle w:val="FootnoteText"/>
        <w:rPr/>
      </w:pPr>
      <w:r>
        <w:rPr>
          <w:rStyle w:val="FootnoteCharacters"/>
        </w:rPr>
        <w:footnoteRef/>
      </w:r>
      <w:hyperlink w:anchor="bqseg126">
        <w:r>
          <w:rPr>
            <w:rStyle w:val="Hyperlink"/>
          </w:rPr>
          <w:t>§126</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1:2.13.4</w:t>
      </w:r>
      <w:r>
        <w:rPr>
          <w:rStyle w:val="Hyperlink"/>
        </w:rPr>
        <w:fldChar w:fldCharType="end"/>
      </w:r>
      <w:r>
        <w:rPr/>
        <w:t xml:space="preserve"> </w:t>
      </w:r>
      <w:r>
        <w:rPr>
          <w:rStyle w:val="wwc-PTS-reference"/>
        </w:rPr>
        <w:t>D I 21</w:t>
      </w:r>
    </w:p>
  </w:footnote>
  <w:footnote w:id="3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22.7:2.5</w:t>
      </w:r>
      <w:r>
        <w:rPr>
          <w:rStyle w:val="Hyperlink"/>
        </w:rPr>
        <w:fldChar w:fldCharType="end"/>
      </w:r>
    </w:p>
  </w:footnote>
  <w:footnote w:id="3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111:6.1</w:t>
      </w:r>
      <w:r>
        <w:rPr>
          <w:rStyle w:val="Hyperlink"/>
        </w:rPr>
        <w:fldChar w:fldCharType="end"/>
      </w:r>
      <w:r>
        <w:rPr/>
        <w:t xml:space="preserve"> </w:t>
      </w:r>
      <w:r>
        <w:rPr>
          <w:rStyle w:val="wwc-PTS-reference"/>
        </w:rPr>
        <w:t>M III 25</w:t>
      </w:r>
      <w:r>
        <w:rPr/>
        <w:t xml:space="preserve">, as noted by </w:t>
      </w:r>
      <w:r>
        <w:rPr>
          <w:rStyle w:val="wwc-sesame-zot-reference"/>
        </w:rPr>
        <w:t>Anālayo 2017</w:t>
      </w:r>
      <w:r>
        <w:rPr/>
        <w:t xml:space="preserve"> p.120</w:t>
      </w:r>
    </w:p>
  </w:footnote>
  <w:footnote w:id="359">
    <w:p>
      <w:pPr>
        <w:pStyle w:val="FootnoteText"/>
        <w:rPr/>
      </w:pPr>
      <w:r>
        <w:rPr>
          <w:rStyle w:val="FootnoteCharacters"/>
        </w:rPr>
        <w:footnoteRef/>
      </w:r>
      <w:r>
        <w:rPr/>
        <w:t xml:space="preserve">For example at </w:t>
      </w:r>
      <w:hyperlink r:id="rId28">
        <w:r>
          <w:rPr>
            <w:rStyle w:val="Hyperlink"/>
          </w:rPr>
          <w:t>SĀ 284</w:t>
        </w:r>
      </w:hyperlink>
      <w:r>
        <w:rPr/>
        <w:t xml:space="preserve">, as pointed out by </w:t>
      </w:r>
      <w:r>
        <w:rPr>
          <w:rStyle w:val="wwc-sesame-zot-reference"/>
        </w:rPr>
        <w:t>Choong</w:t>
      </w:r>
      <w:r>
        <w:rPr/>
        <w:t xml:space="preserve"> p.174</w:t>
      </w:r>
    </w:p>
  </w:footnote>
  <w:footnote w:id="3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47.42</w:t>
      </w:r>
      <w:r>
        <w:rPr>
          <w:rStyle w:val="Hyperlink"/>
        </w:rPr>
        <w:fldChar w:fldCharType="end"/>
      </w:r>
    </w:p>
  </w:footnote>
  <w:footnote w:id="361">
    <w:p>
      <w:pPr>
        <w:pStyle w:val="FootnoteText"/>
        <w:rPr/>
      </w:pPr>
      <w:r>
        <w:rPr>
          <w:rStyle w:val="FootnoteCharacters"/>
        </w:rPr>
        <w:footnoteRef/>
      </w:r>
      <w:r>
        <w:rPr>
          <w:rStyle w:val="wwc-sesame-zot-reference"/>
        </w:rPr>
        <w:t>Anālayo 2018</w:t>
      </w:r>
      <w:r>
        <w:rPr/>
        <w:t xml:space="preserve"> p.27</w:t>
      </w:r>
    </w:p>
  </w:footnote>
  <w:footnote w:id="362">
    <w:p>
      <w:pPr>
        <w:pStyle w:val="FootnoteText"/>
        <w:rPr/>
      </w:pPr>
      <w:r>
        <w:rPr>
          <w:rStyle w:val="FootnoteCharacters"/>
        </w:rPr>
        <w:footnoteRef/>
      </w:r>
      <w:bookmarkStart w:id="163" w:name="footnote361"/>
      <w:bookmarkEnd w:id="163"/>
      <w:r>
        <w:rPr/>
        <w:t>Body with consciousness (</w:t>
      </w:r>
      <w:r>
        <w:rPr>
          <w:rStyle w:val="wwc-pali"/>
        </w:rPr>
        <w:t>saviññāṇaka kāya</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109:13.1,13.7</w:t>
      </w:r>
      <w:r>
        <w:rPr>
          <w:rStyle w:val="Hyperlink"/>
        </w:rPr>
        <w:fldChar w:fldCharType="end"/>
      </w:r>
      <w:r>
        <w:rPr/>
        <w:t xml:space="preserve"> </w:t>
      </w:r>
      <w:r>
        <w:rPr>
          <w:rStyle w:val="wwc-PTS-reference"/>
        </w:rPr>
        <w:t>M III 18</w:t>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MN 112:11.3,20.4</w:t>
      </w:r>
      <w:r>
        <w:rPr>
          <w:rStyle w:val="Hyperlink"/>
        </w:rPr>
        <w:fldChar w:fldCharType="end"/>
      </w:r>
      <w:r>
        <w:rPr/>
        <w:t xml:space="preserve"> </w:t>
      </w:r>
      <w:r>
        <w:rPr>
          <w:rStyle w:val="wwc-PTS-reference"/>
        </w:rPr>
        <w:t>M III 32</w:t>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18.21:1.3,1.9</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22.71:1.3,1.9</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22.72:1.3,1.12</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22.82:11.1,11.7</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22.91:1.3,2.7</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22.92:1.3,2.6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22.124:1.3,2.6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22.125:1.3,2.6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AN 3.32:2.1,2.3,4.3</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AN 3.33:2.2,3.1</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AN 7.49:14.3,15.1,16.1</w:t>
      </w:r>
      <w:r>
        <w:rPr>
          <w:rStyle w:val="Hyperlink"/>
        </w:rPr>
        <w:fldChar w:fldCharType="end"/>
      </w:r>
      <w:r>
        <w:rPr/>
        <w:t>;</w:t>
      </w:r>
    </w:p>
    <w:p>
      <w:pPr>
        <w:pStyle w:val="FootnoteText"/>
        <w:rPr/>
      </w:pPr>
      <w:r>
        <w:rPr/>
        <w:t xml:space="preserve">cf. </w:t>
      </w:r>
      <w:r>
        <w:fldChar w:fldCharType="begin"/>
      </w:r>
      <w:r>
        <w:rPr>
          <w:rStyle w:val="Hyperlink"/>
        </w:rPr>
        <w:instrText xml:space="preserve"> HYPERLINK "https://suttacentral.net/XXX/en/sujato" \l "YYY"</w:instrText>
      </w:r>
      <w:r>
        <w:rPr>
          <w:rStyle w:val="Hyperlink"/>
        </w:rPr>
        <w:fldChar w:fldCharType="separate"/>
      </w:r>
      <w:r>
        <w:rPr>
          <w:rStyle w:val="Hyperlink"/>
        </w:rPr>
        <w:t>SN 35.234</w:t>
      </w:r>
      <w:r>
        <w:rPr>
          <w:rStyle w:val="Hyperlink"/>
        </w:rPr>
        <w:fldChar w:fldCharType="end"/>
      </w:r>
      <w:r>
        <w:rPr/>
        <w:t>.</w:t>
      </w:r>
    </w:p>
    <w:p>
      <w:pPr>
        <w:pStyle w:val="FootnoteText"/>
        <w:rPr/>
      </w:pPr>
      <w:r>
        <w:rPr/>
        <w:t>Consciousness bound to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10:2.21.4</w:t>
      </w:r>
      <w:r>
        <w:rPr>
          <w:rStyle w:val="Hyperlink"/>
        </w:rPr>
        <w:fldChar w:fldCharType="end"/>
      </w:r>
      <w:r>
        <w:rPr/>
        <w:t xml:space="preserve"> </w:t>
      </w:r>
      <w:r>
        <w:rPr>
          <w:rStyle w:val="wwc-PTS-reference"/>
        </w:rPr>
        <w:t>D I 209</w:t>
      </w:r>
      <w:r>
        <w:rPr/>
        <w:t xml:space="preserve"> (</w:t>
      </w:r>
      <w:hyperlink w:anchor="bqseg85">
        <w:r>
          <w:rPr>
            <w:rStyle w:val="Hyperlink"/>
          </w:rPr>
          <w:t>§85</w:t>
        </w:r>
      </w:hyperlink>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DN 2:83.4 D I 76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MN 77:29.9–29.11</w:t>
      </w:r>
      <w:r>
        <w:rPr>
          <w:rStyle w:val="Hyperlink"/>
        </w:rPr>
        <w:fldChar w:fldCharType="end"/>
      </w:r>
      <w:r>
        <w:rPr/>
        <w:t xml:space="preserve"> </w:t>
      </w:r>
      <w:r>
        <w:rPr>
          <w:rStyle w:val="wwc-PTS-reference"/>
        </w:rPr>
        <w:t>M II 17</w:t>
      </w:r>
      <w:r>
        <w:rPr/>
        <w:t>.</w:t>
      </w:r>
    </w:p>
    <w:p>
      <w:pPr>
        <w:pStyle w:val="FootnoteText"/>
        <w:rPr/>
      </w:pPr>
      <w:r>
        <w:rPr/>
        <w:t>Consciousness leaves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43:24.2</w:t>
      </w:r>
      <w:r>
        <w:rPr>
          <w:rStyle w:val="Hyperlink"/>
        </w:rPr>
        <w:fldChar w:fldCharType="end"/>
      </w:r>
      <w:r>
        <w:rPr/>
        <w:t xml:space="preserve"> </w:t>
      </w:r>
      <w:r>
        <w:rPr>
          <w:rStyle w:val="wwc-PTS-reference"/>
        </w:rPr>
        <w:t>M I 296</w:t>
      </w:r>
    </w:p>
  </w:footnote>
  <w:footnote w:id="363">
    <w:p>
      <w:pPr>
        <w:pStyle w:val="FootnoteText"/>
        <w:rPr/>
      </w:pPr>
      <w:r>
        <w:rPr>
          <w:rStyle w:val="FootnoteCharacters"/>
        </w:rPr>
        <w:footnoteRef/>
      </w:r>
      <w:r>
        <w:rPr/>
        <w:t xml:space="preserve">Consciousness transmigrates: </w:t>
      </w:r>
      <w:r>
        <w:fldChar w:fldCharType="begin"/>
      </w:r>
      <w:r>
        <w:rPr>
          <w:rStyle w:val="Hyperlink"/>
        </w:rPr>
        <w:instrText xml:space="preserve"> HYPERLINK "https://suttacentral.net/XXX/en/sujato" \l "YYY"</w:instrText>
      </w:r>
      <w:r>
        <w:rPr>
          <w:rStyle w:val="Hyperlink"/>
        </w:rPr>
        <w:fldChar w:fldCharType="separate"/>
      </w:r>
      <w:r>
        <w:rPr>
          <w:rStyle w:val="Hyperlink"/>
        </w:rPr>
        <w:t>MN 38:2.2</w:t>
      </w:r>
      <w:r>
        <w:rPr>
          <w:rStyle w:val="Hyperlink"/>
        </w:rPr>
        <w:fldChar w:fldCharType="end"/>
      </w:r>
      <w:r>
        <w:rPr/>
        <w:t xml:space="preserve"> </w:t>
      </w:r>
      <w:r>
        <w:rPr>
          <w:rStyle w:val="wwc-PTS-reference"/>
        </w:rPr>
        <w:t>M I 256</w:t>
      </w:r>
      <w:r>
        <w:rPr/>
        <w:t xml:space="preserve">. Consciousness passes on and gets reborn: </w:t>
      </w:r>
      <w:hyperlink w:anchor="bqseg76">
        <w:r>
          <w:rPr>
            <w:rStyle w:val="Hyperlink"/>
          </w:rPr>
          <w:t>§76</w:t>
        </w:r>
      </w:hyperlink>
      <w:r>
        <w:rPr/>
        <w:t xml:space="preserve">, </w:t>
      </w:r>
      <w:hyperlink w:anchor="bqseg118">
        <w:r>
          <w:rPr>
            <w:rStyle w:val="Hyperlink"/>
          </w:rPr>
          <w:t>§118</w:t>
        </w:r>
      </w:hyperlink>
      <w:r>
        <w:rPr/>
        <w:t xml:space="preserve">. Consciousness travels on: </w:t>
      </w:r>
      <w:hyperlink w:anchor="bqseg155">
        <w:r>
          <w:rPr>
            <w:rStyle w:val="Hyperlink"/>
          </w:rPr>
          <w:t>§55</w:t>
        </w:r>
      </w:hyperlink>
      <w:r>
        <w:rPr/>
        <w:t xml:space="preserve">. Conceived: </w:t>
      </w:r>
      <w:hyperlink w:anchor="bqseg84">
        <w:r>
          <w:rPr>
            <w:rStyle w:val="Hyperlink"/>
          </w:rPr>
          <w:t>§84</w:t>
        </w:r>
      </w:hyperlink>
      <w:r>
        <w:rPr/>
        <w:t xml:space="preserve">, see also </w:t>
      </w:r>
      <w:hyperlink w:anchor="bqseg81">
        <w:r>
          <w:rPr>
            <w:rStyle w:val="Hyperlink"/>
          </w:rPr>
          <w:t>§81</w:t>
        </w:r>
      </w:hyperlink>
    </w:p>
  </w:footnote>
  <w:footnote w:id="364">
    <w:p>
      <w:pPr>
        <w:pStyle w:val="FootnoteText"/>
        <w:rPr/>
      </w:pPr>
      <w:r>
        <w:rPr>
          <w:rStyle w:val="FootnoteCharacters"/>
        </w:rPr>
        <w:footnoteRef/>
      </w:r>
      <w:r>
        <w:rPr>
          <w:rStyle w:val="wwc-sesame-zot-reference"/>
        </w:rPr>
        <w:t>PED</w:t>
      </w:r>
      <w:r>
        <w:rPr/>
        <w:t xml:space="preserve"> under </w:t>
      </w:r>
      <w:r>
        <w:rPr>
          <w:rStyle w:val="wwc-pali"/>
        </w:rPr>
        <w:t>viññāṇa</w:t>
      </w:r>
    </w:p>
  </w:footnote>
  <w:footnote w:id="365">
    <w:p>
      <w:pPr>
        <w:pStyle w:val="FootnoteText"/>
        <w:rPr/>
      </w:pPr>
      <w:r>
        <w:rPr>
          <w:rStyle w:val="FootnoteCharacters"/>
        </w:rPr>
        <w:footnoteRef/>
      </w:r>
      <w:r>
        <w:rPr/>
        <w:t xml:space="preserve">For example </w:t>
      </w:r>
      <w:r>
        <w:rPr>
          <w:rStyle w:val="wwc-sesame-zot-reference"/>
        </w:rPr>
        <w:t>Frauwallner 1953/1973</w:t>
      </w:r>
      <w:r>
        <w:rPr/>
        <w:t xml:space="preserve"> p.162, </w:t>
      </w:r>
      <w:r>
        <w:rPr>
          <w:rStyle w:val="wwc-sesame-zot-reference"/>
        </w:rPr>
        <w:t>Hamilton</w:t>
      </w:r>
      <w:r>
        <w:rPr/>
        <w:t xml:space="preserve"> p.101, </w:t>
      </w:r>
      <w:r>
        <w:rPr>
          <w:rStyle w:val="wwc-sesame-zot-reference"/>
        </w:rPr>
        <w:t>Langer</w:t>
      </w:r>
      <w:r>
        <w:rPr/>
        <w:t xml:space="preserve"> p.9, </w:t>
      </w:r>
      <w:r>
        <w:rPr>
          <w:rStyle w:val="wwc-sesame-zot-reference"/>
        </w:rPr>
        <w:t>Vetter 1988</w:t>
      </w:r>
      <w:r>
        <w:rPr/>
        <w:t xml:space="preserve"> p.49, </w:t>
      </w:r>
      <w:r>
        <w:rPr>
          <w:rStyle w:val="wwc-sesame-zot-reference"/>
        </w:rPr>
        <w:t>Wijesekera 1994</w:t>
      </w:r>
      <w:r>
        <w:rPr/>
        <w:t xml:space="preserve"> p.111</w:t>
      </w:r>
    </w:p>
  </w:footnote>
  <w:footnote w:id="366">
    <w:p>
      <w:pPr>
        <w:pStyle w:val="FootnoteText"/>
        <w:rPr/>
      </w:pPr>
      <w:r>
        <w:rPr>
          <w:rStyle w:val="FootnoteCharacters"/>
        </w:rPr>
        <w:footnoteRef/>
      </w:r>
      <w:r>
        <w:rPr>
          <w:rStyle w:val="wwc-sesame-zot-reference"/>
        </w:rPr>
        <w:t>Kalupahana 1975</w:t>
      </w:r>
      <w:r>
        <w:rPr/>
        <w:t xml:space="preserve"> p.119</w:t>
      </w:r>
    </w:p>
  </w:footnote>
  <w:footnote w:id="367">
    <w:p>
      <w:pPr>
        <w:pStyle w:val="FootnoteText"/>
        <w:rPr/>
      </w:pPr>
      <w:r>
        <w:rPr>
          <w:rStyle w:val="FootnoteCharacters"/>
        </w:rPr>
        <w:footnoteRef/>
      </w:r>
      <w:r>
        <w:rPr/>
        <w:t xml:space="preserve">As argued by </w:t>
      </w:r>
      <w:r>
        <w:rPr>
          <w:rStyle w:val="wwc-sesame-zot-reference"/>
        </w:rPr>
        <w:t>Hamilton</w:t>
      </w:r>
      <w:r>
        <w:rPr/>
        <w:t xml:space="preserve"> p.85</w:t>
      </w:r>
    </w:p>
  </w:footnote>
  <w:footnote w:id="368">
    <w:p>
      <w:pPr>
        <w:pStyle w:val="FootnoteText"/>
        <w:rPr/>
      </w:pPr>
      <w:r>
        <w:rPr>
          <w:rStyle w:val="FootnoteCharacters"/>
        </w:rPr>
        <w:footnoteRef/>
      </w:r>
      <w:r>
        <w:rPr>
          <w:rStyle w:val="wwc-sesame-zot-reference"/>
        </w:rPr>
        <w:t>Gombrich 2009</w:t>
      </w:r>
      <w:r>
        <w:rPr/>
        <w:t xml:space="preserve"> p.60</w:t>
      </w:r>
    </w:p>
  </w:footnote>
  <w:footnote w:id="369">
    <w:p>
      <w:pPr>
        <w:pStyle w:val="FootnoteText"/>
        <w:rPr/>
      </w:pPr>
      <w:r>
        <w:rPr>
          <w:rStyle w:val="FootnoteCharacters"/>
        </w:rPr>
        <w:footnoteRef/>
      </w:r>
      <w:r>
        <w:rPr>
          <w:rStyle w:val="wwc-sesame-zot-reference"/>
        </w:rPr>
        <w:t>Vetter 1988</w:t>
      </w:r>
      <w:r>
        <w:rPr/>
        <w:t xml:space="preserve"> p.36 notes: “The word ‘consciousness’ which is often employed here, is rather inconvenient when one has to interpret </w:t>
      </w:r>
      <w:r>
        <w:rPr>
          <w:rStyle w:val="wwc-pali"/>
        </w:rPr>
        <w:t>viññāṇa</w:t>
      </w:r>
      <w:r>
        <w:rPr/>
        <w:t xml:space="preserve"> as a link in the twelvefold chain of dependent origination, where it seems to point to the first moment of life in the mother’s womb.” </w:t>
      </w:r>
      <w:r>
        <w:rPr>
          <w:rStyle w:val="wwc-sesame-zot-reference"/>
        </w:rPr>
        <w:t>Rhys Davids</w:t>
      </w:r>
      <w:r>
        <w:rPr/>
        <w:t xml:space="preserve"> p.55 comments upon her translation of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that ‘consciousness’ is not an adequate translation in this context: “I have rendered by ‘man [surviving]’ the word </w:t>
      </w:r>
      <w:r>
        <w:rPr>
          <w:rStyle w:val="wwc-pali"/>
        </w:rPr>
        <w:t>viññāṇa</w:t>
      </w:r>
      <w:r>
        <w:rPr/>
        <w:t xml:space="preserve">, literally ‘awareness’, and rightly so rendered it. [Here] </w:t>
      </w:r>
      <w:r>
        <w:rPr>
          <w:rStyle w:val="wwc-pali"/>
        </w:rPr>
        <w:t>viññāṇa</w:t>
      </w:r>
      <w:r>
        <w:rPr/>
        <w:t xml:space="preserve"> clearly means the man who has survived death.”</w:t>
      </w:r>
    </w:p>
  </w:footnote>
  <w:footnote w:id="370">
    <w:p>
      <w:pPr>
        <w:pStyle w:val="FootnoteText"/>
        <w:rPr/>
      </w:pPr>
      <w:r>
        <w:rPr>
          <w:rStyle w:val="FootnoteCharacters"/>
        </w:rPr>
        <w:footnoteRef/>
      </w:r>
      <w:r>
        <w:rPr>
          <w:rStyle w:val="wwc-sesame-zot-reference"/>
        </w:rPr>
        <w:t>Schmithausen 2000</w:t>
      </w:r>
      <w:r>
        <w:rPr/>
        <w:t xml:space="preserve"> p.57, translation mine</w:t>
      </w:r>
    </w:p>
  </w:footnote>
  <w:footnote w:id="371">
    <w:p>
      <w:pPr>
        <w:pStyle w:val="FootnoteText"/>
        <w:rPr/>
      </w:pPr>
      <w:r>
        <w:rPr>
          <w:rStyle w:val="FootnoteCharacters"/>
        </w:rPr>
        <w:footnoteRef/>
      </w:r>
      <w:r>
        <w:rPr>
          <w:rStyle w:val="wwc-sesame-zot-reference"/>
        </w:rPr>
        <w:t>Frauwallner 1953/1973</w:t>
      </w:r>
      <w:r>
        <w:rPr/>
        <w:t xml:space="preserve"> p.162, emphasis added</w:t>
      </w:r>
    </w:p>
  </w:footnote>
  <w:footnote w:id="372">
    <w:p>
      <w:pPr>
        <w:pStyle w:val="FootnoteText"/>
        <w:rPr/>
      </w:pPr>
      <w:r>
        <w:rPr>
          <w:rStyle w:val="FootnoteCharacters"/>
        </w:rPr>
        <w:footnoteRef/>
      </w:r>
      <w:r>
        <w:rPr>
          <w:rStyle w:val="wwc-sesame-zot-reference"/>
        </w:rPr>
        <w:t>Hamilton</w:t>
      </w:r>
      <w:r>
        <w:rPr/>
        <w:t xml:space="preserve"> p.101</w:t>
      </w:r>
    </w:p>
  </w:footnote>
  <w:footnote w:id="373">
    <w:p>
      <w:pPr>
        <w:pStyle w:val="FootnoteText"/>
        <w:rPr/>
      </w:pPr>
      <w:r>
        <w:rPr>
          <w:rStyle w:val="FootnoteCharacters"/>
        </w:rPr>
        <w:footnoteRef/>
      </w:r>
      <w:r>
        <w:rPr/>
        <w:t xml:space="preserve">See for example </w:t>
      </w:r>
      <w:hyperlink w:anchor="bqseg8">
        <w:r>
          <w:rPr>
            <w:rStyle w:val="Hyperlink"/>
          </w:rPr>
          <w:t>§8</w:t>
        </w:r>
      </w:hyperlink>
      <w:r>
        <w:rPr/>
        <w:t xml:space="preserve">, </w:t>
      </w:r>
      <w:hyperlink w:anchor="bqseg137">
        <w:r>
          <w:rPr>
            <w:rStyle w:val="Hyperlink"/>
          </w:rPr>
          <w:t>§137</w:t>
        </w:r>
      </w:hyperlink>
      <w:r>
        <w:rPr/>
        <w:t xml:space="preserve">, </w:t>
      </w:r>
      <w:hyperlink w:anchor="bqseg114">
        <w:r>
          <w:rPr>
            <w:rStyle w:val="Hyperlink"/>
          </w:rPr>
          <w:t>§114</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374">
    <w:p>
      <w:pPr>
        <w:pStyle w:val="FootnoteText"/>
        <w:rPr/>
      </w:pPr>
      <w:r>
        <w:rPr>
          <w:rStyle w:val="FootnoteCharacters"/>
        </w:rPr>
        <w:footnoteRef/>
      </w:r>
      <w:r>
        <w:rPr/>
        <w:t xml:space="preserve">See also </w:t>
      </w:r>
      <w:r>
        <w:rPr>
          <w:rStyle w:val="wwc-sesame-zot-reference"/>
        </w:rPr>
        <w:t>Brahmavamso 2002</w:t>
      </w:r>
    </w:p>
  </w:footnote>
  <w:footnote w:id="375">
    <w:p>
      <w:pPr>
        <w:pStyle w:val="FootnoteText"/>
        <w:rPr/>
      </w:pPr>
      <w:r>
        <w:rPr>
          <w:rStyle w:val="FootnoteCharacters"/>
        </w:rPr>
        <w:footnoteRef/>
      </w:r>
      <w:r>
        <w:rPr/>
        <w:t xml:space="preserve">For example </w:t>
      </w:r>
      <w:r>
        <w:rPr>
          <w:rStyle w:val="wwc-sesame"/>
        </w:rPr>
        <w:t>Vism</w:t>
      </w:r>
      <w:r>
        <w:rPr/>
        <w:t xml:space="preserve"> 546</w:t>
      </w:r>
    </w:p>
  </w:footnote>
  <w:footnote w:id="376">
    <w:p>
      <w:pPr>
        <w:pStyle w:val="FootnoteText"/>
        <w:rPr/>
      </w:pPr>
      <w:r>
        <w:rPr>
          <w:rStyle w:val="FootnoteCharacters"/>
        </w:rPr>
        <w:footnoteRef/>
      </w:r>
      <w:r>
        <w:rPr>
          <w:rStyle w:val="wwc-sesame-zot-reference"/>
        </w:rPr>
        <w:t>Wijesekera 1994</w:t>
      </w:r>
      <w:r>
        <w:rPr/>
        <w:t xml:space="preserve"> p.111</w:t>
      </w:r>
    </w:p>
  </w:footnote>
  <w:footnote w:id="377">
    <w:p>
      <w:pPr>
        <w:pStyle w:val="FootnoteText"/>
        <w:rPr/>
      </w:pPr>
      <w:r>
        <w:rPr>
          <w:rStyle w:val="FootnoteCharacters"/>
        </w:rPr>
        <w:footnoteRef/>
      </w:r>
      <w:r>
        <w:rPr/>
        <w:t xml:space="preserve">BU 4.3.7, translation </w:t>
      </w:r>
      <w:r>
        <w:rPr>
          <w:rStyle w:val="wwc-sesame-zot-reference"/>
        </w:rPr>
        <w:t>Olivelle</w:t>
      </w:r>
    </w:p>
  </w:footnote>
  <w:footnote w:id="3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w:t>
      </w:r>
      <w:r>
        <w:rPr>
          <w:rStyle w:val="wwc-PTS-reference"/>
        </w:rPr>
        <w:t>M I 256</w:t>
      </w:r>
      <w:r>
        <w:rPr/>
        <w:t xml:space="preserve">. Compare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w:t>
      </w:r>
      <w:r>
        <w:rPr>
          <w:rStyle w:val="wwc-PTS-reference"/>
        </w:rPr>
        <w:t>M I 8</w:t>
      </w:r>
      <w:r>
        <w:rPr/>
        <w:t>: “It is this self of mine who speaks, who feels, who in various realms experiences the results of good and bad deeds.”</w:t>
      </w:r>
    </w:p>
  </w:footnote>
  <w:footnote w:id="379">
    <w:p>
      <w:pPr>
        <w:pStyle w:val="FootnoteText"/>
        <w:rPr/>
      </w:pPr>
      <w:r>
        <w:rPr>
          <w:rStyle w:val="FootnoteCharacters"/>
        </w:rPr>
        <w:footnoteRef/>
      </w:r>
      <w:r>
        <w:rPr/>
        <w:t xml:space="preserve">See also </w:t>
      </w:r>
      <w:r>
        <w:rPr>
          <w:rStyle w:val="wwc-sesame-zot-reference"/>
        </w:rPr>
        <w:t>Vetter 1988</w:t>
      </w:r>
      <w:r>
        <w:rPr/>
        <w:t xml:space="preserve"> p.48–50. For similar explanations see </w:t>
      </w:r>
      <w:r>
        <w:rPr>
          <w:rStyle w:val="wwc-sesame-zot-reference"/>
        </w:rPr>
        <w:t>Bodhi 1984</w:t>
      </w:r>
      <w:r>
        <w:rPr/>
        <w:t xml:space="preserve"> p.24, </w:t>
      </w:r>
      <w:r>
        <w:rPr>
          <w:rStyle w:val="wwc-sesame-zot-reference"/>
        </w:rPr>
        <w:t>Wijesekera 1994</w:t>
      </w:r>
      <w:r>
        <w:rPr/>
        <w:t xml:space="preserve"> p.168–172, </w:t>
      </w:r>
      <w:r>
        <w:rPr>
          <w:rStyle w:val="wwc-sesame-zot-reference"/>
        </w:rPr>
        <w:t>Shults</w:t>
      </w:r>
      <w:r>
        <w:rPr/>
        <w:t xml:space="preserve"> p.110</w:t>
      </w:r>
    </w:p>
  </w:footnote>
  <w:footnote w:id="3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r>
        <w:rPr/>
        <w:t xml:space="preserve">. See also </w:t>
      </w:r>
      <w:r>
        <w:rPr>
          <w:rStyle w:val="wwc-sesame-zot-reference"/>
        </w:rPr>
        <w:t>Anālayo 2008</w:t>
      </w:r>
      <w:r>
        <w:rPr/>
        <w:t xml:space="preserve"> p.97</w:t>
      </w:r>
    </w:p>
  </w:footnote>
  <w:footnote w:id="381">
    <w:p>
      <w:pPr>
        <w:pStyle w:val="FootnoteText"/>
        <w:rPr/>
      </w:pPr>
      <w:r>
        <w:rPr>
          <w:rStyle w:val="FootnoteCharacters"/>
        </w:rPr>
        <w:footnoteRef/>
      </w:r>
      <w:r>
        <w:rPr/>
        <w:t xml:space="preserve">See also </w:t>
      </w:r>
      <w:r>
        <w:rPr>
          <w:rStyle w:val="wwc-sesame-zot-reference"/>
        </w:rPr>
        <w:t>Hamilton</w:t>
      </w:r>
      <w:r>
        <w:rPr/>
        <w:t xml:space="preserve"> p.97</w:t>
      </w:r>
    </w:p>
  </w:footnote>
  <w:footnote w:id="382">
    <w:p>
      <w:pPr>
        <w:pStyle w:val="FootnoteText"/>
        <w:rPr/>
      </w:pPr>
      <w:r>
        <w:rPr>
          <w:rStyle w:val="FootnoteCharacters"/>
        </w:rPr>
        <w:footnoteRef/>
      </w:r>
      <w:hyperlink w:anchor="bqseg126">
        <w:r>
          <w:rPr>
            <w:rStyle w:val="Hyperlink"/>
          </w:rPr>
          <w:t>§126</w:t>
        </w:r>
      </w:hyperlink>
    </w:p>
  </w:footnote>
  <w:footnote w:id="383">
    <w:p>
      <w:pPr>
        <w:pStyle w:val="FootnoteText"/>
        <w:rPr/>
      </w:pPr>
      <w:r>
        <w:rPr>
          <w:rStyle w:val="FootnoteCharacters"/>
        </w:rPr>
        <w:footnoteRef/>
      </w:r>
      <w:r>
        <w:rPr/>
        <w:t xml:space="preserve">For example </w:t>
      </w:r>
      <w:r>
        <w:rPr>
          <w:rStyle w:val="wwc-sesame-zot-reference"/>
        </w:rPr>
        <w:t>Buddhadāsa</w:t>
      </w:r>
      <w:r>
        <w:rPr/>
        <w:t xml:space="preserve"> p.14, </w:t>
      </w:r>
      <w:r>
        <w:rPr>
          <w:rStyle w:val="wwc-sesame-zot-reference"/>
        </w:rPr>
        <w:t>Reinhard</w:t>
      </w:r>
      <w:r>
        <w:rPr/>
        <w:t xml:space="preserve"> p.9</w:t>
      </w:r>
    </w:p>
  </w:footnote>
  <w:footnote w:id="384">
    <w:p>
      <w:pPr>
        <w:pStyle w:val="FootnoteText"/>
        <w:rPr/>
      </w:pPr>
      <w:r>
        <w:rPr>
          <w:rStyle w:val="FootnoteCharacters"/>
        </w:rPr>
        <w:footnoteRef/>
      </w:r>
      <w:r>
        <w:rPr/>
        <w:t xml:space="preserve">See also </w:t>
      </w:r>
      <w:r>
        <w:rPr>
          <w:rStyle w:val="wwc-sesame-zot-reference"/>
        </w:rPr>
        <w:t>Harvey 1995</w:t>
      </w:r>
      <w:r>
        <w:rPr/>
        <w:t xml:space="preserve"> p.98</w:t>
      </w:r>
    </w:p>
  </w:footnote>
  <w:footnote w:id="385">
    <w:p>
      <w:pPr>
        <w:pStyle w:val="FootnoteText"/>
        <w:rPr/>
      </w:pPr>
      <w:r>
        <w:rPr>
          <w:rStyle w:val="FootnoteCharacters"/>
        </w:rPr>
        <w:footnoteRef/>
      </w:r>
      <w:r>
        <w:rPr>
          <w:rStyle w:val="wwc-sesame-zot-reference"/>
        </w:rPr>
        <w:t>PED</w:t>
      </w:r>
      <w:r>
        <w:rPr/>
        <w:t xml:space="preserve"> s.v. </w:t>
      </w:r>
      <w:r>
        <w:rPr>
          <w:rStyle w:val="wwc-pali"/>
        </w:rPr>
        <w:t>viññāṇa</w:t>
      </w:r>
      <w:r>
        <w:rPr/>
        <w:t>, emphasis added.</w:t>
      </w:r>
    </w:p>
  </w:footnote>
  <w:footnote w:id="386">
    <w:p>
      <w:pPr>
        <w:pStyle w:val="FootnoteText"/>
        <w:rPr/>
      </w:pPr>
      <w:r>
        <w:rPr>
          <w:rStyle w:val="FootnoteCharacters"/>
        </w:rPr>
        <w:footnoteRef/>
      </w:r>
      <w:r>
        <w:rPr>
          <w:rStyle w:val="wwc-sesame-zot-reference"/>
        </w:rPr>
        <w:t>Olalde 2014</w:t>
      </w:r>
      <w:r>
        <w:rPr/>
        <w:t xml:space="preserve"> p.156. See also p.73ff.</w:t>
      </w:r>
    </w:p>
  </w:footnote>
  <w:footnote w:id="3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12.67:3.7–7.16</w:t>
      </w:r>
      <w:r>
        <w:rPr>
          <w:rStyle w:val="Hyperlink"/>
        </w:rPr>
        <w:fldChar w:fldCharType="end"/>
      </w:r>
    </w:p>
  </w:footnote>
  <w:footnote w:id="388">
    <w:p>
      <w:pPr>
        <w:pStyle w:val="FootnoteText"/>
        <w:rPr/>
      </w:pPr>
      <w:r>
        <w:rPr>
          <w:rStyle w:val="FootnoteCharacters"/>
        </w:rPr>
        <w:footnoteRef/>
      </w:r>
      <w:r>
        <w:rPr>
          <w:rStyle w:val="wwc-sesame-zot-reference"/>
        </w:rPr>
        <w:t>DPPN</w:t>
      </w:r>
    </w:p>
  </w:footnote>
  <w:footnote w:id="38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3.61</w:t>
      </w:r>
      <w:r>
        <w:rPr>
          <w:rStyle w:val="Hyperlink"/>
        </w:rPr>
        <w:fldChar w:fldCharType="end"/>
      </w:r>
    </w:p>
  </w:footnote>
  <w:footnote w:id="390">
    <w:p>
      <w:pPr>
        <w:pStyle w:val="FootnoteText"/>
        <w:rPr/>
      </w:pPr>
      <w:r>
        <w:rPr>
          <w:rStyle w:val="FootnoteCharacters"/>
        </w:rPr>
        <w:footnoteRef/>
      </w:r>
      <w:r>
        <w:rPr>
          <w:rStyle w:val="wwc-pali"/>
        </w:rPr>
        <w:t>‘</w:t>
      </w:r>
      <w:r>
        <w:rPr>
          <w:rStyle w:val="wwc-pali"/>
        </w:rPr>
        <w:t>Idaṁ saccan’ti maññati</w:t>
      </w:r>
      <w:r>
        <w:rP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rPr/>
        <w:t xml:space="preserve"> is a pronoun without explicit referent, meaning it does not refer to any specific noun, including </w:t>
      </w:r>
      <w:r>
        <w:rPr>
          <w:rStyle w:val="wwc-pali"/>
        </w:rPr>
        <w:t>nāmarūpa</w:t>
      </w:r>
      <w:r>
        <w:rPr/>
        <w:t xml:space="preserve"> (contra e.g. </w:t>
      </w:r>
      <w:r>
        <w:rPr>
          <w:rStyle w:val="wwc-sesame-zot-reference"/>
        </w:rPr>
        <w:t>Ñāṇananda 2015</w:t>
      </w:r>
      <w:r>
        <w:rPr/>
        <w:t xml:space="preserve"> p.132). See the prose preceding these verses in the discourse, where </w:t>
      </w:r>
      <w:r>
        <w:rPr>
          <w:rStyle w:val="wwc-pali"/>
        </w:rPr>
        <w:t>idaṁ</w:t>
      </w:r>
      <w:r>
        <w:rPr/>
        <w:t xml:space="preserve"> also does not refer to anything specific: “What the world […] considers to be the truth (‘</w:t>
      </w:r>
      <w:r>
        <w:rPr>
          <w:rStyle w:val="wwc-pali"/>
        </w:rPr>
        <w:t>idaṁ saccan’ti upanijjhāyitaṁ</w:t>
      </w:r>
      <w:r>
        <w:rPr/>
        <w:t>), the noble ones […] understand to be false. […] What the world […] considers to be false (</w:t>
      </w:r>
      <w:r>
        <w:rPr>
          <w:rStyle w:val="wwc-pali"/>
        </w:rPr>
        <w:t>‘idaṁ musā’ti upanijjhāyitaṁ</w:t>
      </w:r>
      <w:r>
        <w:rPr/>
        <w:t xml:space="preserve">), the noble ones […] understand to be the truth.” There is no mention of </w:t>
      </w:r>
      <w:r>
        <w:rPr>
          <w:rStyle w:val="wwc-pali"/>
        </w:rPr>
        <w:t>nāmarūpa</w:t>
      </w:r>
      <w:r>
        <w:rPr/>
        <w:t xml:space="preserve"> at this point. Furthermore, if </w:t>
      </w:r>
      <w:r>
        <w:rPr>
          <w:rStyle w:val="wwc-pali"/>
        </w:rPr>
        <w:t>idaṁ</w:t>
      </w:r>
      <w:r>
        <w:rPr/>
        <w:t xml:space="preserve"> </w:t>
      </w:r>
      <w:r>
        <w:rPr>
          <w:rStyle w:val="Emphasis"/>
        </w:rPr>
        <w:t>were</w:t>
      </w:r>
      <w:r>
        <w:rPr/>
        <w:t xml:space="preserve"> to refer to </w:t>
      </w:r>
      <w:r>
        <w:rPr>
          <w:rStyle w:val="wwc-pali"/>
        </w:rPr>
        <w:t>nāmarūpa</w:t>
      </w:r>
      <w:r>
        <w:rPr/>
        <w:t xml:space="preserve"> here, then the noble ones also understand it to be true. This does not fit Ñāṇananda’s ideas, who took </w:t>
      </w:r>
      <w:r>
        <w:rPr>
          <w:rStyle w:val="wwc-pali"/>
        </w:rPr>
        <w:t>nāmarūpa</w:t>
      </w:r>
      <w:r>
        <w:rPr/>
        <w:t xml:space="preserve"> to be an intrinsically deluded cognition, “a product of imagination”. Instead, these are more general statements about what is taken to be true and false, not referring to anything specific.</w:t>
      </w:r>
    </w:p>
    <w:p>
      <w:pPr>
        <w:pStyle w:val="FootnoteText"/>
        <w:rPr/>
      </w:pPr>
      <w:r>
        <w:rPr/>
        <w:t xml:space="preserve">The same idea applies to the common phrase </w:t>
      </w:r>
      <w:r>
        <w:rPr>
          <w:rStyle w:val="wwc-pali"/>
        </w:rPr>
        <w:t>idam’eva saccaṁ</w:t>
      </w:r>
      <w:r>
        <w:rPr/>
        <w:t xml:space="preserve">, for example in </w:t>
      </w:r>
      <w:r>
        <w:rPr>
          <w:rStyle w:val="wwc-pali"/>
        </w:rPr>
        <w:t>sassato loko, idam’eva saccaṁ</w:t>
      </w:r>
      <w:r>
        <w:rPr/>
        <w:t xml:space="preserve">, ‘the world is eternal, just this is the truth’— e.g. </w:t>
      </w:r>
      <w:r>
        <w:fldChar w:fldCharType="begin"/>
      </w:r>
      <w:r>
        <w:rPr>
          <w:rStyle w:val="Hyperlink"/>
        </w:rPr>
        <w:instrText xml:space="preserve"> HYPERLINK "https://suttacentral.net/XXX/en/sujato" \l "YYY"</w:instrText>
      </w:r>
      <w:r>
        <w:rPr>
          <w:rStyle w:val="Hyperlink"/>
        </w:rPr>
        <w:fldChar w:fldCharType="separate"/>
      </w:r>
      <w:r>
        <w:rPr>
          <w:rStyle w:val="Hyperlink"/>
        </w:rPr>
        <w:t>DN 9:25.3</w:t>
      </w:r>
      <w:r>
        <w:rPr>
          <w:rStyle w:val="Hyperlink"/>
        </w:rPr>
        <w:fldChar w:fldCharType="end"/>
      </w:r>
      <w:r>
        <w:rPr/>
        <w:t xml:space="preserve"> </w:t>
      </w:r>
      <w:r>
        <w:rPr>
          <w:rStyle w:val="wwc-PTS-reference"/>
        </w:rPr>
        <w:t>D I 187</w:t>
      </w:r>
      <w:r>
        <w:rPr/>
        <w:t xml:space="preserve">. </w:t>
      </w:r>
      <w:r>
        <w:rPr>
          <w:rStyle w:val="wwc-pali"/>
        </w:rPr>
        <w:t>Idaṁ</w:t>
      </w:r>
      <w:r>
        <w:rPr/>
        <w:t xml:space="preserve"> is neuter, while </w:t>
      </w:r>
      <w:r>
        <w:rPr>
          <w:rStyle w:val="wwc-pali"/>
        </w:rPr>
        <w:t>loko</w:t>
      </w:r>
      <w:r>
        <w:rP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rPr/>
        <w:t xml:space="preserve"> is not the thing that is considered to be the truth. It is its </w:t>
      </w:r>
      <w:r>
        <w:rPr>
          <w:rStyle w:val="Emphasis"/>
        </w:rPr>
        <w:t>selfhood</w:t>
      </w:r>
      <w:r>
        <w:rPr/>
        <w:t xml:space="preserve"> which is mistakenly taken as truth, as the commentary also notes, not </w:t>
      </w:r>
      <w:r>
        <w:rPr>
          <w:rStyle w:val="wwc-pali"/>
        </w:rPr>
        <w:t>nāmarūpa</w:t>
      </w:r>
      <w:r>
        <w:rPr/>
        <w:t xml:space="preserve"> itself. The world imagining (</w:t>
      </w:r>
      <w:r>
        <w:rPr>
          <w:rStyle w:val="wwc-pali"/>
        </w:rPr>
        <w:t>maññati</w:t>
      </w:r>
      <w:r>
        <w:rPr/>
        <w:t xml:space="preserve">) things to be true refers back to the earlier line on them imagining </w:t>
      </w:r>
      <w:r>
        <w:rPr>
          <w:rStyle w:val="wwc-pali"/>
        </w:rPr>
        <w:t>nāmarūpa</w:t>
      </w:r>
      <w:r>
        <w:rPr/>
        <w:t xml:space="preserve"> to have a self (</w:t>
      </w:r>
      <w:r>
        <w:rPr>
          <w:rStyle w:val="wwc-pali"/>
        </w:rPr>
        <w:t>atta-māniṁ</w:t>
      </w:r>
      <w:r>
        <w:rPr/>
        <w:t xml:space="preserve">). It also corresponds with the next line: “for whatever they imagine it is [i.e. a self], it is different from that [i.e. without a self].” (See also the passage quoted at </w:t>
      </w:r>
      <w:hyperlink w:anchor="footnote422">
        <w:r>
          <w:rPr>
            <w:rStyle w:val="Hyperlink"/>
          </w:rPr>
          <w:t>note 422</w:t>
        </w:r>
      </w:hyperlink>
      <w:r>
        <w:rPr/>
        <w:t xml:space="preserve">: “The Buddha has said to not identify with the attainment of the first </w:t>
      </w:r>
      <w:r>
        <w:rPr>
          <w:rStyle w:val="wwc-pali"/>
        </w:rPr>
        <w:t>jhāna</w:t>
      </w:r>
      <w:r>
        <w:rPr/>
        <w:t>. For whatever you imagine it is, it is different from that.”)</w:t>
      </w:r>
    </w:p>
  </w:footnote>
  <w:footnote w:id="3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3.12:51.1–53.4</w:t>
      </w:r>
      <w:r>
        <w:rPr>
          <w:rStyle w:val="Hyperlink"/>
        </w:rPr>
        <w:fldChar w:fldCharType="end"/>
      </w:r>
    </w:p>
  </w:footnote>
  <w:footnote w:id="392">
    <w:p>
      <w:pPr>
        <w:pStyle w:val="FootnoteText"/>
        <w:rPr/>
      </w:pPr>
      <w:r>
        <w:rPr>
          <w:rStyle w:val="FootnoteCharacters"/>
        </w:rPr>
        <w:footnoteRef/>
      </w:r>
      <w:r>
        <w:rPr/>
        <w:t xml:space="preserve">The verb </w:t>
      </w:r>
      <w:r>
        <w:rPr>
          <w:rStyle w:val="wwc-pali"/>
        </w:rPr>
        <w:t>niviṭṭha</w:t>
      </w:r>
      <w:r>
        <w:rP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rP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p>
  </w:footnote>
  <w:footnote w:id="394">
    <w:p>
      <w:pPr>
        <w:pStyle w:val="FootnoteText"/>
        <w:rPr/>
      </w:pPr>
      <w:r>
        <w:rPr>
          <w:rStyle w:val="FootnoteCharacters"/>
        </w:rPr>
        <w:footnoteRef/>
      </w:r>
      <w:r>
        <w:rPr/>
        <w:t>There is a pun here, which I tried to show in translation. The cutting of the tangle (</w:t>
      </w:r>
      <w:r>
        <w:rPr>
          <w:rStyle w:val="wwc-pali"/>
        </w:rPr>
        <w:t>jaṭā</w:t>
      </w:r>
      <w:r>
        <w:rPr/>
        <w:t>) also refers to the hair of Bhāradvāja Tangled-Hair (</w:t>
      </w:r>
      <w:r>
        <w:rPr>
          <w:rStyle w:val="wwc-pali"/>
        </w:rPr>
        <w:t>jaṭā-bhāradvāja</w:t>
      </w:r>
      <w:r>
        <w:rPr/>
        <w:t>), which was dreadlocked in the style of brahmin renunciants.</w:t>
      </w:r>
    </w:p>
  </w:footnote>
  <w:footnote w:id="3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7.6</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1.23</w:t>
      </w:r>
      <w:r>
        <w:rPr>
          <w:rStyle w:val="Hyperlink"/>
        </w:rPr>
        <w:fldChar w:fldCharType="end"/>
      </w:r>
    </w:p>
  </w:footnote>
  <w:footnote w:id="396">
    <w:p>
      <w:pPr>
        <w:pStyle w:val="FootnoteText"/>
        <w:rPr/>
      </w:pPr>
      <w:r>
        <w:rPr>
          <w:rStyle w:val="FootnoteCharacters"/>
        </w:rPr>
        <w:footnoteRef/>
      </w:r>
      <w:hyperlink w:anchor="bqseg146">
        <w:r>
          <w:rPr>
            <w:rStyle w:val="Hyperlink"/>
          </w:rPr>
          <w:t>§146</w:t>
        </w:r>
      </w:hyperlink>
    </w:p>
  </w:footnote>
  <w:footnote w:id="397">
    <w:p>
      <w:pPr>
        <w:pStyle w:val="FootnoteText"/>
        <w:rPr/>
      </w:pPr>
      <w:r>
        <w:rPr>
          <w:rStyle w:val="FootnoteCharacters"/>
        </w:rPr>
        <w:footnoteRef/>
      </w:r>
      <w:hyperlink r:id="rId29">
        <w:r>
          <w:rPr>
            <w:rStyle w:val="Hyperlink"/>
          </w:rPr>
          <w:t>SĀ 1187</w:t>
        </w:r>
      </w:hyperlink>
      <w:r>
        <w:rPr/>
        <w:t xml:space="preserve">, </w:t>
      </w:r>
      <w:r>
        <w:rPr/>
        <w:t>諸識永滅</w:t>
      </w:r>
    </w:p>
  </w:footnote>
  <w:footnote w:id="398">
    <w:p>
      <w:pPr>
        <w:pStyle w:val="FootnoteText"/>
        <w:rPr/>
      </w:pPr>
      <w:r>
        <w:rPr>
          <w:rStyle w:val="FootnoteCharacters"/>
        </w:rPr>
        <w:footnoteRef/>
      </w:r>
      <w:hyperlink r:id="rId30">
        <w:r>
          <w:rPr>
            <w:rStyle w:val="Hyperlink"/>
          </w:rPr>
          <w:t>SĀ</w:t>
        </w:r>
        <w:r>
          <w:rPr>
            <w:rStyle w:val="Hyperlink"/>
            <w:vertAlign w:val="superscript"/>
          </w:rPr>
          <w:t>2</w:t>
        </w:r>
        <w:r>
          <w:rPr>
            <w:rStyle w:val="Hyperlink"/>
          </w:rPr>
          <w:t xml:space="preserve"> 100</w:t>
        </w:r>
      </w:hyperlink>
      <w:r>
        <w:rPr/>
        <w:t xml:space="preserve">, </w:t>
      </w:r>
      <w:r>
        <w:rPr/>
        <w:t>心意盡滅</w:t>
      </w:r>
    </w:p>
  </w:footnote>
  <w:footnote w:id="399">
    <w:p>
      <w:pPr>
        <w:pStyle w:val="FootnoteText"/>
        <w:rPr/>
      </w:pPr>
      <w:r>
        <w:rPr>
          <w:rStyle w:val="FootnoteCharacters"/>
        </w:rPr>
        <w:footnoteRef/>
      </w:r>
      <w:r>
        <w:rPr/>
        <w:t xml:space="preserve">See also </w:t>
      </w:r>
      <w:r>
        <w:rPr>
          <w:rStyle w:val="wwc-sesame-zot-reference"/>
        </w:rPr>
        <w:t>Bodhi 2000</w:t>
      </w:r>
      <w:r>
        <w:rPr/>
        <w:t xml:space="preserve"> p.48: “Consciousness can operate only in dependence on a physical body (</w:t>
      </w:r>
      <w:r>
        <w:rPr>
          <w:rStyle w:val="wwc-pali"/>
        </w:rPr>
        <w:t>rūpa</w:t>
      </w:r>
      <w:r>
        <w:rPr/>
        <w:t>) and in conjunction with its constellation of concomitants (</w:t>
      </w:r>
      <w:r>
        <w:rPr>
          <w:rStyle w:val="wwc-pali"/>
        </w:rPr>
        <w:t>nāma</w:t>
      </w:r>
      <w:r>
        <w:rPr/>
        <w:t>); conversely, only when consciousness is present can a compound of material elements function as a sentient body and the mental concomitants participate in cognition.”</w:t>
      </w:r>
    </w:p>
  </w:footnote>
  <w:footnote w:id="400">
    <w:p>
      <w:pPr>
        <w:pStyle w:val="FootnoteText"/>
        <w:rPr/>
      </w:pPr>
      <w:r>
        <w:rPr>
          <w:rStyle w:val="FootnoteCharacters"/>
        </w:rPr>
        <w:footnoteRef/>
      </w:r>
      <w:r>
        <w:rPr>
          <w:rStyle w:val="wwc-sesame-zot-reference"/>
        </w:rPr>
        <w:t>Langer</w:t>
      </w:r>
      <w:r>
        <w:rPr/>
        <w:t xml:space="preserve"> p.27, translation mine</w:t>
      </w:r>
    </w:p>
  </w:footnote>
  <w:footnote w:id="401">
    <w:p>
      <w:pPr>
        <w:pStyle w:val="FootnoteText"/>
        <w:rPr/>
      </w:pPr>
      <w:r>
        <w:rPr>
          <w:rStyle w:val="FootnoteCharacters"/>
        </w:rPr>
        <w:footnoteRef/>
      </w:r>
      <w:r>
        <w:rPr/>
        <w:t xml:space="preserve">See also </w:t>
      </w:r>
      <w:r>
        <w:rPr>
          <w:rStyle w:val="wwc-sesame-zot-reference"/>
        </w:rPr>
        <w:t>Karunadasa</w:t>
      </w:r>
      <w:r>
        <w:rPr/>
        <w:t xml:space="preserve"> p.33: “It is on the reciprocal interplay between consciousness and mentality-materiality that the whole </w:t>
      </w:r>
      <w:r>
        <w:rPr>
          <w:rStyle w:val="wwc-pali"/>
        </w:rPr>
        <w:t>saṁsāric</w:t>
      </w:r>
      <w:r>
        <w:rPr/>
        <w:t xml:space="preserve"> process of birth and death revolves. In this sense their mutual dependence constitutes the irreducible ground of </w:t>
      </w:r>
      <w:r>
        <w:rPr>
          <w:rStyle w:val="wwc-pali"/>
        </w:rPr>
        <w:t>saṁsāric</w:t>
      </w:r>
      <w:r>
        <w:rPr/>
        <w:t xml:space="preserve"> experience.”</w:t>
      </w:r>
    </w:p>
  </w:footnote>
  <w:footnote w:id="402">
    <w:p>
      <w:pPr>
        <w:pStyle w:val="FootnoteText"/>
        <w:rPr/>
      </w:pPr>
      <w:r>
        <w:rPr>
          <w:rStyle w:val="FootnoteCharacters"/>
        </w:rPr>
        <w:footnoteRef/>
      </w:r>
      <w:r>
        <w:rPr/>
        <w:t xml:space="preserve">For example </w:t>
      </w:r>
      <w:r>
        <w:rPr>
          <w:rStyle w:val="wwc-sesame-zot-reference"/>
        </w:rPr>
        <w:t>Harvey 1995</w:t>
      </w:r>
      <w:r>
        <w:rPr/>
        <w:t xml:space="preserve"> p.143, </w:t>
      </w:r>
      <w:r>
        <w:rPr>
          <w:rStyle w:val="wwc-sesame-zot-reference"/>
        </w:rPr>
        <w:t>Pasanno</w:t>
      </w:r>
      <w:r>
        <w:rPr/>
        <w:t xml:space="preserve"> p.133, </w:t>
      </w:r>
      <w:r>
        <w:rPr>
          <w:rStyle w:val="wwc-sesame-zot-reference"/>
        </w:rPr>
        <w:t>Cintita</w:t>
      </w:r>
      <w:r>
        <w:rPr/>
        <w:t xml:space="preserve"> p.166</w:t>
      </w:r>
    </w:p>
  </w:footnote>
  <w:footnote w:id="403">
    <w:p>
      <w:pPr>
        <w:pStyle w:val="FootnoteText"/>
        <w:rPr/>
      </w:pPr>
      <w:r>
        <w:rPr>
          <w:rStyle w:val="FootnoteCharacters"/>
        </w:rPr>
        <w:footnoteRef/>
      </w:r>
      <w:r>
        <w:rPr>
          <w:rStyle w:val="wwc-sesame-zot-reference"/>
        </w:rPr>
        <w:t>Sujato 2011a</w:t>
      </w:r>
    </w:p>
  </w:footnote>
  <w:footnote w:id="404">
    <w:p>
      <w:pPr>
        <w:pStyle w:val="FootnoteText"/>
        <w:rPr/>
      </w:pPr>
      <w:r>
        <w:rPr>
          <w:rStyle w:val="FootnoteCharacters"/>
        </w:rPr>
        <w:footnoteRef/>
      </w:r>
      <w:r>
        <w:rPr>
          <w:rStyle w:val="wwc-sesame"/>
        </w:rPr>
        <w:t>Bodhi 2020 p.25</w:t>
      </w:r>
      <w:r>
        <w:rPr/>
        <w:t xml:space="preserve">. See also </w:t>
      </w:r>
      <w:r>
        <w:rPr>
          <w:rStyle w:val="wwc-sesame-zot-reference"/>
        </w:rPr>
        <w:t>Warder 2010</w:t>
      </w:r>
      <w:r>
        <w:rPr/>
        <w:t xml:space="preserve"> p.5</w:t>
      </w:r>
    </w:p>
  </w:footnote>
  <w:footnote w:id="405">
    <w:p>
      <w:pPr>
        <w:pStyle w:val="FootnoteText"/>
        <w:rPr/>
      </w:pPr>
      <w:r>
        <w:rPr>
          <w:rStyle w:val="FootnoteCharacters"/>
        </w:rPr>
        <w:footnoteRef/>
      </w:r>
      <w:r>
        <w:rPr/>
        <w:t xml:space="preserve">See </w:t>
      </w:r>
      <w:r>
        <w:rPr>
          <w:rStyle w:val="wwc-sesame"/>
        </w:rPr>
        <w:t>Bodhi 2000 n.114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22.79</w:t>
      </w:r>
      <w:r>
        <w:rPr>
          <w:rStyle w:val="Hyperlink"/>
        </w:rPr>
        <w:fldChar w:fldCharType="end"/>
      </w:r>
      <w:r>
        <w:rPr/>
        <w:t xml:space="preserve">: “Usually in the suttas </w:t>
      </w:r>
      <w:r>
        <w:rPr>
          <w:rStyle w:val="wwc-pali"/>
        </w:rPr>
        <w:t>viññaṇa</w:t>
      </w:r>
      <w:r>
        <w:rPr/>
        <w:t xml:space="preserve"> is presented simply as the basic awareness of an object through one of the sense bases, i.e., as bare ‘consciousness of’ rather than as a discriminative capacity.” See also </w:t>
      </w:r>
      <w:r>
        <w:rPr>
          <w:rStyle w:val="wwc-sesame-zot-reference"/>
        </w:rPr>
        <w:t>Hamilton</w:t>
      </w:r>
      <w:r>
        <w:rPr/>
        <w:t xml:space="preserve"> p.53, 92</w:t>
      </w:r>
    </w:p>
  </w:footnote>
  <w:footnote w:id="406">
    <w:p>
      <w:pPr>
        <w:pStyle w:val="FootnoteText"/>
        <w:rPr/>
      </w:pPr>
      <w:r>
        <w:rPr>
          <w:rStyle w:val="FootnoteCharacters"/>
        </w:rPr>
        <w:footnoteRef/>
      </w:r>
      <w:r>
        <w:rPr>
          <w:rStyle w:val="wwc-sesame-zot-reference"/>
        </w:rPr>
        <w:t>Ñāṇamoli 1956</w:t>
      </w:r>
      <w:r>
        <w:rPr/>
        <w:t xml:space="preserve"> n.48 p.606. See also </w:t>
      </w:r>
      <w:r>
        <w:rPr>
          <w:rStyle w:val="wwc-sesame-zot-reference"/>
        </w:rPr>
        <w:t>Gombrich 1980</w:t>
      </w:r>
      <w:r>
        <w:rPr/>
        <w:t xml:space="preserve"> p.43</w:t>
      </w:r>
    </w:p>
  </w:footnote>
  <w:footnote w:id="407">
    <w:p>
      <w:pPr>
        <w:pStyle w:val="FootnoteText"/>
        <w:rPr/>
      </w:pPr>
      <w:r>
        <w:rPr>
          <w:rStyle w:val="FootnoteCharacters"/>
        </w:rPr>
        <w:footnoteRef/>
      </w:r>
      <w:r>
        <w:rPr>
          <w:rStyle w:val="wwc-sesame-zot-reference"/>
        </w:rPr>
        <w:t>Schmithausen 2000</w:t>
      </w:r>
      <w:r>
        <w:rPr/>
        <w:t xml:space="preserve"> p.74, translation mine, emphasis in the original</w:t>
      </w:r>
    </w:p>
  </w:footnote>
  <w:footnote w:id="408">
    <w:p>
      <w:pPr>
        <w:pStyle w:val="FootnoteText"/>
        <w:rPr/>
      </w:pPr>
      <w:r>
        <w:rPr>
          <w:rStyle w:val="FootnoteCharacters"/>
        </w:rPr>
        <w:footnoteRef/>
      </w:r>
      <w:r>
        <w:rPr>
          <w:rStyle w:val="wwc-sesame-zot-reference"/>
        </w:rPr>
        <w:t>Brahmavamso 1994</w:t>
      </w:r>
      <w:r>
        <w:rPr/>
        <w:t>, which uses the simile with reference to feelings instead of consciousness, but the idea is the same.</w:t>
      </w:r>
    </w:p>
  </w:footnote>
  <w:footnote w:id="409">
    <w:p>
      <w:pPr>
        <w:pStyle w:val="FootnoteText"/>
        <w:rPr/>
      </w:pPr>
      <w:r>
        <w:rPr>
          <w:rStyle w:val="FootnoteCharacters"/>
        </w:rPr>
        <w:footnoteRef/>
      </w:r>
      <w:r>
        <w:rPr/>
        <w:t xml:space="preserve">See also </w:t>
      </w:r>
      <w:r>
        <w:rPr>
          <w:rStyle w:val="wwc-sesame-zot-reference"/>
        </w:rPr>
        <w:t>Bodhi 1998</w:t>
      </w:r>
      <w:r>
        <w:rPr/>
        <w:t xml:space="preserve"> p.168: “We might instead hold that the </w:t>
      </w:r>
      <w:r>
        <w:rPr>
          <w:rStyle w:val="wwc-pali"/>
        </w:rPr>
        <w:t>vedanā</w:t>
      </w:r>
      <w:r>
        <w:rPr/>
        <w:t xml:space="preserve"> link should be understood as the result of past </w:t>
      </w:r>
      <w:r>
        <w:rPr>
          <w:rStyle w:val="wwc-pali"/>
        </w:rPr>
        <w:t>kamma</w:t>
      </w:r>
      <w:r>
        <w:rPr/>
        <w:t xml:space="preserve"> only in the more general sense that the capacity for experiencing feeling is a consequence of obtaining a sentient organism through the force of past </w:t>
      </w:r>
      <w:r>
        <w:rPr>
          <w:rStyle w:val="wwc-pali"/>
        </w:rPr>
        <w:t>kamma</w:t>
      </w:r>
      <w:r>
        <w:rPr/>
        <w:t xml:space="preserve">. […] That is, it is past </w:t>
      </w:r>
      <w:r>
        <w:rPr>
          <w:rStyle w:val="wwc-pali"/>
        </w:rPr>
        <w:t>kamma</w:t>
      </w:r>
      <w:r>
        <w:rPr/>
        <w:t>, accompanied by ignorance and craving, that brought into being the present sentient organism equipped with its six sense bases through which feeling is experienced.”</w:t>
      </w:r>
    </w:p>
  </w:footnote>
  <w:footnote w:id="4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43:9.1–9.9</w:t>
      </w:r>
      <w:r>
        <w:rPr>
          <w:rStyle w:val="Hyperlink"/>
        </w:rPr>
        <w:fldChar w:fldCharType="end"/>
      </w:r>
      <w:r>
        <w:rPr/>
        <w:t xml:space="preserve"> </w:t>
      </w:r>
      <w:r>
        <w:rPr>
          <w:rStyle w:val="wwc-PTS-reference"/>
        </w:rPr>
        <w:t>M I 293</w:t>
      </w:r>
    </w:p>
  </w:footnote>
  <w:footnote w:id="4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148:8.1–8.11</w:t>
      </w:r>
      <w:r>
        <w:rPr>
          <w:rStyle w:val="Hyperlink"/>
        </w:rPr>
        <w:fldChar w:fldCharType="end"/>
      </w:r>
      <w:r>
        <w:rPr/>
        <w:t xml:space="preserve"> </w:t>
      </w:r>
      <w:r>
        <w:rPr>
          <w:rStyle w:val="wwc-PTS-reference"/>
        </w:rPr>
        <w:t>M III 281</w:t>
      </w:r>
    </w:p>
  </w:footnote>
  <w:footnote w:id="412">
    <w:p>
      <w:pPr>
        <w:pStyle w:val="FootnoteText"/>
        <w:rPr/>
      </w:pPr>
      <w:r>
        <w:rPr>
          <w:rStyle w:val="FootnoteCharacters"/>
        </w:rPr>
        <w:footnoteRef/>
      </w:r>
      <w:r>
        <w:rPr/>
        <w:t xml:space="preserve">See </w:t>
      </w:r>
      <w:r>
        <w:rPr>
          <w:rStyle w:val="wwc-sesame-zot-reference"/>
        </w:rPr>
        <w:t>Hamilton</w:t>
      </w:r>
      <w:r>
        <w:rPr/>
        <w:t xml:space="preserve"> p.89</w:t>
      </w:r>
    </w:p>
  </w:footnote>
  <w:footnote w:id="4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28:27.1</w:t>
      </w:r>
      <w:r>
        <w:rPr>
          <w:rStyle w:val="Hyperlink"/>
        </w:rPr>
        <w:fldChar w:fldCharType="end"/>
      </w:r>
      <w:r>
        <w:rPr/>
        <w:t xml:space="preserve"> </w:t>
      </w:r>
      <w:r>
        <w:rPr>
          <w:rStyle w:val="wwc-PTS-reference"/>
        </w:rPr>
        <w:t>M I 190</w:t>
      </w:r>
    </w:p>
  </w:footnote>
  <w:footnote w:id="4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5">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12.52:2.3</w:t>
      </w:r>
      <w:r>
        <w:rPr>
          <w:rStyle w:val="Hyperlink"/>
        </w:rPr>
        <w:fldChar w:fldCharType="end"/>
      </w:r>
      <w:r>
        <w:rPr/>
        <w:t>: “With that nutriment, that fuel, that bonfire would burn for a very long time.”</w:t>
      </w:r>
    </w:p>
  </w:footnote>
  <w:footnote w:id="41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7">
    <w:p>
      <w:pPr>
        <w:pStyle w:val="FootnoteText"/>
        <w:rPr/>
      </w:pPr>
      <w:r>
        <w:rPr>
          <w:rStyle w:val="FootnoteCharacters"/>
        </w:rPr>
        <w:footnoteRef/>
      </w:r>
      <w:r>
        <w:rPr/>
        <w:t xml:space="preserve">On the same passage see also </w:t>
      </w:r>
      <w:r>
        <w:rPr>
          <w:rStyle w:val="wwc-sesame-zot-reference"/>
        </w:rPr>
        <w:t>Gombrich 2009</w:t>
      </w:r>
      <w:r>
        <w:rPr/>
        <w:t xml:space="preserve"> p.120</w:t>
      </w:r>
    </w:p>
  </w:footnote>
  <w:footnote w:id="4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146:8.25–9.19</w:t>
      </w:r>
      <w:r>
        <w:rPr>
          <w:rStyle w:val="Hyperlink"/>
        </w:rPr>
        <w:fldChar w:fldCharType="end"/>
      </w:r>
      <w:r>
        <w:rPr/>
        <w:t xml:space="preserve"> </w:t>
      </w:r>
      <w:r>
        <w:rPr>
          <w:rStyle w:val="wwc-PTS-reference"/>
        </w:rPr>
        <w:t>M III 273</w:t>
      </w:r>
    </w:p>
  </w:footnote>
  <w:footnote w:id="4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35.92:1.3–1.5</w:t>
      </w:r>
      <w:r>
        <w:rPr>
          <w:rStyle w:val="Hyperlink"/>
        </w:rPr>
        <w:fldChar w:fldCharType="end"/>
      </w:r>
    </w:p>
  </w:footnote>
  <w:footnote w:id="4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35.93</w:t>
      </w:r>
      <w:r>
        <w:rPr>
          <w:rStyle w:val="Hyperlink"/>
        </w:rPr>
        <w:fldChar w:fldCharType="end"/>
      </w:r>
    </w:p>
  </w:footnote>
  <w:footnote w:id="42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DN 1:3.21.1–3.26.2</w:t>
      </w:r>
      <w:r>
        <w:rPr>
          <w:rStyle w:val="Hyperlink"/>
        </w:rPr>
        <w:fldChar w:fldCharType="end"/>
      </w:r>
      <w:r>
        <w:rPr/>
        <w:t xml:space="preserve"> </w:t>
      </w:r>
      <w:r>
        <w:rPr>
          <w:rStyle w:val="wwc-PTS-reference"/>
        </w:rPr>
        <w:t>D I 36</w:t>
      </w:r>
    </w:p>
  </w:footnote>
  <w:footnote w:id="4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35.84</w:t>
      </w:r>
      <w:r>
        <w:rPr>
          <w:rStyle w:val="Hyperlink"/>
        </w:rPr>
        <w:fldChar w:fldCharType="end"/>
      </w:r>
    </w:p>
  </w:footnote>
  <w:footnote w:id="4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bookmarkStart w:id="164" w:name="footnote422"/>
      <w:bookmarkEnd w:id="164"/>
      <w:r>
        <w:rPr>
          <w:rStyle w:val="Hyperlink"/>
        </w:rPr>
        <w:t>MN 113:21.7–21.8</w:t>
      </w:r>
      <w:r>
        <w:rPr>
          <w:rStyle w:val="Hyperlink"/>
        </w:rPr>
        <w:fldChar w:fldCharType="end"/>
      </w:r>
      <w:r>
        <w:rPr/>
        <w:t xml:space="preserve"> </w:t>
      </w:r>
      <w:r>
        <w:rPr>
          <w:rStyle w:val="wwc-PTS-reference"/>
        </w:rPr>
        <w:t>M III 42</w:t>
      </w:r>
    </w:p>
  </w:footnote>
  <w:footnote w:id="424">
    <w:p>
      <w:pPr>
        <w:pStyle w:val="FootnoteText"/>
        <w:rPr/>
      </w:pPr>
      <w:r>
        <w:rPr>
          <w:rStyle w:val="FootnoteCharacters"/>
        </w:rPr>
        <w:footnoteRef/>
      </w:r>
      <w:r>
        <w:rPr/>
        <w:t xml:space="preserve">See also </w:t>
      </w:r>
      <w:r>
        <w:rPr>
          <w:rStyle w:val="wwc-sesame"/>
        </w:rPr>
        <w:t>Brahmavamso 2006 ‘The Nature of Citta’</w:t>
      </w:r>
    </w:p>
  </w:footnote>
  <w:footnote w:id="4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36.6:2.1</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36.4</w:t>
      </w:r>
      <w:r>
        <w:rPr>
          <w:rStyle w:val="Hyperlink"/>
        </w:rPr>
        <w:fldChar w:fldCharType="end"/>
      </w:r>
    </w:p>
  </w:footnote>
  <w:footnote w:id="42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27">
    <w:p>
      <w:pPr>
        <w:pStyle w:val="FootnoteText"/>
        <w:rPr/>
      </w:pPr>
      <w:r>
        <w:rPr>
          <w:rStyle w:val="FootnoteCharacters"/>
        </w:rPr>
        <w:footnoteRef/>
      </w:r>
      <w:r>
        <w:rPr>
          <w:rStyle w:val="wwc-pali"/>
        </w:rPr>
        <w:t>Savijñānakaḥ kāyo</w:t>
      </w:r>
      <w:r>
        <w:rPr/>
        <w:t xml:space="preserve"> (</w:t>
      </w:r>
      <w:hyperlink r:id="rId31">
        <w:r>
          <w:rPr>
            <w:rStyle w:val="Hyperlink"/>
          </w:rPr>
          <w:t>SF 161</w:t>
        </w:r>
      </w:hyperlink>
      <w:r>
        <w:rPr/>
        <w:t xml:space="preserve">) and </w:t>
      </w:r>
      <w:r>
        <w:rPr/>
        <w:t xml:space="preserve">識身 </w:t>
      </w:r>
      <w:r>
        <w:rPr/>
        <w:t>(</w:t>
      </w:r>
      <w:hyperlink r:id="rId32">
        <w:r>
          <w:rPr>
            <w:rStyle w:val="Hyperlink"/>
          </w:rPr>
          <w:t>SĀ 294</w:t>
        </w:r>
      </w:hyperlink>
      <w:r>
        <w:rPr/>
        <w:t xml:space="preserve">). See </w:t>
      </w:r>
      <w:r>
        <w:rPr>
          <w:rStyle w:val="wwc-sesame-zot-reference"/>
        </w:rPr>
        <w:t>Choong</w:t>
      </w:r>
      <w:r>
        <w:rPr/>
        <w:t xml:space="preserve"> p.185</w:t>
      </w:r>
    </w:p>
  </w:footnote>
  <w:footnote w:id="428">
    <w:p>
      <w:pPr>
        <w:pStyle w:val="FootnoteText"/>
        <w:rPr/>
      </w:pPr>
      <w:r>
        <w:rPr>
          <w:rStyle w:val="FootnoteCharacters"/>
        </w:rPr>
        <w:footnoteRef/>
      </w:r>
      <w:r>
        <w:rPr/>
        <w:t xml:space="preserve">See </w:t>
      </w:r>
      <w:hyperlink w:anchor="footnote361">
        <w:r>
          <w:rPr>
            <w:rStyle w:val="Hyperlink"/>
          </w:rPr>
          <w:t>note 361</w:t>
        </w:r>
      </w:hyperlink>
    </w:p>
  </w:footnote>
  <w:footnote w:id="429">
    <w:p>
      <w:pPr>
        <w:pStyle w:val="FootnoteText"/>
        <w:rPr/>
      </w:pPr>
      <w:r>
        <w:rPr>
          <w:rStyle w:val="FootnoteCharacters"/>
        </w:rPr>
        <w:footnoteRef/>
      </w:r>
      <w:r>
        <w:rPr>
          <w:rStyle w:val="wwc-sesame-zot-reference"/>
        </w:rPr>
        <w:t>DOP</w:t>
      </w:r>
      <w:r>
        <w:rPr/>
        <w:t xml:space="preserve"> under </w:t>
      </w:r>
      <w:r>
        <w:rPr>
          <w:rStyle w:val="wwc-pali"/>
        </w:rPr>
        <w:t>nimitta</w:t>
      </w:r>
    </w:p>
  </w:footnote>
  <w:footnote w:id="430">
    <w:p>
      <w:pPr>
        <w:pStyle w:val="FootnoteText"/>
        <w:rPr/>
      </w:pPr>
      <w:r>
        <w:rPr>
          <w:rStyle w:val="FootnoteCharacters"/>
        </w:rPr>
        <w:footnoteRef/>
      </w:r>
      <w:r>
        <w:rPr>
          <w:rStyle w:val="wwc-sesame"/>
        </w:rPr>
        <w:t>Bodhi 2012 at AN 3.32</w:t>
      </w:r>
      <w:r>
        <w:rPr/>
        <w:t xml:space="preserve">, </w:t>
      </w:r>
      <w:r>
        <w:rPr>
          <w:rStyle w:val="wwc-sesame"/>
        </w:rPr>
        <w:t>AN 3.33</w:t>
      </w:r>
      <w:r>
        <w:rPr/>
        <w:t xml:space="preserve"> and </w:t>
      </w:r>
      <w:r>
        <w:rPr>
          <w:rStyle w:val="wwc-sesame"/>
        </w:rPr>
        <w:t>AN 7.49</w:t>
      </w:r>
      <w:r>
        <w:rPr/>
        <w:t xml:space="preserve">. Here I regard </w:t>
      </w:r>
      <w:r>
        <w:rPr>
          <w:rStyle w:val="wwc-pali"/>
        </w:rPr>
        <w:t>nāmarūpa</w:t>
      </w:r>
      <w:r>
        <w:rPr/>
        <w:t xml:space="preserve"> as a </w:t>
      </w:r>
      <w:r>
        <w:rPr>
          <w:rStyle w:val="wwc-pali"/>
        </w:rPr>
        <w:t>bahubbīhi</w:t>
      </w:r>
      <w:r>
        <w:rPr/>
        <w:t xml:space="preserve">-like compound used as a noun; see </w:t>
      </w:r>
      <w:hyperlink w:anchor="footnote113">
        <w:r>
          <w:rPr>
            <w:rStyle w:val="Hyperlink"/>
          </w:rPr>
          <w:t>note 113</w:t>
        </w:r>
      </w:hyperlink>
    </w:p>
  </w:footnote>
  <w:footnote w:id="431">
    <w:p>
      <w:pPr>
        <w:pStyle w:val="FootnoteText"/>
        <w:rPr/>
      </w:pPr>
      <w:r>
        <w:rPr>
          <w:rStyle w:val="FootnoteCharacters"/>
        </w:rPr>
        <w:footnoteRef/>
      </w:r>
      <w:r>
        <w:rPr>
          <w:rStyle w:val="wwc-sesame-zot-reference"/>
        </w:rPr>
        <w:t>Schmithausen 2000</w:t>
      </w:r>
      <w:r>
        <w:rPr/>
        <w:t xml:space="preserve"> p.66 n.103, translation mine</w:t>
      </w:r>
    </w:p>
  </w:footnote>
  <w:footnote w:id="432">
    <w:p>
      <w:pPr>
        <w:pStyle w:val="FootnoteText"/>
        <w:rPr/>
      </w:pPr>
      <w:r>
        <w:rPr>
          <w:rStyle w:val="FootnoteCharacters"/>
        </w:rPr>
        <w:footnoteRef/>
      </w:r>
      <w:r>
        <w:rPr>
          <w:rStyle w:val="wwc-sesame-zot-reference"/>
        </w:rPr>
        <w:t>Gonda</w:t>
      </w:r>
      <w:r>
        <w:rPr/>
        <w:t xml:space="preserve"> p.8</w:t>
      </w:r>
    </w:p>
  </w:footnote>
  <w:footnote w:id="433">
    <w:p>
      <w:pPr>
        <w:pStyle w:val="FootnoteText"/>
        <w:rPr/>
      </w:pPr>
      <w:r>
        <w:rPr>
          <w:rStyle w:val="FootnoteCharacters"/>
        </w:rPr>
        <w:footnoteRef/>
      </w:r>
      <w:r>
        <w:rPr>
          <w:rStyle w:val="wwc-sesame"/>
        </w:rPr>
        <w:t>Bodhi 2000 n.48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34">
    <w:p>
      <w:pPr>
        <w:pStyle w:val="FootnoteText"/>
        <w:rPr/>
      </w:pPr>
      <w:r>
        <w:rPr>
          <w:rStyle w:val="FootnoteCharacters"/>
        </w:rPr>
        <w:footnoteRef/>
      </w:r>
      <w:r>
        <w:rPr>
          <w:rStyle w:val="wwc-sesame-zot-reference"/>
        </w:rPr>
        <w:t>Hamilton</w:t>
      </w:r>
      <w:r>
        <w:rPr/>
        <w:t xml:space="preserve"> p.127–135</w:t>
      </w:r>
    </w:p>
  </w:footnote>
  <w:footnote w:id="435">
    <w:p>
      <w:pPr>
        <w:pStyle w:val="FootnoteText"/>
        <w:rPr/>
      </w:pPr>
      <w:r>
        <w:rPr>
          <w:rStyle w:val="FootnoteCharacters"/>
        </w:rPr>
        <w:footnoteRef/>
      </w:r>
      <w:r>
        <w:rPr>
          <w:rStyle w:val="wwc-sesame-zot-reference"/>
        </w:rPr>
        <w:t>Falk</w:t>
      </w:r>
      <w:r>
        <w:rPr/>
        <w:t xml:space="preserve"> p.56 n.1</w:t>
      </w:r>
    </w:p>
  </w:footnote>
  <w:footnote w:id="436">
    <w:p>
      <w:pPr>
        <w:pStyle w:val="FootnoteText"/>
        <w:rPr/>
      </w:pPr>
      <w:r>
        <w:rPr>
          <w:rStyle w:val="FootnoteCharacters"/>
        </w:rPr>
        <w:footnoteRef/>
      </w:r>
      <w:bookmarkStart w:id="165" w:name="footnote435"/>
      <w:bookmarkEnd w:id="165"/>
      <w:r>
        <w:rPr/>
        <w:t xml:space="preserve">For example </w:t>
      </w:r>
      <w:r>
        <w:rPr>
          <w:rStyle w:val="wwc-sesame-zot-reference"/>
        </w:rPr>
        <w:t>Reat</w:t>
      </w:r>
      <w:r>
        <w:rPr/>
        <w:t xml:space="preserve">, </w:t>
      </w:r>
      <w:r>
        <w:rPr>
          <w:rStyle w:val="wwc-sesame-zot-reference"/>
        </w:rPr>
        <w:t>Bucknell</w:t>
      </w:r>
      <w:r>
        <w:rPr/>
        <w:t xml:space="preserve"> p.324, </w:t>
      </w:r>
      <w:r>
        <w:rPr>
          <w:rStyle w:val="wwc-sesame-zot-reference"/>
        </w:rPr>
        <w:t>Anālayo 2018</w:t>
      </w:r>
      <w:r>
        <w:rPr/>
        <w:t xml:space="preserve"> p.25</w:t>
      </w:r>
    </w:p>
  </w:footnote>
  <w:footnote w:id="437">
    <w:p>
      <w:pPr>
        <w:pStyle w:val="FootnoteText"/>
        <w:rPr/>
      </w:pPr>
      <w:r>
        <w:rPr>
          <w:rStyle w:val="FootnoteCharacters"/>
        </w:rPr>
        <w:footnoteRef/>
      </w:r>
      <w:bookmarkStart w:id="166" w:name="footnote436"/>
      <w:bookmarkEnd w:id="166"/>
      <w:r>
        <w:rPr/>
        <w:t xml:space="preserve">For example </w:t>
      </w:r>
      <w:r>
        <w:rPr>
          <w:rStyle w:val="wwc-sesame-zot-reference"/>
        </w:rPr>
        <w:t>Ñāṇananda 1974/2007</w:t>
      </w:r>
      <w:r>
        <w:rPr/>
        <w:t xml:space="preserve"> p.31, </w:t>
      </w:r>
      <w:r>
        <w:rPr>
          <w:rStyle w:val="wwc-sesame-zot-reference"/>
        </w:rPr>
        <w:t>Cintita</w:t>
      </w:r>
      <w:r>
        <w:rPr/>
        <w:t xml:space="preserve"> p.152, </w:t>
      </w:r>
      <w:r>
        <w:rPr>
          <w:rStyle w:val="wwc-sesame-zot-reference"/>
        </w:rPr>
        <w:t>Amaro</w:t>
      </w:r>
      <w:r>
        <w:rPr/>
        <w:t xml:space="preserve"> p.116. The first two both quote the Discourse on the Foolish and Wise in support, but only the part on the fools, omitting the statement on the wise also experiencing </w:t>
      </w:r>
      <w:r>
        <w:rPr>
          <w:rStyle w:val="wwc-pali"/>
        </w:rPr>
        <w:t>nāmarūpa</w:t>
      </w:r>
      <w:r>
        <w:rPr/>
        <w:t>.</w:t>
      </w:r>
    </w:p>
  </w:footnote>
  <w:footnote w:id="438">
    <w:p>
      <w:pPr>
        <w:pStyle w:val="FootnoteText"/>
        <w:rPr/>
      </w:pPr>
      <w:r>
        <w:rPr>
          <w:rStyle w:val="FootnoteCharacters"/>
        </w:rPr>
        <w:footnoteRef/>
      </w:r>
      <w:r>
        <w:rPr/>
        <w:t xml:space="preserve">See for example </w:t>
      </w:r>
      <w:hyperlink w:anchor="bqseg137">
        <w:r>
          <w:rPr>
            <w:rStyle w:val="Hyperlink"/>
          </w:rPr>
          <w:t>§137</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439">
    <w:p>
      <w:pPr>
        <w:pStyle w:val="FootnoteText"/>
        <w:rPr/>
      </w:pPr>
      <w:r>
        <w:rPr>
          <w:rStyle w:val="FootnoteCharacters"/>
        </w:rPr>
        <w:footnoteRef/>
      </w:r>
      <w:r>
        <w:rPr/>
        <w:t xml:space="preserve">See also </w:t>
      </w:r>
      <w:r>
        <w:rPr>
          <w:rStyle w:val="wwc-sesame-zot-reference"/>
        </w:rPr>
        <w:t>Hamilton</w:t>
      </w:r>
      <w:r>
        <w:rPr/>
        <w:t xml:space="preserve"> p.135</w:t>
      </w:r>
    </w:p>
  </w:footnote>
  <w:footnote w:id="440">
    <w:p>
      <w:pPr>
        <w:pStyle w:val="FootnoteText"/>
        <w:rPr/>
      </w:pPr>
      <w:r>
        <w:rPr>
          <w:rStyle w:val="FootnoteCharacters"/>
        </w:rPr>
        <w:footnoteRef/>
      </w:r>
      <w:hyperlink w:anchor="bqseg83">
        <w:r>
          <w:rPr>
            <w:rStyle w:val="Hyperlink"/>
          </w:rPr>
          <w:t>§83</w:t>
        </w:r>
      </w:hyperlink>
      <w:r>
        <w:rPr/>
        <w:t xml:space="preserve">, </w:t>
      </w:r>
      <w:hyperlink w:anchor="bqseg84">
        <w:r>
          <w:rPr>
            <w:rStyle w:val="Hyperlink"/>
          </w:rPr>
          <w:t>§84</w:t>
        </w:r>
      </w:hyperlink>
    </w:p>
  </w:footnote>
  <w:footnote w:id="441">
    <w:p>
      <w:pPr>
        <w:pStyle w:val="FootnoteText"/>
        <w:rPr/>
      </w:pPr>
      <w:r>
        <w:rPr>
          <w:rStyle w:val="FootnoteCharacters"/>
        </w:rPr>
        <w:footnoteRef/>
      </w:r>
      <w:hyperlink w:anchor="bqseg84">
        <w:r>
          <w:rPr>
            <w:rStyle w:val="Hyperlink"/>
          </w:rPr>
          <w:t>§84</w:t>
        </w:r>
      </w:hyperlink>
      <w:r>
        <w:rPr/>
        <w:t xml:space="preserve">, </w:t>
      </w:r>
      <w:hyperlink w:anchor="bqseg23">
        <w:r>
          <w:rPr>
            <w:rStyle w:val="Hyperlink"/>
          </w:rPr>
          <w:t>§23</w:t>
        </w:r>
      </w:hyperlink>
      <w:r>
        <w:rPr/>
        <w:t xml:space="preserve">, </w:t>
      </w:r>
      <w:hyperlink w:anchor="bqseg54">
        <w:r>
          <w:rPr>
            <w:rStyle w:val="Hyperlink"/>
          </w:rPr>
          <w:t>§54</w:t>
        </w:r>
      </w:hyperlink>
      <w:r>
        <w:rPr/>
        <w:t xml:space="preserve">, </w:t>
      </w:r>
      <w:hyperlink w:anchor="bqseg80">
        <w:r>
          <w:rPr>
            <w:rStyle w:val="Hyperlink"/>
          </w:rPr>
          <w:t>§80</w:t>
        </w:r>
      </w:hyperlink>
    </w:p>
  </w:footnote>
  <w:footnote w:id="442">
    <w:p>
      <w:pPr>
        <w:pStyle w:val="FootnoteText"/>
        <w:rPr/>
      </w:pPr>
      <w:r>
        <w:rPr>
          <w:rStyle w:val="FootnoteCharacters"/>
        </w:rPr>
        <w:footnoteRef/>
      </w:r>
      <w:r>
        <w:rPr/>
        <w:t xml:space="preserve">See also </w:t>
      </w:r>
      <w:r>
        <w:rPr>
          <w:rStyle w:val="wwc-sesame-zot-reference"/>
        </w:rPr>
        <w:t>Hamilton</w:t>
      </w:r>
      <w:r>
        <w:rPr/>
        <w:t xml:space="preserve"> p.132 and </w:t>
      </w:r>
      <w:r>
        <w:rPr>
          <w:rStyle w:val="wwc-sesame-zot-reference"/>
        </w:rPr>
        <w:t>Olalde 2014</w:t>
      </w:r>
      <w:r>
        <w:rPr/>
        <w:t xml:space="preserve"> p.103</w:t>
      </w:r>
    </w:p>
  </w:footnote>
  <w:footnote w:id="443">
    <w:p>
      <w:pPr>
        <w:pStyle w:val="FootnoteText"/>
        <w:rPr/>
      </w:pPr>
      <w:r>
        <w:rPr>
          <w:rStyle w:val="FootnoteCharacters"/>
        </w:rPr>
        <w:footnoteRef/>
      </w:r>
      <w:r>
        <w:rPr>
          <w:rStyle w:val="wwc-sesame-zot-reference"/>
        </w:rPr>
        <w:t>Schmithausen 2000</w:t>
      </w:r>
      <w:r>
        <w:rPr/>
        <w:t xml:space="preserve"> pp.69–74, translation mine</w:t>
      </w:r>
    </w:p>
  </w:footnote>
  <w:footnote w:id="444">
    <w:p>
      <w:pPr>
        <w:pStyle w:val="FootnoteText"/>
        <w:rPr/>
      </w:pPr>
      <w:r>
        <w:rPr>
          <w:rStyle w:val="FootnoteCharacters"/>
        </w:rPr>
        <w:footnoteRef/>
      </w:r>
      <w:r>
        <w:rPr/>
        <w:t xml:space="preserve">See </w:t>
      </w:r>
      <w:hyperlink w:anchor="footnote152">
        <w:r>
          <w:rPr>
            <w:rStyle w:val="Hyperlink"/>
          </w:rPr>
          <w:t>note 152</w:t>
        </w:r>
      </w:hyperlink>
    </w:p>
  </w:footnote>
  <w:footnote w:id="445">
    <w:p>
      <w:pPr>
        <w:pStyle w:val="FootnoteText"/>
        <w:rPr/>
      </w:pPr>
      <w:r>
        <w:rPr>
          <w:rStyle w:val="FootnoteCharacters"/>
        </w:rPr>
        <w:footnoteRef/>
      </w:r>
      <w:r>
        <w:rPr/>
        <w:t xml:space="preserve">See for example </w:t>
      </w:r>
      <w:r>
        <w:rPr>
          <w:rStyle w:val="wwc-sesame"/>
        </w:rPr>
        <w:t>Bodhi 2000 n.182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2.26</w:t>
      </w:r>
      <w:r>
        <w:rPr>
          <w:rStyle w:val="Hyperlink"/>
        </w:rPr>
        <w:fldChar w:fldCharType="end"/>
      </w:r>
      <w:r>
        <w:rPr/>
        <w:t>: “The world with which the Buddha’s teaching is principally concerned is ‘the world of experience’, and even the objective world is of interest only to the extent that it serves as the necessary external condition for experience.”</w:t>
      </w:r>
    </w:p>
  </w:footnote>
  <w:footnote w:id="446">
    <w:p>
      <w:pPr>
        <w:pStyle w:val="FootnoteText"/>
        <w:rPr/>
      </w:pPr>
      <w:r>
        <w:rPr>
          <w:rStyle w:val="FootnoteCharacters"/>
        </w:rPr>
        <w:footnoteRef/>
      </w:r>
      <w:r>
        <w:rPr>
          <w:rStyle w:val="wwc-sesame-zot-reference"/>
        </w:rPr>
        <w:t>Olalde 2014</w:t>
      </w:r>
      <w:r>
        <w:rPr/>
        <w:t xml:space="preserve"> p.69, “</w:t>
      </w:r>
      <w:r>
        <w:rPr>
          <w:rStyle w:val="wwc-german"/>
        </w:rPr>
        <w:t>äußerst unklar</w:t>
      </w:r>
      <w:r>
        <w:rPr/>
        <w:t xml:space="preserve">”; </w:t>
      </w:r>
      <w:r>
        <w:rPr>
          <w:rStyle w:val="wwc-sesame-zot-reference"/>
        </w:rPr>
        <w:t>Vetter 1994</w:t>
      </w:r>
      <w:r>
        <w:rPr/>
        <w:t xml:space="preserve"> p.147, “</w:t>
      </w:r>
      <w:r>
        <w:rPr>
          <w:rStyle w:val="wwc-german"/>
        </w:rPr>
        <w:t>wenig Sinn</w:t>
      </w:r>
      <w:r>
        <w:rPr/>
        <w:t xml:space="preserve">”. </w:t>
      </w:r>
      <w:r>
        <w:rPr>
          <w:rStyle w:val="wwc-sesame-zot-reference"/>
        </w:rPr>
        <w:t>Schmithausen 2000</w:t>
      </w:r>
      <w:r>
        <w:rPr/>
        <w:t xml:space="preserve"> p.58 also calls it “difficult” (</w:t>
      </w:r>
      <w:r>
        <w:rPr>
          <w:rStyle w:val="wwc-german"/>
        </w:rPr>
        <w:t>schwieriger</w:t>
      </w:r>
      <w:r>
        <w:rPr/>
        <w:t>).</w:t>
      </w:r>
    </w:p>
  </w:footnote>
  <w:footnote w:id="447">
    <w:p>
      <w:pPr>
        <w:pStyle w:val="FootnoteText"/>
        <w:rPr/>
      </w:pPr>
      <w:r>
        <w:rPr>
          <w:rStyle w:val="FootnoteCharacters"/>
        </w:rPr>
        <w:footnoteRef/>
      </w:r>
      <w:r>
        <w:rPr>
          <w:rStyle w:val="wwc-sesame-zot-reference"/>
        </w:rPr>
        <w:t>Bodhi 1984</w:t>
      </w:r>
      <w:r>
        <w:rPr/>
        <w:t xml:space="preserve"> p.20</w:t>
      </w:r>
    </w:p>
  </w:footnote>
  <w:footnote w:id="448">
    <w:p>
      <w:pPr>
        <w:pStyle w:val="FootnoteText"/>
        <w:rPr/>
      </w:pPr>
      <w:r>
        <w:rPr>
          <w:rStyle w:val="FootnoteCharacters"/>
        </w:rPr>
        <w:footnoteRef/>
      </w:r>
      <w:r>
        <w:rPr/>
        <w:t xml:space="preserve">See </w:t>
      </w:r>
      <w:r>
        <w:rPr>
          <w:rStyle w:val="wwc-sesame-zot-reference"/>
        </w:rPr>
        <w:t>Bodhi 1984</w:t>
      </w:r>
      <w:r>
        <w:rPr/>
        <w:t xml:space="preserve"> p.107</w:t>
      </w:r>
    </w:p>
  </w:footnote>
  <w:footnote w:id="449">
    <w:p>
      <w:pPr>
        <w:pStyle w:val="FootnoteText"/>
        <w:rPr/>
      </w:pPr>
      <w:r>
        <w:rPr>
          <w:rStyle w:val="FootnoteCharacters"/>
        </w:rPr>
        <w:footnoteRef/>
      </w:r>
      <w:r>
        <w:rPr/>
        <w:t xml:space="preserve">See also </w:t>
      </w:r>
      <w:hyperlink w:anchor="footnote139">
        <w:r>
          <w:rPr>
            <w:rStyle w:val="Hyperlink"/>
          </w:rPr>
          <w:t>note 139</w:t>
        </w:r>
      </w:hyperlink>
    </w:p>
  </w:footnote>
  <w:footnote w:id="4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15:20.1–20.10</w:t>
      </w:r>
      <w:r>
        <w:rPr>
          <w:rStyle w:val="Hyperlink"/>
        </w:rPr>
        <w:fldChar w:fldCharType="end"/>
      </w:r>
      <w:r>
        <w:rPr/>
        <w:t xml:space="preserve"> </w:t>
      </w:r>
      <w:r>
        <w:rPr>
          <w:rStyle w:val="wwc-PTS-reference"/>
        </w:rPr>
        <w:t>D II 63</w:t>
      </w:r>
    </w:p>
  </w:footnote>
  <w:footnote w:id="451">
    <w:p>
      <w:pPr>
        <w:pStyle w:val="FootnoteText"/>
        <w:rPr/>
      </w:pPr>
      <w:r>
        <w:rPr>
          <w:rStyle w:val="FootnoteCharacters"/>
        </w:rPr>
        <w:footnoteRef/>
      </w:r>
      <w:r>
        <w:rPr>
          <w:rStyle w:val="wwc-sesame-zot-reference"/>
        </w:rPr>
        <w:t>Bodhi 1984</w:t>
      </w:r>
      <w:r>
        <w:rPr/>
        <w:t xml:space="preserve"> p.21</w:t>
      </w:r>
    </w:p>
  </w:footnote>
  <w:footnote w:id="4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43:21.1–21.6</w:t>
      </w:r>
      <w:r>
        <w:rPr>
          <w:rStyle w:val="Hyperlink"/>
        </w:rPr>
        <w:fldChar w:fldCharType="end"/>
      </w:r>
      <w:r>
        <w:rPr/>
        <w:t xml:space="preserve"> </w:t>
      </w:r>
      <w:r>
        <w:rPr>
          <w:rStyle w:val="wwc-PTS-reference"/>
        </w:rPr>
        <w:t>M I 295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48.42</w:t>
      </w:r>
      <w:r>
        <w:rPr>
          <w:rStyle w:val="Hyperlink"/>
        </w:rPr>
        <w:fldChar w:fldCharType="end"/>
      </w:r>
    </w:p>
  </w:footnote>
  <w:footnote w:id="453">
    <w:p>
      <w:pPr>
        <w:pStyle w:val="FootnoteText"/>
        <w:rPr/>
      </w:pPr>
      <w:r>
        <w:rPr>
          <w:rStyle w:val="FootnoteCharacters"/>
        </w:rPr>
        <w:footnoteRef/>
      </w:r>
      <w:r>
        <w:rPr/>
        <w:t xml:space="preserve">For example </w:t>
      </w:r>
      <w:r>
        <w:rPr>
          <w:rStyle w:val="wwc-sesame-zot-reference"/>
        </w:rPr>
        <w:t>Warder 1970</w:t>
      </w:r>
      <w:r>
        <w:rPr/>
        <w:t xml:space="preserve"> p.108, </w:t>
      </w:r>
      <w:r>
        <w:rPr>
          <w:rStyle w:val="wwc-sesame-zot-reference"/>
        </w:rPr>
        <w:t>Vetter 1994</w:t>
      </w:r>
      <w:r>
        <w:rPr/>
        <w:t xml:space="preserve"> p.148, </w:t>
      </w:r>
      <w:r>
        <w:rPr>
          <w:rStyle w:val="wwc-sesame-zot-reference"/>
        </w:rPr>
        <w:t>Olalde 2014</w:t>
      </w:r>
      <w:r>
        <w:rPr/>
        <w:t xml:space="preserve"> p.110, </w:t>
      </w:r>
      <w:r>
        <w:rPr>
          <w:rStyle w:val="wwc-sesame-zot-reference"/>
        </w:rPr>
        <w:t>Schmithausen 2000</w:t>
      </w:r>
      <w:r>
        <w:rPr/>
        <w:t xml:space="preserve"> p.58</w:t>
      </w:r>
    </w:p>
  </w:footnote>
  <w:footnote w:id="454">
    <w:p>
      <w:pPr>
        <w:pStyle w:val="FootnoteText"/>
        <w:rPr/>
      </w:pPr>
      <w:r>
        <w:rPr>
          <w:rStyle w:val="FootnoteCharacters"/>
        </w:rPr>
        <w:footnoteRef/>
      </w:r>
      <w:r>
        <w:rPr>
          <w:rStyle w:val="wwc-sesame-zot-reference"/>
        </w:rPr>
        <w:t>Bodhi 1984</w:t>
      </w:r>
      <w:r>
        <w:rPr/>
        <w:t xml:space="preserve"> p.20</w:t>
      </w:r>
    </w:p>
  </w:footnote>
  <w:footnote w:id="4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5.7:6.4</w:t>
      </w:r>
      <w:r>
        <w:rPr>
          <w:rStyle w:val="Hyperlink"/>
        </w:rPr>
        <w:fldChar w:fldCharType="end"/>
      </w:r>
      <w:r>
        <w:rPr/>
        <w:t xml:space="preserve">. See also </w:t>
      </w:r>
      <w:r>
        <w:rPr>
          <w:rStyle w:val="wwc-sesame-zot-reference"/>
        </w:rPr>
        <w:t>DOP</w:t>
      </w:r>
      <w:r>
        <w:rPr/>
        <w:t xml:space="preserve"> s.v. </w:t>
      </w:r>
      <w:r>
        <w:rPr>
          <w:rStyle w:val="wwc-pali"/>
        </w:rPr>
        <w:t>nāmakāya</w:t>
      </w:r>
      <w:r>
        <w:rPr/>
        <w:t>: ‘the group of non-material aspects (of an individual)’.</w:t>
      </w:r>
    </w:p>
  </w:footnote>
  <w:footnote w:id="456">
    <w:p>
      <w:pPr>
        <w:pStyle w:val="FootnoteText"/>
        <w:rPr/>
      </w:pPr>
      <w:r>
        <w:rPr>
          <w:rStyle w:val="FootnoteCharacters"/>
        </w:rPr>
        <w:footnoteRef/>
      </w:r>
      <w:hyperlink r:id="rId33">
        <w:r>
          <w:rPr>
            <w:rStyle w:val="Hyperlink"/>
          </w:rPr>
          <w:t>DĀ 13</w:t>
        </w:r>
      </w:hyperlink>
      <w:r>
        <w:rPr/>
        <w:t xml:space="preserve"> at 61b02, translation Patton</w:t>
      </w:r>
    </w:p>
  </w:footnote>
  <w:footnote w:id="457">
    <w:p>
      <w:pPr>
        <w:pStyle w:val="FootnoteText"/>
        <w:rPr/>
      </w:pPr>
      <w:r>
        <w:rPr>
          <w:rStyle w:val="FootnoteCharacters"/>
        </w:rPr>
        <w:footnoteRef/>
      </w:r>
      <w:r>
        <w:rPr>
          <w:rStyle w:val="wwc-sesame-zot-reference"/>
        </w:rPr>
        <w:t>Hamilton</w:t>
      </w:r>
      <w:r>
        <w:rPr/>
        <w:t xml:space="preserve"> p.134</w:t>
      </w:r>
    </w:p>
  </w:footnote>
  <w:footnote w:id="458">
    <w:p>
      <w:pPr>
        <w:pStyle w:val="FootnoteText"/>
        <w:rPr/>
      </w:pPr>
      <w:r>
        <w:rPr>
          <w:rStyle w:val="FootnoteCharacters"/>
        </w:rPr>
        <w:footnoteRef/>
      </w:r>
      <w:r>
        <w:rPr/>
        <w:t xml:space="preserve">See </w:t>
      </w:r>
      <w:r>
        <w:rPr>
          <w:rStyle w:val="wwc-sesame-zot-reference"/>
        </w:rPr>
        <w:t>Olalde 2014</w:t>
      </w:r>
      <w:r>
        <w:rPr/>
        <w:t xml:space="preserve"> p.114ff</w:t>
      </w:r>
    </w:p>
  </w:footnote>
  <w:footnote w:id="459">
    <w:p>
      <w:pPr>
        <w:pStyle w:val="FootnoteText"/>
        <w:rPr/>
      </w:pPr>
      <w:r>
        <w:rPr>
          <w:rStyle w:val="FootnoteCharacters"/>
        </w:rPr>
        <w:footnoteRef/>
      </w:r>
      <w:r>
        <w:rPr/>
        <w:t xml:space="preserve">See also </w:t>
      </w:r>
      <w:r>
        <w:rPr>
          <w:rStyle w:val="wwc-sesame-zot-reference"/>
        </w:rPr>
        <w:t>Olalde 2014</w:t>
      </w:r>
      <w:r>
        <w:rPr/>
        <w:t xml:space="preserve"> p.103 (translation mine): “Authors who interpret the interdependency between </w:t>
      </w:r>
      <w:r>
        <w:rPr>
          <w:rStyle w:val="wwc-pali"/>
        </w:rPr>
        <w:t>nāmarūpa</w:t>
      </w:r>
      <w:r>
        <w:rPr/>
        <w:t xml:space="preserve"> and </w:t>
      </w:r>
      <w:r>
        <w:rPr>
          <w:rStyle w:val="wwc-pali"/>
        </w:rPr>
        <w:t>viññāṇa</w:t>
      </w:r>
      <w:r>
        <w:rPr/>
        <w:t xml:space="preserve"> in the sense of a dependency of cognition and its objects […] base their argumentation mainly on that part of the </w:t>
      </w:r>
      <w:r>
        <w:rPr>
          <w:rStyle w:val="wwc-sesame"/>
        </w:rPr>
        <w:t>Mahānidāna Sutta</w:t>
      </w:r>
      <w:r>
        <w:rPr/>
        <w:t xml:space="preserve"> which does not actually explain this relationship, but instead that between </w:t>
      </w:r>
      <w:r>
        <w:rPr>
          <w:rStyle w:val="wwc-pali"/>
        </w:rPr>
        <w:t>nāmarūpa</w:t>
      </w:r>
      <w:r>
        <w:rPr/>
        <w:t xml:space="preserve"> and contact (</w:t>
      </w:r>
      <w:r>
        <w:rPr>
          <w:rStyle w:val="wwc-pali"/>
        </w:rPr>
        <w:t>phassa</w:t>
      </w:r>
      <w:r>
        <w:rPr/>
        <w:t>).”</w:t>
      </w:r>
    </w:p>
  </w:footnote>
  <w:footnote w:id="460">
    <w:p>
      <w:pPr>
        <w:pStyle w:val="FootnoteText"/>
        <w:rPr/>
      </w:pPr>
      <w:r>
        <w:rPr>
          <w:rStyle w:val="FootnoteCharacters"/>
        </w:rPr>
        <w:footnoteRef/>
      </w:r>
      <w:hyperlink r:id="rId34">
        <w:r>
          <w:rPr>
            <w:rStyle w:val="Hyperlink"/>
          </w:rPr>
          <w:t>DĀ 13</w:t>
        </w:r>
      </w:hyperlink>
      <w:r>
        <w:rPr/>
        <w:t xml:space="preserve"> at 61b3, </w:t>
      </w:r>
      <w:hyperlink r:id="rId35">
        <w:r>
          <w:rPr>
            <w:rStyle w:val="Hyperlink"/>
          </w:rPr>
          <w:t>MĀ 97</w:t>
        </w:r>
      </w:hyperlink>
      <w:r>
        <w:rPr/>
        <w:t xml:space="preserve"> at 579c7, </w:t>
      </w:r>
      <w:hyperlink r:id="rId36">
        <w:r>
          <w:rPr>
            <w:rStyle w:val="Hyperlink"/>
          </w:rPr>
          <w:t>T 14</w:t>
        </w:r>
      </w:hyperlink>
      <w:r>
        <w:rPr/>
        <w:t xml:space="preserve"> at 243b8; </w:t>
      </w:r>
      <w:hyperlink r:id="rId37">
        <w:r>
          <w:rPr>
            <w:rStyle w:val="Hyperlink"/>
          </w:rPr>
          <w:t>T 52</w:t>
        </w:r>
      </w:hyperlink>
    </w:p>
  </w:footnote>
  <w:footnote w:id="461">
    <w:p>
      <w:pPr>
        <w:pStyle w:val="FootnoteText"/>
        <w:rPr/>
      </w:pPr>
      <w:r>
        <w:rPr>
          <w:rStyle w:val="FootnoteCharacters"/>
        </w:rPr>
        <w:footnoteRef/>
      </w:r>
      <w:r>
        <w:rPr>
          <w:rStyle w:val="wwc-sesame-zot-reference"/>
        </w:rPr>
        <w:t>Vetter 1994</w:t>
      </w:r>
      <w:r>
        <w:rPr/>
        <w:t xml:space="preserve"> p.147</w:t>
      </w:r>
    </w:p>
  </w:footnote>
  <w:footnote w:id="462">
    <w:p>
      <w:pPr>
        <w:pStyle w:val="FootnoteText"/>
        <w:rPr/>
      </w:pPr>
      <w:r>
        <w:rPr>
          <w:rStyle w:val="FootnoteCharacters"/>
        </w:rPr>
        <w:footnoteRef/>
      </w:r>
      <w:hyperlink r:id="rId38">
        <w:r>
          <w:rPr>
            <w:rStyle w:val="Hyperlink"/>
          </w:rPr>
          <w:t>T 52</w:t>
        </w:r>
      </w:hyperlink>
      <w:r>
        <w:rPr/>
        <w:t xml:space="preserve">, see also </w:t>
      </w:r>
      <w:hyperlink w:anchor="table3">
        <w:r>
          <w:rPr>
            <w:rStyle w:val="Hyperlink"/>
          </w:rPr>
          <w:t>table 3</w:t>
        </w:r>
      </w:hyperlink>
    </w:p>
  </w:footnote>
  <w:footnote w:id="4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4.11:11.1–11.4</w:t>
      </w:r>
      <w:r>
        <w:rPr>
          <w:rStyle w:val="Hyperlink"/>
        </w:rPr>
        <w:fldChar w:fldCharType="end"/>
      </w:r>
    </w:p>
  </w:footnote>
  <w:footnote w:id="4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w:t>
      </w:r>
      <w:r>
        <w:rPr>
          <w:rStyle w:val="Hyperlink"/>
        </w:rPr>
        <w:fldChar w:fldCharType="end"/>
      </w:r>
    </w:p>
  </w:footnote>
  <w:footnote w:id="465">
    <w:p>
      <w:pPr>
        <w:pStyle w:val="FootnoteText"/>
        <w:rPr/>
      </w:pPr>
      <w:r>
        <w:rPr>
          <w:rStyle w:val="FootnoteCharacters"/>
        </w:rPr>
        <w:footnoteRef/>
      </w:r>
      <w:r>
        <w:rPr/>
        <w:t xml:space="preserve">See also </w:t>
      </w:r>
      <w:r>
        <w:rPr>
          <w:rStyle w:val="wwc-sesame-zot-reference"/>
        </w:rPr>
        <w:t>Kalupahana 1976</w:t>
      </w:r>
      <w:r>
        <w:rPr/>
        <w:t xml:space="preserve"> p.158: “There is no transcendent reality or Being or ‘self’ that is given as the object of such direct perception.”</w:t>
      </w:r>
    </w:p>
  </w:footnote>
  <w:footnote w:id="46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w:t>
      </w:r>
      <w:r>
        <w:rPr>
          <w:rStyle w:val="Hyperlink"/>
        </w:rPr>
        <w:fldChar w:fldCharType="end"/>
      </w:r>
    </w:p>
  </w:footnote>
  <w:footnote w:id="467">
    <w:p>
      <w:pPr>
        <w:pStyle w:val="FootnoteText"/>
        <w:rPr/>
      </w:pPr>
      <w:r>
        <w:rPr>
          <w:rStyle w:val="FootnoteCharacters"/>
        </w:rPr>
        <w:footnoteRef/>
      </w:r>
      <w:r>
        <w:rPr/>
        <w:t xml:space="preserve">See also </w:t>
      </w:r>
      <w:r>
        <w:rPr>
          <w:rStyle w:val="wwc-sesame"/>
        </w:rPr>
        <w:t>The Book of the Six Sense Fields in Sujato 2019</w:t>
      </w:r>
      <w:r>
        <w:rPr/>
        <w:t xml:space="preserve">: “the idea of the ‘all’ […] suggests that the scope of the six senses includes all that is experienced”. Contra e.g. </w:t>
      </w:r>
      <w:r>
        <w:rPr>
          <w:rStyle w:val="wwc-sesame-zot-reference"/>
        </w:rPr>
        <w:t>Ṭhānissaro 2008a</w:t>
      </w:r>
      <w:r>
        <w:rPr/>
        <w:t xml:space="preserve"> p.119</w:t>
      </w:r>
    </w:p>
  </w:footnote>
  <w:footnote w:id="468">
    <w:p>
      <w:pPr>
        <w:pStyle w:val="FootnoteText"/>
        <w:rPr/>
      </w:pPr>
      <w:r>
        <w:rPr>
          <w:rStyle w:val="FootnoteCharacters"/>
        </w:rPr>
        <w:footnoteRef/>
      </w:r>
      <w:r>
        <w:rPr>
          <w:rStyle w:val="wwc-pali"/>
        </w:rPr>
        <w:t>Mā h’evaṁ</w:t>
      </w:r>
      <w:r>
        <w:rPr/>
        <w:t xml:space="preserve">, literally ‘not so’, in some discourses simply means ‘no’ (e.g. </w:t>
      </w:r>
      <w:r>
        <w:fldChar w:fldCharType="begin"/>
      </w:r>
      <w:r>
        <w:rPr>
          <w:rStyle w:val="Hyperlink"/>
        </w:rPr>
        <w:instrText xml:space="preserve"> HYPERLINK "https://suttacentral.net/XXX/en/sujato" \l "YYY"</w:instrText>
      </w:r>
      <w:r>
        <w:rPr>
          <w:rStyle w:val="Hyperlink"/>
        </w:rPr>
        <w:fldChar w:fldCharType="separate"/>
      </w:r>
      <w:r>
        <w:rPr>
          <w:rStyle w:val="Hyperlink"/>
        </w:rPr>
        <w:t>SN 12.17:3.1–4.10</w:t>
      </w:r>
      <w:r>
        <w:rPr>
          <w:rStyle w:val="Hyperlink"/>
        </w:rPr>
        <w:fldChar w:fldCharType="end"/>
      </w:r>
      <w:r>
        <w:rPr/>
        <w:t>), while in others it means ‘don’t say so’. I think both are implied here, but with this translation I follow the commentary.</w:t>
      </w:r>
    </w:p>
  </w:footnote>
  <w:footnote w:id="469">
    <w:p>
      <w:pPr>
        <w:pStyle w:val="FootnoteText"/>
        <w:rPr/>
      </w:pPr>
      <w:r>
        <w:rPr>
          <w:rStyle w:val="FootnoteCharacters"/>
        </w:rPr>
        <w:footnoteRef/>
      </w:r>
      <w:r>
        <w:rPr>
          <w:rStyle w:val="wwc-pali"/>
        </w:rPr>
        <w:t>Natthaññaṁ kiñci</w:t>
      </w:r>
      <w:r>
        <w:rPr/>
        <w:t xml:space="preserve"> (</w:t>
      </w:r>
      <w:r>
        <w:rPr>
          <w:rStyle w:val="wwc-pali"/>
        </w:rPr>
        <w:t>na atthi aññaṁ kiñci</w:t>
      </w:r>
      <w:r>
        <w:rPr/>
        <w:t xml:space="preserve">) ‘does something else no longer exists’ was translated by </w:t>
      </w:r>
      <w:r>
        <w:rPr>
          <w:rStyle w:val="wwc-sesame-zot-reference"/>
        </w:rPr>
        <w:t>Bodhi 2012</w:t>
      </w:r>
      <w:r>
        <w:rPr/>
        <w:t xml:space="preserve"> as ‘is there nothing else’. In most other cases </w:t>
      </w:r>
      <w:r>
        <w:rPr>
          <w:rStyle w:val="wwc-pali"/>
        </w:rPr>
        <w:t>na kiñci</w:t>
      </w:r>
      <w:r>
        <w:rP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rPr/>
        <w:t xml:space="preserve">, as ‘is there both something else and nothing else’. The phrase ‘something/nothing else’ occurs twice in the translation, while the Pāli has </w:t>
      </w:r>
      <w:r>
        <w:rPr>
          <w:rStyle w:val="wwc-pali"/>
        </w:rPr>
        <w:t>aññaṁ kiñci</w:t>
      </w:r>
      <w:r>
        <w:rPr/>
        <w:t xml:space="preserve"> only once. The verb phrases </w:t>
      </w:r>
      <w:r>
        <w:rPr>
          <w:rStyle w:val="wwc-pali"/>
        </w:rPr>
        <w:t>atthi</w:t>
      </w:r>
      <w:r>
        <w:rPr/>
        <w:t xml:space="preserve"> and </w:t>
      </w:r>
      <w:r>
        <w:rPr>
          <w:rStyle w:val="wwc-pali"/>
        </w:rPr>
        <w:t>natthi</w:t>
      </w:r>
      <w:r>
        <w:rPr/>
        <w:t xml:space="preserve"> therefore both apply to the same </w:t>
      </w:r>
      <w:r>
        <w:rPr>
          <w:rStyle w:val="wwc-pali"/>
        </w:rPr>
        <w:t>aññaṁ kiñci</w:t>
      </w:r>
      <w:r>
        <w:rPr/>
        <w:t xml:space="preserve"> (‘something else’). They both assume there to be something else beyond the six senses; neither assumes there is </w:t>
      </w:r>
      <w:r>
        <w:rPr>
          <w:rStyle w:val="Emphasis"/>
        </w:rPr>
        <w:t>nothing</w:t>
      </w:r>
      <w:r>
        <w:rPr/>
        <w:t xml:space="preserve"> beyond them. The assumption that there is </w:t>
      </w:r>
      <w:r>
        <w:rPr>
          <w:rStyle w:val="Emphasis"/>
        </w:rPr>
        <w:t>nothing</w:t>
      </w:r>
      <w:r>
        <w:rPr/>
        <w:t xml:space="preserve"> beyond the six senses would also effectively state that the six senses are all there is, so it would be inappropriate for Sāriputta to say it elaborates (or proliferates) beyond them, as he does later in the discourse.</w:t>
      </w:r>
    </w:p>
  </w:footnote>
  <w:footnote w:id="4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4.173</w:t>
      </w:r>
      <w:r>
        <w:rPr>
          <w:rStyle w:val="Hyperlink"/>
        </w:rPr>
        <w:fldChar w:fldCharType="end"/>
      </w:r>
    </w:p>
  </w:footnote>
  <w:footnote w:id="4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35.232:10.1–10.24</w:t>
      </w:r>
      <w:r>
        <w:rPr>
          <w:rStyle w:val="Hyperlink"/>
        </w:rPr>
        <w:fldChar w:fldCharType="end"/>
      </w:r>
    </w:p>
  </w:footnote>
  <w:footnote w:id="4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48.53:7.1–7.4</w:t>
      </w:r>
      <w:r>
        <w:rPr>
          <w:rStyle w:val="Hyperlink"/>
        </w:rPr>
        <w:fldChar w:fldCharType="end"/>
      </w:r>
    </w:p>
  </w:footnote>
  <w:footnote w:id="473">
    <w:p>
      <w:pPr>
        <w:pStyle w:val="FootnoteText"/>
        <w:rPr/>
      </w:pPr>
      <w:r>
        <w:rPr>
          <w:rStyle w:val="FootnoteCharacters"/>
        </w:rPr>
        <w:footnoteRef/>
      </w:r>
      <w:r>
        <w:rPr/>
        <w:t xml:space="preserve">For example </w:t>
      </w:r>
      <w:r>
        <w:rPr>
          <w:rStyle w:val="wwc-sesame-zot-reference"/>
        </w:rPr>
        <w:t>Ṭhānissaro 2008b</w:t>
      </w:r>
      <w:r>
        <w:rPr/>
        <w:t xml:space="preserve"> p.6, </w:t>
      </w:r>
      <w:r>
        <w:rPr>
          <w:rStyle w:val="wwc-sesame-zot-reference"/>
        </w:rPr>
        <w:t>Amaro</w:t>
      </w:r>
      <w:r>
        <w:rPr/>
        <w:t xml:space="preserve"> p.25, </w:t>
      </w:r>
      <w:r>
        <w:rPr>
          <w:rStyle w:val="wwc-sesame-zot-reference"/>
        </w:rPr>
        <w:t>Anālayo 2021</w:t>
      </w:r>
      <w:r>
        <w:rPr/>
        <w:t xml:space="preserve"> p.104</w:t>
      </w:r>
    </w:p>
  </w:footnote>
  <w:footnote w:id="4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p>
  </w:footnote>
  <w:footnote w:id="4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at </w:t>
      </w:r>
      <w:hyperlink w:anchor="bqseg53">
        <w:r>
          <w:rPr>
            <w:rStyle w:val="Hyperlink"/>
          </w:rPr>
          <w:t>§53</w:t>
        </w:r>
      </w:hyperlink>
      <w:r>
        <w:rPr/>
        <w:t xml:space="preserve">, </w:t>
      </w:r>
      <w:hyperlink w:anchor="bqseg54">
        <w:r>
          <w:rPr>
            <w:rStyle w:val="Hyperlink"/>
          </w:rPr>
          <w:t>§54</w:t>
        </w:r>
      </w:hyperlink>
      <w:r>
        <w:rPr/>
        <w:t xml:space="preserve">, and </w:t>
      </w:r>
      <w:hyperlink w:anchor="bqseg115">
        <w:r>
          <w:rPr>
            <w:rStyle w:val="Hyperlink"/>
          </w:rPr>
          <w:t>§115</w:t>
        </w:r>
      </w:hyperlink>
    </w:p>
  </w:footnote>
  <w:footnote w:id="476">
    <w:p>
      <w:pPr>
        <w:pStyle w:val="FootnoteText"/>
        <w:rPr/>
      </w:pPr>
      <w:r>
        <w:rPr>
          <w:rStyle w:val="FootnoteCharacters"/>
        </w:rPr>
        <w:footnoteRef/>
      </w:r>
      <w:hyperlink r:id="rId39">
        <w:r>
          <w:rPr>
            <w:rStyle w:val="Hyperlink"/>
          </w:rPr>
          <w:t>SĀ 359</w:t>
        </w:r>
      </w:hyperlink>
      <w:r>
        <w:rPr/>
        <w:t xml:space="preserve">, </w:t>
      </w:r>
      <w:hyperlink r:id="rId40">
        <w:r>
          <w:rPr>
            <w:rStyle w:val="Hyperlink"/>
          </w:rPr>
          <w:t>SĀ 360</w:t>
        </w:r>
      </w:hyperlink>
      <w:r>
        <w:rPr/>
        <w:t xml:space="preserve">, </w:t>
      </w:r>
      <w:hyperlink r:id="rId41">
        <w:r>
          <w:rPr>
            <w:rStyle w:val="Hyperlink"/>
          </w:rPr>
          <w:t>SĀ 361</w:t>
        </w:r>
      </w:hyperlink>
    </w:p>
  </w:footnote>
  <w:footnote w:id="477">
    <w:p>
      <w:pPr>
        <w:pStyle w:val="FootnoteText"/>
        <w:rPr/>
      </w:pPr>
      <w:r>
        <w:rPr>
          <w:rStyle w:val="FootnoteCharacters"/>
        </w:rPr>
        <w:footnoteRef/>
      </w:r>
      <w:r>
        <w:rPr>
          <w:rStyle w:val="wwc-sesame-zot-reference"/>
        </w:rPr>
        <w:t>Choong</w:t>
      </w:r>
      <w:r>
        <w:rPr/>
        <w:t xml:space="preserve"> p.172</w:t>
      </w:r>
    </w:p>
  </w:footnote>
  <w:footnote w:id="4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144:11.3–11.9</w:t>
      </w:r>
      <w:r>
        <w:rPr>
          <w:rStyle w:val="Hyperlink"/>
        </w:rPr>
        <w:fldChar w:fldCharType="end"/>
      </w:r>
      <w:r>
        <w:rPr/>
        <w:t xml:space="preserve"> </w:t>
      </w:r>
      <w:r>
        <w:rPr>
          <w:rStyle w:val="wwc-PTS-reference"/>
        </w:rPr>
        <w:t>M III 266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35.87:11.3–11.9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Ud 8.4:3.1–3.7</w:t>
      </w:r>
      <w:r>
        <w:rPr>
          <w:rStyle w:val="Hyperlink"/>
        </w:rPr>
        <w:fldChar w:fldCharType="end"/>
      </w:r>
    </w:p>
  </w:footnote>
  <w:footnote w:id="479">
    <w:p>
      <w:pPr>
        <w:pStyle w:val="FootnoteText"/>
        <w:rPr/>
      </w:pPr>
      <w:r>
        <w:rPr>
          <w:rStyle w:val="FootnoteCharacters"/>
        </w:rPr>
        <w:footnoteRef/>
      </w:r>
      <w:r>
        <w:rPr/>
        <w:t xml:space="preserve">For example at SN-A 2.372 (on </w:t>
      </w:r>
      <w:r>
        <w:fldChar w:fldCharType="begin"/>
      </w:r>
      <w:r>
        <w:rPr>
          <w:rStyle w:val="Hyperlink"/>
        </w:rPr>
        <w:instrText xml:space="preserve"> HYPERLINK "https://suttacentral.net/XXX/en/sujato" \l "YYY"</w:instrText>
      </w:r>
      <w:r>
        <w:rPr>
          <w:rStyle w:val="Hyperlink"/>
        </w:rPr>
        <w:fldChar w:fldCharType="separate"/>
      </w:r>
      <w:r>
        <w:rPr>
          <w:rStyle w:val="Hyperlink"/>
        </w:rPr>
        <w:t>SN 35.87</w:t>
      </w:r>
      <w:r>
        <w:rPr>
          <w:rStyle w:val="Hyperlink"/>
        </w:rPr>
        <w:fldChar w:fldCharType="end"/>
      </w:r>
      <w:r>
        <w:rPr/>
        <w:t xml:space="preserve">). In discussing </w:t>
      </w:r>
      <w:r>
        <w:fldChar w:fldCharType="begin"/>
      </w:r>
      <w:r>
        <w:rPr>
          <w:rStyle w:val="Hyperlink"/>
        </w:rPr>
        <w:instrText xml:space="preserve"> HYPERLINK "https://suttacentral.net/XXX/en/sujato" \l "YYY"</w:instrText>
      </w:r>
      <w:r>
        <w:rPr>
          <w:rStyle w:val="Hyperlink"/>
        </w:rPr>
        <w:fldChar w:fldCharType="separate"/>
      </w:r>
      <w:r>
        <w:rPr>
          <w:rStyle w:val="Hyperlink"/>
        </w:rPr>
        <w:t>Ud 1.10</w:t>
      </w:r>
      <w:r>
        <w:rPr>
          <w:rStyle w:val="Hyperlink"/>
        </w:rPr>
        <w:fldChar w:fldCharType="end"/>
      </w:r>
      <w:r>
        <w:rPr/>
        <w:t xml:space="preserve">, </w:t>
      </w:r>
      <w:r>
        <w:rPr>
          <w:rStyle w:val="wwc-sesame-zot-reference"/>
        </w:rPr>
        <w:t>Anālayo 2023</w:t>
      </w:r>
      <w:r>
        <w:rPr/>
        <w:t xml:space="preserve"> Chapter I.4 instead thinks ‘here’ (</w:t>
      </w:r>
      <w:r>
        <w:rPr>
          <w:rStyle w:val="wwc-pali"/>
        </w:rPr>
        <w:t>idha</w:t>
      </w:r>
      <w:r>
        <w:rPr/>
        <w:t>) and ‘beyond’ (</w:t>
      </w:r>
      <w:r>
        <w:rPr>
          <w:rStyle w:val="wwc-pali"/>
        </w:rPr>
        <w:t>huraṁ</w:t>
      </w:r>
      <w:r>
        <w:rPr/>
        <w:t xml:space="preserve">) refer to the senses and their objects, with ‘in between the two’ being “their interaction”, but this is not supported by other texts. </w:t>
      </w:r>
      <w:hyperlink w:anchor="bqseg116">
        <w:r>
          <w:rPr>
            <w:rStyle w:val="Hyperlink"/>
          </w:rPr>
          <w:t>§116</w:t>
        </w:r>
      </w:hyperlink>
      <w:r>
        <w:rPr/>
        <w:t xml:space="preserve"> clearly talks about rebirth, for example, and </w:t>
      </w:r>
      <w:hyperlink w:anchor="bqseg134">
        <w:r>
          <w:rPr>
            <w:rStyle w:val="Hyperlink"/>
          </w:rPr>
          <w:t>§134</w:t>
        </w:r>
      </w:hyperlink>
      <w:r>
        <w:rPr/>
        <w:t xml:space="preserve"> uses the same terminology with reference to physical places. </w:t>
      </w:r>
      <w:r>
        <w:rPr>
          <w:rStyle w:val="wwc-sesame-zot-reference"/>
        </w:rPr>
        <w:t>PED</w:t>
      </w:r>
      <w:r>
        <w:rPr/>
        <w:t xml:space="preserve"> and </w:t>
      </w:r>
      <w:r>
        <w:rPr>
          <w:rStyle w:val="wwc-sesame-zot-reference"/>
        </w:rPr>
        <w:t>CPD</w:t>
      </w:r>
      <w:r>
        <w:rPr/>
        <w:t xml:space="preserve"> accordingly gloss under </w:t>
      </w:r>
      <w:r>
        <w:rPr>
          <w:rStyle w:val="wwc-pali"/>
        </w:rPr>
        <w:t>huraṁ</w:t>
      </w:r>
      <w:r>
        <w:rPr/>
        <w:t>, “another world”.</w:t>
      </w:r>
    </w:p>
  </w:footnote>
  <w:footnote w:id="480">
    <w:p>
      <w:pPr>
        <w:pStyle w:val="FootnoteText"/>
        <w:rPr/>
      </w:pPr>
      <w:r>
        <w:rPr>
          <w:rStyle w:val="FootnoteCharacters"/>
        </w:rPr>
        <w:footnoteRef/>
      </w:r>
      <w:bookmarkStart w:id="167" w:name="footnote479"/>
      <w:bookmarkEnd w:id="167"/>
      <w:r>
        <w:rPr/>
        <w:t xml:space="preserve">See </w:t>
      </w:r>
      <w:r>
        <w:rPr>
          <w:rStyle w:val="wwc-sesame-zot-reference"/>
        </w:rPr>
        <w:t>Harvey 1995</w:t>
      </w:r>
      <w:r>
        <w:rPr/>
        <w:t xml:space="preserve"> p.98, </w:t>
      </w:r>
      <w:r>
        <w:rPr>
          <w:rStyle w:val="wwc-sesame-zot-reference"/>
        </w:rPr>
        <w:t>Somaratne</w:t>
      </w:r>
      <w:r>
        <w:rPr/>
        <w:t xml:space="preserve"> p.150, </w:t>
      </w:r>
      <w:r>
        <w:rPr>
          <w:rStyle w:val="wwc-sesame-zot-reference"/>
        </w:rPr>
        <w:t>Sujato 2008</w:t>
      </w:r>
      <w:r>
        <w:rPr/>
        <w:t xml:space="preserve"> p.7, </w:t>
      </w:r>
      <w:r>
        <w:rPr>
          <w:rStyle w:val="wwc-sesame-zot-reference"/>
        </w:rPr>
        <w:t>Dhammika 2015</w:t>
      </w:r>
      <w:r>
        <w:rPr/>
        <w:t xml:space="preserve"> p.20 , </w:t>
      </w:r>
      <w:r>
        <w:rPr>
          <w:rStyle w:val="wwc-sesame-zot-reference"/>
        </w:rPr>
        <w:t>Anālayo 2018</w:t>
      </w:r>
      <w:r>
        <w:rPr/>
        <w:t xml:space="preserve"> p.32</w:t>
      </w:r>
    </w:p>
  </w:footnote>
  <w:footnote w:id="481">
    <w:p>
      <w:pPr>
        <w:pStyle w:val="FootnoteText"/>
        <w:rPr/>
      </w:pPr>
      <w:r>
        <w:rPr>
          <w:rStyle w:val="FootnoteCharacters"/>
        </w:rPr>
        <w:footnoteRef/>
      </w:r>
      <w:r>
        <w:rPr>
          <w:rStyle w:val="wwc-sesame"/>
        </w:rPr>
        <w:t>Bodhi 2000 n.53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35.87:11.8</w:t>
      </w:r>
      <w:r>
        <w:rPr>
          <w:rStyle w:val="Hyperlink"/>
        </w:rPr>
        <w:fldChar w:fldCharType="end"/>
      </w:r>
    </w:p>
  </w:footnote>
  <w:footnote w:id="4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3.12:45.1–45.4</w:t>
      </w:r>
      <w:r>
        <w:rPr>
          <w:rStyle w:val="Hyperlink"/>
        </w:rPr>
        <w:fldChar w:fldCharType="end"/>
      </w:r>
    </w:p>
  </w:footnote>
  <w:footnote w:id="4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p>
  </w:footnote>
  <w:footnote w:id="484">
    <w:p>
      <w:pPr>
        <w:pStyle w:val="FootnoteText"/>
        <w:rPr/>
      </w:pPr>
      <w:r>
        <w:rPr>
          <w:rStyle w:val="FootnoteCharacters"/>
        </w:rPr>
        <w:footnoteRef/>
      </w:r>
      <w:r>
        <w:rPr>
          <w:rStyle w:val="wwc-pali"/>
        </w:rPr>
        <w:t>Anabhisaṅkhāraṁ</w:t>
      </w:r>
      <w:r>
        <w:rPr/>
        <w:t xml:space="preserve">, ‘not wilfully creating’. I base ‘wilfully’ on </w:t>
      </w:r>
      <w:r>
        <w:rPr>
          <w:rStyle w:val="wwc-pali"/>
        </w:rPr>
        <w:t>aceta</w:t>
        <w:softHyphen/>
        <w:t>yato anabhi</w:t>
        <w:softHyphen/>
        <w:t>saṅkha</w:t>
        <w:softHyphen/>
        <w:t>roto</w:t>
      </w:r>
      <w:r>
        <w:rPr/>
        <w:t xml:space="preserve"> of </w:t>
      </w:r>
      <w:r>
        <w:fldChar w:fldCharType="begin"/>
      </w:r>
      <w:r>
        <w:rPr>
          <w:rStyle w:val="Hyperlink"/>
        </w:rPr>
        <w:instrText xml:space="preserve"> HYPERLINK "https://suttacentral.net/XXX/en/sujato" \l "YYY"</w:instrText>
      </w:r>
      <w:r>
        <w:rPr>
          <w:rStyle w:val="Hyperlink"/>
        </w:rPr>
        <w:fldChar w:fldCharType="separate"/>
      </w:r>
      <w:r>
        <w:rPr>
          <w:rStyle w:val="Hyperlink"/>
        </w:rPr>
        <w:t>DN 9:17.7</w:t>
      </w:r>
      <w:r>
        <w:rPr>
          <w:rStyle w:val="Hyperlink"/>
        </w:rPr>
        <w:fldChar w:fldCharType="end"/>
      </w:r>
      <w:r>
        <w:rPr/>
        <w:t xml:space="preserve">, ‘not intending, not willing’. Similar instances of these synonyms are found in </w:t>
      </w:r>
      <w:r>
        <w:fldChar w:fldCharType="begin"/>
      </w:r>
      <w:r>
        <w:rPr>
          <w:rStyle w:val="Hyperlink"/>
        </w:rPr>
        <w:instrText xml:space="preserve"> HYPERLINK "https://suttacentral.net/XXX/en/sujato" \l "YYY"</w:instrText>
      </w:r>
      <w:r>
        <w:rPr>
          <w:rStyle w:val="Hyperlink"/>
        </w:rPr>
        <w:fldChar w:fldCharType="separate"/>
      </w:r>
      <w:r>
        <w:rPr>
          <w:rStyle w:val="Hyperlink"/>
        </w:rPr>
        <w:t>MN 140:22.10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12.51:9.5</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11.16:4.4</w:t>
      </w:r>
      <w:r>
        <w:rPr>
          <w:rStyle w:val="Hyperlink"/>
        </w:rPr>
        <w:fldChar w:fldCharType="end"/>
      </w:r>
      <w:r>
        <w:rPr/>
        <w:t xml:space="preserve">. This refers to the </w:t>
      </w:r>
      <w:r>
        <w:rPr>
          <w:rStyle w:val="wwc-pali"/>
        </w:rPr>
        <w:t>saṅkhāras</w:t>
      </w:r>
      <w:r>
        <w:rPr/>
        <w:t xml:space="preserve"> of Dependent Arising. Their creative aspect is also implied, hence alternative translations like ‘non-generating’ are also possible. I incorporated both aspects using ‘wilfully creating’.</w:t>
      </w:r>
    </w:p>
  </w:footnote>
  <w:footnote w:id="4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22.45:1.15–1.20</w:t>
      </w:r>
      <w:r>
        <w:rPr>
          <w:rStyle w:val="Hyperlink"/>
        </w:rPr>
        <w:fldChar w:fldCharType="end"/>
      </w:r>
    </w:p>
  </w:footnote>
  <w:footnote w:id="4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12.51:13.1–23.2</w:t>
      </w:r>
      <w:r>
        <w:rPr>
          <w:rStyle w:val="Hyperlink"/>
        </w:rPr>
        <w:fldChar w:fldCharType="end"/>
      </w:r>
    </w:p>
  </w:footnote>
  <w:footnote w:id="487">
    <w:p>
      <w:pPr>
        <w:pStyle w:val="FootnoteText"/>
        <w:rPr/>
      </w:pPr>
      <w:r>
        <w:rPr>
          <w:rStyle w:val="FootnoteCharacters"/>
        </w:rPr>
        <w:footnoteRef/>
      </w:r>
      <w:r>
        <w:rPr>
          <w:rStyle w:val="wwc-sesame-zot-reference"/>
        </w:rPr>
        <w:t>Kalupahana 1976</w:t>
      </w:r>
      <w:r>
        <w:rPr/>
        <w:t xml:space="preserve"> p.52. See also </w:t>
      </w:r>
      <w:r>
        <w:rPr>
          <w:rStyle w:val="wwc-sesame-zot-reference"/>
        </w:rPr>
        <w:t>Vélez de Cea</w:t>
      </w:r>
      <w:r>
        <w:rPr/>
        <w:t xml:space="preserve"> p.136</w:t>
      </w:r>
    </w:p>
  </w:footnote>
  <w:footnote w:id="488">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where a man burns the seeds, although here they represent karma instead of consciousness.</w:t>
      </w:r>
    </w:p>
  </w:footnote>
  <w:footnote w:id="489">
    <w:p>
      <w:pPr>
        <w:pStyle w:val="FootnoteText"/>
        <w:rPr/>
      </w:pPr>
      <w:r>
        <w:rPr>
          <w:rStyle w:val="FootnoteCharacters"/>
        </w:rPr>
        <w:footnoteRef/>
      </w:r>
      <w:r>
        <w:rPr>
          <w:rStyle w:val="wwc-pali"/>
        </w:rPr>
        <w:t>Patiṭṭhita</w:t>
      </w:r>
      <w:r>
        <w:rPr/>
        <w:t xml:space="preserve"> (‘plant down’) may also be translated as ‘landing’ in this passage, but for consistency I translated it as ‘planting’ everywhere, including here.</w:t>
      </w:r>
    </w:p>
  </w:footnote>
  <w:footnote w:id="4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12.64:8.1–9.8</w:t>
      </w:r>
      <w:r>
        <w:rPr>
          <w:rStyle w:val="Hyperlink"/>
        </w:rPr>
        <w:fldChar w:fldCharType="end"/>
      </w:r>
    </w:p>
  </w:footnote>
  <w:footnote w:id="4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12.39:3.1–3.5</w:t>
      </w:r>
      <w:r>
        <w:rPr>
          <w:rStyle w:val="Hyperlink"/>
        </w:rPr>
        <w:fldChar w:fldCharType="end"/>
      </w:r>
    </w:p>
  </w:footnote>
  <w:footnote w:id="4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12.1:3.1–3.12</w:t>
      </w:r>
      <w:r>
        <w:rPr>
          <w:rStyle w:val="Hyperlink"/>
        </w:rPr>
        <w:fldChar w:fldCharType="end"/>
      </w:r>
    </w:p>
  </w:footnote>
  <w:footnote w:id="493">
    <w:p>
      <w:pPr>
        <w:pStyle w:val="FootnoteText"/>
        <w:rPr/>
      </w:pPr>
      <w:r>
        <w:rPr>
          <w:rStyle w:val="FootnoteCharacters"/>
        </w:rPr>
        <w:footnoteRef/>
      </w:r>
      <w:r>
        <w:rPr>
          <w:rStyle w:val="wwc-sesame-zot-reference"/>
        </w:rPr>
        <w:t>Anālayo 2023</w:t>
      </w:r>
      <w:r>
        <w:rPr/>
        <w:t xml:space="preserve"> Chapter I.10</w:t>
      </w:r>
    </w:p>
  </w:footnote>
  <w:footnote w:id="494">
    <w:p>
      <w:pPr>
        <w:pStyle w:val="FootnoteText"/>
        <w:rPr/>
      </w:pPr>
      <w:r>
        <w:rPr>
          <w:rStyle w:val="FootnoteCharacters"/>
        </w:rPr>
        <w:footnoteRef/>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4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12.38:3.1–3.5</w:t>
      </w:r>
      <w:r>
        <w:rPr>
          <w:rStyle w:val="Hyperlink"/>
        </w:rPr>
        <w:fldChar w:fldCharType="end"/>
      </w:r>
    </w:p>
  </w:footnote>
  <w:footnote w:id="496">
    <w:p>
      <w:pPr>
        <w:pStyle w:val="FootnoteText"/>
        <w:rPr/>
      </w:pPr>
      <w:r>
        <w:rPr>
          <w:rStyle w:val="FootnoteCharacters"/>
        </w:rPr>
        <w:footnoteRef/>
      </w:r>
      <w:r>
        <w:rPr>
          <w:rStyle w:val="wwc-sesame-zot-reference"/>
        </w:rPr>
        <w:t>Hecker</w:t>
      </w:r>
      <w:r>
        <w:rPr/>
        <w:t xml:space="preserve"> p.53</w:t>
      </w:r>
    </w:p>
  </w:footnote>
  <w:footnote w:id="497">
    <w:p>
      <w:pPr>
        <w:pStyle w:val="FootnoteText"/>
        <w:rPr/>
      </w:pPr>
      <w:r>
        <w:rPr>
          <w:rStyle w:val="FootnoteCharacters"/>
        </w:rPr>
        <w:footnoteRef/>
      </w:r>
      <w:r>
        <w:rPr>
          <w:rStyle w:val="wwc-sesame-zot-reference"/>
        </w:rPr>
        <w:t>Anālayo 2023</w:t>
      </w:r>
      <w:r>
        <w:rPr/>
        <w:t xml:space="preserve"> Chapter I.10 states that the </w:t>
      </w:r>
      <w:r>
        <w:rPr>
          <w:rStyle w:val="wwc-sesame"/>
        </w:rPr>
        <w:t>First Discourse on Intention</w:t>
      </w:r>
      <w:r>
        <w:rP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rPr/>
        <w:t>, he concludes, means “consciousness will not become established in another birth”.</w:t>
      </w:r>
    </w:p>
  </w:footnote>
  <w:footnote w:id="498">
    <w:p>
      <w:pPr>
        <w:pStyle w:val="FootnoteText"/>
        <w:rPr/>
      </w:pPr>
      <w:r>
        <w:rPr>
          <w:rStyle w:val="FootnoteCharacters"/>
        </w:rPr>
        <w:footnoteRef/>
      </w:r>
      <w:r>
        <w:rPr>
          <w:rStyle w:val="wwc-sesame-zot-reference"/>
        </w:rPr>
        <w:t>Langer</w:t>
      </w:r>
      <w:r>
        <w:rPr/>
        <w:t xml:space="preserve"> p.35, translation mine, referring to </w:t>
      </w:r>
      <w:r>
        <w:rPr>
          <w:rStyle w:val="wwc-sesame-zot-reference"/>
        </w:rPr>
        <w:t>Harvey 1995</w:t>
      </w:r>
      <w:r>
        <w:rPr/>
        <w:t xml:space="preserve"> p.202</w:t>
      </w:r>
    </w:p>
  </w:footnote>
  <w:footnote w:id="49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8.70:14.3</w:t>
      </w:r>
      <w:r>
        <w:rPr>
          <w:rStyle w:val="Hyperlink"/>
        </w:rPr>
        <w:fldChar w:fldCharType="end"/>
      </w:r>
    </w:p>
  </w:footnote>
  <w:footnote w:id="500">
    <w:p>
      <w:pPr>
        <w:pStyle w:val="FootnoteText"/>
        <w:rPr/>
      </w:pPr>
      <w:r>
        <w:rPr>
          <w:rStyle w:val="FootnoteCharacters"/>
        </w:rPr>
        <w:footnoteRef/>
      </w:r>
      <w:hyperlink r:id="rId42">
        <w:r>
          <w:rPr>
            <w:rStyle w:val="Hyperlink"/>
          </w:rPr>
          <w:t>SĀ 377</w:t>
        </w:r>
      </w:hyperlink>
    </w:p>
  </w:footnote>
  <w:footnote w:id="5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21:14.1–14.10</w:t>
      </w:r>
      <w:r>
        <w:rPr>
          <w:rStyle w:val="Hyperlink"/>
        </w:rPr>
        <w:fldChar w:fldCharType="end"/>
      </w:r>
      <w:r>
        <w:rPr/>
        <w:t xml:space="preserve"> </w:t>
      </w:r>
      <w:r>
        <w:rPr>
          <w:rStyle w:val="wwc-PTS-reference"/>
        </w:rPr>
        <w:t>M I 128</w:t>
      </w:r>
    </w:p>
  </w:footnote>
  <w:footnote w:id="502">
    <w:p>
      <w:pPr>
        <w:pStyle w:val="FootnoteText"/>
        <w:rPr/>
      </w:pPr>
      <w:r>
        <w:rPr>
          <w:rStyle w:val="FootnoteCharacters"/>
        </w:rPr>
        <w:footnoteRef/>
      </w:r>
      <w:r>
        <w:rPr/>
        <w:t xml:space="preserve">For example </w:t>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r>
        <w:rPr/>
        <w:t xml:space="preserve">: “I think it would be wrong to interpret the sutta as saying that after his </w:t>
      </w:r>
      <w:r>
        <w:rPr>
          <w:rStyle w:val="wwc-pali"/>
        </w:rPr>
        <w:t>parinibbāna</w:t>
      </w:r>
      <w:r>
        <w:rPr/>
        <w:t xml:space="preserve"> the arahant’s consciousness persists in some mode that can only be described as unestablished. The present passage is clearly speaking of the arahant’s consciousness </w:t>
      </w:r>
      <w:r>
        <w:rPr>
          <w:rStyle w:val="Emphasis"/>
        </w:rPr>
        <w:t>while he is alive</w:t>
      </w:r>
      <w:r>
        <w:rPr/>
        <w:t>.” (emphasis in the original)</w:t>
      </w:r>
    </w:p>
  </w:footnote>
  <w:footnote w:id="503">
    <w:p>
      <w:pPr>
        <w:pStyle w:val="FootnoteText"/>
        <w:rPr/>
      </w:pPr>
      <w:r>
        <w:rPr>
          <w:rStyle w:val="FootnoteCharacters"/>
        </w:rPr>
        <w:footnoteRef/>
      </w:r>
      <w:r>
        <w:rPr>
          <w:rStyle w:val="wwc-sesame-zot-reference"/>
        </w:rPr>
        <w:t>Langer</w:t>
      </w:r>
      <w:r>
        <w:rPr/>
        <w:t xml:space="preserve"> p.34, translation mine</w:t>
      </w:r>
    </w:p>
  </w:footnote>
  <w:footnote w:id="504">
    <w:p>
      <w:pPr>
        <w:pStyle w:val="FootnoteText"/>
        <w:rPr/>
      </w:pPr>
      <w:r>
        <w:rPr>
          <w:rStyle w:val="FootnoteCharacters"/>
        </w:rPr>
        <w:footnoteRef/>
      </w:r>
      <w:r>
        <w:rPr>
          <w:rStyle w:val="wwc-sesame-zot-reference"/>
        </w:rPr>
        <w:t>Langer</w:t>
      </w:r>
      <w:r>
        <w:rPr/>
        <w:t xml:space="preserve"> p.34, translation mine</w:t>
      </w:r>
    </w:p>
  </w:footnote>
  <w:footnote w:id="505">
    <w:p>
      <w:pPr>
        <w:pStyle w:val="FootnoteText"/>
        <w:rPr/>
      </w:pPr>
      <w:r>
        <w:rPr>
          <w:rStyle w:val="FootnoteCharacters"/>
        </w:rPr>
        <w:footnoteRef/>
      </w:r>
      <w:bookmarkStart w:id="168" w:name="footnote504"/>
      <w:bookmarkEnd w:id="168"/>
      <w:r>
        <w:rPr/>
        <w:t>Instead of “</w:t>
      </w:r>
      <w:r>
        <w:rPr>
          <w:rStyle w:val="Emphasis"/>
        </w:rPr>
        <w:t>consciousness</w:t>
      </w:r>
      <w:r>
        <w:rPr/>
        <w:t xml:space="preserve"> is liberated” </w:t>
      </w:r>
      <w:r>
        <w:rPr>
          <w:rStyle w:val="wwc-sesame-zot-reference"/>
        </w:rPr>
        <w:t>Nyanaponika 1990</w:t>
      </w:r>
      <w:r>
        <w:rPr/>
        <w:t xml:space="preserve"> has “</w:t>
      </w:r>
      <w:r>
        <w:rPr>
          <w:rStyle w:val="wwc-german"/>
        </w:rPr>
        <w:t>ist man befreit</w:t>
      </w:r>
      <w:r>
        <w:rPr/>
        <w:t>” (one is liberated), Alfan “</w:t>
      </w:r>
      <w:r>
        <w:rPr>
          <w:rStyle w:val="wwc-italian"/>
        </w:rPr>
        <w:t>si è liberi</w:t>
      </w:r>
      <w:r>
        <w:rPr/>
        <w:t>” (one is liberated), and Baron “</w:t>
      </w:r>
      <w:r>
        <w:rPr>
          <w:rStyle w:val="wwc-spanish"/>
        </w:rPr>
        <w:t>sólo liberación</w:t>
      </w:r>
      <w:r>
        <w:rPr/>
        <w:t xml:space="preserve">” (there is just liberation). See also </w:t>
      </w:r>
      <w:hyperlink w:anchor="footnote279">
        <w:r>
          <w:rPr>
            <w:rStyle w:val="Hyperlink"/>
          </w:rPr>
          <w:t>note 279</w:t>
        </w:r>
      </w:hyperlink>
    </w:p>
  </w:footnote>
  <w:footnote w:id="50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w:t>
      </w:r>
      <w:r>
        <w:rPr>
          <w:rStyle w:val="Hyperlink"/>
        </w:rPr>
        <w:fldChar w:fldCharType="end"/>
      </w:r>
    </w:p>
  </w:footnote>
  <w:footnote w:id="5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22.94</w:t>
      </w:r>
      <w:r>
        <w:rPr>
          <w:rStyle w:val="Hyperlink"/>
        </w:rPr>
        <w:fldChar w:fldCharType="end"/>
      </w:r>
    </w:p>
  </w:footnote>
  <w:footnote w:id="508">
    <w:p>
      <w:pPr>
        <w:pStyle w:val="FootnoteText"/>
        <w:rPr/>
      </w:pPr>
      <w:r>
        <w:rPr>
          <w:rStyle w:val="FootnoteCharacters"/>
        </w:rPr>
        <w:footnoteRef/>
      </w:r>
      <w:r>
        <w:rPr/>
        <w:t xml:space="preserve">The three terms are </w:t>
      </w:r>
      <w:r>
        <w:rPr>
          <w:rStyle w:val="wwc-pali"/>
        </w:rPr>
        <w:t>citta</w:t>
      </w:r>
      <w:r>
        <w:rPr/>
        <w:t xml:space="preserve">, </w:t>
      </w:r>
      <w:r>
        <w:rPr>
          <w:rStyle w:val="wwc-pali"/>
        </w:rPr>
        <w:t>mano</w:t>
      </w:r>
      <w:r>
        <w:rPr/>
        <w:t xml:space="preserve">, and </w:t>
      </w:r>
      <w:r>
        <w:rPr>
          <w:rStyle w:val="wwc-pali"/>
        </w:rPr>
        <w:t>viññāṇa</w:t>
      </w:r>
      <w:r>
        <w:rPr/>
        <w:t xml:space="preserve">. Normally I translate both </w:t>
      </w:r>
      <w:r>
        <w:rPr>
          <w:rStyle w:val="wwc-pali"/>
        </w:rPr>
        <w:t>citta</w:t>
      </w:r>
      <w:r>
        <w:rPr/>
        <w:t xml:space="preserve"> and </w:t>
      </w:r>
      <w:r>
        <w:rPr>
          <w:rStyle w:val="wwc-pali"/>
        </w:rPr>
        <w:t>mano</w:t>
      </w:r>
      <w:r>
        <w:rPr/>
        <w:t xml:space="preserve"> as ‘mind’, but here I was forced to translate one differently, and I chose ‘sentience’.</w:t>
      </w:r>
    </w:p>
  </w:footnote>
  <w:footnote w:id="50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12.61</w:t>
      </w:r>
      <w:r>
        <w:rPr>
          <w:rStyle w:val="Hyperlink"/>
        </w:rPr>
        <w:fldChar w:fldCharType="end"/>
      </w:r>
    </w:p>
  </w:footnote>
  <w:footnote w:id="510">
    <w:p>
      <w:pPr>
        <w:pStyle w:val="FootnoteText"/>
        <w:rPr/>
      </w:pPr>
      <w:r>
        <w:rPr>
          <w:rStyle w:val="FootnoteCharacters"/>
        </w:rPr>
        <w:footnoteRef/>
      </w:r>
      <w:r>
        <w:rPr>
          <w:rStyle w:val="wwc-pali"/>
        </w:rPr>
        <w:t>Ko nu kho phusati</w:t>
      </w:r>
      <w:r>
        <w:rPr/>
        <w:t>, more literally, “who touches?”</w:t>
      </w:r>
    </w:p>
  </w:footnote>
  <w:footnote w:id="5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12.12:3.1–4.10</w:t>
      </w:r>
      <w:r>
        <w:rPr>
          <w:rStyle w:val="Hyperlink"/>
        </w:rPr>
        <w:fldChar w:fldCharType="end"/>
      </w:r>
    </w:p>
  </w:footnote>
  <w:footnote w:id="512">
    <w:p>
      <w:pPr>
        <w:pStyle w:val="FootnoteText"/>
        <w:rPr/>
      </w:pPr>
      <w:r>
        <w:rPr>
          <w:rStyle w:val="FootnoteCharacters"/>
        </w:rPr>
        <w:footnoteRef/>
      </w:r>
      <w:r>
        <w:rPr/>
        <w:t xml:space="preserve">For example </w:t>
      </w:r>
      <w:r>
        <w:rPr>
          <w:rStyle w:val="wwc-sesame-zot-reference"/>
        </w:rPr>
        <w:t>Ñāṇavīra</w:t>
      </w:r>
      <w:r>
        <w:rPr/>
        <w:t xml:space="preserve"> p.84, </w:t>
      </w:r>
      <w:r>
        <w:rPr>
          <w:rStyle w:val="wwc-sesame-zot-reference"/>
        </w:rPr>
        <w:t>Cintita</w:t>
      </w:r>
      <w:r>
        <w:rPr/>
        <w:t xml:space="preserve"> p.31</w:t>
      </w:r>
    </w:p>
  </w:footnote>
  <w:footnote w:id="5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35.80</w:t>
      </w:r>
      <w:r>
        <w:rPr>
          <w:rStyle w:val="Hyperlink"/>
        </w:rPr>
        <w:fldChar w:fldCharType="end"/>
      </w:r>
    </w:p>
  </w:footnote>
  <w:footnote w:id="514">
    <w:p>
      <w:pPr>
        <w:pStyle w:val="FootnoteText"/>
        <w:rPr/>
      </w:pPr>
      <w:r>
        <w:rPr>
          <w:rStyle w:val="FootnoteCharacters"/>
        </w:rPr>
        <w:footnoteRef/>
      </w:r>
      <w:r>
        <w:rPr/>
        <w:t xml:space="preserve">For example </w:t>
      </w:r>
      <w:r>
        <w:rPr>
          <w:rStyle w:val="wwc-sesame-zot-reference"/>
        </w:rPr>
        <w:t>Ñāṇavīra</w:t>
      </w:r>
      <w:r>
        <w:rPr/>
        <w:t xml:space="preserve"> p.89, </w:t>
      </w:r>
      <w:r>
        <w:rPr>
          <w:rStyle w:val="wwc-sesame-zot-reference"/>
        </w:rPr>
        <w:t>Cintita</w:t>
      </w:r>
      <w:r>
        <w:rPr/>
        <w:t xml:space="preserve"> p.130, </w:t>
      </w:r>
      <w:r>
        <w:rPr>
          <w:rStyle w:val="wwc-sesame-zot-reference"/>
        </w:rPr>
        <w:t>Amaro</w:t>
      </w:r>
      <w:r>
        <w:rPr/>
        <w:t xml:space="preserve"> p.37</w:t>
      </w:r>
    </w:p>
  </w:footnote>
  <w:footnote w:id="515">
    <w:p>
      <w:pPr>
        <w:pStyle w:val="FootnoteText"/>
        <w:rPr/>
      </w:pPr>
      <w:r>
        <w:rPr>
          <w:rStyle w:val="FootnoteCharacters"/>
        </w:rPr>
        <w:footnoteRef/>
      </w:r>
      <w:r>
        <w:rPr>
          <w:rStyle w:val="wwc-sesame-zot-reference"/>
        </w:rPr>
        <w:t>Anālayo 2021</w:t>
      </w:r>
      <w:r>
        <w:rPr/>
        <w:t xml:space="preserve"> p.109</w:t>
      </w:r>
    </w:p>
  </w:footnote>
  <w:footnote w:id="516">
    <w:p>
      <w:pPr>
        <w:pStyle w:val="FootnoteText"/>
        <w:rPr/>
      </w:pPr>
      <w:r>
        <w:rPr>
          <w:rStyle w:val="FootnoteCharacters"/>
        </w:rPr>
        <w:footnoteRef/>
      </w:r>
      <w:hyperlink w:anchor="bqseg105">
        <w:r>
          <w:rPr>
            <w:rStyle w:val="Hyperlink"/>
          </w:rPr>
          <w:t>§105</w:t>
        </w:r>
      </w:hyperlink>
      <w:r>
        <w:rPr/>
        <w:t xml:space="preserve">, </w:t>
      </w:r>
      <w:hyperlink w:anchor="106">
        <w:r>
          <w:rPr>
            <w:rStyle w:val="Hyperlink"/>
          </w:rPr>
          <w:t>§106</w:t>
        </w:r>
      </w:hyperlink>
    </w:p>
  </w:footnote>
  <w:footnote w:id="517">
    <w:p>
      <w:pPr>
        <w:pStyle w:val="FootnoteText"/>
        <w:rPr/>
      </w:pPr>
      <w:r>
        <w:rPr>
          <w:rStyle w:val="FootnoteCharacters"/>
        </w:rPr>
        <w:footnoteRef/>
      </w:r>
      <w:r>
        <w:rPr/>
        <w:t xml:space="preserve">See also </w:t>
      </w:r>
      <w:r>
        <w:rPr>
          <w:rStyle w:val="wwc-sesame-zot-reference"/>
        </w:rPr>
        <w:t>Anālayo 2021</w:t>
      </w:r>
      <w:r>
        <w:rPr/>
        <w:t xml:space="preserve"> p.109: “The relationship between the senses and their objects, which represent the basic duality of ordinary experience in the early discourses, remains the same after the attainment of full awakening”.</w:t>
      </w:r>
    </w:p>
  </w:footnote>
  <w:footnote w:id="5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22.95:6.1–6.2</w:t>
      </w:r>
      <w:r>
        <w:rPr>
          <w:rStyle w:val="Hyperlink"/>
        </w:rPr>
        <w:fldChar w:fldCharType="end"/>
      </w:r>
    </w:p>
  </w:footnote>
  <w:footnote w:id="519">
    <w:p>
      <w:pPr>
        <w:pStyle w:val="FootnoteText"/>
        <w:rPr/>
      </w:pPr>
      <w:r>
        <w:rPr>
          <w:rStyle w:val="FootnoteCharacters"/>
        </w:rPr>
        <w:footnoteRef/>
      </w:r>
      <w:r>
        <w:rPr/>
        <w:t xml:space="preserve">For example </w:t>
      </w:r>
      <w:r>
        <w:rPr>
          <w:rStyle w:val="wwc-sesame-zot-reference"/>
        </w:rPr>
        <w:t>Ñāṇananda 2015</w:t>
      </w:r>
      <w:r>
        <w:rPr/>
        <w:t xml:space="preserve"> p.218: “The magical illusion created by consciousness […]”, further detailed in </w:t>
      </w:r>
      <w:r>
        <w:rPr>
          <w:rStyle w:val="wwc-sesame-zot-reference"/>
        </w:rPr>
        <w:t>Ñāṇananda 1974/2007</w:t>
      </w:r>
    </w:p>
  </w:footnote>
  <w:footnote w:id="5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72:20.1–20.20</w:t>
      </w:r>
      <w:r>
        <w:rPr>
          <w:rStyle w:val="Hyperlink"/>
        </w:rPr>
        <w:fldChar w:fldCharType="end"/>
      </w:r>
      <w:r>
        <w:rPr/>
        <w:t xml:space="preserve"> </w:t>
      </w:r>
      <w:r>
        <w:rPr>
          <w:rStyle w:val="wwc-PTS-reference"/>
        </w:rPr>
        <w:t>M I 487</w:t>
      </w:r>
    </w:p>
  </w:footnote>
  <w:footnote w:id="521">
    <w:p>
      <w:pPr>
        <w:pStyle w:val="FootnoteText"/>
        <w:rPr/>
      </w:pPr>
      <w:r>
        <w:rPr>
          <w:rStyle w:val="FootnoteCharacters"/>
        </w:rPr>
        <w:footnoteRef/>
      </w:r>
      <w:r>
        <w:rPr/>
        <w:t xml:space="preserve">See also </w:t>
      </w:r>
      <w:r>
        <w:rPr>
          <w:rStyle w:val="wwc-sesame-zot-reference"/>
        </w:rPr>
        <w:t>Kalupahana 1976</w:t>
      </w:r>
      <w:r>
        <w:rPr/>
        <w:t xml:space="preserve"> p.84. Contra e.g. </w:t>
      </w:r>
      <w:r>
        <w:rPr>
          <w:rStyle w:val="wwc-sesame-zot-reference"/>
        </w:rPr>
        <w:t>Johansson</w:t>
      </w:r>
      <w:r>
        <w:rPr/>
        <w:t xml:space="preserve"> p.61</w:t>
      </w:r>
    </w:p>
  </w:footnote>
  <w:footnote w:id="5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4.23</w:t>
      </w:r>
      <w:r>
        <w:rPr>
          <w:rStyle w:val="Hyperlink"/>
        </w:rPr>
        <w:fldChar w:fldCharType="end"/>
      </w:r>
    </w:p>
  </w:footnote>
  <w:footnote w:id="523">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Snp 3.2</w:t>
      </w:r>
      <w:r>
        <w:rPr>
          <w:rStyle w:val="Hyperlink"/>
        </w:rPr>
        <w:fldChar w:fldCharType="end"/>
      </w:r>
    </w:p>
  </w:footnote>
  <w:footnote w:id="524">
    <w:p>
      <w:pPr>
        <w:pStyle w:val="FootnoteText"/>
        <w:rPr/>
      </w:pPr>
      <w:r>
        <w:rPr>
          <w:rStyle w:val="FootnoteCharacters"/>
        </w:rPr>
        <w:footnoteRef/>
      </w:r>
      <w:hyperlink r:id="rId43">
        <w:r>
          <w:rPr>
            <w:rStyle w:val="Hyperlink"/>
          </w:rPr>
          <w:t>SĀ 1265</w:t>
        </w:r>
      </w:hyperlink>
      <w:r>
        <w:rPr/>
        <w:t xml:space="preserve">, translation by </w:t>
      </w:r>
      <w:r>
        <w:rPr>
          <w:rStyle w:val="wwc-sesame-zot-reference"/>
        </w:rPr>
        <w:t>Anālayo 2015</w:t>
      </w:r>
      <w:r>
        <w:rPr/>
        <w:t xml:space="preserve"> p.243, parallel to </w:t>
      </w:r>
      <w:r>
        <w:fldChar w:fldCharType="begin"/>
      </w:r>
      <w:r>
        <w:rPr>
          <w:rStyle w:val="Hyperlink"/>
        </w:rPr>
        <w:instrText xml:space="preserve"> HYPERLINK "https://suttacentral.net/XXX/en/sujato" \l "YYY"</w:instrText>
      </w:r>
      <w:r>
        <w:rPr>
          <w:rStyle w:val="Hyperlink"/>
        </w:rPr>
        <w:fldChar w:fldCharType="separate"/>
      </w:r>
      <w:r>
        <w:rPr>
          <w:rStyle w:val="Hyperlink"/>
        </w:rPr>
        <w:t>SN 22.87</w:t>
      </w:r>
      <w:r>
        <w:rPr>
          <w:rStyle w:val="Hyperlink"/>
        </w:rPr>
        <w:fldChar w:fldCharType="end"/>
      </w:r>
    </w:p>
  </w:footnote>
  <w:footnote w:id="525">
    <w:p>
      <w:pPr>
        <w:pStyle w:val="FootnoteText"/>
        <w:rPr/>
      </w:pPr>
      <w:r>
        <w:rPr>
          <w:rStyle w:val="FootnoteCharacters"/>
        </w:rPr>
        <w:footnoteRef/>
      </w:r>
      <w:hyperlink r:id="rId44">
        <w:r>
          <w:rPr>
            <w:rStyle w:val="Hyperlink"/>
          </w:rPr>
          <w:t>EĀ 26.10</w:t>
        </w:r>
      </w:hyperlink>
      <w:r>
        <w:rPr/>
        <w:t xml:space="preserve">. Also translated by </w:t>
      </w:r>
      <w:r>
        <w:rPr>
          <w:rStyle w:val="wwc-sesame-zot-reference"/>
        </w:rPr>
        <w:t>Anālayo 2015</w:t>
      </w:r>
      <w:r>
        <w:rPr/>
        <w:t xml:space="preserve"> p.253</w:t>
      </w:r>
    </w:p>
  </w:footnote>
  <w:footnote w:id="526">
    <w:p>
      <w:pPr>
        <w:pStyle w:val="FootnoteText"/>
        <w:rPr/>
      </w:pPr>
      <w:r>
        <w:rPr>
          <w:rStyle w:val="FootnoteCharacters"/>
        </w:rPr>
        <w:footnoteRef/>
      </w:r>
      <w:r>
        <w:rPr/>
        <w:t xml:space="preserve">See also </w:t>
      </w:r>
      <w:r>
        <w:rPr>
          <w:rStyle w:val="wwc-sesame-zot-reference"/>
        </w:rPr>
        <w:t>Anālayo 2018</w:t>
      </w:r>
      <w:r>
        <w:rPr/>
        <w:t xml:space="preserve"> p.27: “The parallel versions agree in referring to what could have been reborn as his ‘consciousness’.”</w:t>
      </w:r>
    </w:p>
  </w:footnote>
  <w:footnote w:id="527">
    <w:p>
      <w:pPr>
        <w:pStyle w:val="FootnoteText"/>
        <w:rPr/>
      </w:pPr>
      <w:r>
        <w:rPr>
          <w:rStyle w:val="FootnoteCharacters"/>
        </w:rPr>
        <w:footnoteRef/>
      </w:r>
      <w:r>
        <w:rPr/>
        <w:t xml:space="preserve">See also </w:t>
      </w:r>
      <w:r>
        <w:rPr>
          <w:rStyle w:val="wwc-sesame-zot-reference"/>
        </w:rPr>
        <w:t>Anālayo 2015</w:t>
      </w:r>
      <w:r>
        <w:rPr/>
        <w:t xml:space="preserve"> p.247</w:t>
      </w:r>
    </w:p>
  </w:footnote>
  <w:footnote w:id="52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2.48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120:37.8</w:t>
      </w:r>
      <w:r>
        <w:rPr>
          <w:rStyle w:val="Hyperlink"/>
        </w:rPr>
        <w:fldChar w:fldCharType="end"/>
      </w:r>
      <w:r>
        <w:rPr/>
        <w:t xml:space="preserve"> </w:t>
      </w:r>
      <w:r>
        <w:rPr>
          <w:rStyle w:val="wwc-PTS-reference"/>
        </w:rPr>
        <w:t>M III 103</w:t>
      </w:r>
    </w:p>
  </w:footnote>
  <w:footnote w:id="5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98:11.101–11.104</w:t>
      </w:r>
      <w:r>
        <w:rPr>
          <w:rStyle w:val="Hyperlink"/>
        </w:rPr>
        <w:fldChar w:fldCharType="end"/>
      </w:r>
      <w:r>
        <w:rPr/>
        <w:t xml:space="preserve"> </w:t>
      </w:r>
      <w:r>
        <w:rPr>
          <w:rStyle w:val="wwc-PTS-reference"/>
        </w:rPr>
        <w:t>M II 122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3.9:56.1–56.4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420</w:t>
      </w:r>
      <w:r>
        <w:rPr>
          <w:rStyle w:val="Hyperlink"/>
        </w:rPr>
        <w:fldChar w:fldCharType="end"/>
      </w:r>
    </w:p>
  </w:footnote>
  <w:footnote w:id="53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3.12:18.1–20.4</w:t>
      </w:r>
      <w:r>
        <w:rPr>
          <w:rStyle w:val="Hyperlink"/>
        </w:rPr>
        <w:fldChar w:fldCharType="end"/>
      </w:r>
    </w:p>
  </w:footnote>
  <w:footnote w:id="531">
    <w:p>
      <w:pPr>
        <w:pStyle w:val="FootnoteText"/>
        <w:rPr/>
      </w:pPr>
      <w:r>
        <w:rPr>
          <w:rStyle w:val="FootnoteCharacters"/>
        </w:rPr>
        <w:footnoteRef/>
      </w:r>
      <w:hyperlink r:id="rId45">
        <w:r>
          <w:rPr>
            <w:rStyle w:val="Hyperlink"/>
          </w:rPr>
          <w:t>SĀ</w:t>
        </w:r>
        <w:r>
          <w:rPr>
            <w:rStyle w:val="Hyperlink"/>
            <w:vertAlign w:val="superscript"/>
          </w:rPr>
          <w:t>2</w:t>
        </w:r>
        <w:r>
          <w:rPr>
            <w:rStyle w:val="Hyperlink"/>
          </w:rPr>
          <w:t xml:space="preserve"> 30</w:t>
        </w:r>
      </w:hyperlink>
      <w:r>
        <w:rPr/>
        <w:t xml:space="preserve">, also translated by </w:t>
      </w:r>
      <w:r>
        <w:rPr>
          <w:rStyle w:val="wwc-sesame-zot-reference"/>
        </w:rPr>
        <w:t>Bingenheimer</w:t>
      </w:r>
      <w:r>
        <w:rPr/>
        <w:t xml:space="preserve"> p.141</w:t>
      </w:r>
    </w:p>
  </w:footnote>
  <w:footnote w:id="532">
    <w:p>
      <w:pPr>
        <w:pStyle w:val="FootnoteText"/>
        <w:rPr/>
      </w:pPr>
      <w:r>
        <w:rPr>
          <w:rStyle w:val="FootnoteCharacters"/>
        </w:rPr>
        <w:footnoteRef/>
      </w:r>
      <w:r>
        <w:rPr>
          <w:rStyle w:val="wwc-sesame-zot-reference"/>
        </w:rPr>
        <w:t>Thomas 1935</w:t>
      </w:r>
      <w:r>
        <w:rPr/>
        <w:t xml:space="preserve"> argues the first part of the compound </w:t>
      </w:r>
      <w:r>
        <w:rPr>
          <w:rStyle w:val="wwc-pali"/>
        </w:rPr>
        <w:t>tathāgata</w:t>
      </w:r>
      <w:r>
        <w:rPr/>
        <w:t xml:space="preserve"> is likely </w:t>
      </w:r>
      <w:r>
        <w:rPr>
          <w:rStyle w:val="wwc-pali"/>
        </w:rPr>
        <w:t>tatha</w:t>
      </w:r>
      <w:r>
        <w:rPr/>
        <w:t xml:space="preserve"> (‘truth’), not </w:t>
      </w:r>
      <w:r>
        <w:rPr>
          <w:rStyle w:val="wwc-pali"/>
        </w:rPr>
        <w:t>tathā</w:t>
      </w:r>
      <w:r>
        <w:rPr/>
        <w:t xml:space="preserve"> (‘thus’). </w:t>
      </w:r>
      <w:r>
        <w:rPr>
          <w:rStyle w:val="wwc-sesame-zot-reference"/>
        </w:rPr>
        <w:t>PED</w:t>
      </w:r>
      <w:r>
        <w:rPr/>
        <w:t xml:space="preserve"> includes for </w:t>
      </w:r>
      <w:r>
        <w:rPr>
          <w:rStyle w:val="wwc-pali"/>
        </w:rPr>
        <w:t>tathāgata</w:t>
      </w:r>
      <w:r>
        <w:rPr/>
        <w:t xml:space="preserve"> “he who has won through to the truth” and </w:t>
      </w:r>
      <w:r>
        <w:rPr>
          <w:rStyle w:val="wwc-sesame-zot-reference"/>
        </w:rPr>
        <w:t>DPD</w:t>
      </w:r>
      <w:r>
        <w:rPr/>
        <w:t xml:space="preserve"> “arrived at the truth”.</w:t>
      </w:r>
    </w:p>
  </w:footnote>
  <w:footnote w:id="5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22:36.1–37.6</w:t>
      </w:r>
      <w:r>
        <w:rPr>
          <w:rStyle w:val="Hyperlink"/>
        </w:rPr>
        <w:fldChar w:fldCharType="end"/>
      </w:r>
      <w:r>
        <w:rPr/>
        <w:t xml:space="preserve"> </w:t>
      </w:r>
      <w:r>
        <w:rPr>
          <w:rStyle w:val="wwc-PTS-reference"/>
        </w:rPr>
        <w:t>M I 140</w:t>
      </w:r>
    </w:p>
  </w:footnote>
  <w:footnote w:id="534">
    <w:p>
      <w:pPr>
        <w:pStyle w:val="FootnoteText"/>
        <w:rPr/>
      </w:pPr>
      <w:r>
        <w:rPr>
          <w:rStyle w:val="FootnoteCharacters"/>
        </w:rPr>
        <w:footnoteRef/>
      </w:r>
      <w:r>
        <w:rPr>
          <w:rStyle w:val="wwc-pali"/>
        </w:rPr>
        <w:t>‘</w:t>
      </w:r>
      <w:r>
        <w:rPr>
          <w:rStyle w:val="wwc-pali"/>
        </w:rPr>
        <w:t>Diṭṭhevāhaṁ, bhikkhave, dhamme tathāgataṁ ananuvijjo’ti vadāmi</w:t>
      </w:r>
      <w:r>
        <w:rPr/>
        <w:t>, ‘even while alive there is no truth</w:t>
        <w:softHyphen/>
        <w:t xml:space="preserve">finder to be found, I tell you’. The most literal meaning of </w:t>
      </w:r>
      <w:r>
        <w:rPr>
          <w:rStyle w:val="wwc-pali"/>
        </w:rPr>
        <w:t>ananuvijja</w:t>
      </w:r>
      <w:r>
        <w:rPr/>
        <w:t xml:space="preserve"> is ‘not found’, but the verb </w:t>
      </w:r>
      <w:r>
        <w:rPr>
          <w:rStyle w:val="wwc-pali"/>
        </w:rPr>
        <w:t>vijjati</w:t>
      </w:r>
      <w:r>
        <w:rPr/>
        <w:t xml:space="preserve">, as </w:t>
      </w:r>
      <w:r>
        <w:rPr>
          <w:rStyle w:val="wwc-sesame-zot-reference"/>
        </w:rPr>
        <w:t>DPD</w:t>
      </w:r>
      <w:r>
        <w:rPr/>
        <w:t xml:space="preserve"> and </w:t>
      </w:r>
      <w:r>
        <w:rPr>
          <w:rStyle w:val="wwc-sesame-zot-reference"/>
        </w:rPr>
        <w:t>Gombrich 2009</w:t>
      </w:r>
      <w:r>
        <w:rPr/>
        <w:t xml:space="preserve"> p.139 say, can also mean ‘exists’. To “not find” a truth</w:t>
        <w:softHyphen/>
        <w:t>finder therefore means the truth</w:t>
        <w:softHyphen/>
        <w:t xml:space="preserve">finder doesn’t actually exist. I use the expression ‘there is no … to be found’ to include both meanings of the verb. For a similar idea see </w:t>
      </w:r>
      <w:r>
        <w:fldChar w:fldCharType="begin"/>
      </w:r>
      <w:r>
        <w:rPr>
          <w:rStyle w:val="Hyperlink"/>
        </w:rPr>
        <w:instrText xml:space="preserve"> HYPERLINK "https://suttacentral.net/XXX/en/sujato" \l "YYY"</w:instrText>
      </w:r>
      <w:r>
        <w:rPr>
          <w:rStyle w:val="Hyperlink"/>
        </w:rPr>
        <w:fldChar w:fldCharType="separate"/>
      </w:r>
      <w:r>
        <w:rPr>
          <w:rStyle w:val="Hyperlink"/>
        </w:rPr>
        <w:t>AN 5.167:9.8–9.10</w:t>
      </w:r>
      <w:r>
        <w:rPr>
          <w:rStyle w:val="Hyperlink"/>
        </w:rPr>
        <w:fldChar w:fldCharType="end"/>
      </w:r>
      <w:r>
        <w:rPr/>
        <w:t>: “If I know that there is no such quality in me, I tell him: ‘It doesn’t exist; this quality isn’t found in me.’”</w:t>
      </w:r>
    </w:p>
  </w:footnote>
  <w:footnote w:id="535">
    <w:p>
      <w:pPr>
        <w:pStyle w:val="FootnoteText"/>
        <w:rPr/>
      </w:pPr>
      <w:r>
        <w:rPr>
          <w:rStyle w:val="FootnoteCharacters"/>
        </w:rPr>
        <w:footnoteRef/>
      </w:r>
      <w:r>
        <w:rPr>
          <w:rStyle w:val="wwc-sesame"/>
        </w:rPr>
        <w:t>Ñāṇamoli 1995 n.266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MN 22:36.4</w:t>
      </w:r>
      <w:r>
        <w:rPr>
          <w:rStyle w:val="Hyperlink"/>
        </w:rPr>
        <w:fldChar w:fldCharType="end"/>
      </w:r>
      <w:r>
        <w:rPr/>
        <w:t xml:space="preserve">. See also </w:t>
      </w:r>
      <w:r>
        <w:rPr>
          <w:rStyle w:val="wwc-sesame-zot-reference"/>
        </w:rPr>
        <w:t>Bodhi 1984</w:t>
      </w:r>
      <w:r>
        <w:rPr/>
        <w:t xml:space="preserve"> p.49: “The bhikkhu knows that ‘Tathāgata’ is just a convenient term for referring to a conglomerate process of impermanent, empty phenomena which are suffering in the deepest sense.”</w:t>
      </w:r>
    </w:p>
  </w:footnote>
  <w:footnote w:id="536">
    <w:p>
      <w:pPr>
        <w:pStyle w:val="FootnoteText"/>
        <w:rPr/>
      </w:pPr>
      <w:r>
        <w:rPr>
          <w:rStyle w:val="FootnoteCharacters"/>
        </w:rPr>
        <w:footnoteRef/>
      </w:r>
      <w:r>
        <w:rPr/>
        <w:t xml:space="preserve">See for example </w:t>
      </w:r>
      <w:r>
        <w:rPr>
          <w:rStyle w:val="wwc-sesame-zot-reference"/>
        </w:rPr>
        <w:t>Nyanaponika 1959</w:t>
      </w:r>
      <w:r>
        <w:rPr/>
        <w:t xml:space="preserve"> p.12, </w:t>
      </w:r>
      <w:r>
        <w:rPr>
          <w:rStyle w:val="wwc-sesame-zot-reference"/>
        </w:rPr>
        <w:t>Warder 1970</w:t>
      </w:r>
      <w:r>
        <w:rPr/>
        <w:t xml:space="preserve"> p.123, </w:t>
      </w:r>
      <w:r>
        <w:rPr>
          <w:rStyle w:val="wwc-sesame-zot-reference"/>
        </w:rPr>
        <w:t>Ñāṇananda 1971</w:t>
      </w:r>
      <w:r>
        <w:rPr/>
        <w:t xml:space="preserve"> p.116, </w:t>
      </w:r>
      <w:r>
        <w:rPr>
          <w:rStyle w:val="wwc-sesame-zot-reference"/>
        </w:rPr>
        <w:t>Kalupahana 1976</w:t>
      </w:r>
      <w:r>
        <w:rPr/>
        <w:t xml:space="preserve"> p.84, </w:t>
      </w:r>
      <w:r>
        <w:rPr>
          <w:rStyle w:val="wwc-sesame-zot-reference"/>
        </w:rPr>
        <w:t>Collins</w:t>
      </w:r>
      <w:r>
        <w:rPr/>
        <w:t xml:space="preserve"> p.132, </w:t>
      </w:r>
      <w:r>
        <w:rPr>
          <w:rStyle w:val="wwc-sesame-zot-reference"/>
        </w:rPr>
        <w:t>Mahasi</w:t>
      </w:r>
      <w:r>
        <w:rPr/>
        <w:t xml:space="preserve"> p.121, </w:t>
      </w:r>
      <w:r>
        <w:rPr>
          <w:rStyle w:val="wwc-sesame-zot-reference"/>
        </w:rPr>
        <w:t>Bodhi 1984</w:t>
      </w:r>
      <w:r>
        <w:rPr/>
        <w:t xml:space="preserve"> p.49, </w:t>
      </w:r>
      <w:r>
        <w:rPr>
          <w:rStyle w:val="wwc-sesame-zot-reference"/>
        </w:rPr>
        <w:t>Anālayo 2021</w:t>
      </w:r>
      <w:r>
        <w:rPr/>
        <w:t xml:space="preserve"> p.107, </w:t>
      </w:r>
      <w:r>
        <w:rPr>
          <w:rStyle w:val="wwc-sesame-zot-reference"/>
        </w:rPr>
        <w:t>Anālayo 2022</w:t>
      </w:r>
      <w:r>
        <w:rPr/>
        <w:t xml:space="preserve"> p.1412</w:t>
      </w:r>
    </w:p>
  </w:footnote>
  <w:footnote w:id="537">
    <w:p>
      <w:pPr>
        <w:pStyle w:val="FootnoteText"/>
        <w:rPr/>
      </w:pPr>
      <w:r>
        <w:rPr>
          <w:rStyle w:val="FootnoteCharacters"/>
        </w:rPr>
        <w:footnoteRef/>
      </w:r>
      <w:r>
        <w:rPr>
          <w:rStyle w:val="wwc-sesame-zot-reference"/>
        </w:rPr>
        <w:t>Bodhi 1984</w:t>
      </w:r>
      <w:r>
        <w:rPr/>
        <w:t xml:space="preserve"> p.49</w:t>
      </w:r>
    </w:p>
  </w:footnote>
  <w:footnote w:id="5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4.16</w:t>
      </w:r>
      <w:r>
        <w:rPr>
          <w:rStyle w:val="Hyperlink"/>
        </w:rPr>
        <w:fldChar w:fldCharType="end"/>
      </w:r>
    </w:p>
  </w:footnote>
  <w:footnote w:id="539">
    <w:p>
      <w:pPr>
        <w:pStyle w:val="FootnoteText"/>
        <w:rPr/>
      </w:pPr>
      <w:r>
        <w:rPr>
          <w:rStyle w:val="FootnoteCharacters"/>
        </w:rPr>
        <w:footnoteRef/>
      </w:r>
      <w:r>
        <w:rPr/>
        <w:t xml:space="preserve">For example </w:t>
      </w:r>
      <w:r>
        <w:rPr>
          <w:rStyle w:val="wwc-sesame-zot-reference"/>
        </w:rPr>
        <w:t>Harvey 1995</w:t>
      </w:r>
      <w:r>
        <w:rPr/>
        <w:t xml:space="preserve"> p.230, </w:t>
      </w:r>
      <w:r>
        <w:rPr>
          <w:rStyle w:val="wwc-sesame-zot-reference"/>
        </w:rPr>
        <w:t>Pasanno</w:t>
      </w:r>
      <w:r>
        <w:rPr/>
        <w:t xml:space="preserve"> p.170, </w:t>
      </w:r>
      <w:r>
        <w:rPr>
          <w:rStyle w:val="wwc-sesame-zot-reference"/>
        </w:rPr>
        <w:t>Ṭhānissaro 2008a</w:t>
      </w:r>
      <w:r>
        <w:rPr/>
        <w:t xml:space="preserve"> p.121ff</w:t>
      </w:r>
    </w:p>
  </w:footnote>
  <w:footnote w:id="5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45.150</w:t>
      </w:r>
      <w:r>
        <w:rPr>
          <w:rStyle w:val="Hyperlink"/>
        </w:rPr>
        <w:fldChar w:fldCharType="end"/>
      </w:r>
    </w:p>
  </w:footnote>
  <w:footnote w:id="5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1.20:25.1–25.6</w:t>
      </w:r>
      <w:r>
        <w:rPr>
          <w:rStyle w:val="Hyperlink"/>
        </w:rPr>
        <w:fldChar w:fldCharType="end"/>
      </w:r>
    </w:p>
  </w:footnote>
  <w:footnote w:id="542">
    <w:p>
      <w:pPr>
        <w:pStyle w:val="FootnoteText"/>
        <w:rPr/>
      </w:pPr>
      <w:r>
        <w:rPr>
          <w:rStyle w:val="FootnoteCharacters"/>
        </w:rPr>
        <w:footnoteRef/>
      </w:r>
      <w:r>
        <w:rPr/>
        <w:t xml:space="preserve">See also </w:t>
      </w:r>
      <w:r>
        <w:rPr>
          <w:rStyle w:val="wwc-sesame"/>
        </w:rPr>
        <w:t>Bodhi 2000 n.38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1.20:25.1</w:t>
      </w:r>
      <w:r>
        <w:rPr>
          <w:rStyle w:val="Hyperlink"/>
        </w:rPr>
        <w:fldChar w:fldCharType="end"/>
      </w:r>
      <w:r>
        <w:rPr/>
        <w:t xml:space="preserve">: “[These lines] seem to be describing the arahant after his </w:t>
      </w:r>
      <w:r>
        <w:rPr>
          <w:rStyle w:val="wwc-pali"/>
        </w:rPr>
        <w:t>parinibbāna</w:t>
      </w:r>
      <w:r>
        <w:rPr/>
        <w:t xml:space="preserve">.” </w:t>
      </w:r>
      <w:r>
        <w:rPr>
          <w:rStyle w:val="wwc-sesame-zot-reference"/>
        </w:rPr>
        <w:t>Olalde 2014</w:t>
      </w:r>
      <w:r>
        <w:rPr/>
        <w:t xml:space="preserve"> p.119 (translation mine): “That the person in question cannot be found anywhere (seemingly after his death) refers to the fact he reached final nibbāna.”</w:t>
      </w:r>
    </w:p>
  </w:footnote>
  <w:footnote w:id="54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2.12:14.1–14.5</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Thag 21.1:67.1–67.5</w:t>
      </w:r>
      <w:r>
        <w:rPr>
          <w:rStyle w:val="Hyperlink"/>
        </w:rPr>
        <w:fldChar w:fldCharType="end"/>
      </w:r>
    </w:p>
  </w:footnote>
  <w:footnote w:id="544">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4.1:2.1</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6.2:7.1</w:t>
      </w:r>
      <w:r>
        <w:rPr>
          <w:rStyle w:val="Hyperlink"/>
        </w:rPr>
        <w:fldChar w:fldCharType="end"/>
      </w:r>
    </w:p>
  </w:footnote>
  <w:footnote w:id="545">
    <w:p>
      <w:pPr>
        <w:pStyle w:val="FootnoteText"/>
        <w:rPr/>
      </w:pPr>
      <w:r>
        <w:rPr>
          <w:rStyle w:val="FootnoteCharacters"/>
        </w:rPr>
        <w:footnoteRef/>
      </w:r>
      <w:hyperlink r:id="rId46">
        <w:r>
          <w:rPr>
            <w:rStyle w:val="Hyperlink"/>
          </w:rPr>
          <w:t>MĀ 62</w:t>
        </w:r>
      </w:hyperlink>
      <w:r>
        <w:rPr/>
        <w:t xml:space="preserve">, translation </w:t>
      </w:r>
      <w:r>
        <w:rPr>
          <w:rStyle w:val="wwc-sesame-zot-reference"/>
        </w:rPr>
        <w:t>Anālayo 2013</w:t>
      </w:r>
      <w:r>
        <w:rPr/>
        <w:t>, brackets in the original</w:t>
      </w:r>
    </w:p>
  </w:footnote>
  <w:footnote w:id="5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5.10</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12.15</w:t>
      </w:r>
      <w:r>
        <w:rPr>
          <w:rStyle w:val="Hyperlink"/>
        </w:rPr>
        <w:fldChar w:fldCharType="end"/>
      </w:r>
    </w:p>
  </w:footnote>
  <w:footnote w:id="5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22.85:5.6–14.1</w:t>
      </w:r>
      <w:r>
        <w:rPr>
          <w:rStyle w:val="Hyperlink"/>
        </w:rPr>
        <w:fldChar w:fldCharType="end"/>
      </w:r>
    </w:p>
  </w:footnote>
  <w:footnote w:id="54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1.49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3.69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28</w:t>
      </w:r>
      <w:r>
        <w:rPr>
          <w:rStyle w:val="Hyperlink"/>
        </w:rPr>
        <w:fldChar w:fldCharType="end"/>
      </w:r>
      <w:r>
        <w:rPr/>
        <w:t>/</w:t>
      </w:r>
      <w:r>
        <w:fldChar w:fldCharType="begin"/>
      </w:r>
      <w:r>
        <w:rPr>
          <w:rStyle w:val="Hyperlink"/>
          <w:lang w:val="en-US"/>
        </w:rPr>
        <w:instrText xml:space="preserve"> HYPERLINK "https://suttacentral.net/XXX/en/sujato" \l "YYY"</w:instrText>
      </w:r>
      <w:r>
        <w:rPr>
          <w:rStyle w:val="Hyperlink"/>
          <w:lang w:val="en-US"/>
        </w:rPr>
        <w:fldChar w:fldCharType="separate"/>
      </w:r>
      <w:r>
        <w:rPr>
          <w:rStyle w:val="Hyperlink"/>
          <w:lang w:val="en-US"/>
        </w:rPr>
        <w:t>Iti 29</w:t>
      </w:r>
      <w:r>
        <w:rPr>
          <w:rStyle w:val="Hyperlink"/>
          <w:lang w:val="en-US"/>
        </w:rPr>
        <w:fldChar w:fldCharType="end"/>
      </w:r>
      <w:r>
        <w:rPr>
          <w:lang w:val="en-US"/>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1.7</w:t>
      </w:r>
      <w:r>
        <w:rPr>
          <w:rStyle w:val="Hyperlink"/>
        </w:rPr>
        <w:fldChar w:fldCharType="end"/>
      </w:r>
      <w:r>
        <w:rPr/>
        <w:t>, etc.</w:t>
      </w:r>
    </w:p>
  </w:footnote>
  <w:footnote w:id="54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22.86:12.1–13.2</w:t>
      </w:r>
      <w:r>
        <w:rPr>
          <w:rStyle w:val="Hyperlink"/>
        </w:rPr>
        <w:fldChar w:fldCharType="end"/>
      </w:r>
    </w:p>
  </w:footnote>
  <w:footnote w:id="550">
    <w:p>
      <w:pPr>
        <w:pStyle w:val="FootnoteText"/>
        <w:rPr/>
      </w:pPr>
      <w:r>
        <w:rPr>
          <w:rStyle w:val="FootnoteCharacters"/>
        </w:rPr>
        <w:footnoteRef/>
      </w:r>
      <w:r>
        <w:rPr/>
        <w:t xml:space="preserve">See also </w:t>
      </w:r>
      <w:r>
        <w:rPr>
          <w:rStyle w:val="wwc-sesame-zot-reference"/>
        </w:rPr>
        <w:t>Siderits</w:t>
      </w:r>
      <w:r>
        <w:rPr/>
        <w:t xml:space="preserve"> Section 4.1.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44.7</w:t>
      </w:r>
      <w:r>
        <w:rPr>
          <w:rStyle w:val="Hyperlink"/>
        </w:rPr>
        <w:fldChar w:fldCharType="end"/>
      </w:r>
    </w:p>
  </w:footnote>
  <w:footnote w:id="55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AN 7.54:4.1–4.6</w:t>
      </w:r>
      <w:r>
        <w:rPr>
          <w:rStyle w:val="Hyperlink"/>
        </w:rPr>
        <w:fldChar w:fldCharType="end"/>
      </w:r>
    </w:p>
  </w:footnote>
  <w:footnote w:id="5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143</w:t>
      </w:r>
      <w:r>
        <w:rPr>
          <w:rStyle w:val="Hyperlink"/>
        </w:rPr>
        <w:fldChar w:fldCharType="end"/>
      </w:r>
    </w:p>
  </w:footnote>
  <w:footnote w:id="5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p>
  </w:footnote>
  <w:footnote w:id="5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106:10.10, 12.6</w:t>
      </w:r>
      <w:r>
        <w:rPr>
          <w:rStyle w:val="Hyperlink"/>
        </w:rPr>
        <w:fldChar w:fldCharType="end"/>
      </w:r>
      <w:r>
        <w:rPr/>
        <w:t xml:space="preserve"> </w:t>
      </w:r>
      <w:r>
        <w:rPr>
          <w:rStyle w:val="wwc-PTS-reference"/>
        </w:rPr>
        <w:t>M II 265</w:t>
      </w:r>
    </w:p>
  </w:footnote>
  <w:footnote w:id="5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p>
  </w:footnote>
  <w:footnote w:id="556">
    <w:p>
      <w:pPr>
        <w:pStyle w:val="FootnoteText"/>
        <w:rPr/>
      </w:pPr>
      <w:r>
        <w:rPr>
          <w:rStyle w:val="FootnoteCharacters"/>
        </w:rPr>
        <w:footnoteRef/>
      </w:r>
      <w:r>
        <w:rPr>
          <w:rStyle w:val="wwc-pali"/>
        </w:rPr>
        <w:t>Saññāvedayitanirodha</w:t>
      </w:r>
      <w:r>
        <w:rPr/>
        <w:t>, ‘the cessation of awareness and what is experienced’, more well-known as ‘the cessation of perception and feeling’. In this state there is the complete cessation of both awareness (</w:t>
      </w:r>
      <w:r>
        <w:rPr>
          <w:rStyle w:val="wwc-pali"/>
        </w:rPr>
        <w:t>saññā</w:t>
      </w:r>
      <w:r>
        <w:rPr/>
        <w:t>) and the object that is experienced (</w:t>
      </w:r>
      <w:r>
        <w:rPr>
          <w:rStyle w:val="wwc-pali"/>
        </w:rPr>
        <w:t>vedayita</w:t>
      </w:r>
      <w:r>
        <w:rPr/>
        <w:t xml:space="preserve">). </w:t>
      </w:r>
      <w:r>
        <w:rPr>
          <w:rStyle w:val="wwc-pali"/>
        </w:rPr>
        <w:t>Saññā</w:t>
      </w:r>
      <w:r>
        <w:rPr/>
        <w:t xml:space="preserve"> has a range of meanings, and one of these is awareness or consciousness in general (</w:t>
      </w:r>
      <w:r>
        <w:rPr>
          <w:rStyle w:val="wwc-sesame-zot-reference"/>
        </w:rPr>
        <w:t>PED</w:t>
      </w:r>
      <w:r>
        <w:rPr/>
        <w:t xml:space="preserve">, </w:t>
      </w:r>
      <w:r>
        <w:rPr>
          <w:rStyle w:val="wwc-sesame-zot-reference"/>
        </w:rPr>
        <w:t>DPD</w:t>
      </w:r>
      <w:r>
        <w:rPr/>
        <w:t xml:space="preserve">). </w:t>
      </w:r>
      <w:r>
        <w:rPr>
          <w:rStyle w:val="wwc-pali"/>
        </w:rPr>
        <w:t>Vedayita</w:t>
      </w:r>
      <w:r>
        <w:rPr/>
        <w:t xml:space="preserve"> is a past participle meaning ‘felt’ or ‘experienced’ (</w:t>
      </w:r>
      <w:r>
        <w:rPr>
          <w:rStyle w:val="wwc-sesame-zot-reference"/>
        </w:rPr>
        <w:t>CPED</w:t>
      </w:r>
      <w:r>
        <w:rPr/>
        <w:t xml:space="preserve">, </w:t>
      </w:r>
      <w:r>
        <w:rPr>
          <w:rStyle w:val="wwc-sesame-zot-reference"/>
        </w:rPr>
        <w:t>PED</w:t>
      </w:r>
      <w:r>
        <w:rPr/>
        <w:t xml:space="preserve">, </w:t>
      </w:r>
      <w:r>
        <w:rPr>
          <w:rStyle w:val="wwc-sesame-zot-reference"/>
        </w:rPr>
        <w:t>DPD</w:t>
      </w:r>
      <w:r>
        <w:rPr/>
        <w:t xml:space="preserve">). While commonly translated as ‘feeling’ in </w:t>
      </w:r>
      <w:r>
        <w:rPr>
          <w:rStyle w:val="wwc-pali"/>
        </w:rPr>
        <w:t>saññāvedayitanirodha</w:t>
      </w:r>
      <w:r>
        <w:rPr/>
        <w:t xml:space="preserve">, it refers not to the </w:t>
      </w:r>
      <w:r>
        <w:rPr>
          <w:rStyle w:val="Emphasis"/>
        </w:rPr>
        <w:t>act</w:t>
      </w:r>
      <w:r>
        <w:rPr/>
        <w:t xml:space="preserve"> of feeling but to that which is felt or experienced.</w:t>
      </w:r>
    </w:p>
  </w:footnote>
  <w:footnote w:id="5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12.51:12.1–24.3</w:t>
      </w:r>
      <w:r>
        <w:rPr>
          <w:rStyle w:val="Hyperlink"/>
        </w:rPr>
        <w:fldChar w:fldCharType="end"/>
      </w:r>
    </w:p>
  </w:footnote>
  <w:footnote w:id="5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59">
    <w:p>
      <w:pPr>
        <w:pStyle w:val="FootnoteText"/>
        <w:rPr/>
      </w:pPr>
      <w:r>
        <w:rPr>
          <w:rStyle w:val="FootnoteCharacters"/>
        </w:rPr>
        <w:footnoteRef/>
      </w:r>
      <w:r>
        <w:rPr/>
        <w:t xml:space="preserve">See also </w:t>
      </w:r>
      <w:r>
        <w:rPr>
          <w:rStyle w:val="wwc-sesame-zot-reference"/>
        </w:rPr>
        <w:t>Norman 1996</w:t>
      </w:r>
    </w:p>
  </w:footnote>
  <w:footnote w:id="560">
    <w:p>
      <w:pPr>
        <w:pStyle w:val="FootnoteText"/>
        <w:rPr/>
      </w:pPr>
      <w:r>
        <w:rPr>
          <w:rStyle w:val="FootnoteCharacters"/>
        </w:rPr>
        <w:footnoteRef/>
      </w:r>
      <w:r>
        <w:rPr>
          <w:rStyle w:val="wwc-sesame"/>
        </w:rPr>
        <w:t>Bodhi 2020, 6. The Unconditioned: The Goal, Introduction</w:t>
      </w:r>
      <w:r>
        <w:rPr/>
        <w:t xml:space="preserve"> and </w:t>
      </w:r>
      <w:r>
        <w:rPr>
          <w:rStyle w:val="wwc-sesame-zot-reference"/>
        </w:rPr>
        <w:t>Bodhi 1979</w:t>
      </w:r>
    </w:p>
  </w:footnote>
  <w:footnote w:id="561">
    <w:p>
      <w:pPr>
        <w:pStyle w:val="FootnoteText"/>
        <w:rPr/>
      </w:pPr>
      <w:r>
        <w:rPr>
          <w:rStyle w:val="FootnoteCharacters"/>
        </w:rPr>
        <w:footnoteRef/>
      </w:r>
      <w:r>
        <w:rPr/>
        <w:t xml:space="preserve">For example </w:t>
      </w:r>
      <w:r>
        <w:rPr>
          <w:rStyle w:val="wwc-sesame-zot-reference"/>
        </w:rPr>
        <w:t>Johansson</w:t>
      </w:r>
      <w:r>
        <w:rPr/>
        <w:t xml:space="preserve"> p.51ff</w:t>
      </w:r>
    </w:p>
  </w:footnote>
  <w:footnote w:id="56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31:8.2</w:t>
      </w:r>
      <w:r>
        <w:rPr>
          <w:rStyle w:val="Hyperlink"/>
        </w:rPr>
        <w:fldChar w:fldCharType="end"/>
      </w:r>
      <w:r>
        <w:rPr/>
        <w:t xml:space="preserve"> </w:t>
      </w:r>
      <w:r>
        <w:rPr>
          <w:rStyle w:val="wwc-PTS-reference"/>
        </w:rPr>
        <w:t>D III 183</w:t>
      </w:r>
    </w:p>
  </w:footnote>
  <w:footnote w:id="563">
    <w:p>
      <w:pPr>
        <w:pStyle w:val="FootnoteText"/>
        <w:rPr/>
      </w:pPr>
      <w:r>
        <w:rPr>
          <w:rStyle w:val="FootnoteCharacters"/>
        </w:rPr>
        <w:footnoteRef/>
      </w:r>
      <w:r>
        <w:rPr>
          <w:rStyle w:val="wwc-sesame-zot-reference"/>
        </w:rPr>
        <w:t>PED</w:t>
      </w:r>
      <w:r>
        <w:rPr/>
        <w:t xml:space="preserve"> and </w:t>
      </w:r>
      <w:r>
        <w:rPr>
          <w:rStyle w:val="wwc-sesame-zot-reference"/>
        </w:rPr>
        <w:t>DPD</w:t>
      </w:r>
    </w:p>
  </w:footnote>
  <w:footnote w:id="5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5.26</w:t>
      </w:r>
      <w:r>
        <w:rPr>
          <w:rStyle w:val="Hyperlink"/>
        </w:rPr>
        <w:fldChar w:fldCharType="end"/>
      </w:r>
    </w:p>
  </w:footnote>
  <w:footnote w:id="5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102:10.1–10.7</w:t>
      </w:r>
      <w:r>
        <w:rPr>
          <w:rStyle w:val="Hyperlink"/>
        </w:rPr>
        <w:fldChar w:fldCharType="end"/>
      </w:r>
      <w:r>
        <w:rPr/>
        <w:t xml:space="preserve"> </w:t>
      </w:r>
      <w:r>
        <w:rPr>
          <w:rStyle w:val="wwc-PTS-reference"/>
        </w:rPr>
        <w:t>M II 233</w:t>
      </w:r>
    </w:p>
  </w:footnote>
  <w:footnote w:id="566">
    <w:p>
      <w:pPr>
        <w:pStyle w:val="FootnoteText"/>
        <w:rPr/>
      </w:pPr>
      <w:r>
        <w:rPr>
          <w:rStyle w:val="FootnoteCharacters"/>
        </w:rPr>
        <w:footnoteRef/>
      </w:r>
      <w:r>
        <w:rPr>
          <w:rStyle w:val="wwc-pali"/>
        </w:rPr>
        <w:t>Veditabbe</w:t>
      </w:r>
      <w:r>
        <w:rPr/>
        <w:t xml:space="preserve"> here means ‘should be understood’, as </w:t>
      </w:r>
      <w:r>
        <w:rPr>
          <w:rStyle w:val="wwc-sesame-zot-reference"/>
        </w:rPr>
        <w:t>Bodhi 2000</w:t>
      </w:r>
      <w:r>
        <w:rPr/>
        <w:t xml:space="preserve"> and </w:t>
      </w:r>
      <w:r>
        <w:rPr>
          <w:rStyle w:val="wwc-sesame-zot-reference"/>
        </w:rPr>
        <w:t>Sujato 2023</w:t>
      </w:r>
      <w:r>
        <w:rPr/>
        <w:t xml:space="preserve">, not ‘should be experienced’ as </w:t>
      </w:r>
      <w:r>
        <w:rPr>
          <w:rStyle w:val="wwc-sesame-zot-reference"/>
        </w:rPr>
        <w:t>Anālayo 2023</w:t>
      </w:r>
      <w:r>
        <w:rPr/>
        <w:t xml:space="preserve"> Chapter II.3. The cessation of the six senses includes the cessation of all feelings/experiences (</w:t>
      </w:r>
      <w:r>
        <w:rPr>
          <w:rStyle w:val="wwc-pali"/>
        </w:rPr>
        <w:t>vedanā</w:t>
      </w:r>
      <w:r>
        <w:rPr/>
        <w:t xml:space="preserve">) and therefore is not something that is experienced. It can, however, be understood. The commentary also understands </w:t>
      </w:r>
      <w:r>
        <w:rPr>
          <w:rStyle w:val="wwc-pali"/>
        </w:rPr>
        <w:t>veditabbe</w:t>
      </w:r>
      <w:r>
        <w:rPr/>
        <w:t xml:space="preserve"> as </w:t>
      </w:r>
      <w:r>
        <w:rPr>
          <w:rStyle w:val="wwc-pali"/>
        </w:rPr>
        <w:t>jānitabba</w:t>
      </w:r>
      <w:r>
        <w:rPr/>
        <w:t xml:space="preserve">, ‘to be understood’. This use of </w:t>
      </w:r>
      <w:r>
        <w:rPr>
          <w:rStyle w:val="wwc-pali"/>
        </w:rPr>
        <w:t>veditabba</w:t>
      </w:r>
      <w:r>
        <w:rPr/>
        <w:t xml:space="preserve"> is common in the discourses.</w:t>
      </w:r>
    </w:p>
  </w:footnote>
  <w:footnote w:id="5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35.117</w:t>
      </w:r>
      <w:r>
        <w:rPr>
          <w:rStyle w:val="Hyperlink"/>
        </w:rPr>
        <w:fldChar w:fldCharType="end"/>
      </w:r>
    </w:p>
  </w:footnote>
  <w:footnote w:id="568">
    <w:p>
      <w:pPr>
        <w:pStyle w:val="FootnoteText"/>
        <w:rPr/>
      </w:pPr>
      <w:r>
        <w:rPr>
          <w:rStyle w:val="FootnoteCharacters"/>
        </w:rPr>
        <w:footnoteRef/>
      </w:r>
      <w:r>
        <w:rPr/>
        <w:t xml:space="preserve">The relative adverb </w:t>
      </w:r>
      <w:r>
        <w:rPr>
          <w:rStyle w:val="wwc-pali"/>
        </w:rPr>
        <w:t>yattha</w:t>
      </w:r>
      <w:r>
        <w:rPr/>
        <w:t xml:space="preserve"> can mean both ‘where’ and ‘when’.</w:t>
      </w:r>
    </w:p>
  </w:footnote>
  <w:footnote w:id="5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70">
    <w:p>
      <w:pPr>
        <w:pStyle w:val="FootnoteText"/>
        <w:rPr/>
      </w:pPr>
      <w:r>
        <w:rPr>
          <w:rStyle w:val="FootnoteCharacters"/>
        </w:rPr>
        <w:footnoteRef/>
      </w:r>
      <w:r>
        <w:rPr>
          <w:rStyle w:val="attention"/>
        </w:rPr>
        <w:t>Brahmāli p.55</w:t>
      </w:r>
    </w:p>
  </w:footnote>
  <w:footnote w:id="571">
    <w:p>
      <w:pPr>
        <w:pStyle w:val="FootnoteText"/>
        <w:rPr/>
      </w:pPr>
      <w:r>
        <w:rPr>
          <w:rStyle w:val="FootnoteCharacters"/>
        </w:rPr>
        <w:footnoteRef/>
      </w:r>
      <w:r>
        <w:rPr>
          <w:rStyle w:val="wwc-sesame-zot-reference"/>
        </w:rPr>
        <w:t>DOP</w:t>
      </w:r>
      <w:r>
        <w:rPr/>
        <w:t xml:space="preserve"> and </w:t>
      </w:r>
      <w:r>
        <w:rPr>
          <w:rStyle w:val="wwc-sesame-zot-reference"/>
        </w:rPr>
        <w:t>PED</w:t>
      </w:r>
    </w:p>
  </w:footnote>
  <w:footnote w:id="5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51</w:t>
      </w:r>
      <w:r>
        <w:rPr>
          <w:rStyle w:val="Hyperlink"/>
        </w:rPr>
        <w:fldChar w:fldCharType="end"/>
      </w:r>
    </w:p>
  </w:footnote>
  <w:footnote w:id="5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5.10:2.1–2.5</w:t>
      </w:r>
      <w:r>
        <w:rPr>
          <w:rStyle w:val="Hyperlink"/>
        </w:rPr>
        <w:fldChar w:fldCharType="end"/>
      </w:r>
    </w:p>
  </w:footnote>
  <w:footnote w:id="5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10.7</w:t>
      </w:r>
      <w:r>
        <w:rPr>
          <w:rStyle w:val="Hyperlink"/>
        </w:rPr>
        <w:fldChar w:fldCharType="end"/>
      </w:r>
    </w:p>
  </w:footnote>
  <w:footnote w:id="575">
    <w:p>
      <w:pPr>
        <w:pStyle w:val="FootnoteText"/>
        <w:rPr/>
      </w:pPr>
      <w:r>
        <w:rPr>
          <w:rStyle w:val="FootnoteCharacters"/>
        </w:rPr>
        <w:footnoteRef/>
      </w:r>
      <w:r>
        <w:rPr/>
        <w:t xml:space="preserve">Contra e.g. </w:t>
      </w:r>
      <w:r>
        <w:rPr>
          <w:rStyle w:val="wwc-sesame-zot-reference"/>
        </w:rPr>
        <w:t>Ñāṇananda 2015</w:t>
      </w:r>
      <w:r>
        <w:rPr/>
        <w:t xml:space="preserve"> p.376. For the Buddha experiencing the formless states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6.15</w:t>
      </w:r>
      <w:r>
        <w:rPr>
          <w:rStyle w:val="Hyperlink"/>
        </w:rPr>
        <w:fldChar w:fldCharType="end"/>
      </w:r>
    </w:p>
  </w:footnote>
  <w:footnote w:id="5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59:16.1–16.6</w:t>
      </w:r>
      <w:r>
        <w:rPr>
          <w:rStyle w:val="Hyperlink"/>
        </w:rPr>
        <w:fldChar w:fldCharType="end"/>
      </w:r>
      <w:r>
        <w:rPr/>
        <w:t xml:space="preserve"> </w:t>
      </w:r>
      <w:r>
        <w:rPr>
          <w:rStyle w:val="wwc-PTS-reference"/>
        </w:rPr>
        <w:t>M I 400</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36.19:16.1–16.6</w:t>
      </w:r>
      <w:r>
        <w:rPr>
          <w:rStyle w:val="Hyperlink"/>
        </w:rPr>
        <w:fldChar w:fldCharType="end"/>
      </w:r>
      <w:r>
        <w:rPr/>
        <w:t>, compare with</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9.34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111:20.1-20.6</w:t>
      </w:r>
      <w:r>
        <w:rPr>
          <w:rStyle w:val="Hyperlink"/>
        </w:rPr>
        <w:fldChar w:fldCharType="end"/>
      </w:r>
      <w:r>
        <w:rPr/>
        <w:t xml:space="preserve"> </w:t>
      </w:r>
      <w:r>
        <w:rPr>
          <w:rStyle w:val="wwc-PTS-reference"/>
        </w:rPr>
        <w:t>M III 28</w:t>
      </w:r>
    </w:p>
  </w:footnote>
  <w:footnote w:id="577">
    <w:p>
      <w:pPr>
        <w:pStyle w:val="FootnoteText"/>
        <w:rPr/>
      </w:pPr>
      <w:r>
        <w:rPr>
          <w:rStyle w:val="FootnoteCharacters"/>
        </w:rPr>
        <w:footnoteRef/>
      </w:r>
      <w:r>
        <w:rPr/>
        <w:t xml:space="preserve">See </w:t>
      </w:r>
      <w:r>
        <w:rPr>
          <w:rStyle w:val="wwc-sesame-zot-reference"/>
        </w:rPr>
        <w:t>Wynne</w:t>
      </w:r>
      <w:r>
        <w:rPr/>
        <w:t xml:space="preserve"> p.100</w:t>
      </w:r>
    </w:p>
  </w:footnote>
  <w:footnote w:id="578">
    <w:p>
      <w:pPr>
        <w:pStyle w:val="FootnoteText"/>
        <w:rPr/>
      </w:pPr>
      <w:r>
        <w:rPr>
          <w:rStyle w:val="FootnoteCharacters"/>
        </w:rPr>
        <w:footnoteRef/>
      </w:r>
      <w:r>
        <w:rPr/>
        <w:t>See Tan: “</w:t>
      </w:r>
      <w:r>
        <w:rPr>
          <w:rStyle w:val="wwc-pali"/>
        </w:rPr>
        <w:t>Appatiṭṭhitaṃ</w:t>
      </w:r>
      <w:r>
        <w:rPr/>
        <w:t xml:space="preserve"> means ‘without […] support for consciousness.’ Hence, there is neither sensing nor knowing.”</w:t>
      </w:r>
    </w:p>
  </w:footnote>
  <w:footnote w:id="57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5.5</w:t>
      </w:r>
      <w:r>
        <w:rPr>
          <w:rStyle w:val="Hyperlink"/>
        </w:rPr>
        <w:fldChar w:fldCharType="end"/>
      </w:r>
    </w:p>
  </w:footnote>
  <w:footnote w:id="580">
    <w:p>
      <w:pPr>
        <w:pStyle w:val="FootnoteText"/>
        <w:rPr/>
      </w:pPr>
      <w:r>
        <w:rPr>
          <w:rStyle w:val="FootnoteCharacters"/>
        </w:rPr>
        <w:footnoteRef/>
      </w:r>
      <w:r>
        <w:rPr/>
        <w:t xml:space="preserve">Nicholas Rescher (tr.), </w:t>
      </w:r>
      <w:r>
        <w:rPr>
          <w:rStyle w:val="Emphasis"/>
        </w:rPr>
        <w:t>Al-Fārābī’s Short Commentary on Aristotle’s Prior Analytics</w:t>
      </w:r>
      <w:r>
        <w:rPr/>
        <w:t>, p.49</w:t>
      </w:r>
    </w:p>
  </w:footnote>
  <w:footnote w:id="581">
    <w:p>
      <w:pPr>
        <w:pStyle w:val="FootnoteText"/>
        <w:rPr/>
      </w:pPr>
      <w:r>
        <w:rPr>
          <w:rStyle w:val="FootnoteCharacters"/>
        </w:rPr>
        <w:footnoteRef/>
      </w:r>
      <w:hyperlink w:anchor="bqseg7">
        <w:r>
          <w:rPr>
            <w:rStyle w:val="Hyperlink"/>
          </w:rPr>
          <w:t>§7</w:t>
        </w:r>
      </w:hyperlink>
    </w:p>
  </w:footnote>
  <w:footnote w:id="582">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115">
        <w:r>
          <w:rPr>
            <w:rStyle w:val="Hyperlink"/>
          </w:rPr>
          <w:t>§115</w:t>
        </w:r>
      </w:hyperlink>
    </w:p>
  </w:footnote>
  <w:footnote w:id="583">
    <w:p>
      <w:pPr>
        <w:pStyle w:val="FootnoteText"/>
        <w:rPr/>
      </w:pPr>
      <w:r>
        <w:rPr>
          <w:rStyle w:val="FootnoteCharacters"/>
        </w:rPr>
        <w:footnoteRef/>
      </w:r>
      <w:hyperlink w:anchor="bqseg76">
        <w:r>
          <w:rPr>
            <w:rStyle w:val="Hyperlink"/>
          </w:rPr>
          <w:t>§76</w:t>
        </w:r>
      </w:hyperlink>
      <w:r>
        <w:rPr/>
        <w:t xml:space="preserve">, </w:t>
      </w:r>
      <w:hyperlink w:anchor="bqseg78">
        <w:r>
          <w:rPr>
            <w:rStyle w:val="Hyperlink"/>
          </w:rPr>
          <w:t>§78</w:t>
        </w:r>
      </w:hyperlink>
      <w:r>
        <w:rPr/>
        <w:t xml:space="preserve">, </w:t>
      </w:r>
      <w:hyperlink w:anchor="bqseg118">
        <w:r>
          <w:rPr>
            <w:rStyle w:val="Hyperlink"/>
          </w:rPr>
          <w:t>§118</w:t>
        </w:r>
      </w:hyperlink>
    </w:p>
  </w:footnote>
  <w:footnote w:id="584">
    <w:p>
      <w:pPr>
        <w:pStyle w:val="FootnoteText"/>
        <w:rPr/>
      </w:pPr>
      <w:r>
        <w:rPr>
          <w:rStyle w:val="FootnoteCharacters"/>
        </w:rPr>
        <w:footnoteRef/>
      </w:r>
      <w:hyperlink w:anchor="bqseg80">
        <w:r>
          <w:rPr>
            <w:rStyle w:val="Hyperlink"/>
          </w:rPr>
          <w:t>§80</w:t>
        </w:r>
      </w:hyperlink>
      <w:r>
        <w:rPr/>
        <w:t xml:space="preserve">, </w:t>
      </w:r>
      <w:hyperlink w:anchor="bqseg81">
        <w:r>
          <w:rPr>
            <w:rStyle w:val="Hyperlink"/>
          </w:rPr>
          <w:t>§81</w:t>
        </w:r>
      </w:hyperlink>
    </w:p>
  </w:footnote>
  <w:footnote w:id="585">
    <w:p>
      <w:pPr>
        <w:pStyle w:val="FootnoteText"/>
        <w:rPr/>
      </w:pPr>
      <w:r>
        <w:rPr>
          <w:rStyle w:val="FootnoteCharacters"/>
        </w:rPr>
        <w:footnoteRef/>
      </w:r>
      <w:hyperlink w:anchor="bqseg68">
        <w:r>
          <w:rPr>
            <w:rStyle w:val="Hyperlink"/>
          </w:rPr>
          <w:t>§68</w:t>
        </w:r>
      </w:hyperlink>
    </w:p>
  </w:footnote>
  <w:footnote w:id="586">
    <w:p>
      <w:pPr>
        <w:pStyle w:val="FootnoteText"/>
        <w:rPr/>
      </w:pPr>
      <w:r>
        <w:rPr>
          <w:rStyle w:val="FootnoteCharacters"/>
        </w:rPr>
        <w:footnoteRef/>
      </w:r>
      <w:hyperlink w:anchor="bqseg76">
        <w:r>
          <w:rPr>
            <w:rStyle w:val="Hyperlink"/>
          </w:rPr>
          <w:t>§76</w:t>
        </w:r>
      </w:hyperlink>
    </w:p>
  </w:footnote>
  <w:footnote w:id="587">
    <w:p>
      <w:pPr>
        <w:pStyle w:val="FootnoteText"/>
        <w:rPr/>
      </w:pPr>
      <w:r>
        <w:rPr>
          <w:rStyle w:val="FootnoteCharacters"/>
        </w:rPr>
        <w:footnoteRef/>
      </w:r>
      <w:hyperlink w:anchor="bqseg57">
        <w:r>
          <w:rPr>
            <w:rStyle w:val="Hyperlink"/>
          </w:rPr>
          <w:t>§57</w:t>
        </w:r>
      </w:hyperlink>
    </w:p>
  </w:footnote>
  <w:footnote w:id="588">
    <w:p>
      <w:pPr>
        <w:pStyle w:val="FootnoteText"/>
        <w:rPr/>
      </w:pPr>
      <w:r>
        <w:rPr>
          <w:rStyle w:val="FootnoteCharacters"/>
        </w:rPr>
        <w:footnoteRef/>
      </w:r>
      <w:hyperlink w:anchor="bqseg23">
        <w:r>
          <w:rPr>
            <w:rStyle w:val="Hyperlink"/>
          </w:rPr>
          <w:t>§23</w:t>
        </w:r>
      </w:hyperlink>
      <w:r>
        <w:rPr/>
        <w:t xml:space="preserve">, </w:t>
      </w:r>
      <w:hyperlink w:anchor="bqseg53">
        <w:r>
          <w:rPr>
            <w:rStyle w:val="Hyperlink"/>
          </w:rPr>
          <w:t>§53</w:t>
        </w:r>
      </w:hyperlink>
      <w:r>
        <w:rPr/>
        <w:t xml:space="preserve">, </w:t>
      </w:r>
      <w:hyperlink w:anchor="bqseg54">
        <w:r>
          <w:rPr>
            <w:rStyle w:val="Hyperlink"/>
          </w:rPr>
          <w:t>§54</w:t>
        </w:r>
      </w:hyperlink>
      <w:r>
        <w:rPr/>
        <w:t xml:space="preserve">, </w:t>
      </w:r>
      <w:hyperlink w:anchor="bqseg71">
        <w:r>
          <w:rPr>
            <w:rStyle w:val="Hyperlink"/>
          </w:rPr>
          <w:t>§71</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89">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90">
    <w:p>
      <w:pPr>
        <w:pStyle w:val="FootnoteText"/>
        <w:rPr/>
      </w:pPr>
      <w:r>
        <w:rPr>
          <w:rStyle w:val="FootnoteCharacters"/>
        </w:rPr>
        <w:footnoteRef/>
      </w:r>
      <w:hyperlink w:anchor="bqseg142">
        <w:r>
          <w:rPr>
            <w:rStyle w:val="Hyperlink"/>
          </w:rPr>
          <w:t>§142</w:t>
        </w:r>
      </w:hyperlink>
    </w:p>
  </w:footnote>
  <w:footnote w:id="591">
    <w:p>
      <w:pPr>
        <w:pStyle w:val="FootnoteText"/>
        <w:rPr/>
      </w:pPr>
      <w:r>
        <w:rPr>
          <w:rStyle w:val="FootnoteCharacters"/>
        </w:rPr>
        <w:footnoteRef/>
      </w:r>
      <w:hyperlink w:anchor="bqseg84">
        <w:r>
          <w:rPr>
            <w:rStyle w:val="Hyperlink"/>
          </w:rPr>
          <w:t>§84</w:t>
        </w:r>
      </w:hyperlink>
    </w:p>
  </w:footnote>
  <w:footnote w:id="5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7.67:17.1–17.6</w:t>
      </w:r>
      <w:r>
        <w:rPr>
          <w:rStyle w:val="Hyperlink"/>
        </w:rPr>
        <w:fldChar w:fldCharType="end"/>
      </w:r>
    </w:p>
  </w:footnote>
  <w:footnote w:id="5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15:1.3–1.8</w:t>
      </w:r>
      <w:r>
        <w:rPr>
          <w:rStyle w:val="Hyperlink"/>
        </w:rPr>
        <w:fldChar w:fldCharType="end"/>
      </w:r>
      <w:r>
        <w:rPr/>
        <w:t xml:space="preserve"> </w:t>
      </w:r>
      <w:r>
        <w:rPr>
          <w:rStyle w:val="wwc-PTS-reference"/>
        </w:rPr>
        <w:t>D II 55</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MN 26:19.2</w:t>
      </w:r>
      <w:r>
        <w:rPr>
          <w:rStyle w:val="Hyperlink"/>
        </w:rPr>
        <w:fldChar w:fldCharType="end"/>
      </w:r>
      <w:r>
        <w:rPr/>
        <w:t xml:space="preserve"> </w:t>
      </w:r>
      <w:r>
        <w:rPr>
          <w:rStyle w:val="wwc-PTS-reference"/>
        </w:rPr>
        <w:t>M I 167</w:t>
      </w:r>
    </w:p>
  </w:footnote>
  <w:footnote w:id="5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48.50:5.2</w:t>
      </w:r>
      <w:r>
        <w:rPr>
          <w:rStyle w:val="Hyperlink"/>
        </w:rPr>
        <w:fldChar w:fldCharType="end"/>
      </w:r>
    </w:p>
  </w:footnote>
  <w:footnote w:id="59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56.11:11.2</w:t>
      </w:r>
      <w:r>
        <w:rPr>
          <w:rStyle w:val="Hyperlink"/>
        </w:rPr>
        <w:fldChar w:fldCharType="end"/>
      </w:r>
    </w:p>
  </w:footnote>
  <w:footnote w:id="5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22.122</w:t>
      </w:r>
      <w:r>
        <w:rPr>
          <w:rStyle w:val="Hyperlink"/>
        </w:rPr>
        <w:fldChar w:fldCharType="end"/>
      </w:r>
    </w:p>
  </w:footnote>
  <w:footnote w:id="597">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10.92</w:t>
      </w:r>
      <w:r>
        <w:rPr>
          <w:rStyle w:val="Hyperlink"/>
        </w:rPr>
        <w:fldChar w:fldCharType="end"/>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4">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6">
    <w:lvl w:ilvl="0">
      <w:start w:val="1"/>
      <w:numFmt w:val="upp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upperRoman"/>
      <w:lvlText w:val="%3."/>
      <w:lvlJc w:val="end"/>
      <w:pPr>
        <w:tabs>
          <w:tab w:val="num" w:pos="2262"/>
        </w:tabs>
        <w:ind w:start="2262" w:hanging="174"/>
      </w:pPr>
      <w:rPr/>
    </w:lvl>
    <w:lvl w:ilvl="3">
      <w:start w:val="1"/>
      <w:numFmt w:val="upperRoman"/>
      <w:lvlText w:val="%4."/>
      <w:lvlJc w:val="end"/>
      <w:pPr>
        <w:tabs>
          <w:tab w:val="num" w:pos="3016"/>
        </w:tabs>
        <w:ind w:start="3016" w:hanging="174"/>
      </w:pPr>
      <w:rPr/>
    </w:lvl>
    <w:lvl w:ilvl="4">
      <w:start w:val="1"/>
      <w:numFmt w:val="upperRoman"/>
      <w:lvlText w:val="%5."/>
      <w:lvlJc w:val="end"/>
      <w:pPr>
        <w:tabs>
          <w:tab w:val="num" w:pos="3771"/>
        </w:tabs>
        <w:ind w:start="3771" w:hanging="174"/>
      </w:pPr>
      <w:rPr/>
    </w:lvl>
    <w:lvl w:ilvl="5">
      <w:start w:val="1"/>
      <w:numFmt w:val="upperRoman"/>
      <w:lvlText w:val="%6."/>
      <w:lvlJc w:val="end"/>
      <w:pPr>
        <w:tabs>
          <w:tab w:val="num" w:pos="4525"/>
        </w:tabs>
        <w:ind w:start="4525" w:hanging="174"/>
      </w:pPr>
      <w:rPr/>
    </w:lvl>
    <w:lvl w:ilvl="6">
      <w:start w:val="1"/>
      <w:numFmt w:val="upperRoman"/>
      <w:lvlText w:val="%7."/>
      <w:lvlJc w:val="end"/>
      <w:pPr>
        <w:tabs>
          <w:tab w:val="num" w:pos="5279"/>
        </w:tabs>
        <w:ind w:start="5279" w:hanging="174"/>
      </w:pPr>
      <w:rPr/>
    </w:lvl>
    <w:lvl w:ilvl="7">
      <w:start w:val="1"/>
      <w:numFmt w:val="upperRoman"/>
      <w:lvlText w:val="%8."/>
      <w:lvlJc w:val="end"/>
      <w:pPr>
        <w:tabs>
          <w:tab w:val="num" w:pos="6033"/>
        </w:tabs>
        <w:ind w:start="6033" w:hanging="174"/>
      </w:pPr>
      <w:rPr/>
    </w:lvl>
    <w:lvl w:ilvl="8">
      <w:start w:val="1"/>
      <w:numFmt w:val="upperRoman"/>
      <w:lvlText w:val="%9."/>
      <w:lvlJc w:val="end"/>
      <w:pPr>
        <w:tabs>
          <w:tab w:val="num" w:pos="6787"/>
        </w:tabs>
        <w:ind w:start="6787" w:hanging="174"/>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85"/>
  <w:defaultTabStop w:val="709"/>
  <w:autoHyphenation w:val="true"/>
  <w:hyphenationZone w:val="0"/>
  <w:footnotePr>
    <w:numFmt w:val="decimal"/>
    <w:footnote w:id="0"/>
    <w:footnote w:id="1"/>
  </w:footnotePr>
  <w:compat>
    <w:doNotBreakWrappedTables/>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pBdr>
        <w:top w:val="single" w:sz="24" w:space="74" w:color="000000"/>
        <w:left w:val="single" w:sz="24" w:space="74" w:color="000000"/>
        <w:bottom w:val="single" w:sz="24" w:space="74" w:color="000000"/>
        <w:right w:val="single" w:sz="24" w:space="74" w:color="000000"/>
      </w:pBdr>
      <w:suppressAutoHyphens w:val="true"/>
      <w:kinsoku w:val="true"/>
      <w:overflowPunct w:val="true"/>
      <w:autoSpaceDE w:val="true"/>
      <w:bidi w:val="0"/>
      <w:spacing w:before="0" w:after="0"/>
      <w:jc w:val="start"/>
    </w:pPr>
    <w:rPr>
      <w:rFonts w:ascii="Liberation Serif" w:hAnsi="Liberation Serif" w:eastAsia="NSimSun" w:cs="Lucida Sans"/>
      <w:color w:val="FFFFFF"/>
      <w:kern w:val="2"/>
      <w:sz w:val="24"/>
      <w:szCs w:val="24"/>
      <w:shd w:fill="ED4C05" w:val="clear"/>
      <w:lang w:val="en-GB" w:eastAsia="zh-CN" w:bidi="hi-IN"/>
    </w:rPr>
  </w:style>
  <w:style w:type="paragraph" w:styleId="Heading1">
    <w:name w:val="heading 1"/>
    <w:basedOn w:val="Normal"/>
    <w:next w:val="Normal"/>
    <w:qFormat/>
    <w:pPr>
      <w:keepNext w:val="true"/>
      <w:keepLines/>
      <w:pageBreakBefore/>
      <w:numPr>
        <w:ilvl w:val="0"/>
        <w:numId w:val="0"/>
      </w:numPr>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numPr>
        <w:ilvl w:val="0"/>
        <w:numId w:val="0"/>
      </w:numPr>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numPr>
        <w:ilvl w:val="0"/>
        <w:numId w:val="0"/>
      </w:numPr>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numPr>
        <w:ilvl w:val="0"/>
        <w:numId w:val="0"/>
      </w:numPr>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numPr>
        <w:ilvl w:val="0"/>
        <w:numId w:val="0"/>
      </w:numPr>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numPr>
        <w:ilvl w:val="0"/>
        <w:numId w:val="0"/>
      </w:numPr>
      <w:suppressAutoHyphens w:val="true"/>
      <w:kinsoku w:val="true"/>
      <w:overflowPunct w:val="true"/>
      <w:autoSpaceDE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Hyperlink">
    <w:name w:val="Hyperlink"/>
    <w:rPr>
      <w:color w:val="3465A4"/>
      <w:u w:val="none"/>
      <w:shd w:fill="FFFF38" w:val="clear"/>
    </w:rPr>
  </w:style>
  <w:style w:type="character" w:styleId="FollowedHyperlink">
    <w:name w:val="FollowedHyperlink"/>
    <w:rPr>
      <w:rFonts w:ascii="Calibri" w:hAnsi="Calibri"/>
      <w:color w:val="168253"/>
      <w:sz w:val="20"/>
      <w:u w:val="non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shd w:fill="F1E8F8" w:val="clear"/>
    </w:rPr>
  </w:style>
  <w:style w:type="character" w:styleId="NumberingSymbols">
    <w:name w:val="Numbering Symbols"/>
    <w:qFormat/>
    <w:rPr/>
  </w:style>
  <w:style w:type="character" w:styleId="SourceText">
    <w:name w:val="Source Text"/>
    <w:qFormat/>
    <w:rPr>
      <w:rFonts w:ascii="Liberation Mono;Courier New" w:hAnsi="Liberation Mono;Courier New" w:eastAsia="NSimSun" w:cs="Liberation Mono;Courier New"/>
      <w:b/>
      <w:sz w:val="20"/>
    </w:rPr>
  </w:style>
  <w:style w:type="character" w:styleId="wwc-pali">
    <w:name w:val="wwc-pali"/>
    <w:qFormat/>
    <w:rPr>
      <w:i/>
      <w:color w:val="127622"/>
      <w:shd w:fill="F6F9D4" w:val="clear"/>
    </w:rPr>
  </w:style>
  <w:style w:type="character" w:styleId="wwc-sesame-zot-reference">
    <w:name w:val="wwc-sesame-zot-reference"/>
    <w:qFormat/>
    <w:rPr>
      <w:position w:val="0"/>
      <w:sz w:val="24"/>
      <w:sz w:val="24"/>
      <w:shd w:fill="FFF8E1" w:val="clear"/>
      <w:vertAlign w:val="baseline"/>
    </w:rPr>
  </w:style>
  <w:style w:type="character" w:styleId="wwc-sesame">
    <w:name w:val="wwc-sesame"/>
    <w:qFormat/>
    <w:rPr>
      <w:kern w:val="0"/>
      <w:shd w:fill="FCE4EC" w:val="clear"/>
    </w:rPr>
  </w:style>
  <w:style w:type="character" w:styleId="wwc-PTS-reference">
    <w:name w:val="wwc-PTS-reference"/>
    <w:qFormat/>
    <w:rPr>
      <w:color w:val="757575"/>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trong">
    <w:name w:val="Strong"/>
    <w:qFormat/>
    <w:rPr>
      <w:b/>
      <w:bCs/>
      <w:shd w:fill="F1E8F8" w:val="clear"/>
    </w:rPr>
  </w:style>
  <w:style w:type="character" w:styleId="internal-reference">
    <w:name w:val="internal-reference"/>
    <w:qFormat/>
    <w:rPr>
      <w:kern w:val="2"/>
      <w:bdr w:val="single" w:sz="2" w:space="0" w:color="000000"/>
      <w:shd w:fill="C9211E" w:val="clear"/>
    </w:rPr>
  </w:style>
  <w:style w:type="character" w:styleId="wwc-german">
    <w:name w:val="wwc-german"/>
    <w:qFormat/>
    <w:rPr>
      <w:kern w:val="2"/>
      <w:shd w:fill="EEEEEE" w:val="clear"/>
    </w:rPr>
  </w:style>
  <w:style w:type="character" w:styleId="wwc-italian">
    <w:name w:val="wwc-italian"/>
    <w:qFormat/>
    <w:rPr>
      <w:rFonts w:ascii="Liberation Serif" w:hAnsi="Liberation Serif" w:eastAsia="NSimSun" w:cs="Lucida Sans"/>
      <w:color w:val="000000"/>
      <w:kern w:val="2"/>
      <w:sz w:val="20"/>
      <w:szCs w:val="20"/>
      <w:shd w:fill="EEEEEE" w:val="clear"/>
      <w:lang w:val="en-GB" w:eastAsia="zh-CN" w:bidi="hi-IN"/>
    </w:rPr>
  </w:style>
  <w:style w:type="character" w:styleId="wwc-spanish">
    <w:name w:val="wwc-spanish"/>
    <w:qFormat/>
    <w:rPr>
      <w:rFonts w:ascii="Liberation Serif" w:hAnsi="Liberation Serif" w:eastAsia="NSimSun" w:cs="Lucida Sans"/>
      <w:color w:val="000000"/>
      <w:kern w:val="2"/>
      <w:sz w:val="20"/>
      <w:szCs w:val="20"/>
      <w:shd w:fill="EEEEEE" w:val="clear"/>
      <w:lang w:val="en-GB" w:eastAsia="zh-CN" w:bidi="hi-IN"/>
    </w:rPr>
  </w:style>
  <w:style w:type="character" w:styleId="attention">
    <w:name w:val="attention"/>
    <w:basedOn w:val="internal-reference"/>
    <w:qFormat/>
    <w:rPr>
      <w:rFonts w:ascii="Liberation Serif" w:hAnsi="Liberation Serif" w:eastAsia="NSimSun" w:cs="Lucida Sans"/>
      <w:color w:val="FF0000"/>
      <w:kern w:val="2"/>
      <w:sz w:val="24"/>
      <w:szCs w:val="24"/>
      <w:shd w:fill="3A1A0F" w:val="clear"/>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kinsoku w:val="true"/>
      <w:overflowPunct w:val="true"/>
      <w:autoSpaceDE w:val="tru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epigram">
    <w:name w:val="WW-epigram"/>
    <w:qFormat/>
    <w:pPr>
      <w:widowControl/>
      <w:suppressAutoHyphens w:val="true"/>
      <w:kinsoku w:val="true"/>
      <w:overflowPunct w:val="true"/>
      <w:autoSpaceDE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kinsoku w:val="true"/>
      <w:overflowPunct w:val="true"/>
      <w:autoSpaceDE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numPr>
        <w:ilvl w:val="0"/>
        <w:numId w:val="0"/>
      </w:numPr>
      <w:suppressAutoHyphens w:val="true"/>
      <w:kinsoku w:val="true"/>
      <w:overflowPunct w:val="true"/>
      <w:autoSpaceDE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kinsoku w:val="true"/>
      <w:overflowPunct w:val="true"/>
      <w:autoSpaceDE w:val="true"/>
      <w:bidi w:val="0"/>
      <w:spacing w:before="0" w:after="0"/>
      <w:ind w:hanging="340" w:start="340"/>
      <w:jc w:val="start"/>
    </w:pPr>
    <w:rPr>
      <w:rFonts w:ascii="Liberation Serif" w:hAnsi="Liberation Serif" w:eastAsia="NSimSun" w:cs="Lucida Sans"/>
      <w:color w:val="auto"/>
      <w:kern w:val="2"/>
      <w:sz w:val="24"/>
      <w:szCs w:val="24"/>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fill="FAFAFA" w:val="clear"/>
      <w:suppressAutoHyphens w:val="true"/>
      <w:kinsoku w:val="true"/>
      <w:overflowPunct w:val="true"/>
      <w:autoSpaceDE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kinsoku w:val="true"/>
      <w:overflowPunct w:val="true"/>
      <w:autoSpaceDE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kinsoku w:val="true"/>
      <w:overflowPunct w:val="true"/>
      <w:autoSpaceDE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kinsoku w:val="true"/>
      <w:overflowPunct w:val="true"/>
      <w:autoSpaceDE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shd w:fill="455A64" w:val="clear"/>
      <w:suppressAutoHyphens w:val="true"/>
      <w:kinsoku w:val="true"/>
      <w:overflowPunct w:val="true"/>
      <w:autoSpaceDE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shd w:fill="455A64" w:val="clear"/>
      <w:suppressAutoHyphens w:val="true"/>
      <w:kinsoku w:val="true"/>
      <w:overflowPunct w:val="true"/>
      <w:autoSpaceDE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epigram-image">
    <w:name w:val="WW-epigram-image"/>
    <w:qFormat/>
    <w:pPr>
      <w:widowControl/>
      <w:shd w:fill="455A64" w:val="clear"/>
      <w:suppressAutoHyphens w:val="true"/>
      <w:kinsoku w:val="true"/>
      <w:overflowPunct w:val="true"/>
      <w:autoSpaceDE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shd w:fill="455A64" w:val="clear"/>
      <w:suppressAutoHyphens w:val="true"/>
      <w:kinsoku w:val="true"/>
      <w:overflowPunct w:val="true"/>
      <w:autoSpaceDE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kinsoku w:val="true"/>
      <w:overflowPunct w:val="true"/>
      <w:autoSpaceDE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fill="E0E0E0" w:val="clear"/>
      <w:suppressAutoHyphens w:val="true"/>
      <w:kinsoku w:val="true"/>
      <w:overflowPunct w:val="true"/>
      <w:autoSpaceDE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fill="F5F5F5" w:val="clear"/>
      <w:suppressAutoHyphens w:val="true"/>
      <w:kinsoku w:val="true"/>
      <w:overflowPunct w:val="true"/>
      <w:autoSpaceDE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shd w:fill="455A64" w:val="clear"/>
      <w:suppressAutoHyphens w:val="true"/>
      <w:kinsoku w:val="true"/>
      <w:overflowPunct w:val="true"/>
      <w:autoSpaceDE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kinsoku w:val="true"/>
      <w:overflowPunct w:val="true"/>
      <w:autoSpaceDE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kinsoku w:val="true"/>
      <w:overflowPunct w:val="true"/>
      <w:autoSpaceDE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fill="FAFAFA" w:val="clear"/>
      <w:suppressAutoHyphens w:val="true"/>
      <w:kinsoku w:val="true"/>
      <w:overflowPunct w:val="true"/>
      <w:autoSpaceDE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shd w:fill="455A64" w:val="clear"/>
      <w:suppressAutoHyphens w:val="true"/>
      <w:kinsoku w:val="true"/>
      <w:overflowPunct w:val="true"/>
      <w:autoSpaceDE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kinsoku w:val="true"/>
      <w:overflowPunct w:val="true"/>
      <w:autoSpaceDE w:val="tru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kinsoku w:val="true"/>
      <w:overflowPunct w:val="true"/>
      <w:autoSpaceDE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pPr>
      <w:widowControl/>
      <w:pBdr>
        <w:top w:val="single" w:sz="2" w:space="20" w:color="000000"/>
        <w:left w:val="single" w:sz="2" w:space="20" w:color="000000"/>
        <w:bottom w:val="single" w:sz="2" w:space="20" w:color="000000"/>
        <w:right w:val="single" w:sz="2" w:space="20" w:color="000000"/>
      </w:pBdr>
      <w:tabs>
        <w:tab w:val="clear" w:pos="709"/>
        <w:tab w:val="center" w:pos="4513" w:leader="none"/>
        <w:tab w:val="right" w:pos="9026" w:leader="none"/>
      </w:tabs>
      <w:suppressAutoHyphens w:val="true"/>
      <w:kinsoku w:val="true"/>
      <w:overflowPunct w:val="true"/>
      <w:autoSpaceDE w:val="true"/>
      <w:bidi w:val="0"/>
      <w:spacing w:lineRule="auto" w:line="240" w:before="0" w:after="0"/>
      <w:jc w:val="start"/>
    </w:pPr>
    <w:rPr>
      <w:rFonts w:ascii="Liberation Serif" w:hAnsi="Liberation Serif" w:eastAsia="NSimSun" w:cs="Lucida Sans"/>
      <w:color w:val="FF1493"/>
      <w:kern w:val="2"/>
      <w:sz w:val="24"/>
      <w:szCs w:val="24"/>
      <w:u w:val="thick"/>
      <w:shd w:fill="D4EA6B" w:val="clear"/>
      <w:lang w:val="en-GB" w:eastAsia="zh-CN" w:bidi="hi-IN"/>
    </w:rPr>
  </w:style>
  <w:style w:type="paragraph" w:styleId="Footer">
    <w:name w:val="footer"/>
    <w:pPr>
      <w:widowControl/>
      <w:suppressAutoHyphens w:val="true"/>
      <w:kinsoku w:val="true"/>
      <w:overflowPunct w:val="true"/>
      <w:autoSpaceDE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kinsoku w:val="true"/>
      <w:overflowPunct w:val="true"/>
      <w:autoSpaceDE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kinsoku w:val="true"/>
      <w:overflowPunct w:val="true"/>
      <w:autoSpaceDE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kinsoku w:val="true"/>
      <w:overflowPunct w:val="true"/>
      <w:autoSpaceDE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WW-instruction-list">
    <w:name w:val="WW-instruction-list"/>
    <w:qFormat/>
    <w:pPr>
      <w:widowControl/>
      <w:shd w:fill="E8EAF6" w:val="clear"/>
      <w:suppressAutoHyphens w:val="true"/>
      <w:kinsoku w:val="true"/>
      <w:overflowPunct w:val="true"/>
      <w:autoSpaceDE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fill="EDE7F6" w:val="clear"/>
      <w:suppressAutoHyphens w:val="true"/>
      <w:kinsoku w:val="true"/>
      <w:overflowPunct w:val="true"/>
      <w:autoSpaceDE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WW-epigram-2-cite">
    <w:name w:val="WW-epigram-2-cite"/>
    <w:next w:val="WW-paragraph"/>
    <w:qFormat/>
    <w:pPr>
      <w:widowControl/>
      <w:suppressAutoHyphens w:val="true"/>
      <w:kinsoku w:val="true"/>
      <w:overflowPunct w:val="true"/>
      <w:autoSpaceDE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kinsoku w:val="true"/>
      <w:overflowPunct w:val="true"/>
      <w:autoSpaceDE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kinsoku w:val="true"/>
      <w:overflowPunct w:val="true"/>
      <w:autoSpaceDE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kinsoku w:val="true"/>
      <w:overflowPunct w:val="true"/>
      <w:autoSpaceDE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fill="F5F5F5" w:val="clear"/>
      <w:suppressAutoHyphens w:val="true"/>
      <w:kinsoku w:val="true"/>
      <w:overflowPunct w:val="true"/>
      <w:autoSpaceDE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numPr>
        <w:ilvl w:val="0"/>
        <w:numId w:val="0"/>
      </w:numPr>
      <w:suppressAutoHyphens w:val="true"/>
      <w:kinsoku w:val="true"/>
      <w:overflowPunct w:val="true"/>
      <w:autoSpaceDE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shd w:fill="455A64" w:val="clear"/>
      <w:suppressAutoHyphens w:val="true"/>
      <w:kinsoku w:val="true"/>
      <w:overflowPunct w:val="false"/>
      <w:autoSpaceDE w:val="tru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kinsoku w:val="true"/>
      <w:overflowPunct w:val="false"/>
      <w:autoSpaceDE w:val="tru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kinsoku w:val="true"/>
      <w:overflowPunct w:val="true"/>
      <w:autoSpaceDE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kinsoku w:val="true"/>
      <w:overflowPunct w:val="true"/>
      <w:autoSpaceDE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kinsoku w:val="true"/>
      <w:overflowPunct w:val="true"/>
      <w:autoSpaceDE w:val="true"/>
      <w:bidi w:val="0"/>
      <w:spacing w:before="170" w:after="57"/>
      <w:ind w:start="0"/>
      <w:jc w:val="start"/>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kinsoku w:val="true"/>
      <w:overflowPunct w:val="true"/>
      <w:autoSpaceDE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fill="EDE7F6" w:val="clear"/>
      <w:spacing w:before="170" w:after="170"/>
    </w:pPr>
    <w:rPr>
      <w:b/>
    </w:rPr>
  </w:style>
  <w:style w:type="paragraph" w:styleId="WW-caption-centered-sans">
    <w:name w:val="WW-caption-centered-sans"/>
    <w:qFormat/>
    <w:pPr>
      <w:widowControl/>
      <w:suppressAutoHyphens w:val="true"/>
      <w:kinsoku w:val="true"/>
      <w:overflowPunct w:val="true"/>
      <w:autoSpaceDE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kinsoku w:val="true"/>
      <w:overflowPunct w:val="true"/>
      <w:autoSpaceDE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kinsoku w:val="true"/>
      <w:overflowPunct w:val="true"/>
      <w:autoSpaceDE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Comment">
    <w:name w:val="Comment"/>
    <w:basedOn w:val="Normal"/>
    <w:qFormat/>
    <w:pPr>
      <w:spacing w:before="56" w:after="0"/>
      <w:ind w:start="56" w:end="56"/>
    </w:pPr>
    <w:rPr>
      <w:sz w:val="20"/>
      <w:szCs w:val="20"/>
    </w:rPr>
  </w:style>
  <w:style w:type="paragraph" w:styleId="WW-additional-info">
    <w:name w:val="WW-additional-info"/>
    <w:qFormat/>
    <w:pPr>
      <w:widowControl/>
      <w:suppressAutoHyphens w:val="true"/>
      <w:kinsoku w:val="true"/>
      <w:overflowPunct w:val="true"/>
      <w:autoSpaceDE w:val="true"/>
      <w:bidi w:val="0"/>
      <w:spacing w:before="0" w:after="0"/>
      <w:jc w:val="start"/>
    </w:pPr>
    <w:rPr>
      <w:rFonts w:ascii="Liberation Serif" w:hAnsi="Liberation Serif" w:eastAsia="NSimSun" w:cs="Lucida Sans"/>
      <w:b w:val="false"/>
      <w:bCs/>
      <w:color w:val="auto"/>
      <w:kern w:val="2"/>
      <w:sz w:val="24"/>
      <w:szCs w:val="24"/>
      <w:lang w:val="en-GB" w:eastAsia="zh-CN" w:bidi="hi-IN"/>
    </w:rPr>
  </w:style>
  <w:style w:type="paragraph" w:styleId="WW-additional-info-title">
    <w:name w:val="WW-additional-info-title"/>
    <w:qFormat/>
    <w:pPr>
      <w:widowControl/>
      <w:suppressAutoHyphens w:val="true"/>
      <w:kinsoku w:val="true"/>
      <w:overflowPunct w:val="true"/>
      <w:autoSpaceDE w:val="true"/>
      <w:bidi w:val="0"/>
      <w:spacing w:before="170" w:after="170"/>
      <w:ind w:start="0"/>
      <w:jc w:val="start"/>
    </w:pPr>
    <w:rPr>
      <w:rFonts w:ascii="Liberation Serif" w:hAnsi="Liberation Serif" w:eastAsia="NSimSun" w:cs="Lucida Sans"/>
      <w:b/>
      <w:smallCaps/>
      <w:color w:val="auto"/>
      <w:kern w:val="2"/>
      <w:sz w:val="24"/>
      <w:szCs w:val="24"/>
      <w:lang w:val="en-GB" w:eastAsia="zh-CN" w:bidi="hi-IN"/>
    </w:rPr>
  </w:style>
  <w:style w:type="paragraph" w:styleId="WW-part">
    <w:name w:val="WW-part"/>
    <w:basedOn w:val="WW-paragraph"/>
    <w:qFormat/>
    <w:pPr>
      <w:numPr>
        <w:ilvl w:val="0"/>
        <w:numId w:val="0"/>
      </w:numPr>
      <w:jc w:val="center"/>
      <w:outlineLvl w:val="0"/>
    </w:pPr>
    <w:rPr>
      <w:sz w:val="44"/>
    </w:rPr>
  </w:style>
  <w:style w:type="paragraph" w:styleId="BlockQuotation">
    <w:name w:val="Block Quotation"/>
    <w:basedOn w:val="Normal"/>
    <w:qFormat/>
    <w:pPr>
      <w:spacing w:before="0" w:after="283"/>
      <w:ind w:hanging="0" w:start="567" w:end="567"/>
    </w:pPr>
    <w:rPr/>
  </w:style>
  <w:style w:type="paragraph" w:styleId="WW-figure">
    <w:name w:val="WW-figure"/>
    <w:qFormat/>
    <w:pPr>
      <w:widowControl/>
      <w:pBdr>
        <w:top w:val="single" w:sz="2" w:space="1" w:color="311B92"/>
        <w:left w:val="single" w:sz="2" w:space="1" w:color="311B92"/>
        <w:bottom w:val="single" w:sz="2" w:space="1" w:color="311B92"/>
        <w:right w:val="single" w:sz="2" w:space="1" w:color="311B92"/>
      </w:pBdr>
      <w:suppressAutoHyphens w:val="true"/>
      <w:kinsoku w:val="true"/>
      <w:overflowPunct w:val="true"/>
      <w:autoSpaceDE w:val="true"/>
      <w:bidi w:val="0"/>
      <w:spacing w:before="0" w:after="113"/>
      <w:jc w:val="start"/>
    </w:pPr>
    <w:rPr>
      <w:rFonts w:ascii="Liberation Serif" w:hAnsi="Liberation Serif" w:eastAsia="NSimSun" w:cs="Lucida Sans"/>
      <w:color w:val="000000"/>
      <w:kern w:val="2"/>
      <w:sz w:val="24"/>
      <w:szCs w:val="24"/>
      <w:shd w:fill="FFE994" w:val="clear"/>
      <w:lang w:val="en-GB" w:eastAsia="zh-CN" w:bidi="hi-IN"/>
    </w:rPr>
  </w:style>
  <w:style w:type="paragraph" w:styleId="BlockQuotationuser">
    <w:name w:val="Block Quotation (user)"/>
    <w:basedOn w:val="Normal"/>
    <w:qFormat/>
    <w:pPr>
      <w:spacing w:before="0" w:after="283"/>
      <w:ind w:hanging="0" w:start="567" w:end="567"/>
    </w:pPr>
    <w:rPr/>
  </w:style>
  <w:style w:type="paragraph" w:styleId="WW-named-section">
    <w:name w:val="WW-named-section"/>
    <w:qFormat/>
    <w:pPr>
      <w:widowControl/>
      <w:pBdr>
        <w:top w:val="single" w:sz="2" w:space="3" w:color="000000"/>
        <w:left w:val="single" w:sz="2" w:space="3" w:color="000000"/>
        <w:bottom w:val="single" w:sz="2" w:space="3" w:color="000000"/>
        <w:right w:val="single" w:sz="2" w:space="3" w:color="000000"/>
      </w:pBdr>
      <w:suppressAutoHyphens w:val="true"/>
      <w:kinsoku w:val="true"/>
      <w:overflowPunct w:val="true"/>
      <w:autoSpaceDE w:val="true"/>
      <w:bidi w:val="0"/>
      <w:spacing w:before="0" w:after="0"/>
      <w:jc w:val="start"/>
    </w:pPr>
    <w:rPr>
      <w:rFonts w:ascii="Liberation Serif" w:hAnsi="Liberation Serif" w:eastAsia="NSimSun" w:cs="Lucida Sans"/>
      <w:color w:val="C9211E"/>
      <w:kern w:val="2"/>
      <w:sz w:val="24"/>
      <w:szCs w:val="24"/>
      <w:shd w:fill="auto" w:val="clear"/>
      <w:lang w:val="en-GB" w:eastAsia="zh-CN" w:bidi="hi-IN"/>
    </w:rPr>
  </w:style>
  <w:style w:type="numbering" w:styleId="Numbering123">
    <w:name w:val="Numbering 123"/>
    <w:qFormat/>
  </w:style>
  <w:style w:type="numbering" w:styleId="NumberingIVX">
    <w:name w:val="Numbering IVX"/>
    <w:qFormat/>
  </w:style>
  <w:style w:type="numbering" w:styleId="Bullet">
    <w:name w:val="Bullet •"/>
    <w:qFormat/>
  </w:style>
  <w:style w:type="numbering" w:styleId="Bulletuser">
    <w:name w:val="Bullet •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simple.html" TargetMode="External"/><Relationship Id="rId3" Type="http://schemas.openxmlformats.org/officeDocument/2006/relationships/hyperlink" Target="https://www.lulu.com/shop/bhikkhu-sunyo/seeds-paintings-and-a-beam-of-light/paperback/product-q66nwq2.html"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n.wikipedia.org/wiki/Presentism_(historical_analysis)" TargetMode="External"/><Relationship Id="rId2" Type="http://schemas.openxmlformats.org/officeDocument/2006/relationships/hyperlink" Target="https://suttacentral.net/ma97" TargetMode="External"/><Relationship Id="rId3" Type="http://schemas.openxmlformats.org/officeDocument/2006/relationships/hyperlink" Target="https://suttacentral.net/t14" TargetMode="External"/><Relationship Id="rId4" Type="http://schemas.openxmlformats.org/officeDocument/2006/relationships/hyperlink" Target="https://suttacentral.net/t52" TargetMode="External"/><Relationship Id="rId5" Type="http://schemas.openxmlformats.org/officeDocument/2006/relationships/hyperlink" Target="https://suttacentral.net/da13" TargetMode="External"/><Relationship Id="rId6" Type="http://schemas.openxmlformats.org/officeDocument/2006/relationships/hyperlink" Target="https://suttacentral.net/arv5" TargetMode="External"/><Relationship Id="rId7" Type="http://schemas.openxmlformats.org/officeDocument/2006/relationships/hyperlink" Target="https://suttacentral.net/ma97" TargetMode="External"/><Relationship Id="rId8" Type="http://schemas.openxmlformats.org/officeDocument/2006/relationships/hyperlink" Target="https://suttacentral.net/t14" TargetMode="External"/><Relationship Id="rId9" Type="http://schemas.openxmlformats.org/officeDocument/2006/relationships/hyperlink" Target="https://suttacentral.net/ea21.3" TargetMode="External"/><Relationship Id="rId10" Type="http://schemas.openxmlformats.org/officeDocument/2006/relationships/hyperlink" Target="https://suttacentral.net/ma151" TargetMode="External"/><Relationship Id="rId11" Type="http://schemas.openxmlformats.org/officeDocument/2006/relationships/hyperlink" Target="https://suttacentral.net/ds2.3.3" TargetMode="External"/><Relationship Id="rId12" Type="http://schemas.openxmlformats.org/officeDocument/2006/relationships/hyperlink" Target="https://suttacentral.net/sa298" TargetMode="External"/><Relationship Id="rId13" Type="http://schemas.openxmlformats.org/officeDocument/2006/relationships/hyperlink" Target="https://suttacentral.net/ea49.5" TargetMode="External"/><Relationship Id="rId14" Type="http://schemas.openxmlformats.org/officeDocument/2006/relationships/hyperlink" Target="https://suttacentral.net/ea46.8" TargetMode="External"/><Relationship Id="rId15" Type="http://schemas.openxmlformats.org/officeDocument/2006/relationships/hyperlink" Target="http://suttacentral.net/sf165" TargetMode="External"/><Relationship Id="rId16" Type="http://schemas.openxmlformats.org/officeDocument/2006/relationships/hyperlink" Target="http://suttacentral.net/sf238" TargetMode="External"/><Relationship Id="rId17" Type="http://schemas.openxmlformats.org/officeDocument/2006/relationships/hyperlink" Target="https://suttacentral.net/pli-tv-kd6" TargetMode="External"/><Relationship Id="rId18" Type="http://schemas.openxmlformats.org/officeDocument/2006/relationships/hyperlink" Target="https://suttacentral.net/sa359" TargetMode="External"/><Relationship Id="rId19" Type="http://schemas.openxmlformats.org/officeDocument/2006/relationships/hyperlink" Target="https://suttacentral.net/sa360" TargetMode="External"/><Relationship Id="rId20" Type="http://schemas.openxmlformats.org/officeDocument/2006/relationships/hyperlink" Target="https://suttacentral.net/sa360" TargetMode="External"/><Relationship Id="rId21" Type="http://schemas.openxmlformats.org/officeDocument/2006/relationships/hyperlink" Target="https://suttacentral.net/mil3.6.9" TargetMode="External"/><Relationship Id="rId22" Type="http://schemas.openxmlformats.org/officeDocument/2006/relationships/hyperlink" Target="https://suttacentral.net/sa39" TargetMode="External"/><Relationship Id="rId23" Type="http://schemas.openxmlformats.org/officeDocument/2006/relationships/hyperlink" Target="https://suttacentral.net/sa39" TargetMode="External"/><Relationship Id="rId24" Type="http://schemas.openxmlformats.org/officeDocument/2006/relationships/hyperlink" Target="https://suttacentral.net/ma97" TargetMode="External"/><Relationship Id="rId25" Type="http://schemas.openxmlformats.org/officeDocument/2006/relationships/hyperlink" Target="https://suttacentral.net/da13" TargetMode="External"/><Relationship Id="rId26" Type="http://schemas.openxmlformats.org/officeDocument/2006/relationships/hyperlink" Target="https://suttacentral.net/da13" TargetMode="External"/><Relationship Id="rId27" Type="http://schemas.openxmlformats.org/officeDocument/2006/relationships/hyperlink" Target="https://suttacentral.net/cnd5" TargetMode="External"/><Relationship Id="rId28" Type="http://schemas.openxmlformats.org/officeDocument/2006/relationships/hyperlink" Target="https://suttacentral.net/sa284" TargetMode="External"/><Relationship Id="rId29" Type="http://schemas.openxmlformats.org/officeDocument/2006/relationships/hyperlink" Target="https://suttacentral.net/sa1187" TargetMode="External"/><Relationship Id="rId30" Type="http://schemas.openxmlformats.org/officeDocument/2006/relationships/hyperlink" Target="https://suttacentral.net/sa-2.100" TargetMode="External"/><Relationship Id="rId31" Type="http://schemas.openxmlformats.org/officeDocument/2006/relationships/hyperlink" Target="http://suttacentral.net/sf161" TargetMode="External"/><Relationship Id="rId32" Type="http://schemas.openxmlformats.org/officeDocument/2006/relationships/hyperlink" Target="https://suttacentral.net/sa294" TargetMode="External"/><Relationship Id="rId33" Type="http://schemas.openxmlformats.org/officeDocument/2006/relationships/hyperlink" Target="https://suttacentral.net/da13" TargetMode="External"/><Relationship Id="rId34" Type="http://schemas.openxmlformats.org/officeDocument/2006/relationships/hyperlink" Target="https://suttacentral.net/da13" TargetMode="External"/><Relationship Id="rId35" Type="http://schemas.openxmlformats.org/officeDocument/2006/relationships/hyperlink" Target="https://suttacentral.net/ma97" TargetMode="External"/><Relationship Id="rId36" Type="http://schemas.openxmlformats.org/officeDocument/2006/relationships/hyperlink" Target="https://suttacentral.net/t14" TargetMode="External"/><Relationship Id="rId37" Type="http://schemas.openxmlformats.org/officeDocument/2006/relationships/hyperlink" Target="https://suttacentral.net/t52" TargetMode="External"/><Relationship Id="rId38" Type="http://schemas.openxmlformats.org/officeDocument/2006/relationships/hyperlink" Target="https://suttacentral.net/t52" TargetMode="External"/><Relationship Id="rId39" Type="http://schemas.openxmlformats.org/officeDocument/2006/relationships/hyperlink" Target="https://suttacentral.net/sa359" TargetMode="External"/><Relationship Id="rId40" Type="http://schemas.openxmlformats.org/officeDocument/2006/relationships/hyperlink" Target="https://suttacentral.net/sa360" TargetMode="External"/><Relationship Id="rId41" Type="http://schemas.openxmlformats.org/officeDocument/2006/relationships/hyperlink" Target="https://suttacentral.net/sa361" TargetMode="External"/><Relationship Id="rId42" Type="http://schemas.openxmlformats.org/officeDocument/2006/relationships/hyperlink" Target="https://suttacentral.net/sa377" TargetMode="External"/><Relationship Id="rId43" Type="http://schemas.openxmlformats.org/officeDocument/2006/relationships/hyperlink" Target="https://suttacentral.net/sa1265" TargetMode="External"/><Relationship Id="rId44" Type="http://schemas.openxmlformats.org/officeDocument/2006/relationships/hyperlink" Target="https://suttacentral.net/ea26.10" TargetMode="External"/><Relationship Id="rId45" Type="http://schemas.openxmlformats.org/officeDocument/2006/relationships/hyperlink" Target="https://suttacentral.net/sa-2.30" TargetMode="External"/><Relationship Id="rId46" Type="http://schemas.openxmlformats.org/officeDocument/2006/relationships/hyperlink" Target="https://suttacentral.net/ma62"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8778</TotalTime>
  <Application>LibreOffice/25.2.6.2$Windows_X86_64 LibreOffice_project/729c5bfe710f5eb71ed3bbde9e06a6065e9c6c5d</Application>
  <AppVersion>15.0000</AppVersion>
  <Pages>195</Pages>
  <Words>85113</Words>
  <Characters>433616</Characters>
  <CharactersWithSpaces>515796</CharactersWithSpaces>
  <Paragraphs>2447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

<file path=docProps/custom.xml><?xml version="1.0" encoding="utf-8"?>
<Properties xmlns="http://schemas.openxmlformats.org/officeDocument/2006/custom-properties" xmlns:vt="http://schemas.openxmlformats.org/officeDocument/2006/docPropsVTypes"/>
</file>