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w:t>
      </w:r>
      <w:proofErr w:type="spellStart"/>
      <w:r>
        <w:t>Pāli</w:t>
      </w:r>
      <w:proofErr w:type="spellEnd"/>
      <w:r>
        <w:t xml:space="preserve">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 xml:space="preserve">Unless otherwise indicated, quotations of the Buddhist canonical texts should be attributed to the Buddha. All translations of the </w:t>
      </w:r>
      <w:proofErr w:type="spellStart"/>
      <w:r>
        <w:t>Pāli</w:t>
      </w:r>
      <w:proofErr w:type="spellEnd"/>
      <w:r>
        <w:t xml:space="preserve">, including any inevitable shortcomings in them, are my own. Unfamiliar translations will always raise some questions, but to not interrupt the continuity of ideas, I will not explain every translation choice I made and include the </w:t>
      </w:r>
      <w:proofErr w:type="spellStart"/>
      <w:r>
        <w:t>Pāli</w:t>
      </w:r>
      <w:proofErr w:type="spellEnd"/>
      <w:r>
        <w:t xml:space="preserve">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w:t>
      </w:r>
      <w:proofErr w:type="spellStart"/>
      <w:r>
        <w:t>Pāli</w:t>
      </w:r>
      <w:proofErr w:type="spellEnd"/>
      <w:r>
        <w:t xml:space="preserve"> Canon is not infallible, I also consulted the Chinese </w:t>
      </w:r>
      <w:proofErr w:type="spellStart"/>
      <w:r>
        <w:t>Āgamas</w:t>
      </w:r>
      <w:proofErr w:type="spellEnd"/>
      <w:r>
        <w:t xml:space="preserve">,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w:t>
      </w:r>
      <w:proofErr w:type="spellStart"/>
      <w:r>
        <w:t>Pāli</w:t>
      </w:r>
      <w:proofErr w:type="spellEnd"/>
      <w:r>
        <w:t xml:space="preserve">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w:t>
      </w:r>
      <w:proofErr w:type="spellStart"/>
      <w:r>
        <w:t>Pāli</w:t>
      </w:r>
      <w:proofErr w:type="spellEnd"/>
      <w:r>
        <w:t xml:space="preserve">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w:t>
      </w:r>
      <w:proofErr w:type="spellStart"/>
      <w:r>
        <w:t>Pāli</w:t>
      </w:r>
      <w:proofErr w:type="spellEnd"/>
      <w:r>
        <w:t xml:space="preserve">)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77777777" w:rsidR="00FE3964" w:rsidRDefault="00000000">
      <w:pPr>
        <w:pStyle w:val="WW-paragraph"/>
      </w:pPr>
      <w:r>
        <w:t xml:space="preserve">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proofErr w:type="spellStart"/>
            <w:r>
              <w:rPr>
                <w:rStyle w:val="Strong"/>
              </w:rPr>
              <w:t>Pāli</w:t>
            </w:r>
            <w:proofErr w:type="spellEnd"/>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77777777" w:rsidR="00FE3964" w:rsidRDefault="00000000">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proofErr w:type="spellStart"/>
            <w:r>
              <w:rPr>
                <w:rStyle w:val="wwc-pali"/>
              </w:rPr>
              <w:t>Vedanā</w:t>
            </w:r>
            <w:proofErr w:type="spellEnd"/>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proofErr w:type="spellStart"/>
            <w:r>
              <w:rPr>
                <w:rStyle w:val="wwc-pali"/>
              </w:rPr>
              <w:t>Taṇhā</w:t>
            </w:r>
            <w:proofErr w:type="spellEnd"/>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proofErr w:type="spellStart"/>
            <w:r>
              <w:rPr>
                <w:rStyle w:val="wwc-pali"/>
              </w:rPr>
              <w:t>Upādāna</w:t>
            </w:r>
            <w:proofErr w:type="spellEnd"/>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proofErr w:type="spellStart"/>
            <w:r>
              <w:rPr>
                <w:rStyle w:val="wwc-pali"/>
              </w:rPr>
              <w:t>Jāti</w:t>
            </w:r>
            <w:proofErr w:type="spellEnd"/>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proofErr w:type="spellStart"/>
      <w:r>
        <w:rPr>
          <w:rStyle w:val="wwc-pali"/>
        </w:rPr>
        <w:t>Upādāna</w:t>
      </w:r>
      <w:proofErr w:type="spellEnd"/>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The principle of dependency applies not only to birth and death, but to all the links: death depends on birth, birth depends on the continuation of existence, and so on through the rest of the chain. So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39C130B6">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437675F5">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w:t>
      </w:r>
      <w:proofErr w:type="spellStart"/>
      <w:r>
        <w:t>Pāli</w:t>
      </w:r>
      <w:proofErr w:type="spellEnd"/>
      <w:r>
        <w:t xml:space="preserve">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So sensations are not a sufficient condition for craving. Likewise, craving and ignorance do not guarantee birth, because you may have those defilements today, but get enlightened tomorrow, whereafter you will not be reborn again. So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9" w:name="bqseg10"/>
      <w:bookmarkEnd w:id="9"/>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0" w:name="bqseg11"/>
      <w:bookmarkEnd w:id="10"/>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more bare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w:t>
      </w:r>
      <w:proofErr w:type="spellStart"/>
      <w:r>
        <w:t>Pāli</w:t>
      </w:r>
      <w:proofErr w:type="spellEnd"/>
      <w:r>
        <w:t xml:space="preserve"> word means, for that matter). For this reason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w:t>
      </w:r>
      <w:proofErr w:type="spellStart"/>
      <w:r>
        <w:t>Pāli</w:t>
      </w:r>
      <w:proofErr w:type="spellEnd"/>
      <w:r>
        <w:t xml:space="preserve"> linguists, said: “It is very difficult to give a one for one translation of Sanskrit and </w:t>
      </w:r>
      <w:proofErr w:type="spellStart"/>
      <w:r>
        <w:t>Pāli</w:t>
      </w:r>
      <w:proofErr w:type="spellEnd"/>
      <w:r>
        <w:t xml:space="preserve"> words into English. It is very rare that one Sanskrit or </w:t>
      </w:r>
      <w:proofErr w:type="spellStart"/>
      <w:r>
        <w:t>Pāli</w:t>
      </w:r>
      <w:proofErr w:type="spellEnd"/>
      <w:r>
        <w:t xml:space="preserve">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w:t>
      </w:r>
      <w:proofErr w:type="spellStart"/>
      <w:r>
        <w:t>Pāli</w:t>
      </w:r>
      <w:proofErr w:type="spellEnd"/>
      <w:r>
        <w:t xml:space="preserve">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t>{</w:t>
      </w:r>
      <w:proofErr w:type="spellStart"/>
      <w:r>
        <w:t>SimpleNoRowBorders</w:t>
      </w:r>
      <w:proofErr w:type="spellEnd"/>
      <w:r>
        <w:t>}Table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7777777" w:rsidR="00FE3964" w:rsidRDefault="00000000">
            <w:pPr>
              <w:pStyle w:val="WW-paragraph"/>
            </w:pPr>
            <w:r>
              <w:t>1. Ignorance</w:t>
            </w:r>
            <w:r>
              <w:br/>
              <w:t xml:space="preserve">2. </w:t>
            </w:r>
            <w:proofErr w:type="spellStart"/>
            <w:r>
              <w:t>willful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proofErr w:type="spellStart"/>
      <w:r>
        <w:rPr>
          <w:rStyle w:val="wwc-sesame"/>
        </w:rPr>
        <w:t>Visuddhimagga</w:t>
      </w:r>
      <w:proofErr w:type="spellEnd"/>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proofErr w:type="spellStart"/>
      <w:r>
        <w:rPr>
          <w:rStyle w:val="Emphasis"/>
        </w:rPr>
        <w:t>avidyā</w:t>
      </w:r>
      <w:proofErr w:type="spellEnd"/>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w:t>
      </w:r>
      <w:proofErr w:type="spellStart"/>
      <w:r>
        <w:t>Pāli</w:t>
      </w:r>
      <w:proofErr w:type="spellEnd"/>
      <w:r>
        <w:t xml:space="preserve">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1" w:name="table3"/>
      <w:bookmarkEnd w:id="11"/>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r>
            <w:r>
              <w:lastRenderedPageBreak/>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t>willful</w:t>
            </w:r>
            <w:proofErr w:type="spellEnd"/>
            <w:r>
              <w:t xml:space="preserve"> actions</w:t>
            </w:r>
            <w:r>
              <w:br/>
              <w:t>• Ignorance</w:t>
            </w:r>
          </w:p>
        </w:tc>
      </w:tr>
    </w:tbl>
    <w:p w14:paraId="09220B88" w14:textId="77777777" w:rsidR="00FE3964" w:rsidRDefault="00000000">
      <w:pPr>
        <w:pStyle w:val="WW-paragraph"/>
      </w:pPr>
      <w:r>
        <w:t xml:space="preserve">As another indication for the combination of the two parallel sequences, one </w:t>
      </w:r>
      <w:proofErr w:type="spellStart"/>
      <w:r>
        <w:t>Pāli</w:t>
      </w:r>
      <w:proofErr w:type="spellEnd"/>
      <w:r>
        <w:t xml:space="preserve">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2" w:name="bqseg12"/>
      <w:bookmarkEnd w:id="12"/>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 xml:space="preserve">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w:t>
      </w:r>
      <w:proofErr w:type="spellStart"/>
      <w:r>
        <w:t>Pāli</w:t>
      </w:r>
      <w:proofErr w:type="spellEnd"/>
      <w:r>
        <w:t xml:space="preserve">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proofErr w:type="spellStart"/>
      <w:r>
        <w:rPr>
          <w:rStyle w:val="wwc-sesame"/>
        </w:rPr>
        <w:t>Visuddhimagga</w:t>
      </w:r>
      <w:proofErr w:type="spellEnd"/>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xml:space="preserve">) in the canon </w:t>
      </w:r>
      <w:r>
        <w:lastRenderedPageBreak/>
        <w:t>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3" w:name="bqseg13"/>
      <w:bookmarkEnd w:id="13"/>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4" w:name="bqseg14"/>
      <w:bookmarkEnd w:id="14"/>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lastRenderedPageBreak/>
        <w:t>0</w:t>
      </w:r>
    </w:p>
    <w:p w14:paraId="67DD0D15" w14:textId="77777777" w:rsidR="00FE3964" w:rsidRDefault="00000000">
      <w:pPr>
        <w:pStyle w:val="WW-named-section"/>
      </w:pPr>
      <w:r>
        <w:t>§15</w:t>
      </w:r>
    </w:p>
    <w:p w14:paraId="264BD23F" w14:textId="77777777" w:rsidR="00FE3964" w:rsidRDefault="00000000">
      <w:pPr>
        <w:pStyle w:val="WW-blockquote"/>
      </w:pPr>
      <w:bookmarkStart w:id="15" w:name="bqseg15"/>
      <w:bookmarkEnd w:id="15"/>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lastRenderedPageBreak/>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6" w:name="bqseg16"/>
      <w:bookmarkEnd w:id="16"/>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7" w:name="bqseg17"/>
      <w:bookmarkEnd w:id="17"/>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lastRenderedPageBreak/>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3298088E">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0D8CED2E">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w:t>
      </w:r>
      <w:r>
        <w:lastRenderedPageBreak/>
        <w:t xml:space="preserve">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2B1ED2CA">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8" w:name="bqseg18"/>
      <w:bookmarkEnd w:id="18"/>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19" w:name="bqseg19"/>
      <w:bookmarkEnd w:id="19"/>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xml:space="preserve">), i.e. ignorance, is said to be the root of yearning, i.e. craving. Ignorance can be regarded as the root of craving, because craving can never be fully ended without destroying </w:t>
      </w:r>
      <w:r>
        <w:lastRenderedPageBreak/>
        <w:t>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5D277BAD">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4EC07649">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4886B193">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5224B9D9" w:rsidR="00FE3964" w:rsidRDefault="00057047">
      <w:pPr>
        <w:pStyle w:val="WW-figure"/>
      </w:pPr>
      <w:r>
        <w:rPr>
          <w:noProof/>
        </w:rPr>
        <w:drawing>
          <wp:inline distT="0" distB="0" distL="0" distR="0" wp14:anchorId="19D837FF" wp14:editId="7257332F">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t xml:space="preserve"> </w:t>
      </w:r>
      <w:r>
        <w:rPr>
          <w:noProof/>
        </w:rPr>
        <w:drawing>
          <wp:inline distT="0" distB="0" distL="0" distR="0" wp14:anchorId="4A561494" wp14:editId="485340F6">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br/>
      </w:r>
      <w:r w:rsidR="00742DE5">
        <w:t xml:space="preserve">Figure </w:t>
      </w:r>
      <w:r>
        <w:t>7. The two parallel sequences as one stack of bricks</w:t>
      </w:r>
    </w:p>
    <w:p w14:paraId="174F32D9" w14:textId="77777777" w:rsidR="00FE3964" w:rsidRDefault="00000000">
      <w:pPr>
        <w:pStyle w:val="WW-paragraph"/>
      </w:pPr>
      <w:r>
        <w:lastRenderedPageBreak/>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w:t>
      </w:r>
      <w:proofErr w:type="spellStart"/>
      <w:r>
        <w:t>Pāli</w:t>
      </w:r>
      <w:proofErr w:type="spellEnd"/>
      <w:r>
        <w:t xml:space="preserve">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commentaries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w:t>
      </w:r>
      <w:r>
        <w:lastRenderedPageBreak/>
        <w:t xml:space="preserve">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xml:space="preserve">). It will take us into technical details, obscure texts, linguistic aspects of </w:t>
      </w:r>
      <w:proofErr w:type="spellStart"/>
      <w:r>
        <w:t>Pāli</w:t>
      </w:r>
      <w:proofErr w:type="spellEnd"/>
      <w:r>
        <w:t>,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0" w:name="chapter3"/>
      <w:bookmarkEnd w:id="20"/>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that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1" w:name="bqseg20"/>
      <w:bookmarkEnd w:id="21"/>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w:t>
      </w:r>
      <w:proofErr w:type="spellStart"/>
      <w:r>
        <w:t>Pāli</w:t>
      </w:r>
      <w:proofErr w:type="spellEnd"/>
      <w:r>
        <w:t xml:space="preserve">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2" w:name="bqseg21"/>
      <w:bookmarkEnd w:id="22"/>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palace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xml:space="preserve">, which I translate dependent on context as ‘existence’ or ‘state of existence’. It basically means a life in a certain place, the continuance of existence after death in a certain realm. The </w:t>
      </w:r>
      <w:proofErr w:type="spellStart"/>
      <w:r>
        <w:t>Pāli</w:t>
      </w:r>
      <w:proofErr w:type="spellEnd"/>
      <w:r>
        <w:t xml:space="preserve">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w:t>
      </w:r>
      <w:proofErr w:type="spellStart"/>
      <w:r>
        <w:t>Pāli</w:t>
      </w:r>
      <w:proofErr w:type="spellEnd"/>
      <w:r>
        <w:t xml:space="preserve">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w:t>
      </w:r>
      <w:proofErr w:type="spellStart"/>
      <w:r>
        <w:t>Pāli</w:t>
      </w:r>
      <w:proofErr w:type="spellEnd"/>
      <w:r>
        <w:t xml:space="preserve">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3" w:name="bqseg22"/>
      <w:bookmarkEnd w:id="23"/>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4" w:name="bqseg23"/>
      <w:bookmarkEnd w:id="24"/>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realms’.</w:t>
      </w:r>
    </w:p>
    <w:p w14:paraId="07893EFA" w14:textId="77777777" w:rsidR="00FE3964" w:rsidRDefault="00000000">
      <w:pPr>
        <w:pStyle w:val="WW-named-section"/>
      </w:pPr>
      <w:r>
        <w:t>§24</w:t>
      </w:r>
    </w:p>
    <w:p w14:paraId="3741A4E8" w14:textId="77777777" w:rsidR="00FE3964" w:rsidRDefault="00000000">
      <w:pPr>
        <w:pStyle w:val="WW-blockquote"/>
      </w:pPr>
      <w:bookmarkStart w:id="25" w:name="bqseg24"/>
      <w:bookmarkEnd w:id="25"/>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t>
      </w:r>
      <w:r>
        <w:lastRenderedPageBreak/>
        <w:t>when they were first introduced. The discourse takes an alternative route through the standard factors, namely: craving (8) › consciousness (3) › the individual’s immaterial aspects and body  (4)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w:t>
      </w:r>
      <w:proofErr w:type="spellStart"/>
      <w:r>
        <w:t>Pāli</w:t>
      </w:r>
      <w:proofErr w:type="spellEnd"/>
      <w:r>
        <w:t xml:space="preserve">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6" w:name="bqseg25"/>
      <w:bookmarkEnd w:id="26"/>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w:t>
      </w:r>
      <w:proofErr w:type="spellStart"/>
      <w:r>
        <w:t>Pāli</w:t>
      </w:r>
      <w:proofErr w:type="spellEnd"/>
      <w:r>
        <w:t xml:space="preserve">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r>
        <w:lastRenderedPageBreak/>
        <w:t>So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7" w:name="bqseg26"/>
      <w:bookmarkEnd w:id="27"/>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born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w:t>
      </w:r>
      <w:proofErr w:type="spellStart"/>
      <w:r>
        <w:t>Pāli</w:t>
      </w:r>
      <w:proofErr w:type="spellEnd"/>
      <w:r>
        <w:t xml:space="preserve">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8" w:name="table6"/>
      <w:bookmarkEnd w:id="28"/>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w:t>
      </w:r>
      <w:r>
        <w:lastRenderedPageBreak/>
        <w:t xml:space="preserve">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w:t>
      </w:r>
      <w:proofErr w:type="spellStart"/>
      <w:r>
        <w:rPr>
          <w:rStyle w:val="Emphasis"/>
        </w:rPr>
        <w:t>Pāli</w:t>
      </w:r>
      <w:proofErr w:type="spellEnd"/>
      <w:r>
        <w:rPr>
          <w:rStyle w:val="Emphasis"/>
        </w:rPr>
        <w:t>-Kanon</w:t>
      </w:r>
      <w:r>
        <w:t xml:space="preserve"> (</w:t>
      </w:r>
      <w:r>
        <w:rPr>
          <w:rStyle w:val="Emphasis"/>
        </w:rPr>
        <w:t>On the concept ‘</w:t>
      </w:r>
      <w:proofErr w:type="spellStart"/>
      <w:r>
        <w:rPr>
          <w:rStyle w:val="Emphasis"/>
        </w:rPr>
        <w:t>nāmarūpa</w:t>
      </w:r>
      <w:proofErr w:type="spellEnd"/>
      <w:r>
        <w:rPr>
          <w:rStyle w:val="Emphasis"/>
        </w:rPr>
        <w:t xml:space="preserve">’: the individual in the </w:t>
      </w:r>
      <w:proofErr w:type="spellStart"/>
      <w:r>
        <w:rPr>
          <w:rStyle w:val="Emphasis"/>
        </w:rPr>
        <w:t>Pāli</w:t>
      </w:r>
      <w:proofErr w:type="spellEnd"/>
      <w:r>
        <w:rPr>
          <w:rStyle w:val="Emphasis"/>
        </w:rPr>
        <w:t xml:space="preserve">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w:t>
      </w:r>
      <w:proofErr w:type="spellStart"/>
      <w:r>
        <w:t>Pāli</w:t>
      </w:r>
      <w:proofErr w:type="spellEnd"/>
      <w:r>
        <w:t xml:space="preserve">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one on one translation for </w:t>
      </w:r>
      <w:proofErr w:type="spellStart"/>
      <w:r>
        <w:t>Pāli</w:t>
      </w:r>
      <w:proofErr w:type="spellEnd"/>
      <w:r>
        <w:t xml:space="preserve">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w:t>
      </w:r>
      <w:proofErr w:type="spellStart"/>
      <w:r>
        <w:t>Pāli</w:t>
      </w:r>
      <w:proofErr w:type="spellEnd"/>
      <w:r>
        <w:t xml:space="preserve"> discourses define it as “sensation, perception, intention, sense impression, and attention”,</w:t>
      </w:r>
      <w:r>
        <w:rPr>
          <w:rStyle w:val="FootnoteReference"/>
        </w:rPr>
        <w:footnoteReference w:id="119"/>
      </w:r>
      <w:r>
        <w:t xml:space="preserve"> </w:t>
      </w:r>
      <w:r>
        <w:lastRenderedPageBreak/>
        <w:t>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To answer this question</w:t>
      </w:r>
      <w:r>
        <w:t xml:space="preserve"> we have to take a detour from the </w:t>
      </w:r>
      <w:proofErr w:type="spellStart"/>
      <w:r>
        <w:t>Pāli</w:t>
      </w:r>
      <w:proofErr w:type="spellEnd"/>
      <w:r>
        <w:t xml:space="preserve">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0" w:name="bqseg27"/>
      <w:bookmarkEnd w:id="30"/>
      <w:r>
        <w:t>At that time this world […] was distinguished simply in terms of name and visible appearance—“He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1" w:name="bqseg28"/>
      <w:bookmarkEnd w:id="31"/>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r>
        <w:t xml:space="preserve">So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w:t>
      </w:r>
      <w:proofErr w:type="spellStart"/>
      <w:r>
        <w:t>Pāli</w:t>
      </w:r>
      <w:proofErr w:type="spellEnd"/>
      <w:r>
        <w:t xml:space="preserve">: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proofErr w:type="spellStart"/>
      <w:r>
        <w:rPr>
          <w:rStyle w:val="wwc-pali"/>
        </w:rPr>
        <w:t>vijñāna</w:t>
      </w:r>
      <w:proofErr w:type="spellEnd"/>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So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So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Arising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w:t>
      </w:r>
      <w:proofErr w:type="spellStart"/>
      <w:r>
        <w:t>Pāli</w:t>
      </w:r>
      <w:proofErr w:type="spellEnd"/>
      <w:r>
        <w:t xml:space="preserve">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w:t>
      </w:r>
      <w:proofErr w:type="spellStart"/>
      <w:r>
        <w:t>Pāli</w:t>
      </w:r>
      <w:proofErr w:type="spellEnd"/>
      <w:r>
        <w:t xml:space="preserve">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w:t>
      </w:r>
      <w:proofErr w:type="spellStart"/>
      <w:r>
        <w:t>Pāli</w:t>
      </w:r>
      <w:proofErr w:type="spellEnd"/>
      <w:r>
        <w:t xml:space="preserve">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w:t>
      </w:r>
      <w:proofErr w:type="spellStart"/>
      <w:r>
        <w:t>Pāli</w:t>
      </w:r>
      <w:proofErr w:type="spellEnd"/>
      <w:r>
        <w:t xml:space="preserve">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3" w:name="table7"/>
      <w:bookmarkEnd w:id="33"/>
      <w:r>
        <w:t>{</w:t>
      </w:r>
      <w:proofErr w:type="spellStart"/>
      <w:r>
        <w:t>SimpleNoRowBorders</w:t>
      </w:r>
      <w:proofErr w:type="spellEnd"/>
      <w:r>
        <w:t xml:space="preserv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proofErr w:type="spellStart"/>
            <w:r>
              <w:rPr>
                <w:rStyle w:val="Strong"/>
              </w:rPr>
              <w:t>Pāli</w:t>
            </w:r>
            <w:proofErr w:type="spellEnd"/>
            <w:r>
              <w:rPr>
                <w:rStyle w:val="Strong"/>
              </w:rPr>
              <w:t xml:space="preserve">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t>§29</w:t>
      </w:r>
    </w:p>
    <w:p w14:paraId="3B4CD805" w14:textId="77777777" w:rsidR="00FE3964" w:rsidRDefault="00000000">
      <w:pPr>
        <w:pStyle w:val="WW-blockquote"/>
      </w:pPr>
      <w:bookmarkStart w:id="35" w:name="bqseg29"/>
      <w:bookmarkEnd w:id="35"/>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lastRenderedPageBreak/>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6" w:name="bqseg30"/>
      <w:bookmarkEnd w:id="36"/>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w:t>
      </w:r>
      <w:r>
        <w:lastRenderedPageBreak/>
        <w:t xml:space="preserve">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7" w:name="bqseg31"/>
      <w:bookmarkEnd w:id="37"/>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w:t>
      </w:r>
      <w:r>
        <w:lastRenderedPageBreak/>
        <w:t xml:space="preserve">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w:t>
      </w:r>
      <w:proofErr w:type="spellStart"/>
      <w:r>
        <w:t>Pāli</w:t>
      </w:r>
      <w:proofErr w:type="spellEnd"/>
      <w:r>
        <w:t xml:space="preserve">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8" w:name="bqseg32"/>
      <w:bookmarkEnd w:id="38"/>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actions’.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CF00631">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2A640F">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39" w:name="bqseg33"/>
      <w:bookmarkEnd w:id="39"/>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‘us’.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First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w:t>
      </w:r>
      <w:proofErr w:type="spellStart"/>
      <w:r>
        <w:t>Pāli</w:t>
      </w:r>
      <w:proofErr w:type="spellEnd"/>
      <w:r>
        <w:t xml:space="preserve"> word </w:t>
      </w:r>
      <w:proofErr w:type="spellStart"/>
      <w:r>
        <w:rPr>
          <w:rStyle w:val="wwc-pali"/>
        </w:rPr>
        <w:t>kamma</w:t>
      </w:r>
      <w:proofErr w:type="spellEnd"/>
      <w:r>
        <w:t>, which I translate as ‘deeds’.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1" w:name="bqseg34"/>
      <w:bookmarkEnd w:id="41"/>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784D809E">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xml:space="preserve">’ I mean ‘intentional/volitional’, not ‘stubborn’.) The </w:t>
      </w:r>
      <w:proofErr w:type="spellStart"/>
      <w:r>
        <w:t>Pāli</w:t>
      </w:r>
      <w:proofErr w:type="spellEnd"/>
      <w:r>
        <w:t xml:space="preserve">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w:t>
      </w:r>
      <w:proofErr w:type="spellStart"/>
      <w:r>
        <w:t>Pāli</w:t>
      </w:r>
      <w:proofErr w:type="spellEnd"/>
      <w:r>
        <w:t xml:space="preserve">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2" w:name="bqseg35"/>
      <w:bookmarkEnd w:id="42"/>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3" w:name="bqseg36"/>
      <w:bookmarkEnd w:id="43"/>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4" w:name="bqseg37"/>
      <w:bookmarkEnd w:id="44"/>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5" w:name="bqseg38"/>
      <w:bookmarkEnd w:id="45"/>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6" w:name="bqseg39"/>
      <w:bookmarkEnd w:id="46"/>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7" w:name="bqseg40"/>
      <w:bookmarkEnd w:id="47"/>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8" w:name="bqseg41"/>
      <w:bookmarkEnd w:id="48"/>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So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So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lastRenderedPageBreak/>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49" w:name="bqseg42"/>
      <w:bookmarkEnd w:id="49"/>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0" w:name="bqseg43"/>
      <w:bookmarkEnd w:id="50"/>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1" w:name="bqseg44"/>
      <w:bookmarkEnd w:id="51"/>
      <w:r>
        <w:lastRenderedPageBreak/>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3" w:name="bqseg45"/>
      <w:bookmarkEnd w:id="53"/>
      <w:r>
        <w:lastRenderedPageBreak/>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4" w:name="bqseg46"/>
      <w:bookmarkEnd w:id="54"/>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lastRenderedPageBreak/>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5" w:name="bqseg47"/>
      <w:bookmarkEnd w:id="55"/>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lastRenderedPageBreak/>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6" w:name="bqseg48"/>
      <w:bookmarkEnd w:id="56"/>
      <w:r>
        <w:t xml:space="preserve">And what is [the result of] old deeds? The sense of sight is [a result of] old deeds, and should be seen as created by will and intention, as something to be experienced. The sense of hearing, the </w:t>
      </w:r>
      <w:r>
        <w:lastRenderedPageBreak/>
        <w:t>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7" w:name="bqseg49"/>
      <w:bookmarkEnd w:id="57"/>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The six senses and the body are said to be experienced, which means they must be experienced until one passes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So when the Buddha says the six senses and body should be seen as created, this also means they are the result of </w:t>
      </w:r>
      <w:proofErr w:type="spellStart"/>
      <w:r>
        <w:t>willful</w:t>
      </w:r>
      <w:proofErr w:type="spellEnd"/>
      <w:r>
        <w:t xml:space="preserve"> actions. Hence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lastRenderedPageBreak/>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w:t>
      </w:r>
      <w:proofErr w:type="spellStart"/>
      <w:r>
        <w:t>Pāli</w:t>
      </w:r>
      <w:proofErr w:type="spellEnd"/>
      <w:r>
        <w:t xml:space="preserve"> alongside.</w:t>
      </w:r>
    </w:p>
    <w:p w14:paraId="7298C64A" w14:textId="77777777" w:rsidR="00FE3964" w:rsidRDefault="00000000">
      <w:pPr>
        <w:pStyle w:val="WW-named-section"/>
      </w:pPr>
      <w:r>
        <w:t>§50</w:t>
      </w:r>
    </w:p>
    <w:p w14:paraId="69FBE7B6" w14:textId="77777777" w:rsidR="00FE3964" w:rsidRDefault="00000000">
      <w:pPr>
        <w:pStyle w:val="WW-blockquote"/>
      </w:pPr>
      <w:bookmarkStart w:id="58" w:name="bqseg50"/>
      <w:bookmarkEnd w:id="58"/>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59" w:name="bqseg51"/>
      <w:bookmarkEnd w:id="59"/>
      <w:r>
        <w:lastRenderedPageBreak/>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suffering,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suffering,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04C2030">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lastRenderedPageBreak/>
        <w:t>§52</w:t>
      </w:r>
    </w:p>
    <w:p w14:paraId="6DE6DF05" w14:textId="77777777" w:rsidR="00FE3964" w:rsidRDefault="00000000">
      <w:pPr>
        <w:pStyle w:val="WW-blockquote"/>
      </w:pPr>
      <w:bookmarkStart w:id="60" w:name="bqseg52"/>
      <w:bookmarkEnd w:id="60"/>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So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1" w:name="bqseg53"/>
      <w:bookmarkEnd w:id="61"/>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w:t>
      </w:r>
      <w:r>
        <w:lastRenderedPageBreak/>
        <w:t>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w:t>
      </w:r>
      <w:r>
        <w:lastRenderedPageBreak/>
        <w:t xml:space="preserve">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2" w:name="bqseg54"/>
      <w:bookmarkEnd w:id="62"/>
      <w:r>
        <w:lastRenderedPageBreak/>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So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lastRenderedPageBreak/>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3" w:name="bqseg55"/>
      <w:bookmarkEnd w:id="63"/>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before, which can also be translated as ‘rebirth’. So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4" w:name="bqseg56"/>
      <w:bookmarkEnd w:id="64"/>
      <w:r>
        <w:lastRenderedPageBreak/>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5" w:name="bqseg57"/>
      <w:bookmarkEnd w:id="65"/>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t>
      </w:r>
      <w:r>
        <w:lastRenderedPageBreak/>
        <w:t xml:space="preserve">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If There is Desire Discourse</w:t>
      </w:r>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w:t>
      </w:r>
      <w:proofErr w:type="spellStart"/>
      <w:r>
        <w:t>Pāli</w:t>
      </w:r>
      <w:proofErr w:type="spellEnd"/>
      <w:r>
        <w:t xml:space="preserve"> Canon is the </w:t>
      </w:r>
      <w:r>
        <w:rPr>
          <w:rStyle w:val="wwc-sesame"/>
        </w:rPr>
        <w:t>Child’s Flesh Discourse</w:t>
      </w:r>
      <w:r>
        <w:t>.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So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lastRenderedPageBreak/>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6" w:name="bqseg58"/>
      <w:bookmarkEnd w:id="66"/>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lastRenderedPageBreak/>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7" w:name="bqseg59"/>
      <w:bookmarkEnd w:id="67"/>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Child’s Flesh Discourse</w:t>
      </w:r>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8" w:name="bqseg60"/>
      <w:bookmarkEnd w:id="68"/>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137BB5C5">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69" w:name="bqseg61"/>
      <w:bookmarkEnd w:id="69"/>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0" w:name="bqseg62"/>
      <w:bookmarkEnd w:id="70"/>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consciousness’.”</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1" w:name="bqseg63"/>
      <w:bookmarkEnd w:id="71"/>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morning he would be stabbed with a hundred spears. At noon the king </w:t>
      </w:r>
      <w:r>
        <w:lastRenderedPageBreak/>
        <w:t>would ask: ‘How is that man doing?’—‘Still alive, sire.’—And the king would say: ‘Go and stab him with a hundred spears again!’ And at noon he would be stabbed with a hundred spears again. In the evening the king would again ask: ‘How is that man doing?’—‘Still alive, sire.’—And the king would say: ‘Go and stab him with a hundred spears again!’ And in the evening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0BF9025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amount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Child’s Flesh Discourse</w:t>
      </w:r>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2" w:name="bqseg64"/>
      <w:bookmarkEnd w:id="72"/>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and as later chapters will clarify. Helmut Hecker understood the simile in the same way: “[Consciousness] always nourishes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3" w:name="bqseg65"/>
      <w:bookmarkEnd w:id="73"/>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4" w:name="bqseg66"/>
      <w:bookmarkEnd w:id="74"/>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r>
        <w:t xml:space="preserve">Usually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w:t>
      </w:r>
      <w:r>
        <w:lastRenderedPageBreak/>
        <w:t xml:space="preserve">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lastRenderedPageBreak/>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6ADC5B4F">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proofErr w:type="spellStart"/>
      <w:r>
        <w:rPr>
          <w:rStyle w:val="wwc-pali"/>
        </w:rPr>
        <w:t>taṇhā</w:t>
      </w:r>
      <w:proofErr w:type="spellEnd"/>
      <w:r>
        <w:t xml:space="preserve">) literally means ‘thirst’. But </w:t>
      </w:r>
      <w:proofErr w:type="spellStart"/>
      <w:r>
        <w:rPr>
          <w:rStyle w:val="wwc-pali"/>
        </w:rPr>
        <w:t>taṇhā</w:t>
      </w:r>
      <w:proofErr w:type="spellEnd"/>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5" w:name="bqseg67"/>
      <w:bookmarkEnd w:id="75"/>
      <w:r>
        <w:lastRenderedPageBreak/>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6" w:name="bqseg68"/>
      <w:bookmarkEnd w:id="76"/>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7" w:name="bqseg69"/>
      <w:bookmarkEnd w:id="77"/>
      <w:r>
        <w:t>From food are born all creatures; they live upon food,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w:t>
      </w:r>
      <w:proofErr w:type="spellStart"/>
      <w:r>
        <w:t>Pāli</w:t>
      </w:r>
      <w:proofErr w:type="spellEnd"/>
      <w:r>
        <w:t xml:space="preserve">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lastRenderedPageBreak/>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8" w:name="bqseg70"/>
      <w:bookmarkEnd w:id="78"/>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proofErr w:type="spellStart"/>
      <w:r>
        <w:rPr>
          <w:rStyle w:val="wwc-pali"/>
        </w:rPr>
        <w:t>upādāna</w:t>
      </w:r>
      <w:proofErr w:type="spellEnd"/>
      <w:r>
        <w:t>) of nutriments, which leads to the end of existence. This is stated in the cessation sequence as: “If craving ceases, fuel/taking up (</w:t>
      </w:r>
      <w:proofErr w:type="spellStart"/>
      <w:r>
        <w:rPr>
          <w:rStyle w:val="wwc-pali"/>
        </w:rPr>
        <w:t>upādāna</w:t>
      </w:r>
      <w:proofErr w:type="spellEnd"/>
      <w:r>
        <w:t xml:space="preserve">) will cease. If fuel/taking up ceases, existence will cease.” Here </w:t>
      </w:r>
      <w:proofErr w:type="spellStart"/>
      <w:r>
        <w:rPr>
          <w:rStyle w:val="wwc-pali"/>
        </w:rPr>
        <w:t>upādāna</w:t>
      </w:r>
      <w:proofErr w:type="spellEnd"/>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22A7E860">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1E8A7C53">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acts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79" w:name="bqseg71"/>
      <w:bookmarkEnd w:id="79"/>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“So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xml:space="preserve">) is usually translated as ‘established’. This translation is not wrong per se, but it does not fit the simile very well, because in English we wouldn’t say a seed is “established” in the ground. However, in </w:t>
      </w:r>
      <w:proofErr w:type="spellStart"/>
      <w:r>
        <w:t>Pāli</w:t>
      </w:r>
      <w:proofErr w:type="spellEnd"/>
      <w:r>
        <w:t xml:space="preserve">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1D040A3">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5BB3F0E6">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212D9CF8">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w:t>
      </w:r>
      <w:proofErr w:type="spellStart"/>
      <w:r>
        <w:t>Pāli</w:t>
      </w:r>
      <w:proofErr w:type="spellEnd"/>
      <w:r>
        <w:t xml:space="preserve">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0" w:name="bqseg72"/>
      <w:bookmarkEnd w:id="80"/>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proofErr w:type="spellStart"/>
      <w:r>
        <w:rPr>
          <w:rStyle w:val="wwc-sesame"/>
        </w:rPr>
        <w:t>Visuddhimagga</w:t>
      </w:r>
      <w:proofErr w:type="spellEnd"/>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w:t>
      </w:r>
      <w:proofErr w:type="spellStart"/>
      <w:r>
        <w:t>Pāli</w:t>
      </w:r>
      <w:proofErr w:type="spellEnd"/>
      <w:r>
        <w:t xml:space="preserve">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1" w:name="bqseg73"/>
      <w:bookmarkEnd w:id="81"/>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r>
        <w:t>so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w:t>
      </w:r>
      <w:r>
        <w:lastRenderedPageBreak/>
        <w:t>life through an ever-changing stream of consciousness. There is a clear connection between the two 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2" w:name="bqseg74"/>
      <w:bookmarkEnd w:id="82"/>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3" w:name="bqseg75"/>
      <w:bookmarkEnd w:id="83"/>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4" w:name="bqseg76"/>
      <w:bookmarkEnd w:id="84"/>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8" w:name="figure18"/>
      <w:bookmarkEnd w:id="88"/>
      <w:r>
        <w:rPr>
          <w:noProof/>
          <w:lang w:val="en-US"/>
        </w:rPr>
        <w:drawing>
          <wp:inline distT="0" distB="0" distL="0" distR="0" wp14:anchorId="058A558B" wp14:editId="6DEBA1C5">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03A9EDF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its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89" w:name="bqseg77"/>
      <w:bookmarkEnd w:id="89"/>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There are many similar instances of these words in the Canon, so there should be no question what the Seeds Discourse is about: the “departing or arriving of consciousness, its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0" w:name="bqseg78"/>
      <w:bookmarkEnd w:id="90"/>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hell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consciousness: one is the desire for consciousness, the other is the stream of consciousness that continues from life to life. So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2919F544">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r>
        <w:lastRenderedPageBreak/>
        <w:t xml:space="preserve">So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1" w:name="bqseg79"/>
      <w:bookmarkEnd w:id="91"/>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63E30CD0">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186F82F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proofErr w:type="spellStart"/>
      <w:r>
        <w:rPr>
          <w:rStyle w:val="wwc-pali"/>
        </w:rPr>
        <w:t>upādāna</w:t>
      </w:r>
      <w:proofErr w:type="spellEnd"/>
      <w:r>
        <w:t>, which earlier I translated with the two terms ‘fuel/taking up’. Often both meanings are implied, but in this discourse ‘fuel’ is the primary meaning, since it reoccurs in the metaphor in which the water and soil are called fuel (</w:t>
      </w:r>
      <w:proofErr w:type="spellStart"/>
      <w:r>
        <w:rPr>
          <w:rStyle w:val="wwc-pali"/>
        </w:rPr>
        <w:t>upādāna</w:t>
      </w:r>
      <w:proofErr w:type="spellEnd"/>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proofErr w:type="spellStart"/>
      <w:r>
        <w:rPr>
          <w:rStyle w:val="wwc-pali"/>
        </w:rPr>
        <w:t>upādāna</w:t>
      </w:r>
      <w:proofErr w:type="spellEnd"/>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So when the Buddha instructs his followers to stop </w:t>
      </w:r>
      <w:proofErr w:type="spellStart"/>
      <w:r>
        <w:rPr>
          <w:rStyle w:val="wwc-pali"/>
        </w:rPr>
        <w:t>upādāna</w:t>
      </w:r>
      <w:proofErr w:type="spellEnd"/>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2" w:name="bqseg80"/>
      <w:bookmarkEnd w:id="92"/>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3" w:name="bqseg81"/>
      <w:bookmarkEnd w:id="93"/>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35AF4840">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20739DF6">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4" w:name="chapter8"/>
      <w:bookmarkEnd w:id="94"/>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5" w:name="bqseg82"/>
      <w:bookmarkEnd w:id="95"/>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lastRenderedPageBreak/>
        <w:t>§83</w:t>
      </w:r>
    </w:p>
    <w:p w14:paraId="611BCEC2" w14:textId="77777777" w:rsidR="00FE3964" w:rsidRDefault="00000000">
      <w:pPr>
        <w:pStyle w:val="WW-blockquote"/>
      </w:pPr>
      <w:bookmarkStart w:id="96" w:name="bqseg83"/>
      <w:bookmarkEnd w:id="96"/>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reference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7" w:name="bqseg84"/>
      <w:bookmarkEnd w:id="97"/>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lastRenderedPageBreak/>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w:t>
      </w:r>
      <w:r>
        <w:lastRenderedPageBreak/>
        <w:t>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w:t>
      </w:r>
      <w:proofErr w:type="spellStart"/>
      <w:r>
        <w:t>Pāli</w:t>
      </w:r>
      <w:proofErr w:type="spellEnd"/>
      <w:r>
        <w:t xml:space="preserve">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w:t>
      </w:r>
      <w:r>
        <w:lastRenderedPageBreak/>
        <w:t xml:space="preserve">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w:t>
      </w:r>
      <w:r>
        <w:lastRenderedPageBreak/>
        <w:t xml:space="preserve">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w:t>
      </w:r>
      <w:r>
        <w:lastRenderedPageBreak/>
        <w:t xml:space="preserve">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8" w:name="bqseg85"/>
      <w:bookmarkEnd w:id="98"/>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w:t>
      </w:r>
      <w:r>
        <w:lastRenderedPageBreak/>
        <w:t xml:space="preserve">generally. (More on this shortly.) The different </w:t>
      </w:r>
      <w:proofErr w:type="spellStart"/>
      <w:r>
        <w:t>color</w:t>
      </w:r>
      <w:proofErr w:type="spellEnd"/>
      <w:r>
        <w:t xml:space="preserve"> threads stand for the various bodies consciousness can be reborn into.</w:t>
      </w:r>
    </w:p>
    <w:p w14:paraId="060410E4" w14:textId="14657510" w:rsidR="00FE3964" w:rsidRDefault="006C328E">
      <w:pPr>
        <w:pStyle w:val="WW-figure"/>
      </w:pPr>
      <w:r>
        <w:rPr>
          <w:noProof/>
        </w:rPr>
        <w:drawing>
          <wp:inline distT="0" distB="0" distL="0" distR="0" wp14:anchorId="60B77588" wp14:editId="09004428">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99" w:name="bqseg86"/>
      <w:bookmarkEnd w:id="99"/>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lastRenderedPageBreak/>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proofErr w:type="spellStart"/>
      <w:r>
        <w:rPr>
          <w:rStyle w:val="Emphasis"/>
        </w:rPr>
        <w:t>Nāma-rūpa</w:t>
      </w:r>
      <w:proofErr w:type="spellEnd"/>
      <w:r>
        <w:rPr>
          <w:rStyle w:val="Emphasis"/>
        </w:rPr>
        <w:t xml:space="preserve">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w:t>
      </w:r>
      <w:r>
        <w:lastRenderedPageBreak/>
        <w:t xml:space="preserve">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0" w:name="bqseg87"/>
      <w:bookmarkEnd w:id="100"/>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1" w:name="bqseg88"/>
      <w:bookmarkEnd w:id="101"/>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2" w:name="bqseg89"/>
      <w:bookmarkEnd w:id="102"/>
      <w:r>
        <w:t>Now, take these rivers, son. The easterly ones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w:t>
      </w:r>
      <w:r>
        <w:lastRenderedPageBreak/>
        <w:t xml:space="preserve">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3" w:name="bqseg90"/>
      <w:bookmarkEnd w:id="103"/>
      <w:r>
        <w:t>A self or anything belonging to a self are not found to actually or really exist. So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4" w:name="bqseg91"/>
      <w:bookmarkEnd w:id="104"/>
      <w:r>
        <w:t>Where the immaterial aspects and body</w:t>
      </w:r>
      <w:r>
        <w:br/>
        <w:t>completely come to cease:</w:t>
      </w:r>
      <w:r>
        <w:br/>
      </w:r>
      <w:r>
        <w:lastRenderedPageBreak/>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5" w:name="bqseg92"/>
      <w:bookmarkEnd w:id="105"/>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w:t>
      </w:r>
      <w:r>
        <w:lastRenderedPageBreak/>
        <w:t xml:space="preserve">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6" w:name="bqseg93"/>
      <w:bookmarkEnd w:id="106"/>
      <w:r>
        <w:rPr>
          <w:rStyle w:val="wwc-list-margin"/>
        </w:rPr>
        <w:t>[1]</w:t>
      </w:r>
      <w:r>
        <w:t>Where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[1]</w:t>
      </w:r>
      <w:r>
        <w:t>Unbounded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[2]</w:t>
      </w:r>
      <w:r>
        <w:t>Here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lastRenderedPageBreak/>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It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w:t>
      </w:r>
      <w:r>
        <w:lastRenderedPageBreak/>
        <w:t>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result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 xml:space="preserve">What has remained very relevant, however, is the general idea that consciousness can’t exist in isolation, because some Buddhists believe the Buddha taught the highest goal to be some </w:t>
      </w:r>
      <w:r>
        <w:lastRenderedPageBreak/>
        <w:t>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xml:space="preserve">) contains the most detailed explanation of this dependency in the </w:t>
      </w:r>
      <w:proofErr w:type="spellStart"/>
      <w:r>
        <w:t>Pāli</w:t>
      </w:r>
      <w:proofErr w:type="spellEnd"/>
      <w:r>
        <w:t xml:space="preserve">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lastRenderedPageBreak/>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w:t>
      </w:r>
      <w:proofErr w:type="spellStart"/>
      <w:r>
        <w:t>Pāli</w:t>
      </w:r>
      <w:proofErr w:type="spellEnd"/>
      <w:r>
        <w:t xml:space="preserve"> and English here, for in English we do not use the word ‘consciousness’ to describe what gets reborn, and are more likely to use something like ‘spirit’ or ‘mind’ instead. We do not say things like “the rebirth of consciousness” or “consciousness is conceived in the womb”. In </w:t>
      </w:r>
      <w:proofErr w:type="spellStart"/>
      <w:r>
        <w:t>Pāli</w:t>
      </w:r>
      <w:proofErr w:type="spellEnd"/>
      <w:r>
        <w:t xml:space="preserve">,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instances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w:t>
      </w:r>
      <w:proofErr w:type="spellStart"/>
      <w:r>
        <w:t>Pāli</w:t>
      </w:r>
      <w:proofErr w:type="spellEnd"/>
      <w:r>
        <w:t xml:space="preserve">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proofErr w:type="spellStart"/>
      <w:r>
        <w:rPr>
          <w:rStyle w:val="wwc-sanskrit"/>
        </w:rPr>
        <w:t>vijñāna</w:t>
      </w:r>
      <w:proofErr w:type="spellEnd"/>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w:t>
      </w:r>
      <w:proofErr w:type="spellStart"/>
      <w:r>
        <w:t>Pāli</w:t>
      </w:r>
      <w:proofErr w:type="spellEnd"/>
      <w:r>
        <w:t xml:space="preserve">-English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lastRenderedPageBreak/>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Otherwise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xml:space="preserve">), by which they mean it links the </w:t>
      </w:r>
      <w:r>
        <w:lastRenderedPageBreak/>
        <w:t>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proofErr w:type="spellStart"/>
      <w:r>
        <w:rPr>
          <w:rStyle w:val="wwc-pali"/>
        </w:rPr>
        <w:t>vijñāna</w:t>
      </w:r>
      <w:proofErr w:type="spellEnd"/>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xml:space="preserve">. “Thus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8" w:name="bqseg94"/>
      <w:bookmarkEnd w:id="108"/>
      <w:r>
        <w:t>What is that self? It is this person—the one that consists of consciousness (</w:t>
      </w:r>
      <w:proofErr w:type="spellStart"/>
      <w:r>
        <w:rPr>
          <w:rStyle w:val="wwc-pali"/>
        </w:rPr>
        <w:t>vijñāna</w:t>
      </w:r>
      <w:proofErr w:type="spellEnd"/>
      <w:r>
        <w:t xml:space="preserve">) among the vital functions, the one that is the inner light within the heart. […] When at birth this person [i.e. the </w:t>
      </w:r>
      <w:r>
        <w:lastRenderedPageBreak/>
        <w:t>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reality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w:t>
      </w:r>
      <w:r>
        <w:lastRenderedPageBreak/>
        <w:t xml:space="preserve">‘stream’ to point to this impermanent phenomena.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w:t>
      </w:r>
      <w:proofErr w:type="spellStart"/>
      <w:r>
        <w:t>Pāli</w:t>
      </w:r>
      <w:proofErr w:type="spellEnd"/>
      <w:r>
        <w:t xml:space="preserve">-English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reason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09" w:name="bqseg95"/>
      <w:bookmarkEnd w:id="109"/>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lastRenderedPageBreak/>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w:t>
      </w:r>
      <w:proofErr w:type="spellStart"/>
      <w:r>
        <w:t>Pāli</w:t>
      </w:r>
      <w:proofErr w:type="spellEnd"/>
      <w:r>
        <w:t xml:space="preserve">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lastRenderedPageBreak/>
        <w:drawing>
          <wp:inline distT="0" distB="0" distL="0" distR="0" wp14:anchorId="642FB2F8" wp14:editId="6A4360C2">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35E3F574">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054C2A1A">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0" w:name="bqseg96"/>
      <w:bookmarkEnd w:id="110"/>
      <w:r>
        <w:t>Look at the world with its gods,</w:t>
      </w:r>
      <w:r>
        <w:br/>
        <w:t>resorting to immaterial aspects and bodies,</w:t>
      </w:r>
      <w:r>
        <w:br/>
      </w:r>
      <w:r>
        <w:lastRenderedPageBreak/>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1" w:name="bqseg97"/>
      <w:bookmarkEnd w:id="111"/>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lastRenderedPageBreak/>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proofErr w:type="spellStart"/>
      <w:r>
        <w:rPr>
          <w:rStyle w:val="wwc-sesame"/>
        </w:rPr>
        <w:t>Visuddhimagga</w:t>
      </w:r>
      <w:proofErr w:type="spellEnd"/>
      <w:r>
        <w:t>:</w:t>
      </w:r>
    </w:p>
    <w:p w14:paraId="51CBE289" w14:textId="77777777" w:rsidR="00FE3964" w:rsidRDefault="00000000">
      <w:pPr>
        <w:pStyle w:val="WW-named-section"/>
      </w:pPr>
      <w:r>
        <w:t>§98</w:t>
      </w:r>
    </w:p>
    <w:p w14:paraId="15BE856D" w14:textId="77777777" w:rsidR="00FE3964" w:rsidRDefault="00000000">
      <w:pPr>
        <w:pStyle w:val="WW-blockquote"/>
      </w:pPr>
      <w:bookmarkStart w:id="112" w:name="bqseg98"/>
      <w:bookmarkEnd w:id="112"/>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lastRenderedPageBreak/>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proofErr w:type="spellStart"/>
      <w:r>
        <w:rPr>
          <w:rStyle w:val="wwc-sesame"/>
        </w:rPr>
        <w:t>Visuddhimagga</w:t>
      </w:r>
      <w:proofErr w:type="spellEnd"/>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w:t>
      </w:r>
      <w:r>
        <w:lastRenderedPageBreak/>
        <w:t>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which only leaves it again at death; on the other hand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3" w:name="chapter9"/>
      <w:bookmarkEnd w:id="113"/>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proofErr w:type="spellStart"/>
      <w:r>
        <w:rPr>
          <w:rStyle w:val="wwc-pali"/>
        </w:rPr>
        <w:t>vijñāna</w:t>
      </w:r>
      <w:proofErr w:type="spellEnd"/>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w:t>
      </w:r>
      <w:proofErr w:type="spellStart"/>
      <w:r>
        <w:t>Pāli</w:t>
      </w:r>
      <w:proofErr w:type="spellEnd"/>
      <w:r>
        <w:t xml:space="preserve">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Alternatively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proofErr w:type="spellStart"/>
      <w:r>
        <w:rPr>
          <w:rStyle w:val="wwc-pali"/>
        </w:rPr>
        <w:t>vedanā</w:t>
      </w:r>
      <w:proofErr w:type="spellEnd"/>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4" w:name="bqseg99"/>
      <w:bookmarkEnd w:id="114"/>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w:t>
      </w:r>
      <w:proofErr w:type="spellStart"/>
      <w:r>
        <w:t>Pāli</w:t>
      </w:r>
      <w:proofErr w:type="spellEnd"/>
      <w:r>
        <w:t xml:space="preserve">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5" w:name="bqseg100"/>
      <w:bookmarkEnd w:id="115"/>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6" w:name="bqseg101"/>
      <w:bookmarkEnd w:id="116"/>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7" w:name="bqseg102"/>
      <w:bookmarkEnd w:id="117"/>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8" w:name="bqseg103"/>
      <w:bookmarkEnd w:id="118"/>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19" w:name="bqseg104"/>
      <w:bookmarkEnd w:id="119"/>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0" w:name="bqseg105"/>
      <w:bookmarkEnd w:id="120"/>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1" w:name="bqseg106"/>
      <w:bookmarkEnd w:id="121"/>
      <w:r>
        <w:t>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So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Impinged by sense impressions, you sense sensations. Impinged, you intend. Impinged, you perceive. So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A mind-consciousness arises dependent on the mind and mental phenomena. The mind is temporary, changing, and fluctuating; mental phenomena are temporary, changing, and fluctuating. So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Impinged by sense impressions, you sense sensations. Impinged, you intend. Impinged, you perceive. So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3" w:name="bqseg107"/>
      <w:bookmarkEnd w:id="123"/>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4" w:name="bqseg108"/>
      <w:bookmarkEnd w:id="124"/>
      <w:r>
        <w:t>“Mendicants, the fool’s current [conscious] body originated because they were obstructed by ignorance and chained by craving [in the past life]. And so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so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suffering, I tell you.</w:t>
      </w:r>
    </w:p>
    <w:p w14:paraId="761D5149" w14:textId="77777777" w:rsidR="00FE3964" w:rsidRDefault="00000000">
      <w:pPr>
        <w:pStyle w:val="WW-blockquote"/>
      </w:pPr>
      <w:r>
        <w:t>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suffering, I tell you.”</w:t>
      </w:r>
      <w:r>
        <w:rPr>
          <w:rStyle w:val="FootnoteReference"/>
        </w:rPr>
        <w:footnoteReference w:id="425"/>
      </w:r>
    </w:p>
    <w:p w14:paraId="5DC45986" w14:textId="77777777" w:rsidR="00FE3964" w:rsidRDefault="00000000">
      <w:pPr>
        <w:pStyle w:val="WW-paragraph"/>
      </w:pPr>
      <w:r>
        <w:t xml:space="preserve">The </w:t>
      </w:r>
      <w:proofErr w:type="spellStart"/>
      <w:r>
        <w:t>Pāli</w:t>
      </w:r>
      <w:proofErr w:type="spellEnd"/>
      <w:r>
        <w:t xml:space="preserve">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w:t>
      </w:r>
      <w:proofErr w:type="spellStart"/>
      <w:r>
        <w:t>Pāli</w:t>
      </w:r>
      <w:proofErr w:type="spellEnd"/>
      <w:r>
        <w:t xml:space="preserve">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r>
        <w:t xml:space="preserve">So in the </w:t>
      </w:r>
      <w:proofErr w:type="spellStart"/>
      <w:r>
        <w:t>Pāli</w:t>
      </w:r>
      <w:proofErr w:type="spellEnd"/>
      <w:r>
        <w:t xml:space="preserve">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lastRenderedPageBreak/>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lastRenderedPageBreak/>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So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lastRenderedPageBreak/>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proofErr w:type="spellStart"/>
      <w:r>
        <w:rPr>
          <w:rStyle w:val="wwc-pali"/>
        </w:rPr>
        <w:t>vijñāna</w:t>
      </w:r>
      <w:proofErr w:type="spellEnd"/>
      <w:r>
        <w:t xml:space="preserve">, and this is appropriate for the living sentient body, which becomes as such only through </w:t>
      </w:r>
      <w:proofErr w:type="spellStart"/>
      <w:r>
        <w:rPr>
          <w:rStyle w:val="wwc-pali"/>
        </w:rPr>
        <w:t>vijñāna</w:t>
      </w:r>
      <w:proofErr w:type="spellEnd"/>
      <w:r>
        <w:t xml:space="preserve"> [continuing from the past life], but it would be remarkable for the objects. Indeed, in [this discourse] there is no mention that ‘external name-and-form’, i.e. the objects, are conditioned by </w:t>
      </w:r>
      <w:proofErr w:type="spellStart"/>
      <w:r>
        <w:rPr>
          <w:rStyle w:val="wwc-pali"/>
        </w:rPr>
        <w:t>vijñāna</w:t>
      </w:r>
      <w:proofErr w:type="spellEnd"/>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w:t>
      </w:r>
      <w:r>
        <w:lastRenderedPageBreak/>
        <w:t xml:space="preserve">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w:t>
      </w:r>
      <w:proofErr w:type="spellStart"/>
      <w:r>
        <w:t>Pāli</w:t>
      </w:r>
      <w:proofErr w:type="spellEnd"/>
      <w:r>
        <w:t xml:space="preserve">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lastRenderedPageBreak/>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7" w:name="bqseg109"/>
      <w:bookmarkEnd w:id="127"/>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lastRenderedPageBreak/>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r>
        <w:t xml:space="preserve">So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w:t>
      </w:r>
      <w:proofErr w:type="spellStart"/>
      <w:r>
        <w:t>Pāli</w:t>
      </w:r>
      <w:proofErr w:type="spellEnd"/>
      <w:r>
        <w:t xml:space="preserve">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w:t>
      </w:r>
      <w:proofErr w:type="spellStart"/>
      <w:r>
        <w:t>Pāli</w:t>
      </w:r>
      <w:proofErr w:type="spellEnd"/>
      <w:r>
        <w:t xml:space="preserve">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8" w:name="bqseg110"/>
      <w:bookmarkEnd w:id="128"/>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lastRenderedPageBreak/>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w:t>
      </w:r>
      <w:proofErr w:type="spellStart"/>
      <w:r>
        <w:t>Pāli</w:t>
      </w:r>
      <w:proofErr w:type="spellEnd"/>
      <w:r>
        <w:t xml:space="preserve">. The wording is much simpler, and it also combines statements 3 and 4—which say the same thing, anyway—into one. It is impossible to tell whether these are simplifications made by the original Chinese translator or whether this version is more authentic, although the </w:t>
      </w:r>
      <w:proofErr w:type="spellStart"/>
      <w:r>
        <w:t>Pāli</w:t>
      </w:r>
      <w:proofErr w:type="spellEnd"/>
      <w:r>
        <w:t xml:space="preserve">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w:t>
      </w:r>
      <w:proofErr w:type="spellStart"/>
      <w:r>
        <w:t>Pāli</w:t>
      </w:r>
      <w:proofErr w:type="spellEnd"/>
      <w:r>
        <w:t xml:space="preserve">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mentioned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w:t>
      </w:r>
      <w:proofErr w:type="spellStart"/>
      <w:r>
        <w:t>Pāli</w:t>
      </w:r>
      <w:proofErr w:type="spellEnd"/>
      <w:r>
        <w:t xml:space="preserve">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book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29" w:name="bqseg111"/>
      <w:bookmarkEnd w:id="129"/>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0" w:name="bqseg112"/>
      <w:bookmarkEnd w:id="130"/>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1" w:name="bqseg113"/>
      <w:bookmarkEnd w:id="131"/>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2" w:name="bqseg114"/>
      <w:bookmarkEnd w:id="132"/>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actions’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3" w:name="bqseg115"/>
      <w:bookmarkEnd w:id="133"/>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w:t>
      </w:r>
      <w:proofErr w:type="spellStart"/>
      <w:r>
        <w:t>Pāli</w:t>
      </w:r>
      <w:proofErr w:type="spellEnd"/>
      <w:r>
        <w:t xml:space="preserve">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its passing on and being reborn. The term ‘inclination’ I understand here to be an inclination to a certain rebirth, being effectively synonymous to ‘what you have a tendency towards’. So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4" w:name="bqseg116"/>
      <w:bookmarkEnd w:id="134"/>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w:t>
      </w:r>
      <w:proofErr w:type="spellStart"/>
      <w:r>
        <w:t>Pāli</w:t>
      </w:r>
      <w:proofErr w:type="spellEnd"/>
      <w:r>
        <w:t xml:space="preserve">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proofErr w:type="spellStart"/>
      <w:r>
        <w:rPr>
          <w:rStyle w:val="wwc-pali"/>
        </w:rPr>
        <w:t>upādāna</w:t>
      </w:r>
      <w:proofErr w:type="spellEnd"/>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6" w:name="bqseg117"/>
      <w:bookmarkEnd w:id="136"/>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7" w:name="bqseg118"/>
      <w:bookmarkEnd w:id="137"/>
      <w:r>
        <w:lastRenderedPageBreak/>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Some might say they will describe the departing or arriving of consciousness, its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8" w:name="bqseg119"/>
      <w:bookmarkEnd w:id="138"/>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39" w:name="bqseg120"/>
      <w:bookmarkEnd w:id="139"/>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109168">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0" w:name="chapter11"/>
      <w:bookmarkEnd w:id="140"/>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1" w:name="bqseg121"/>
      <w:bookmarkEnd w:id="141"/>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2" w:name="bqseg122"/>
      <w:bookmarkEnd w:id="142"/>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3" w:name="bqseg123"/>
      <w:bookmarkEnd w:id="143"/>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So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4" w:name="bqseg124"/>
      <w:bookmarkEnd w:id="144"/>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worlds’.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3EA713A1">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1A1BB76D">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w:t>
      </w:r>
      <w:proofErr w:type="spellStart"/>
      <w:r>
        <w:t>Pāli</w:t>
      </w:r>
      <w:proofErr w:type="spellEnd"/>
      <w:r>
        <w:t xml:space="preserve">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w:t>
      </w:r>
      <w:proofErr w:type="spellStart"/>
      <w:r>
        <w:t>Pāli</w:t>
      </w:r>
      <w:proofErr w:type="spellEnd"/>
      <w:r>
        <w:t>, but the cessation of consciousness with a painter who fails to paint an image on empty space.</w:t>
      </w:r>
      <w:r>
        <w:rPr>
          <w:rStyle w:val="FootnoteReference"/>
        </w:rPr>
        <w:footnoteReference w:id="499"/>
      </w:r>
      <w:r>
        <w:t xml:space="preserve"> The idea of being unable to paint on empty space also occurs elsewhere in the </w:t>
      </w:r>
      <w:proofErr w:type="spellStart"/>
      <w:r>
        <w:t>Pāli</w:t>
      </w:r>
      <w:proofErr w:type="spellEnd"/>
      <w:r>
        <w:t xml:space="preserve">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1F41B62B">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0BFCA39D">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6" w:name="bqseg125"/>
      <w:bookmarkEnd w:id="146"/>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7" w:name="bqseg126"/>
      <w:bookmarkEnd w:id="147"/>
      <w:r>
        <w:t>Unlearned ordinary people may get disillusioned with this body which consists of four elements, may lose desire for it, and may be liberated from it. Why? The growth and decay of the body are visible, and so are its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time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8" w:name="bqseg127"/>
      <w:bookmarkEnd w:id="148"/>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49" w:name="bqseg128"/>
      <w:bookmarkEnd w:id="149"/>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So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0" w:name="bqseg129"/>
      <w:bookmarkEnd w:id="150"/>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too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1" w:name="chapter12"/>
      <w:bookmarkEnd w:id="151"/>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2" w:name="bqseg130"/>
      <w:bookmarkEnd w:id="152"/>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3" w:name="bqseg131"/>
      <w:bookmarkEnd w:id="153"/>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4" w:name="bqseg132"/>
      <w:bookmarkEnd w:id="154"/>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So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5" w:name="bqseg133"/>
      <w:bookmarkEnd w:id="155"/>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 xml:space="preserve">There are a couple of verses in the </w:t>
      </w:r>
      <w:proofErr w:type="spellStart"/>
      <w:r>
        <w:t>Pāli</w:t>
      </w:r>
      <w:proofErr w:type="spellEnd"/>
      <w:r>
        <w:t xml:space="preserve">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result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6" w:name="bqseg134"/>
      <w:bookmarkEnd w:id="156"/>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So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7" w:name="bqseg135"/>
      <w:bookmarkEnd w:id="157"/>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8" w:name="bqseg136"/>
      <w:bookmarkEnd w:id="158"/>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59" w:name="bqseg137"/>
      <w:bookmarkEnd w:id="159"/>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“Venerable, if people would ask me that, I would answer: ‘Form, sensation, perception, will, and consciousness are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0" w:name="bqseg138"/>
      <w:bookmarkEnd w:id="160"/>
      <w:r>
        <w:lastRenderedPageBreak/>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far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1" w:name="bqseg139"/>
      <w:bookmarkEnd w:id="161"/>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w:t>
      </w:r>
      <w:r>
        <w:lastRenderedPageBreak/>
        <w:t>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lastRenderedPageBreak/>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w:t>
      </w:r>
      <w:proofErr w:type="spellStart"/>
      <w:r>
        <w:t>Pāli</w:t>
      </w:r>
      <w:proofErr w:type="spellEnd"/>
      <w:r>
        <w:t xml:space="preserve">.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So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2" w:name="bqseg140"/>
      <w:bookmarkEnd w:id="162"/>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w:t>
      </w:r>
      <w:r>
        <w:lastRenderedPageBreak/>
        <w:t>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3" w:name="bqseg141"/>
      <w:bookmarkEnd w:id="163"/>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4" w:name="bqseg142"/>
      <w:bookmarkEnd w:id="164"/>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“Mendicants, there is a state where there is no earth, no water, no fire, no air; no state of unbounded space, no state of unbounded consciousness, no state of nothingness, no state of neither awareness nor nonawareness; no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5" w:name="bqseg143"/>
      <w:bookmarkEnd w:id="165"/>
      <w:r>
        <w:t>Mendicants, there is a case when there is no earth, no water, no fire, no air; no state of unbounded space, no state of unbounded consciousness, no state of nothingness, no state of neither awareness nor nonawareness; no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6" w:name="bqseg144"/>
      <w:bookmarkEnd w:id="166"/>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‘No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7" w:name="bqseg145"/>
      <w:bookmarkEnd w:id="167"/>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w:t>
      </w:r>
      <w:proofErr w:type="spellStart"/>
      <w:r>
        <w:t>Pāli</w:t>
      </w:r>
      <w:proofErr w:type="spellEnd"/>
      <w:r>
        <w:t xml:space="preserve">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‘consciousness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‘the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‘the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‘consciousness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‘that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‘all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‘the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‘the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‘consciousness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‘the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‘no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‘if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8" w:name="bqseg146"/>
      <w:bookmarkEnd w:id="168"/>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 xml:space="preserve">One of the most profound descriptions of right view in the </w:t>
      </w:r>
      <w:proofErr w:type="spellStart"/>
      <w:r>
        <w:t>Pāli</w:t>
      </w:r>
      <w:proofErr w:type="spellEnd"/>
      <w:r>
        <w:t xml:space="preserve">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amount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proofErr w:type="spellStart"/>
            <w:r>
              <w:t>Pāli</w:t>
            </w:r>
            <w:proofErr w:type="spellEnd"/>
            <w:r>
              <w:t xml:space="preserve">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proofErr w:type="spellStart"/>
            <w:r>
              <w:t>Visuddhimagga</w:t>
            </w:r>
            <w:proofErr w:type="spellEnd"/>
            <w:r>
              <w:t xml:space="preserve">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CF1C4C" w14:textId="77777777" w:rsidR="00812C76" w:rsidRDefault="00812C76" w:rsidP="00422B5B">
      <w:r>
        <w:separator/>
      </w:r>
    </w:p>
  </w:endnote>
  <w:endnote w:type="continuationSeparator" w:id="0">
    <w:p w14:paraId="740CEBEC" w14:textId="77777777" w:rsidR="00812C76" w:rsidRDefault="00812C76"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9BE72" w14:textId="77777777" w:rsidR="00812C76" w:rsidRDefault="00812C76" w:rsidP="00AF7A6C">
      <w:r>
        <w:separator/>
      </w:r>
    </w:p>
  </w:footnote>
  <w:footnote w:type="continuationSeparator" w:id="0">
    <w:p w14:paraId="0D4824A7" w14:textId="77777777" w:rsidR="00812C76" w:rsidRDefault="00812C76"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example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realms’.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things’.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 xml:space="preserve">in the </w:t>
      </w:r>
      <w:proofErr w:type="spellStart"/>
      <w:r>
        <w:t>Pāli</w:t>
      </w:r>
      <w:proofErr w:type="spellEnd"/>
      <w:r>
        <w:t xml:space="preserve">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example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proofErr w:type="spellStart"/>
      <w:r>
        <w:rPr>
          <w:rStyle w:val="wwc-pali"/>
        </w:rPr>
        <w:t>upādāna</w:t>
      </w:r>
      <w:proofErr w:type="spellEnd"/>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proofErr w:type="spellStart"/>
      <w:r>
        <w:rPr>
          <w:rStyle w:val="wwc-pali"/>
        </w:rPr>
        <w:t>upādāna</w:t>
      </w:r>
      <w:proofErr w:type="spellEnd"/>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So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Otherwise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w:t>
      </w:r>
      <w:proofErr w:type="spellStart"/>
      <w:r>
        <w:t>Pāli</w:t>
      </w:r>
      <w:proofErr w:type="spellEnd"/>
      <w:r>
        <w:t xml:space="preserve">.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proofErr w:type="spellStart"/>
      <w:r>
        <w:rPr>
          <w:rStyle w:val="wwc-pali"/>
        </w:rPr>
        <w:t>vedanā</w:t>
      </w:r>
      <w:proofErr w:type="spellEnd"/>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‘causes’.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xml:space="preserve">). In this book I just refer to the discourse by its </w:t>
      </w:r>
      <w:proofErr w:type="spellStart"/>
      <w:r>
        <w:t>Pāli</w:t>
      </w:r>
      <w:proofErr w:type="spellEnd"/>
      <w:r>
        <w:t xml:space="preserve">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proofErr w:type="spellStart"/>
      <w:r>
        <w:rPr>
          <w:rStyle w:val="wwc-sesame-zot-reference"/>
        </w:rPr>
        <w:t>Nyanatiloka</w:t>
      </w:r>
      <w:proofErr w:type="spellEnd"/>
      <w:r>
        <w:t xml:space="preserve"> p.7</w:t>
      </w:r>
    </w:p>
  </w:footnote>
  <w:footnote w:id="39">
    <w:p w14:paraId="3D502C31" w14:textId="77777777" w:rsidR="00FE3964" w:rsidRDefault="00000000">
      <w:pPr>
        <w:pStyle w:val="FootnoteText"/>
      </w:pPr>
      <w:r>
        <w:rPr>
          <w:rStyle w:val="FootnoteCharacters"/>
        </w:rPr>
        <w:footnoteRef/>
      </w:r>
      <w:r>
        <w:t xml:space="preserve">For example </w:t>
      </w:r>
      <w:proofErr w:type="spellStart"/>
      <w:r>
        <w:rPr>
          <w:rStyle w:val="wwc-sesame-zot-reference"/>
        </w:rPr>
        <w:t>Frauwallner</w:t>
      </w:r>
      <w:proofErr w:type="spellEnd"/>
      <w:r>
        <w:rPr>
          <w:rStyle w:val="wwc-sesame-zot-reference"/>
        </w:rPr>
        <w:t xml:space="preserve">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proofErr w:type="spellStart"/>
      <w:r>
        <w:rPr>
          <w:rStyle w:val="wwc-sesame-zot-reference"/>
        </w:rPr>
        <w:t>Mejor</w:t>
      </w:r>
      <w:proofErr w:type="spellEnd"/>
      <w:r>
        <w:t xml:space="preserve"> p.123, </w:t>
      </w:r>
      <w:proofErr w:type="spellStart"/>
      <w:r>
        <w:rPr>
          <w:rStyle w:val="wwc-sesame-zot-reference"/>
        </w:rPr>
        <w:t>Schmithausen</w:t>
      </w:r>
      <w:proofErr w:type="spellEnd"/>
      <w:r>
        <w:rPr>
          <w:rStyle w:val="wwc-sesame-zot-reference"/>
        </w:rPr>
        <w:t xml:space="preserve"> 2000</w:t>
      </w:r>
      <w:r>
        <w:t xml:space="preserve"> p.45, </w:t>
      </w:r>
      <w:proofErr w:type="spellStart"/>
      <w:r>
        <w:rPr>
          <w:rStyle w:val="wwc-sesame-zot-reference"/>
        </w:rPr>
        <w:t>Jurewicz</w:t>
      </w:r>
      <w:proofErr w:type="spellEnd"/>
      <w:r>
        <w:t xml:space="preserve"> p.177, </w:t>
      </w:r>
      <w:proofErr w:type="spellStart"/>
      <w:r>
        <w:rPr>
          <w:rStyle w:val="wwc-sesame-zot-reference"/>
        </w:rPr>
        <w:t>Ronkin</w:t>
      </w:r>
      <w:proofErr w:type="spellEnd"/>
      <w:r>
        <w:t xml:space="preserve"> n.43 p.238, </w:t>
      </w:r>
      <w:r>
        <w:rPr>
          <w:rStyle w:val="wwc-sesame-zot-reference"/>
        </w:rPr>
        <w:t>Shulman</w:t>
      </w:r>
      <w:r>
        <w:t xml:space="preserve"> p.89 n.71, </w:t>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example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proofErr w:type="spellStart"/>
      <w:r>
        <w:rPr>
          <w:rStyle w:val="wwc-sesame-zot-reference"/>
        </w:rPr>
        <w:t>Ñāṇavīra</w:t>
      </w:r>
      <w:proofErr w:type="spellEnd"/>
      <w:r>
        <w:t xml:space="preserve"> p.19, </w:t>
      </w:r>
      <w:proofErr w:type="spellStart"/>
      <w:r>
        <w:rPr>
          <w:rStyle w:val="wwc-sesame-zot-reference"/>
        </w:rPr>
        <w:t>Ñāṇananda</w:t>
      </w:r>
      <w:proofErr w:type="spellEnd"/>
      <w:r>
        <w:rPr>
          <w:rStyle w:val="wwc-sesame-zot-reference"/>
        </w:rPr>
        <w:t xml:space="preserve"> 2015</w:t>
      </w:r>
      <w:r>
        <w:t xml:space="preserve"> p.56, </w:t>
      </w:r>
      <w:proofErr w:type="spellStart"/>
      <w:r>
        <w:rPr>
          <w:rStyle w:val="wwc-sesame-zot-reference"/>
        </w:rPr>
        <w:t>Brasington</w:t>
      </w:r>
      <w:proofErr w:type="spellEnd"/>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example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Also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77777777" w:rsidR="00FE3964" w:rsidRDefault="00000000">
      <w:pPr>
        <w:pStyle w:val="FootnoteText"/>
      </w:pPr>
      <w:r>
        <w:rPr>
          <w:rStyle w:val="FootnoteCharacters"/>
        </w:rPr>
        <w:footnoteRef/>
      </w:r>
      <w:r>
        <w:t>For the translation of the discourse title see note 29</w:t>
      </w:r>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Also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proofErr w:type="spellStart"/>
      <w:r>
        <w:rPr>
          <w:rStyle w:val="wwc-pali"/>
        </w:rPr>
        <w:t>upādāna</w:t>
      </w:r>
      <w:proofErr w:type="spellEnd"/>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proofErr w:type="spellStart"/>
      <w:r>
        <w:rPr>
          <w:rStyle w:val="wwc-pali"/>
        </w:rPr>
        <w:t>jāti</w:t>
      </w:r>
      <w:proofErr w:type="spellEnd"/>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29" w:name="footnote113"/>
      <w:bookmarkEnd w:id="29"/>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w:t>
      </w:r>
      <w:proofErr w:type="spellStart"/>
      <w:r>
        <w:t>Pāli</w:t>
      </w:r>
      <w:proofErr w:type="spellEnd"/>
      <w:r>
        <w:t xml:space="preserve">,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2" w:name="footnote139"/>
      <w:bookmarkEnd w:id="32"/>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example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example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example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4" w:name="footnote152"/>
        <w:bookmarkEnd w:id="34"/>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w:t>
      </w:r>
      <w:proofErr w:type="spellStart"/>
      <w:r>
        <w:t>Pāli</w:t>
      </w:r>
      <w:proofErr w:type="spellEnd"/>
      <w:r>
        <w:t xml:space="preserve">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w:t>
      </w:r>
      <w:proofErr w:type="spellStart"/>
      <w:r>
        <w:t>Pāli</w:t>
      </w:r>
      <w:proofErr w:type="spellEnd"/>
      <w:r>
        <w:t xml:space="preserve">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Also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0" w:name="footnote166"/>
      <w:bookmarkEnd w:id="40"/>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proofErr w:type="spellStart"/>
      <w:r>
        <w:rPr>
          <w:rStyle w:val="wwc-sesame-zot-reference"/>
        </w:rPr>
        <w:t>Nyanatiloka</w:t>
      </w:r>
      <w:proofErr w:type="spellEnd"/>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example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2" w:name="footnote192"/>
      <w:bookmarkEnd w:id="52"/>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example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actions’.</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Also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example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example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example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5" w:name="footnote277"/>
      <w:bookmarkEnd w:id="85"/>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6" w:name="footnote278"/>
      <w:bookmarkEnd w:id="86"/>
      <w:r>
        <w:t xml:space="preserve">As an exception I have adopted the reading of the Chinese parallel. The </w:t>
      </w:r>
      <w:proofErr w:type="spellStart"/>
      <w:r>
        <w:t>Pāli</w:t>
      </w:r>
      <w:proofErr w:type="spellEnd"/>
      <w:r>
        <w:t xml:space="preserve">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7" w:name="footnote279"/>
      <w:bookmarkEnd w:id="87"/>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w:t>
      </w:r>
      <w:proofErr w:type="spellStart"/>
      <w:r>
        <w:t>Pāli</w:t>
      </w:r>
      <w:proofErr w:type="spellEnd"/>
      <w:r>
        <w:t xml:space="preserve">.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again the Chinese, as in </w:t>
      </w:r>
      <w:hyperlink w:anchor="footnote277">
        <w:r>
          <w:rPr>
            <w:rStyle w:val="Hyperlink"/>
          </w:rPr>
          <w:t>note 277</w:t>
        </w:r>
      </w:hyperlink>
      <w:r>
        <w:t xml:space="preserve"> and </w:t>
      </w:r>
      <w:hyperlink w:anchor="footnote278">
        <w:r>
          <w:rPr>
            <w:rStyle w:val="Hyperlink"/>
          </w:rPr>
          <w:t>note 278</w:t>
        </w:r>
      </w:hyperlink>
      <w:r>
        <w:t xml:space="preserve">, seems more on point than the </w:t>
      </w:r>
      <w:proofErr w:type="spellStart"/>
      <w:r>
        <w:t>Pāli</w:t>
      </w:r>
      <w:proofErr w:type="spellEnd"/>
      <w:r>
        <w:t>.</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example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example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w:t>
      </w:r>
      <w:proofErr w:type="spellStart"/>
      <w:r>
        <w:rPr>
          <w:rStyle w:val="wwc-pali"/>
        </w:rPr>
        <w:t>vijñāna-ghana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Also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example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7" w:name="footnote361"/>
      <w:bookmarkEnd w:id="107"/>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example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example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example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w:t>
      </w:r>
      <w:proofErr w:type="spellStart"/>
      <w:r>
        <w:t>Pāli</w:t>
      </w:r>
      <w:proofErr w:type="spellEnd"/>
      <w:r>
        <w:t xml:space="preserve">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proofErr w:type="spellStart"/>
      <w:r>
        <w:rPr>
          <w:rStyle w:val="wwc-pali"/>
        </w:rPr>
        <w:t>vedanā</w:t>
      </w:r>
      <w:proofErr w:type="spellEnd"/>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77777777" w:rsidR="00FE3964" w:rsidRDefault="00000000">
      <w:pPr>
        <w:pStyle w:val="FootnoteText"/>
      </w:pPr>
      <w:r>
        <w:rPr>
          <w:rStyle w:val="FootnoteCharacters"/>
        </w:rPr>
        <w:footnoteRef/>
      </w:r>
      <w:hyperlink r:id="rId431" w:anchor="YYY" w:history="1">
        <w:r>
          <w:rPr>
            <w:rStyle w:val="Hyperlink"/>
          </w:rPr>
          <w:t>MN 28:17.1</w:t>
        </w:r>
      </w:hyperlink>
      <w:r>
        <w:t xml:space="preserve"> </w:t>
      </w:r>
      <w:r>
        <w:rPr>
          <w:rStyle w:val="wwc-PTS-reference"/>
        </w:rPr>
        <w:t>M I 188</w:t>
      </w:r>
    </w:p>
  </w:footnote>
  <w:footnote w:id="414">
    <w:p w14:paraId="6548E4A6" w14:textId="77777777" w:rsidR="00FE3964" w:rsidRDefault="00000000">
      <w:pPr>
        <w:pStyle w:val="FootnoteText"/>
      </w:pPr>
      <w:r>
        <w:rPr>
          <w:rStyle w:val="FootnoteCharacters"/>
        </w:rPr>
        <w:footnoteRef/>
      </w:r>
      <w:r>
        <w:t xml:space="preserve">See for example </w:t>
      </w:r>
      <w:hyperlink r:id="rId432"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3"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4"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5"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6"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7"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38"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39" w:anchor="YYY" w:history="1">
        <w:bookmarkStart w:id="122" w:name="footnote422"/>
        <w:bookmarkEnd w:id="122"/>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0" w:anchor="YYY" w:history="1">
        <w:r>
          <w:rPr>
            <w:rStyle w:val="Hyperlink"/>
          </w:rPr>
          <w:t>SN 36.6:2.1</w:t>
        </w:r>
      </w:hyperlink>
      <w:r>
        <w:t xml:space="preserve">. See also </w:t>
      </w:r>
      <w:hyperlink r:id="rId441"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2"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3">
        <w:r>
          <w:rPr>
            <w:rStyle w:val="Hyperlink"/>
          </w:rPr>
          <w:t>SF 161</w:t>
        </w:r>
      </w:hyperlink>
      <w:r>
        <w:t xml:space="preserve">) and </w:t>
      </w:r>
      <w:r>
        <w:t>識身</w:t>
      </w:r>
      <w:r>
        <w:t xml:space="preserve"> (</w:t>
      </w:r>
      <w:hyperlink r:id="rId444">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5"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5" w:name="footnote435"/>
      <w:bookmarkEnd w:id="125"/>
      <w:r>
        <w:t xml:space="preserve">For example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6" w:name="footnote436"/>
      <w:bookmarkEnd w:id="126"/>
      <w:r>
        <w:t xml:space="preserve">For example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6"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7"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48"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49" w:anchor="YYY" w:history="1">
        <w:r>
          <w:rPr>
            <w:rStyle w:val="Hyperlink"/>
          </w:rPr>
          <w:t>MN 43:21.1–21.6</w:t>
        </w:r>
      </w:hyperlink>
      <w:r>
        <w:t xml:space="preserve"> </w:t>
      </w:r>
      <w:r>
        <w:rPr>
          <w:rStyle w:val="wwc-PTS-reference"/>
        </w:rPr>
        <w:t>M I 295</w:t>
      </w:r>
      <w:r>
        <w:t xml:space="preserve">, </w:t>
      </w:r>
      <w:hyperlink r:id="rId450"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example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1"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2">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3">
        <w:r>
          <w:rPr>
            <w:rStyle w:val="Hyperlink"/>
          </w:rPr>
          <w:t>DĀ 13</w:t>
        </w:r>
      </w:hyperlink>
      <w:r>
        <w:t xml:space="preserve"> at 61b3, </w:t>
      </w:r>
      <w:hyperlink r:id="rId454">
        <w:r>
          <w:rPr>
            <w:rStyle w:val="Hyperlink"/>
          </w:rPr>
          <w:t>MĀ 97</w:t>
        </w:r>
      </w:hyperlink>
      <w:r>
        <w:t xml:space="preserve"> at 579c7, </w:t>
      </w:r>
      <w:hyperlink r:id="rId455">
        <w:r>
          <w:rPr>
            <w:rStyle w:val="Hyperlink"/>
          </w:rPr>
          <w:t>T 14</w:t>
        </w:r>
      </w:hyperlink>
      <w:r>
        <w:t xml:space="preserve"> at 243b8; </w:t>
      </w:r>
      <w:hyperlink r:id="rId456">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7">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58"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59"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Being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0"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1"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w:t>
      </w:r>
      <w:proofErr w:type="spellStart"/>
      <w:r>
        <w:t>Pāli</w:t>
      </w:r>
      <w:proofErr w:type="spellEnd"/>
      <w:r>
        <w:t xml:space="preserve">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2"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3"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4"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example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5"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6" w:anchor="YYY" w:history="1">
        <w:r>
          <w:rPr>
            <w:rStyle w:val="Hyperlink"/>
          </w:rPr>
          <w:t>SN 12.38</w:t>
        </w:r>
      </w:hyperlink>
      <w:r>
        <w:t xml:space="preserve">, </w:t>
      </w:r>
      <w:hyperlink r:id="rId467" w:anchor="YYY" w:history="1">
        <w:r>
          <w:rPr>
            <w:rStyle w:val="Hyperlink"/>
          </w:rPr>
          <w:t>SN 12.39</w:t>
        </w:r>
      </w:hyperlink>
      <w:r>
        <w:t xml:space="preserve">, </w:t>
      </w:r>
      <w:hyperlink r:id="rId468"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69">
        <w:r>
          <w:rPr>
            <w:rStyle w:val="Hyperlink"/>
          </w:rPr>
          <w:t>SĀ 359</w:t>
        </w:r>
      </w:hyperlink>
      <w:r>
        <w:t xml:space="preserve">, </w:t>
      </w:r>
      <w:hyperlink r:id="rId470">
        <w:r>
          <w:rPr>
            <w:rStyle w:val="Hyperlink"/>
          </w:rPr>
          <w:t>SĀ 360</w:t>
        </w:r>
      </w:hyperlink>
      <w:r>
        <w:t xml:space="preserve">, </w:t>
      </w:r>
      <w:hyperlink r:id="rId471">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2" w:anchor="YYY" w:history="1">
        <w:r>
          <w:rPr>
            <w:rStyle w:val="Hyperlink"/>
          </w:rPr>
          <w:t>MN 144:11.3–11.9</w:t>
        </w:r>
      </w:hyperlink>
      <w:r>
        <w:t xml:space="preserve"> </w:t>
      </w:r>
      <w:r>
        <w:rPr>
          <w:rStyle w:val="wwc-PTS-reference"/>
        </w:rPr>
        <w:t>M III 266</w:t>
      </w:r>
      <w:r>
        <w:t xml:space="preserve">, </w:t>
      </w:r>
      <w:hyperlink r:id="rId473" w:anchor="YYY" w:history="1">
        <w:r>
          <w:rPr>
            <w:rStyle w:val="Hyperlink"/>
          </w:rPr>
          <w:t>SN 35.87:11.3–11.9</w:t>
        </w:r>
      </w:hyperlink>
      <w:r>
        <w:t xml:space="preserve">, </w:t>
      </w:r>
      <w:hyperlink r:id="rId474"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example at SN-A 2.372 (on </w:t>
      </w:r>
      <w:hyperlink r:id="rId475" w:anchor="YYY" w:history="1">
        <w:r>
          <w:rPr>
            <w:rStyle w:val="Hyperlink"/>
          </w:rPr>
          <w:t>SN 35.87</w:t>
        </w:r>
      </w:hyperlink>
      <w:r>
        <w:t xml:space="preserve">). In discussing </w:t>
      </w:r>
      <w:hyperlink r:id="rId476"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5" w:name="footnote479"/>
      <w:bookmarkEnd w:id="135"/>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p.20 ,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7"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78"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79"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0" w:anchor="YYY" w:history="1">
        <w:r>
          <w:rPr>
            <w:rStyle w:val="Hyperlink"/>
          </w:rPr>
          <w:t>DN 9:17.7</w:t>
        </w:r>
      </w:hyperlink>
      <w:r>
        <w:t xml:space="preserve">, ‘not intending, not willing’. Similar instances of these synonyms are found in </w:t>
      </w:r>
      <w:hyperlink r:id="rId481" w:anchor="YYY" w:history="1">
        <w:r>
          <w:rPr>
            <w:rStyle w:val="Hyperlink"/>
          </w:rPr>
          <w:t>MN 140:22.10</w:t>
        </w:r>
      </w:hyperlink>
      <w:r>
        <w:t xml:space="preserve">, </w:t>
      </w:r>
      <w:hyperlink r:id="rId482" w:anchor="YYY" w:history="1">
        <w:r>
          <w:rPr>
            <w:rStyle w:val="Hyperlink"/>
          </w:rPr>
          <w:t>SN 12.51:9.5</w:t>
        </w:r>
      </w:hyperlink>
      <w:r>
        <w:t xml:space="preserve">, and </w:t>
      </w:r>
      <w:hyperlink r:id="rId483"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4"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5"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6"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7"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88"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89"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0"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1"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w:t>
      </w:r>
      <w:proofErr w:type="spellStart"/>
      <w:r>
        <w:t>Pāli</w:t>
      </w:r>
      <w:proofErr w:type="spellEnd"/>
      <w:r>
        <w:t xml:space="preserve">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2"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3">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4"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example </w:t>
      </w:r>
      <w:r>
        <w:rPr>
          <w:rStyle w:val="wwc-sesame"/>
        </w:rPr>
        <w:t>Bodhi 2000 n.174</w:t>
      </w:r>
      <w:r>
        <w:t xml:space="preserve"> at </w:t>
      </w:r>
      <w:hyperlink r:id="rId495"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5" w:name="footnote504"/>
      <w:bookmarkEnd w:id="145"/>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6"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7"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498"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499"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0"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example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1"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example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2"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3"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4"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5">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6"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7">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08" w:anchor="YYY" w:history="1">
        <w:proofErr w:type="spellStart"/>
        <w:r>
          <w:rPr>
            <w:rStyle w:val="Hyperlink"/>
          </w:rPr>
          <w:t>Snp</w:t>
        </w:r>
        <w:proofErr w:type="spellEnd"/>
        <w:r>
          <w:rPr>
            <w:rStyle w:val="Hyperlink"/>
          </w:rPr>
          <w:t xml:space="preserve"> 3.5</w:t>
        </w:r>
      </w:hyperlink>
      <w:r>
        <w:t xml:space="preserve">; </w:t>
      </w:r>
      <w:hyperlink r:id="rId509" w:anchor="YYY" w:history="1">
        <w:proofErr w:type="spellStart"/>
        <w:r>
          <w:rPr>
            <w:rStyle w:val="Hyperlink"/>
          </w:rPr>
          <w:t>Thag</w:t>
        </w:r>
        <w:proofErr w:type="spellEnd"/>
        <w:r>
          <w:rPr>
            <w:rStyle w:val="Hyperlink"/>
          </w:rPr>
          <w:t xml:space="preserve"> 2.48</w:t>
        </w:r>
      </w:hyperlink>
      <w:r>
        <w:t xml:space="preserve">; </w:t>
      </w:r>
      <w:hyperlink r:id="rId510"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1" w:anchor="YYY" w:history="1">
        <w:r>
          <w:rPr>
            <w:rStyle w:val="Hyperlink"/>
          </w:rPr>
          <w:t>MN 98:11.101–11.104</w:t>
        </w:r>
      </w:hyperlink>
      <w:r>
        <w:t xml:space="preserve"> </w:t>
      </w:r>
      <w:r>
        <w:rPr>
          <w:rStyle w:val="wwc-PTS-reference"/>
        </w:rPr>
        <w:t>M II 122</w:t>
      </w:r>
      <w:r>
        <w:t xml:space="preserve">; </w:t>
      </w:r>
      <w:hyperlink r:id="rId512" w:anchor="YYY" w:history="1">
        <w:proofErr w:type="spellStart"/>
        <w:r>
          <w:rPr>
            <w:rStyle w:val="Hyperlink"/>
          </w:rPr>
          <w:t>Snp</w:t>
        </w:r>
        <w:proofErr w:type="spellEnd"/>
        <w:r>
          <w:rPr>
            <w:rStyle w:val="Hyperlink"/>
          </w:rPr>
          <w:t xml:space="preserve"> 3.9:56.1–56.4</w:t>
        </w:r>
      </w:hyperlink>
      <w:r>
        <w:t xml:space="preserve">; </w:t>
      </w:r>
      <w:hyperlink r:id="rId513"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4"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5">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6"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17"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18"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19" w:anchor="YYY" w:history="1">
        <w:r>
          <w:rPr>
            <w:rStyle w:val="Hyperlink"/>
          </w:rPr>
          <w:t>SN 1.34</w:t>
        </w:r>
      </w:hyperlink>
      <w:r>
        <w:t xml:space="preserve">, </w:t>
      </w:r>
      <w:hyperlink r:id="rId520"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example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1"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2"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3"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4" w:anchor="YYY" w:history="1">
        <w:proofErr w:type="spellStart"/>
        <w:r>
          <w:rPr>
            <w:rStyle w:val="Hyperlink"/>
          </w:rPr>
          <w:t>Snp</w:t>
        </w:r>
        <w:proofErr w:type="spellEnd"/>
        <w:r>
          <w:rPr>
            <w:rStyle w:val="Hyperlink"/>
          </w:rPr>
          <w:t xml:space="preserve"> 2.12:14.1–14.5</w:t>
        </w:r>
      </w:hyperlink>
      <w:r>
        <w:t xml:space="preserve">. Also at </w:t>
      </w:r>
      <w:hyperlink r:id="rId525"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6" w:anchor="YYY" w:history="1">
        <w:r>
          <w:rPr>
            <w:rStyle w:val="Hyperlink"/>
          </w:rPr>
          <w:t>SN 4.1:2.1</w:t>
        </w:r>
      </w:hyperlink>
      <w:r>
        <w:t xml:space="preserve"> and </w:t>
      </w:r>
      <w:hyperlink r:id="rId527"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28">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29" w:anchor="YYY" w:history="1">
        <w:r>
          <w:rPr>
            <w:rStyle w:val="Hyperlink"/>
          </w:rPr>
          <w:t>SN 5.10</w:t>
        </w:r>
      </w:hyperlink>
      <w:r>
        <w:t xml:space="preserve">. See also </w:t>
      </w:r>
      <w:hyperlink r:id="rId530"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1"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2" w:anchor="YYY" w:history="1">
        <w:r>
          <w:rPr>
            <w:rStyle w:val="Hyperlink"/>
          </w:rPr>
          <w:t>SN 1.49</w:t>
        </w:r>
      </w:hyperlink>
      <w:r>
        <w:t xml:space="preserve">, </w:t>
      </w:r>
      <w:hyperlink r:id="rId533" w:anchor="YYY" w:history="1">
        <w:r>
          <w:rPr>
            <w:rStyle w:val="Hyperlink"/>
          </w:rPr>
          <w:t>SN 3.17</w:t>
        </w:r>
      </w:hyperlink>
      <w:r>
        <w:t xml:space="preserve">, </w:t>
      </w:r>
      <w:hyperlink r:id="rId534" w:anchor="YYY" w:history="1">
        <w:r>
          <w:rPr>
            <w:rStyle w:val="Hyperlink"/>
          </w:rPr>
          <w:t>SN 12.41</w:t>
        </w:r>
      </w:hyperlink>
      <w:r>
        <w:t xml:space="preserve">, </w:t>
      </w:r>
      <w:hyperlink r:id="rId535" w:anchor="YYY" w:history="1">
        <w:r>
          <w:rPr>
            <w:rStyle w:val="Hyperlink"/>
          </w:rPr>
          <w:t>AN 2.1</w:t>
        </w:r>
      </w:hyperlink>
      <w:r>
        <w:t xml:space="preserve">, </w:t>
      </w:r>
      <w:hyperlink r:id="rId536" w:anchor="YYY" w:history="1">
        <w:r>
          <w:rPr>
            <w:rStyle w:val="Hyperlink"/>
          </w:rPr>
          <w:t>AN 3.34</w:t>
        </w:r>
      </w:hyperlink>
      <w:r>
        <w:t xml:space="preserve">, </w:t>
      </w:r>
      <w:hyperlink r:id="rId537" w:anchor="YYY" w:history="1">
        <w:r>
          <w:rPr>
            <w:rStyle w:val="Hyperlink"/>
          </w:rPr>
          <w:t>AN 3.69</w:t>
        </w:r>
      </w:hyperlink>
      <w:r>
        <w:t xml:space="preserve">, </w:t>
      </w:r>
      <w:hyperlink r:id="rId538" w:anchor="YYY" w:history="1">
        <w:r>
          <w:rPr>
            <w:rStyle w:val="Hyperlink"/>
          </w:rPr>
          <w:t>Iti 23</w:t>
        </w:r>
      </w:hyperlink>
      <w:r>
        <w:t xml:space="preserve">, </w:t>
      </w:r>
      <w:hyperlink r:id="rId539" w:anchor="YYY" w:history="1">
        <w:r>
          <w:rPr>
            <w:rStyle w:val="Hyperlink"/>
          </w:rPr>
          <w:t>Iti 28</w:t>
        </w:r>
      </w:hyperlink>
      <w:r>
        <w:t>/</w:t>
      </w:r>
      <w:hyperlink r:id="rId540" w:anchor="YYY" w:history="1">
        <w:r>
          <w:rPr>
            <w:rStyle w:val="Hyperlink"/>
            <w:lang w:val="en-US"/>
          </w:rPr>
          <w:t>Iti 29</w:t>
        </w:r>
      </w:hyperlink>
      <w:r>
        <w:rPr>
          <w:lang w:val="en-US"/>
        </w:rPr>
        <w:t xml:space="preserve">, </w:t>
      </w:r>
      <w:hyperlink r:id="rId541" w:anchor="YYY" w:history="1">
        <w:r>
          <w:rPr>
            <w:rStyle w:val="Hyperlink"/>
          </w:rPr>
          <w:t>Iti 41</w:t>
        </w:r>
      </w:hyperlink>
      <w:r>
        <w:t xml:space="preserve">, </w:t>
      </w:r>
      <w:hyperlink r:id="rId542" w:anchor="YYY" w:history="1">
        <w:r>
          <w:rPr>
            <w:rStyle w:val="Hyperlink"/>
          </w:rPr>
          <w:t>Iti 44</w:t>
        </w:r>
      </w:hyperlink>
      <w:r>
        <w:t xml:space="preserve">, </w:t>
      </w:r>
      <w:hyperlink r:id="rId543"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4"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5"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6"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7"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48"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49"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0"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1"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2"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example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3"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4"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5"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proofErr w:type="spellStart"/>
      <w:r>
        <w:rPr>
          <w:rStyle w:val="wwc-pali"/>
        </w:rPr>
        <w:t>vedanā</w:t>
      </w:r>
      <w:proofErr w:type="spellEnd"/>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6"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57"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58"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59"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0" w:anchor="YYY" w:history="1">
        <w:r>
          <w:rPr>
            <w:rStyle w:val="Hyperlink"/>
          </w:rPr>
          <w:t>SN 12.68</w:t>
        </w:r>
      </w:hyperlink>
      <w:r>
        <w:t xml:space="preserve">, </w:t>
      </w:r>
      <w:hyperlink r:id="rId561"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2"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3" w:anchor="YYY" w:history="1">
        <w:r>
          <w:rPr>
            <w:rStyle w:val="Hyperlink"/>
          </w:rPr>
          <w:t>MN 59:16.1–16.6</w:t>
        </w:r>
      </w:hyperlink>
      <w:r>
        <w:t xml:space="preserve"> </w:t>
      </w:r>
      <w:r>
        <w:rPr>
          <w:rStyle w:val="wwc-PTS-reference"/>
        </w:rPr>
        <w:t>M I 400</w:t>
      </w:r>
      <w:r>
        <w:t xml:space="preserve">, </w:t>
      </w:r>
      <w:hyperlink r:id="rId564" w:anchor="YYY" w:history="1">
        <w:r>
          <w:rPr>
            <w:rStyle w:val="Hyperlink"/>
          </w:rPr>
          <w:t>SN 36.19:16.1–16.6</w:t>
        </w:r>
      </w:hyperlink>
      <w:r>
        <w:t>, compare with</w:t>
      </w:r>
    </w:p>
    <w:p w14:paraId="714C0EF3" w14:textId="77777777" w:rsidR="00FE3964" w:rsidRDefault="00000000">
      <w:pPr>
        <w:pStyle w:val="FootnoteText"/>
      </w:pPr>
      <w:hyperlink r:id="rId565" w:anchor="YYY" w:history="1">
        <w:r>
          <w:rPr>
            <w:rStyle w:val="Hyperlink"/>
          </w:rPr>
          <w:t>AN 9.34</w:t>
        </w:r>
      </w:hyperlink>
      <w:r>
        <w:t xml:space="preserve">; </w:t>
      </w:r>
      <w:hyperlink r:id="rId566"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7"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68"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69" w:anchor="YYY" w:history="1">
        <w:r>
          <w:rPr>
            <w:rStyle w:val="Hyperlink"/>
          </w:rPr>
          <w:t>DN 15:1.3–1.8</w:t>
        </w:r>
      </w:hyperlink>
      <w:r>
        <w:t xml:space="preserve"> </w:t>
      </w:r>
      <w:r>
        <w:rPr>
          <w:rStyle w:val="wwc-PTS-reference"/>
        </w:rPr>
        <w:t>D II 55</w:t>
      </w:r>
      <w:r>
        <w:t xml:space="preserve">. See also </w:t>
      </w:r>
      <w:hyperlink r:id="rId570"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1"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example </w:t>
      </w:r>
      <w:hyperlink r:id="rId572"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3"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4" w:anchor="YYY" w:history="1">
        <w:r>
          <w:rPr>
            <w:rStyle w:val="Hyperlink"/>
          </w:rPr>
          <w:t>SN 12.41</w:t>
        </w:r>
      </w:hyperlink>
      <w:r>
        <w:t xml:space="preserve">, </w:t>
      </w:r>
      <w:hyperlink r:id="rId575"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7B87"/>
    <w:rsid w:val="00020B24"/>
    <w:rsid w:val="00031B70"/>
    <w:rsid w:val="000440B7"/>
    <w:rsid w:val="00057047"/>
    <w:rsid w:val="000873AD"/>
    <w:rsid w:val="00101A5A"/>
    <w:rsid w:val="0010474B"/>
    <w:rsid w:val="00116CB5"/>
    <w:rsid w:val="00130605"/>
    <w:rsid w:val="00135497"/>
    <w:rsid w:val="00152D9A"/>
    <w:rsid w:val="00157904"/>
    <w:rsid w:val="001C3AE1"/>
    <w:rsid w:val="001E13B9"/>
    <w:rsid w:val="00223819"/>
    <w:rsid w:val="00286B2A"/>
    <w:rsid w:val="0029727B"/>
    <w:rsid w:val="002C2049"/>
    <w:rsid w:val="002C7899"/>
    <w:rsid w:val="002E2E7F"/>
    <w:rsid w:val="002E4D75"/>
    <w:rsid w:val="002F733F"/>
    <w:rsid w:val="00315E38"/>
    <w:rsid w:val="003202C4"/>
    <w:rsid w:val="0032034A"/>
    <w:rsid w:val="00335C0D"/>
    <w:rsid w:val="003514C3"/>
    <w:rsid w:val="00382E4D"/>
    <w:rsid w:val="0038429F"/>
    <w:rsid w:val="003B399B"/>
    <w:rsid w:val="003E36CD"/>
    <w:rsid w:val="00422B5B"/>
    <w:rsid w:val="00426847"/>
    <w:rsid w:val="00444B0C"/>
    <w:rsid w:val="00482E1E"/>
    <w:rsid w:val="00484A4A"/>
    <w:rsid w:val="004F4A22"/>
    <w:rsid w:val="00513238"/>
    <w:rsid w:val="005378DC"/>
    <w:rsid w:val="00550444"/>
    <w:rsid w:val="005A05AE"/>
    <w:rsid w:val="005B6501"/>
    <w:rsid w:val="005B77EF"/>
    <w:rsid w:val="005D1FB5"/>
    <w:rsid w:val="005F3EED"/>
    <w:rsid w:val="00615E74"/>
    <w:rsid w:val="00695C84"/>
    <w:rsid w:val="006C328E"/>
    <w:rsid w:val="006E13DC"/>
    <w:rsid w:val="006F4094"/>
    <w:rsid w:val="006F4F1E"/>
    <w:rsid w:val="006F507C"/>
    <w:rsid w:val="007022FE"/>
    <w:rsid w:val="007060FA"/>
    <w:rsid w:val="0070729B"/>
    <w:rsid w:val="00711A85"/>
    <w:rsid w:val="00742DE5"/>
    <w:rsid w:val="007664E6"/>
    <w:rsid w:val="007779F2"/>
    <w:rsid w:val="0078601C"/>
    <w:rsid w:val="00794E35"/>
    <w:rsid w:val="007A1CDD"/>
    <w:rsid w:val="00803136"/>
    <w:rsid w:val="00812C76"/>
    <w:rsid w:val="00880A4D"/>
    <w:rsid w:val="008C2E1F"/>
    <w:rsid w:val="008D2515"/>
    <w:rsid w:val="00947888"/>
    <w:rsid w:val="0095428E"/>
    <w:rsid w:val="0099181E"/>
    <w:rsid w:val="009E4272"/>
    <w:rsid w:val="00A2016B"/>
    <w:rsid w:val="00A40506"/>
    <w:rsid w:val="00A50EF1"/>
    <w:rsid w:val="00AC15B6"/>
    <w:rsid w:val="00AC25F3"/>
    <w:rsid w:val="00AC5B2A"/>
    <w:rsid w:val="00AD47FB"/>
    <w:rsid w:val="00AF7A6C"/>
    <w:rsid w:val="00B253C2"/>
    <w:rsid w:val="00B61EC1"/>
    <w:rsid w:val="00BB768E"/>
    <w:rsid w:val="00BC088A"/>
    <w:rsid w:val="00C56FB6"/>
    <w:rsid w:val="00C92882"/>
    <w:rsid w:val="00CB7C9D"/>
    <w:rsid w:val="00CC3BE8"/>
    <w:rsid w:val="00CD0A57"/>
    <w:rsid w:val="00CD4967"/>
    <w:rsid w:val="00D2303C"/>
    <w:rsid w:val="00D42252"/>
    <w:rsid w:val="00D43D4E"/>
    <w:rsid w:val="00E422C7"/>
    <w:rsid w:val="00E77EEA"/>
    <w:rsid w:val="00E927B7"/>
    <w:rsid w:val="00EA75AD"/>
    <w:rsid w:val="00EB7E5D"/>
    <w:rsid w:val="00EC5E70"/>
    <w:rsid w:val="00ED5972"/>
    <w:rsid w:val="00EE6553"/>
    <w:rsid w:val="00EF2470"/>
    <w:rsid w:val="00EF3763"/>
    <w:rsid w:val="00F1386D"/>
    <w:rsid w:val="00F1446C"/>
    <w:rsid w:val="00F37FA6"/>
    <w:rsid w:val="00F40796"/>
    <w:rsid w:val="00F53196"/>
    <w:rsid w:val="00F803AB"/>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772"/>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0440B7"/>
    <w:rPr>
      <w:kern w:val="0"/>
      <w:u w:val="none"/>
      <w:bdr w:val="single" w:sz="24" w:space="0" w:color="FF0000"/>
      <w:shd w:val="clear" w:color="auto" w:fill="FADEDE"/>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52"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sa-2.30"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sa360"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ma62"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da13"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uttacentral.net/sf161"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ma97"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t52"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XXX/en/sujato"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sa359"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sa1265"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61"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sa377" TargetMode="External"/><Relationship Id="rId507" Type="http://schemas.openxmlformats.org/officeDocument/2006/relationships/hyperlink" Target="https://suttacentral.net/ea26.10"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da13"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sa294"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t14"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10061</TotalTime>
  <Pages>204</Pages>
  <Words>66413</Words>
  <Characters>378558</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79</cp:revision>
  <dcterms:created xsi:type="dcterms:W3CDTF">2025-11-08T11:59:00Z</dcterms:created>
  <dcterms:modified xsi:type="dcterms:W3CDTF">2025-11-17T14:05:00Z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