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04465DE4" w14:textId="4F736831" w:rsidR="000209BC" w:rsidRDefault="000209BC" w:rsidP="00F31DCD">
      <w:pPr>
        <w:pStyle w:val="WW-epigram-cite"/>
      </w:pPr>
      <w:r>
        <w:t>THE BUDDHA,</w:t>
      </w:r>
      <w:r w:rsidR="00F31DCD">
        <w:br/>
      </w:r>
      <w:r>
        <w:t>Dhammapada 372</w:t>
      </w:r>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3982EC6D" w:rsidR="000209BC" w:rsidRPr="0038200B" w:rsidRDefault="000209BC" w:rsidP="0038200B">
      <w:r w:rsidRPr="0038200B">
        <w:br w:type="page"/>
      </w:r>
    </w:p>
    <w:p w14:paraId="48B7995A" w14:textId="77777777"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w:t>
      </w:r>
      <w:r w:rsidRPr="000209BC">
        <w:lastRenderedPageBreak/>
        <w:t>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9A3412">
        <w:rPr>
          <w:rStyle w:val="Emphasis"/>
        </w:rPr>
        <w:t>vaggas</w:t>
      </w:r>
      <w:r w:rsidRPr="000209BC">
        <w:t>, groups of about ten lines of verse. The</w:t>
      </w:r>
      <w:r w:rsidR="00036596">
        <w:t xml:space="preserve"> </w:t>
      </w:r>
      <w:r w:rsidRPr="009A3412">
        <w:rPr>
          <w:rStyle w:val="Emphasis"/>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9A3412">
        <w:rPr>
          <w:rStyle w:val="Emphasis"/>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9A3412">
        <w:rPr>
          <w:rStyle w:val="Emphasis"/>
        </w:rPr>
        <w:t>aṅgas</w:t>
      </w:r>
      <w:r w:rsidRPr="000209BC">
        <w:t>, ‘sections’, and we find the term</w:t>
      </w:r>
      <w:r w:rsidRPr="00915517">
        <w:t xml:space="preserve">s ‘Vedanta’ and ‘Vedaṅga’. We </w:t>
      </w:r>
      <w:r w:rsidRPr="000209BC">
        <w:t>may also note that the familiar term</w:t>
      </w:r>
      <w:r w:rsidR="00036596">
        <w:t xml:space="preserve"> </w:t>
      </w:r>
      <w:r w:rsidRPr="009A3412">
        <w:rPr>
          <w:rStyle w:val="Emphasis"/>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412977">
        <w:rPr>
          <w:rStyle w:val="Emphasis"/>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412977">
        <w:rPr>
          <w:rStyle w:val="Emphasis"/>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3D5406">
        <w:rPr>
          <w:rStyle w:val="Emphasis"/>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3D5406">
        <w:rPr>
          <w:rStyle w:val="Emphasis"/>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lastRenderedPageBreak/>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lastRenderedPageBreak/>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w:t>
      </w:r>
      <w:r w:rsidRPr="000209BC">
        <w:lastRenderedPageBreak/>
        <w:t>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w:t>
      </w:r>
      <w:r w:rsidRPr="000209BC">
        <w:lastRenderedPageBreak/>
        <w:t>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w:t>
      </w:r>
      <w:r w:rsidRPr="000209BC">
        <w:lastRenderedPageBreak/>
        <w:t xml:space="preserve">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w:t>
      </w:r>
      <w:r w:rsidRPr="000209BC">
        <w:lastRenderedPageBreak/>
        <w:t xml:space="preserve">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 xml:space="preserve">I trust that the reader, like myself, finds the final option the most plausible. Of course, not every discourse can be established so easily. But if even one discourse can be shown to be pre-sectarian, this makes it all the more likely </w:t>
      </w:r>
      <w:r w:rsidRPr="000209BC">
        <w:lastRenderedPageBreak/>
        <w:t>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w:t>
      </w:r>
      <w:r w:rsidRPr="000209BC">
        <w:lastRenderedPageBreak/>
        <w:t>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w:t>
      </w:r>
      <w:r w:rsidRPr="000209BC">
        <w:lastRenderedPageBreak/>
        <w:t>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59C0AF4D" w14:textId="2087269C" w:rsidR="00E40943" w:rsidRPr="000209BC" w:rsidRDefault="00E40943" w:rsidP="00E40943">
      <w:pPr>
        <w:pStyle w:val="WW-Chapter"/>
      </w:pPr>
      <w:r>
        <w:lastRenderedPageBreak/>
        <w:t>HERE XXXXXXXXXXXXXXX</w:t>
      </w:r>
    </w:p>
    <w:p w14:paraId="757729CE" w14:textId="77777777" w:rsidR="000209BC" w:rsidRPr="000209BC" w:rsidRDefault="000209BC" w:rsidP="00467E65">
      <w:pPr>
        <w:pStyle w:val="WW-paragraph"/>
      </w:pPr>
      <w:r w:rsidRPr="000209BC">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lastRenderedPageBreak/>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lastRenderedPageBreak/>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w:t>
      </w:r>
      <w:r w:rsidRPr="000209BC">
        <w:lastRenderedPageBreak/>
        <w:t>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77777777" w:rsidR="000209BC" w:rsidRPr="000209BC" w:rsidRDefault="000209BC" w:rsidP="00FF1EC2">
            <w:pPr>
              <w:pStyle w:val="WW-paragraph"/>
            </w:pPr>
            <w:r w:rsidRPr="000209BC">
              <w:t>Truths (MN 141/MA 31/EA 27.1)</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77777777" w:rsidR="000209BC" w:rsidRPr="000209BC" w:rsidRDefault="000209BC" w:rsidP="00FF1EC2">
            <w:pPr>
              <w:pStyle w:val="WW-paragraph"/>
            </w:pPr>
            <w:r w:rsidRPr="000209BC">
              <w:t>Aggregates (SN 22.59/SA 34)</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D3AB96F" w:rsidR="000209BC" w:rsidRPr="000209BC" w:rsidRDefault="000209BC" w:rsidP="00FF1EC2">
            <w:pPr>
              <w:pStyle w:val="WW-paragraph"/>
            </w:pPr>
            <w:r w:rsidRPr="000209BC">
              <w:t xml:space="preserve">Elements </w:t>
            </w:r>
            <w:r w:rsidR="00386F0B">
              <w:br/>
            </w:r>
            <w:r w:rsidRPr="000209BC">
              <w:t>(MN 115/MA 181; MN 141/MA 162)</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60E8BE59" w:rsidR="000209BC" w:rsidRPr="000209BC" w:rsidRDefault="000209BC" w:rsidP="00FF1EC2">
            <w:pPr>
              <w:pStyle w:val="WW-paragraph"/>
            </w:pPr>
            <w:r w:rsidRPr="000209BC">
              <w:t xml:space="preserve">Dependent origination </w:t>
            </w:r>
            <w:r w:rsidR="00386F0B">
              <w:br/>
            </w:r>
            <w:r w:rsidRPr="000209BC">
              <w:t>(SN 12.2/SA 298)</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736A51B" w:rsidR="000209BC" w:rsidRPr="000209BC" w:rsidRDefault="000209BC" w:rsidP="00FF1EC2">
            <w:pPr>
              <w:pStyle w:val="WW-paragraph"/>
            </w:pPr>
            <w:r w:rsidRPr="000209BC">
              <w:t xml:space="preserve">Dependent origination </w:t>
            </w:r>
            <w:r w:rsidR="00386F0B">
              <w:br/>
            </w:r>
            <w:r w:rsidRPr="000209BC">
              <w:t>(SN 12.1, 2/SA 298)</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77777777" w:rsidR="000209BC" w:rsidRPr="000209BC" w:rsidRDefault="000209BC" w:rsidP="00FF1EC2">
            <w:pPr>
              <w:pStyle w:val="WW-paragraph"/>
            </w:pPr>
            <w:r w:rsidRPr="000209BC">
              <w:t>8-fold path (SN 45.8/SA 783</w:t>
            </w:r>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1668E8EF" w:rsidR="000209BC" w:rsidRPr="000209BC" w:rsidRDefault="000209BC" w:rsidP="00FF1EC2">
            <w:pPr>
              <w:pStyle w:val="WW-paragraph"/>
            </w:pPr>
            <w:r w:rsidRPr="000209BC">
              <w:t xml:space="preserve">Satipaṭṭhāna </w:t>
            </w:r>
            <w:r w:rsidR="00386F0B">
              <w:br/>
            </w:r>
            <w:r w:rsidRPr="000209BC">
              <w:lastRenderedPageBreak/>
              <w:t>(MN 10/MA 98/EA 12.1)</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(SN 49)</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77777777" w:rsidR="000209BC" w:rsidRPr="000209BC" w:rsidRDefault="000209BC" w:rsidP="00FF1EC2">
            <w:pPr>
              <w:pStyle w:val="WW-paragraph"/>
            </w:pPr>
            <w:r w:rsidRPr="000209BC">
              <w:t>Bases of psychic power (SN 51.13)</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51BCD06C"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(AN 5.14–15/SA 675)</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24C5C46A" w:rsidR="000209BC" w:rsidRPr="000209BC" w:rsidRDefault="000209BC" w:rsidP="00FF1EC2">
            <w:pPr>
              <w:pStyle w:val="WW-paragraph"/>
            </w:pPr>
            <w:r w:rsidRPr="000209BC">
              <w:t xml:space="preserve">Awakening-factors </w:t>
            </w:r>
            <w:r w:rsidR="00386F0B">
              <w:br/>
            </w:r>
            <w:r w:rsidRPr="000209BC">
              <w:t>(SN 46.3/SA 736, 740, 724</w:t>
            </w:r>
            <w:r w:rsidRPr="00FF1EC2">
              <w:rPr>
                <w:rStyle w:val="wwc-superscript"/>
              </w:rPr>
              <w:t>*</w:t>
            </w:r>
            <w:r w:rsidRPr="000209BC">
              <w:t xml:space="preserve">; </w:t>
            </w:r>
            <w:r w:rsidR="00237578">
              <w:br/>
            </w:r>
            <w:r w:rsidRPr="000209BC">
              <w:t>SN 46.5/SA 733,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68B6CF1F" w:rsidR="000209BC" w:rsidRPr="000209BC" w:rsidRDefault="000209BC" w:rsidP="00FF1EC2">
            <w:pPr>
              <w:pStyle w:val="WW-paragraph"/>
            </w:pPr>
            <w:r w:rsidRPr="006F75ED">
              <w:rPr>
                <w:rStyle w:val="wwc-superscript"/>
              </w:rPr>
              <w:t>3</w:t>
            </w:r>
            <w:r w:rsidR="00036596">
              <w:t xml:space="preserve"> </w:t>
            </w:r>
            <w:r w:rsidRPr="000209BC">
              <w:t>E.g. SN 24/SA 4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4DB5E292" w:rsidR="000209BC" w:rsidRPr="000209BC" w:rsidRDefault="000209BC" w:rsidP="00FF1EC2">
            <w:pPr>
              <w:pStyle w:val="WW-paragraph"/>
            </w:pPr>
            <w:r w:rsidRPr="006F75ED">
              <w:rPr>
                <w:rStyle w:val="wwc-superscript"/>
              </w:rPr>
              <w:t>5</w:t>
            </w:r>
            <w:r w:rsidR="00036596">
              <w:t xml:space="preserve"> </w:t>
            </w:r>
            <w:r w:rsidRPr="000209BC">
              <w:t>SA 41, omitted in SN but likely to be original.</w:t>
            </w:r>
          </w:p>
        </w:tc>
      </w:tr>
      <w:tr w:rsidR="000209BC" w:rsidRPr="000209BC" w14:paraId="2949D9BE" w14:textId="77777777" w:rsidTr="00FF1EC2">
        <w:tc>
          <w:tcPr>
            <w:tcW w:w="0" w:type="auto"/>
            <w:gridSpan w:val="3"/>
            <w:hideMark/>
          </w:tcPr>
          <w:p w14:paraId="7EEB708D" w14:textId="06C31C6A" w:rsidR="000209BC" w:rsidRPr="000209BC" w:rsidRDefault="000209BC" w:rsidP="00FF1EC2">
            <w:pPr>
              <w:pStyle w:val="WW-paragraph"/>
            </w:pPr>
            <w:r w:rsidRPr="006F75ED">
              <w:rPr>
                <w:rStyle w:val="wwc-superscript"/>
              </w:rPr>
              <w:t>6</w:t>
            </w:r>
            <w:r w:rsidR="00036596">
              <w:t xml:space="preserve"> </w:t>
            </w:r>
            <w:r w:rsidRPr="000209BC">
              <w:t>E.g. SN 43/SA 890 Asaṅkhata, SN 55/SA 30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lastRenderedPageBreak/>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183421AD" w:rsidR="000209BC" w:rsidRPr="000209BC" w:rsidRDefault="000209BC" w:rsidP="00FF1EC2">
            <w:pPr>
              <w:pStyle w:val="WW-paragraph"/>
            </w:pPr>
            <w:r w:rsidRPr="006F75ED">
              <w:rPr>
                <w:rStyle w:val="wwc-superscript"/>
              </w:rPr>
              <w:t>9</w:t>
            </w:r>
            <w:r w:rsidR="00036596">
              <w:t xml:space="preserve"> </w:t>
            </w:r>
            <w:r w:rsidRPr="000209BC">
              <w:t>SA 29,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0209BC">
        <w:rPr>
          <w:i/>
          <w:iCs/>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t>
      </w:r>
      <w:r w:rsidRPr="000209BC">
        <w:lastRenderedPageBreak/>
        <w:t xml:space="preserve">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w:t>
      </w:r>
      <w:r w:rsidRPr="000209BC">
        <w:lastRenderedPageBreak/>
        <w:t>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0209BC">
        <w:rPr>
          <w:i/>
          <w:iCs/>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7777777" w:rsidR="000209BC" w:rsidRDefault="000209BC" w:rsidP="00A17324">
            <w:pPr>
              <w:pStyle w:val="WW-paragraph"/>
            </w:pPr>
            <w:r w:rsidRPr="00ED6D28">
              <w:rPr>
                <w:rStyle w:val="wwc-superscript"/>
              </w:rPr>
              <w:t>1</w:t>
            </w:r>
            <w:r w:rsidR="00036596">
              <w:t xml:space="preserve"> </w:t>
            </w:r>
            <w:r w:rsidRPr="000209BC">
              <w:t>Śrāvakabhūmi, pg. 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3F67CFFA"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0209BC">
        <w:rPr>
          <w:i/>
          <w:iCs/>
        </w:rPr>
        <w:t>aṅgas</w:t>
      </w:r>
      <w:r w:rsidR="00036596">
        <w:t xml:space="preserve"> </w:t>
      </w:r>
      <w:r w:rsidRPr="000209BC">
        <w:t>(sections):</w:t>
      </w:r>
      <w:r w:rsidR="00036596">
        <w:t xml:space="preserve"> </w:t>
      </w:r>
      <w:r w:rsidRPr="000209BC">
        <w:rPr>
          <w:i/>
          <w:iCs/>
        </w:rPr>
        <w:t>sutta</w:t>
      </w:r>
      <w:r w:rsidR="00036596">
        <w:t xml:space="preserve"> </w:t>
      </w:r>
      <w:r w:rsidRPr="000209BC">
        <w:t>(basic prose texts),</w:t>
      </w:r>
      <w:r w:rsidR="00036596">
        <w:t xml:space="preserve"> </w:t>
      </w:r>
      <w:r w:rsidRPr="000209BC">
        <w:rPr>
          <w:i/>
          <w:iCs/>
        </w:rPr>
        <w:t>geyya</w:t>
      </w:r>
      <w:r w:rsidR="00036596">
        <w:t xml:space="preserve"> </w:t>
      </w:r>
      <w:r w:rsidRPr="000209BC">
        <w:t>(verses), and</w:t>
      </w:r>
      <w:r w:rsidR="00036596">
        <w:t xml:space="preserve"> </w:t>
      </w:r>
      <w:r w:rsidRPr="000209BC">
        <w:rPr>
          <w:i/>
          <w:iCs/>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vedalla</w:t>
      </w:r>
      <w:r w:rsidRPr="000209BC">
        <w:t>, and</w:t>
      </w:r>
      <w:r w:rsidR="00036596">
        <w:t xml:space="preserve"> </w:t>
      </w:r>
      <w:r w:rsidRPr="000209BC">
        <w:rPr>
          <w:i/>
          <w:iCs/>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0209BC">
        <w:rPr>
          <w:i/>
          <w:iCs/>
        </w:rPr>
        <w:t>nidāna</w:t>
      </w:r>
      <w:r w:rsidRPr="000209BC">
        <w:t>,</w:t>
      </w:r>
      <w:r w:rsidR="00036596">
        <w:t xml:space="preserve"> </w:t>
      </w:r>
      <w:r w:rsidRPr="000209BC">
        <w:rPr>
          <w:i/>
          <w:iCs/>
        </w:rPr>
        <w:t>avadāna</w:t>
      </w:r>
      <w:r w:rsidRPr="000209BC">
        <w:t>, and</w:t>
      </w:r>
      <w:r w:rsidR="00036596">
        <w:t xml:space="preserve"> </w:t>
      </w:r>
      <w:r w:rsidRPr="000209BC">
        <w:rPr>
          <w:i/>
          <w:iCs/>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77777777"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77777777"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in depth consideration of the first three. None of these attributions are beyond dispute. However, we can establish that it is possible, even plausible, that they referred to specific groupings of texts, many of which are still available.</w:t>
      </w:r>
    </w:p>
    <w:p w14:paraId="147D93E5" w14:textId="2059BFAA" w:rsidR="000209BC" w:rsidRPr="000209BC" w:rsidRDefault="000209BC" w:rsidP="006807A5">
      <w:pPr>
        <w:pStyle w:val="WW-paragraph"/>
      </w:pPr>
      <w:r w:rsidRPr="000209BC">
        <w:rPr>
          <w:b/>
          <w:bCs/>
          <w:i/>
          <w:iCs/>
        </w:rPr>
        <w:t>Gāthā</w:t>
      </w:r>
      <w:r w:rsidRPr="000209BC">
        <w:rPr>
          <w:b/>
          <w:bCs/>
        </w:rPr>
        <w:t>:</w:t>
      </w:r>
      <w:r w:rsidR="00036596">
        <w:t xml:space="preserve"> </w:t>
      </w:r>
      <w:r w:rsidRPr="000209BC">
        <w:t>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MA 33),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3B33894C" w:rsidR="000209BC" w:rsidRPr="000209BC" w:rsidRDefault="000209BC" w:rsidP="006807A5">
      <w:pPr>
        <w:pStyle w:val="WW-paragraph"/>
      </w:pPr>
      <w:r w:rsidRPr="000209BC">
        <w:rPr>
          <w:b/>
          <w:bCs/>
          <w:i/>
          <w:i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0209BC">
        <w:rPr>
          <w:i/>
          <w:iCs/>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(MA 80 Kaṭhinadhamma Sutta).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0209BC">
        <w:rPr>
          <w:b/>
          <w:bCs/>
          <w:i/>
          <w:i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0209BC">
        <w:rPr>
          <w:i/>
          <w:iCs/>
        </w:rPr>
        <w:t>itivuttakas</w:t>
      </w:r>
      <w:r w:rsidR="00036596">
        <w:t xml:space="preserve"> </w:t>
      </w:r>
      <w:r w:rsidRPr="000209BC">
        <w:t>as stories of the past, sometimes interchangeably with</w:t>
      </w:r>
      <w:r w:rsidR="00036596">
        <w:t xml:space="preserve"> </w:t>
      </w:r>
      <w:r w:rsidRPr="000209BC">
        <w:rPr>
          <w:i/>
          <w:iCs/>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527034CF" w:rsidR="000209BC" w:rsidRPr="000209BC" w:rsidRDefault="000209BC" w:rsidP="006807A5">
      <w:pPr>
        <w:pStyle w:val="WW-paragraph"/>
      </w:pPr>
      <w:r w:rsidRPr="000209BC">
        <w:rPr>
          <w:b/>
          <w:bCs/>
          <w:i/>
          <w:i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[MA 60]). However, the terms</w:t>
      </w:r>
      <w:r w:rsidR="00036596">
        <w:t xml:space="preserve"> </w:t>
      </w:r>
      <w:r w:rsidRPr="000209BC">
        <w:rPr>
          <w:i/>
          <w:iCs/>
        </w:rPr>
        <w:t>jātaka</w:t>
      </w:r>
      <w:r w:rsidRPr="000209BC">
        <w:t>, ‘</w:t>
      </w:r>
      <w:r w:rsidRPr="000209BC">
        <w:rPr>
          <w:i/>
          <w:iCs/>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0209BC">
        <w:rPr>
          <w:i/>
          <w:iCs/>
        </w:rPr>
        <w:t>bodhiśakta</w:t>
      </w:r>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0209BC">
        <w:rPr>
          <w:b/>
          <w:bCs/>
          <w:i/>
          <w:i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w:t>
      </w:r>
      <w:r w:rsidRPr="000209BC">
        <w:lastRenderedPageBreak/>
        <w:t>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Pr="000209BC">
        <w:rPr>
          <w:i/>
          <w:iCs/>
        </w:rPr>
        <w:t>vyākaraṇas</w:t>
      </w:r>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‘Sankhārabhājanīya Sutta’ (implausibly identified with the Sankhāruppatti Sutta). The term</w:t>
      </w:r>
      <w:r w:rsidR="00036596">
        <w:t xml:space="preserve"> </w:t>
      </w:r>
      <w:r w:rsidRPr="000209BC">
        <w:rPr>
          <w:i/>
          <w:iCs/>
        </w:rPr>
        <w:t>bhājanīya</w:t>
      </w:r>
      <w:r w:rsidR="00036596">
        <w:t xml:space="preserve"> </w:t>
      </w:r>
      <w:r w:rsidRPr="000209BC">
        <w:t>(‘exposition’), from the same root as ‘</w:t>
      </w:r>
      <w:r w:rsidRPr="000209BC">
        <w:rPr>
          <w:i/>
          <w:iCs/>
        </w:rPr>
        <w:t>vibhaṅga</w:t>
      </w:r>
      <w:r w:rsidRPr="000209BC">
        <w:t>’, is rare in the early discourses, and its most familiar appearance is in the chapter titles of the Abhidhamma Vibhaṅga, which is not too dissimilar to the existing</w:t>
      </w:r>
      <w:r w:rsidR="00036596">
        <w:t xml:space="preserve"> </w:t>
      </w:r>
      <w:r w:rsidRPr="000209BC">
        <w:rPr>
          <w:i/>
          <w:iCs/>
        </w:rPr>
        <w:t>vedallas</w:t>
      </w:r>
      <w:r w:rsidRPr="000209BC">
        <w:t>. The PED is unsure about the derivation of</w:t>
      </w:r>
      <w:r w:rsidR="00036596">
        <w:t xml:space="preserve"> </w:t>
      </w:r>
      <w:r w:rsidRPr="000209BC">
        <w:rPr>
          <w:i/>
          <w:iCs/>
        </w:rPr>
        <w:t>vedalla</w:t>
      </w:r>
      <w:r w:rsidRPr="000209BC">
        <w:t>, improbably suggesting</w:t>
      </w:r>
      <w:r w:rsidR="00036596">
        <w:t xml:space="preserve"> </w:t>
      </w:r>
      <w:r w:rsidRPr="000209BC">
        <w:rPr>
          <w:i/>
          <w:iCs/>
        </w:rPr>
        <w:t>veda</w:t>
      </w:r>
      <w:r w:rsidR="00C16309">
        <w:t xml:space="preserve"> </w:t>
      </w:r>
      <w:r w:rsidRPr="000209BC">
        <w:t>+</w:t>
      </w:r>
      <w:r w:rsidR="00C16309">
        <w:t xml:space="preserve"> </w:t>
      </w:r>
      <w:r w:rsidRPr="000209BC">
        <w:rPr>
          <w:i/>
          <w:iCs/>
        </w:rPr>
        <w:t>ariya</w:t>
      </w:r>
      <w:r w:rsidRPr="000209BC">
        <w:t>. But there is a root</w:t>
      </w:r>
      <w:r w:rsidR="00036596">
        <w:t xml:space="preserve"> </w:t>
      </w:r>
      <w:r w:rsidRPr="000209BC">
        <w:rPr>
          <w:i/>
          <w:iCs/>
        </w:rPr>
        <w:t>dala</w:t>
      </w:r>
      <w:r w:rsidR="00036596">
        <w:t xml:space="preserve"> </w:t>
      </w:r>
      <w:r w:rsidRPr="000209BC">
        <w:t>(cognate with the English ‘tear’), with the basic meaning of ‘break, split’.This is used for the names of certain flowers, in the sense of the unfolding and separating of the petals and leaves. The form</w:t>
      </w:r>
      <w:r w:rsidR="00036596">
        <w:t xml:space="preserve"> </w:t>
      </w:r>
      <w:r w:rsidRPr="000209BC">
        <w:rPr>
          <w:i/>
          <w:iCs/>
        </w:rPr>
        <w:t>vidala</w:t>
      </w:r>
      <w:r w:rsidRPr="000209BC">
        <w:t>, attested in Sanskrit with the meaning ‘dividing, separating’, is exactly parallel with vibhaṅga,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 xml:space="preserve">was originally the proto-abhidhamma text we call *Vibhaṅga Mūla. However, </w:t>
      </w:r>
      <w:r w:rsidRPr="000209BC">
        <w:lastRenderedPageBreak/>
        <w:t>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were probably paired up together before being brought into the Majjhimas. The Sanskrit term here varies, but is usually</w:t>
      </w:r>
      <w:r w:rsidR="00036596">
        <w:t xml:space="preserve"> </w:t>
      </w:r>
      <w:r w:rsidRPr="000209BC">
        <w:rPr>
          <w:i/>
          <w:iCs/>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0209BC">
        <w:rPr>
          <w:i/>
          <w:iCs/>
        </w:rPr>
        <w:t>vaipulya</w:t>
      </w:r>
      <w:r w:rsidR="00036596">
        <w:t xml:space="preserve"> </w:t>
      </w:r>
      <w:r w:rsidRPr="000209BC">
        <w:t>(it helps all beings, and is profound),</w:t>
      </w:r>
      <w:r w:rsidR="00036596">
        <w:t xml:space="preserve"> </w:t>
      </w:r>
      <w:r w:rsidRPr="000209BC">
        <w:rPr>
          <w:i/>
          <w:iCs/>
        </w:rPr>
        <w:t>vaidalya</w:t>
      </w:r>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r w:rsidRPr="000209BC">
        <w:rPr>
          <w:i/>
          <w:iCs/>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668CD9A0" w:rsidR="000209BC" w:rsidRPr="000209BC" w:rsidRDefault="000209BC" w:rsidP="006807A5">
      <w:pPr>
        <w:pStyle w:val="WW-paragraph"/>
      </w:pPr>
      <w:r w:rsidRPr="000209BC">
        <w:rPr>
          <w:b/>
          <w:bCs/>
          <w:i/>
          <w:iCs/>
        </w:rPr>
        <w:t>Abbhūtadhamma</w:t>
      </w:r>
      <w:r w:rsidRPr="000209BC">
        <w:rPr>
          <w:b/>
          <w:bCs/>
        </w:rPr>
        <w:t>:</w:t>
      </w:r>
      <w:r w:rsidR="00036596">
        <w:t xml:space="preserve"> </w:t>
      </w:r>
      <w:r w:rsidRPr="000209BC">
        <w:t>Probably the most straightforward of the aṅgas to interpret, this refers to such discourses as the Acchariya-abbhūta Sutta (MN 123/MA 32), the Bakkula Sutta (MN 124/MA 34),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(MA 33).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(DN 16.5.16). In </w:t>
      </w:r>
      <w:r w:rsidRPr="000209BC">
        <w:lastRenderedPageBreak/>
        <w:t>fact, at AN 4.127–130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0209BC">
        <w:rPr>
          <w:i/>
          <w:iCs/>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0209BC">
        <w:rPr>
          <w:b/>
          <w:bCs/>
          <w:i/>
          <w:i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0209BC">
        <w:rPr>
          <w:i/>
          <w:iCs/>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0209BC">
        <w:rPr>
          <w:b/>
          <w:bCs/>
          <w:i/>
          <w:iCs/>
        </w:rPr>
        <w:t>Apadāna</w:t>
      </w:r>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r w:rsidRPr="000209BC">
        <w:rPr>
          <w:i/>
          <w:iCs/>
        </w:rPr>
        <w:t>apadānas</w:t>
      </w:r>
      <w:r w:rsidR="00036596">
        <w:t xml:space="preserve"> </w:t>
      </w:r>
      <w:r w:rsidRPr="000209BC">
        <w:t>are past lives of disciples, while</w:t>
      </w:r>
      <w:r w:rsidR="00036596">
        <w:t xml:space="preserve"> </w:t>
      </w:r>
      <w:r w:rsidRPr="000209BC">
        <w:rPr>
          <w:i/>
          <w:iCs/>
        </w:rPr>
        <w:t>jātakas</w:t>
      </w:r>
      <w:r w:rsidR="00036596">
        <w:t xml:space="preserve"> </w:t>
      </w:r>
      <w:r w:rsidRPr="000209BC">
        <w:t xml:space="preserve">are past lives of the Buddha; but this </w:t>
      </w:r>
      <w:r w:rsidRPr="000209BC">
        <w:lastRenderedPageBreak/>
        <w:t>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r w:rsidRPr="000209BC">
        <w:rPr>
          <w:i/>
          <w:iCs/>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0209BC">
        <w:rPr>
          <w:i/>
          <w:iCs/>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0209BC">
        <w:rPr>
          <w:b/>
          <w:bCs/>
          <w:i/>
          <w:i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r w:rsidRPr="000209BC">
        <w:rPr>
          <w:i/>
          <w:iCs/>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0209BC">
        <w:rPr>
          <w:i/>
          <w:iCs/>
        </w:rPr>
        <w:t>nidānas</w:t>
      </w:r>
      <w:r w:rsidR="00036596">
        <w:t xml:space="preserve"> </w:t>
      </w:r>
      <w:r w:rsidRPr="000209BC">
        <w:t>are the origin stories for the rules, while the</w:t>
      </w:r>
      <w:r w:rsidR="00036596">
        <w:t xml:space="preserve"> </w:t>
      </w:r>
      <w:r w:rsidRPr="000209BC">
        <w:rPr>
          <w:i/>
          <w:iCs/>
        </w:rPr>
        <w:t>apadānas</w:t>
      </w:r>
      <w:r w:rsidR="00036596">
        <w:t xml:space="preserve"> </w:t>
      </w:r>
      <w:r w:rsidRPr="000209BC">
        <w:t xml:space="preserve">are the other tales included for edification, especially those that compare events in this life with those in past lifetimes. The </w:t>
      </w:r>
      <w:r w:rsidRPr="000209BC">
        <w:lastRenderedPageBreak/>
        <w:t>Śrāvakabhūmi, while including</w:t>
      </w:r>
      <w:r w:rsidR="00036596">
        <w:t xml:space="preserve"> </w:t>
      </w:r>
      <w:r w:rsidRPr="000209BC">
        <w:rPr>
          <w:i/>
          <w:iCs/>
        </w:rPr>
        <w:t>apadāna</w:t>
      </w:r>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r w:rsidRPr="000209BC">
        <w:rPr>
          <w:i/>
          <w:iCs/>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0209BC">
        <w:rPr>
          <w:i/>
          <w:iCs/>
        </w:rPr>
        <w:t>avadāna</w:t>
      </w:r>
      <w:r w:rsidRPr="000209BC">
        <w:t>, includes many</w:t>
      </w:r>
      <w:r w:rsidR="00036596">
        <w:t xml:space="preserve"> </w:t>
      </w:r>
      <w:r w:rsidRPr="000209BC">
        <w:rPr>
          <w:i/>
          <w:iCs/>
        </w:rPr>
        <w:t>avadānas</w:t>
      </w:r>
      <w:r w:rsidRPr="000209BC">
        <w:t>, and is sometimes suggestively referred to as the Mahāvastu-avadāna. An</w:t>
      </w:r>
      <w:r w:rsidR="00036596">
        <w:t xml:space="preserve"> </w:t>
      </w:r>
      <w:r w:rsidRPr="000209BC">
        <w:rPr>
          <w:i/>
          <w:iCs/>
        </w:rPr>
        <w:t>apadāna</w:t>
      </w:r>
      <w:r w:rsidR="00036596">
        <w:t xml:space="preserve"> </w:t>
      </w:r>
      <w:r w:rsidRPr="000209BC">
        <w:t>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lastRenderedPageBreak/>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0209BC">
        <w:rPr>
          <w:i/>
          <w:iCs/>
        </w:rPr>
        <w:t>nidānas</w:t>
      </w:r>
      <w:r w:rsidRPr="000209BC">
        <w:t>). But while the rules 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come with their own background stories, but while the stories and verses </w:t>
      </w:r>
      <w:r w:rsidRPr="000209BC">
        <w:lastRenderedPageBreak/>
        <w:t>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w:t>
      </w:r>
      <w:r w:rsidRPr="000209BC">
        <w:lastRenderedPageBreak/>
        <w:t>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t>‘Ānanda, it is not worthy for a disciple to follow a Teacher for the sake of</w:t>
      </w:r>
      <w:r w:rsidR="00036596">
        <w:t xml:space="preserve"> </w:t>
      </w:r>
      <w:r w:rsidRPr="000209BC">
        <w:rPr>
          <w:i/>
          <w:iCs/>
        </w:rPr>
        <w:t>suttas</w:t>
      </w:r>
      <w:r w:rsidRPr="000209BC">
        <w:t>,</w:t>
      </w:r>
      <w:r w:rsidR="00036596">
        <w:t xml:space="preserve"> </w:t>
      </w:r>
      <w:r w:rsidRPr="000209BC">
        <w:rPr>
          <w:i/>
          <w:iCs/>
        </w:rPr>
        <w:t>geyyas</w:t>
      </w:r>
      <w:r w:rsidRPr="000209BC">
        <w:t>, and</w:t>
      </w:r>
      <w:r w:rsidR="00036596">
        <w:t xml:space="preserve"> </w:t>
      </w:r>
      <w:r w:rsidRPr="000209BC">
        <w:rPr>
          <w:i/>
          <w:iCs/>
        </w:rPr>
        <w:t>vyākaraṇas</w:t>
      </w:r>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w:t>
      </w:r>
      <w:r w:rsidRPr="000209BC">
        <w:lastRenderedPageBreak/>
        <w:t>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0209BC">
        <w:rPr>
          <w:i/>
          <w:iCs/>
        </w:rPr>
        <w:t>sūtra</w:t>
      </w:r>
      <w:r w:rsidRPr="000209BC">
        <w:rPr>
          <w:rFonts w:ascii="Cambria" w:hAnsi="Cambria" w:cs="Cambria"/>
          <w:i/>
          <w:iCs/>
        </w:rPr>
        <w:t>ṁ</w:t>
      </w:r>
      <w:r w:rsidRPr="000209BC">
        <w:rPr>
          <w:i/>
          <w:iCs/>
        </w:rPr>
        <w:t xml:space="preserve"> geya</w:t>
      </w:r>
      <w:r w:rsidRPr="000209BC">
        <w:rPr>
          <w:rFonts w:ascii="Cambria" w:hAnsi="Cambria" w:cs="Cambria"/>
          <w:i/>
          <w:iCs/>
        </w:rPr>
        <w:t>ṁ</w:t>
      </w:r>
      <w:r w:rsidRPr="000209BC">
        <w:rPr>
          <w:i/>
          <w:iCs/>
        </w:rPr>
        <w:t xml:space="preserve"> 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 xml:space="preserve">that require further </w:t>
      </w:r>
      <w:r w:rsidRPr="000209BC">
        <w:lastRenderedPageBreak/>
        <w:t>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r w:rsidRPr="000209BC">
        <w:rPr>
          <w:i/>
          <w:iCs/>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lastRenderedPageBreak/>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r w:rsidRPr="000209BC">
        <w:rPr>
          <w:i/>
          <w:iCs/>
        </w:rPr>
        <w:t>vyākaraṇas</w:t>
      </w:r>
      <w:r w:rsidR="00036596">
        <w:rPr>
          <w:i/>
          <w:iCs/>
        </w:rPr>
        <w:t xml:space="preserve"> </w:t>
      </w:r>
      <w:r w:rsidRPr="000209BC">
        <w:t>should be assessed with</w:t>
      </w:r>
      <w:r w:rsidR="00036596">
        <w:t xml:space="preserve"> </w:t>
      </w:r>
      <w:r w:rsidRPr="000209BC">
        <w:rPr>
          <w:i/>
          <w:iCs/>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0209BC">
        <w:rPr>
          <w:i/>
          <w:iCs/>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r w:rsidRPr="000209BC">
        <w:rPr>
          <w:i/>
          <w:iCs/>
        </w:rPr>
        <w:t>vyākaraṇa</w:t>
      </w:r>
      <w:r w:rsidRPr="000209BC">
        <w:t xml:space="preserve">in which one or other of these six dhammas is not </w:t>
      </w:r>
      <w:r w:rsidRPr="000209BC">
        <w:lastRenderedPageBreak/>
        <w:t>apparent.’</w:t>
      </w:r>
      <w:r w:rsidR="00495C55">
        <w:rPr>
          <w:rStyle w:val="FootnoteReference"/>
        </w:rPr>
        <w:footnoteReference w:id="82"/>
      </w:r>
      <w:r w:rsidR="00036596">
        <w:t xml:space="preserve"> </w:t>
      </w:r>
      <w:r w:rsidRPr="000209BC">
        <w:t>Ñāṇamoli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0209BC">
        <w:rPr>
          <w:i/>
          <w:iCs/>
        </w:rPr>
        <w:t>sutta</w:t>
      </w:r>
      <w:r w:rsidRPr="000209BC">
        <w:rPr>
          <w:rFonts w:ascii="Cambria" w:hAnsi="Cambria" w:cs="Cambria"/>
          <w:i/>
          <w:iCs/>
        </w:rPr>
        <w:t>ṁ</w:t>
      </w:r>
      <w:r w:rsidRPr="000209BC">
        <w:rPr>
          <w:i/>
          <w:iCs/>
        </w:rPr>
        <w:t xml:space="preserve"> v</w:t>
      </w:r>
      <w:r w:rsidRPr="000209BC">
        <w:rPr>
          <w:rFonts w:cs="Source Serif Pro"/>
          <w:i/>
          <w:iCs/>
        </w:rPr>
        <w:t>ā</w:t>
      </w:r>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v</w:t>
      </w:r>
      <w:r w:rsidRPr="000209BC">
        <w:rPr>
          <w:rFonts w:cs="Source Serif Pro"/>
          <w:i/>
          <w:iCs/>
        </w:rPr>
        <w:t>ā</w:t>
      </w:r>
      <w:r w:rsidRPr="000209BC">
        <w:rPr>
          <w:i/>
          <w:iCs/>
        </w:rPr>
        <w:t xml:space="preserve"> 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v</w:t>
      </w:r>
      <w:r w:rsidRPr="000209BC">
        <w:rPr>
          <w:rFonts w:cs="Source Serif Pro"/>
          <w:i/>
          <w:iCs/>
        </w:rPr>
        <w:t>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r w:rsidRPr="000209BC">
        <w:rPr>
          <w:i/>
          <w:iCs/>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r w:rsidRPr="000209BC">
        <w:rPr>
          <w:i/>
          <w:iCs/>
        </w:rPr>
        <w:t>aṭṭhakavagga</w:t>
      </w:r>
      <w:r w:rsidRPr="000209BC">
        <w:t>,</w:t>
      </w:r>
      <w:r w:rsidR="00036596">
        <w:t xml:space="preserve"> </w:t>
      </w:r>
      <w:r w:rsidRPr="000209BC">
        <w:rPr>
          <w:i/>
          <w:iCs/>
        </w:rPr>
        <w:t>dhammapāda</w:t>
      </w:r>
      <w:r w:rsidRPr="000209BC">
        <w:t>,</w:t>
      </w:r>
      <w:r w:rsidR="00036596">
        <w:t xml:space="preserve"> </w:t>
      </w:r>
      <w:r w:rsidRPr="000209BC">
        <w:rPr>
          <w:i/>
          <w:iCs/>
        </w:rPr>
        <w:t>pārāyana</w:t>
      </w:r>
      <w:r w:rsidR="00036596">
        <w:t xml:space="preserve"> </w:t>
      </w:r>
      <w:r w:rsidRPr="000209BC">
        <w:t>(? doubtful, perhaps ‘various problems’),</w:t>
      </w:r>
      <w:r w:rsidR="00036596">
        <w:t xml:space="preserve"> </w:t>
      </w:r>
      <w:r w:rsidRPr="000209BC">
        <w:rPr>
          <w:i/>
          <w:iCs/>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 xml:space="preserve">means just one portion of the teachings and cannot be a general term for any discourse, as it came to mean later. The </w:t>
      </w:r>
      <w:r w:rsidRPr="000209BC">
        <w:lastRenderedPageBreak/>
        <w:t>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sutta vibhaṅga</w:t>
      </w:r>
      <w:r w:rsidR="00C16309">
        <w:t xml:space="preserve"> </w:t>
      </w:r>
      <w:r w:rsidRPr="000209BC">
        <w:t>(‘analysis of the</w:t>
      </w:r>
      <w:r w:rsidR="00C16309">
        <w:t xml:space="preserve"> </w:t>
      </w:r>
      <w:r w:rsidRPr="000209BC">
        <w:rPr>
          <w:i/>
          <w:iCs/>
        </w:rPr>
        <w:t>sutta</w:t>
      </w:r>
      <w:r w:rsidRPr="000209BC">
        <w:t>’). This</w:t>
      </w:r>
      <w:r w:rsidR="00C16309">
        <w:t xml:space="preserve"> </w:t>
      </w:r>
      <w:r w:rsidRPr="000209BC">
        <w:rPr>
          <w:i/>
          <w:iCs/>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lastRenderedPageBreak/>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0209BC">
        <w:rPr>
          <w:i/>
          <w:iCs/>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0209BC">
        <w:rPr>
          <w:i/>
          <w:iCs/>
        </w:rPr>
        <w:t>vyākaraṇ</w:t>
      </w:r>
      <w:r w:rsidRPr="000209BC">
        <w:t>-ed’. The unanswered questions are, of course, those such as ‘does the Tathāgata exist after death’ and so on. What is declared (</w:t>
      </w:r>
      <w:r w:rsidRPr="000209BC">
        <w:rPr>
          <w:i/>
          <w:iCs/>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Pr="000209BC">
        <w:rPr>
          <w:i/>
          <w:iCs/>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0209BC">
        <w:rPr>
          <w:i/>
          <w:iCs/>
        </w:rPr>
        <w:t>pañha</w:t>
      </w:r>
      <w:r w:rsidRPr="000209BC">
        <w:t>), one summary (</w:t>
      </w:r>
      <w:r w:rsidRPr="000209BC">
        <w:rPr>
          <w:i/>
          <w:iCs/>
        </w:rPr>
        <w:t>uddesa</w:t>
      </w:r>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xml:space="preserve">) to </w:t>
      </w:r>
      <w:r w:rsidRPr="000209BC">
        <w:lastRenderedPageBreak/>
        <w:t>questions’: answering by definitive statement, by analysis (</w:t>
      </w:r>
      <w:r w:rsidRPr="000209BC">
        <w:rPr>
          <w:i/>
          <w:iCs/>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r w:rsidRPr="000209BC">
        <w:rPr>
          <w:i/>
          <w:iCs/>
        </w:rPr>
        <w:t>vyākaraṇas</w:t>
      </w:r>
      <w:r w:rsidR="00C16309">
        <w:t xml:space="preserve"> </w:t>
      </w:r>
      <w:r w:rsidRPr="000209BC">
        <w:t>as explanations of the</w:t>
      </w:r>
      <w:r w:rsidR="00C16309">
        <w:t xml:space="preserve"> </w:t>
      </w:r>
      <w:r w:rsidRPr="000209BC">
        <w:rPr>
          <w:i/>
          <w:iCs/>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0209BC">
        <w:rPr>
          <w:i/>
          <w:iCs/>
        </w:rPr>
        <w:t>apadāna</w:t>
      </w:r>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xml:space="preserve">.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w:t>
      </w:r>
      <w:r w:rsidRPr="000209BC">
        <w:lastRenderedPageBreak/>
        <w:t>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Pr="000209BC">
        <w:rPr>
          <w:i/>
          <w:iCs/>
        </w:rPr>
        <w:t>vyākaraṇas</w:t>
      </w:r>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xml:space="preserve">) thus: ‘Friends, the “fetters” and the “things that fetter” are different in meaning and also different in phrasing. But some senior monks answered thus: ‘Friends, the “fetters” and </w:t>
      </w:r>
      <w:r w:rsidRPr="000209BC">
        <w:lastRenderedPageBreak/>
        <w:t>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3E6DFEF7"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35.109/SA 239)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r w:rsidRPr="000209BC">
        <w:rPr>
          <w:i/>
          <w:iCs/>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lastRenderedPageBreak/>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 xml:space="preserve">that require further explanation. And while the prose is addressed to the monks, the verse is addressed to a non-monastic, a deity associated with the </w:t>
      </w:r>
      <w:r w:rsidRPr="000209BC">
        <w:lastRenderedPageBreak/>
        <w:t>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xml:space="preserve">. This term is used in all the traditions, despite the fact that only the Pali canon is meaningfully structured into three sections. Evidently, then, </w:t>
      </w:r>
      <w:r w:rsidRPr="000209BC">
        <w:lastRenderedPageBreak/>
        <w:t>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0209BC">
        <w:rPr>
          <w:i/>
          <w:iCs/>
        </w:rPr>
        <w:t>suttaṅga</w:t>
      </w:r>
      <w:r w:rsidR="00C16309">
        <w:t xml:space="preserve"> </w:t>
      </w:r>
      <w:r w:rsidRPr="000209BC">
        <w:t>to parallel the</w:t>
      </w:r>
      <w:r w:rsidR="00C16309">
        <w:t xml:space="preserve"> </w:t>
      </w:r>
      <w:r w:rsidRPr="000209BC">
        <w:rPr>
          <w:i/>
          <w:iCs/>
        </w:rPr>
        <w:t>vedaṅga</w:t>
      </w:r>
      <w:r w:rsidRPr="000209BC">
        <w:t>; in addition the term</w:t>
      </w:r>
      <w:r w:rsidR="00C16309">
        <w:t xml:space="preserve"> </w:t>
      </w:r>
      <w:r w:rsidRPr="000209BC">
        <w:rPr>
          <w:i/>
          <w:iCs/>
        </w:rPr>
        <w:t>suttanta</w:t>
      </w:r>
      <w:r w:rsidR="00C16309">
        <w:t xml:space="preserve"> </w:t>
      </w:r>
      <w:r w:rsidRPr="000209BC">
        <w:t>echoes</w:t>
      </w:r>
      <w:r w:rsidR="00C16309">
        <w:t xml:space="preserve"> </w:t>
      </w:r>
      <w:r w:rsidRPr="000209BC">
        <w:rPr>
          <w:i/>
          <w:iCs/>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r w:rsidRPr="000209BC">
        <w:rPr>
          <w:i/>
          <w:iCs/>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Pr="000209BC">
        <w:rPr>
          <w:i/>
          <w:iCs/>
        </w:rPr>
        <w:t>vibhaṅgas</w:t>
      </w:r>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0209BC">
        <w:rPr>
          <w:i/>
          <w:iCs/>
        </w:rPr>
        <w:t>vibhaṅga</w:t>
      </w:r>
      <w:r w:rsidRPr="000209BC">
        <w:t>; originally perhaps all did. Some of the</w:t>
      </w:r>
      <w:r w:rsidR="00C16309">
        <w:t xml:space="preserve"> </w:t>
      </w:r>
      <w:r w:rsidRPr="000209BC">
        <w:rPr>
          <w:i/>
          <w:iCs/>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r w:rsidRPr="000209BC">
        <w:rPr>
          <w:i/>
          <w:iCs/>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Pr="000209BC">
        <w:rPr>
          <w:i/>
          <w:iCs/>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0209BC">
        <w:rPr>
          <w:i/>
          <w:iCs/>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0209BC">
        <w:rPr>
          <w:i/>
          <w:iCs/>
        </w:rPr>
        <w:t>abhidhamma</w:t>
      </w:r>
      <w:r w:rsidR="00C16309">
        <w:t xml:space="preserve"> </w:t>
      </w:r>
      <w:r w:rsidRPr="000209BC">
        <w:t>and</w:t>
      </w:r>
      <w:r w:rsidR="00C16309">
        <w:t xml:space="preserve"> </w:t>
      </w:r>
      <w:r w:rsidRPr="000209BC">
        <w:rPr>
          <w:i/>
          <w:iCs/>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0209BC">
        <w:rPr>
          <w:i/>
          <w:iCs/>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Pr="000209BC">
        <w:rPr>
          <w:i/>
          <w:iCs/>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t>
      </w:r>
      <w:r w:rsidRPr="000209BC">
        <w:lastRenderedPageBreak/>
        <w:t xml:space="preserve">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r w:rsidRPr="000209BC">
        <w:rPr>
          <w:i/>
          <w:iCs/>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r w:rsidRPr="000209BC">
        <w:rPr>
          <w:i/>
          <w:iCs/>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tend to group with with</w:t>
      </w:r>
      <w:r w:rsidR="00C16309">
        <w:t xml:space="preserve"> </w:t>
      </w:r>
      <w:r w:rsidRPr="000209BC">
        <w:rPr>
          <w:i/>
          <w:iCs/>
        </w:rPr>
        <w:t>suttas</w:t>
      </w:r>
      <w:r w:rsidRPr="000209BC">
        <w:t>,</w:t>
      </w:r>
      <w:r w:rsidR="00C16309">
        <w:t xml:space="preserve"> </w:t>
      </w:r>
      <w:r w:rsidRPr="000209BC">
        <w:rPr>
          <w:i/>
          <w:iCs/>
        </w:rPr>
        <w:t>vyākaraṇas</w:t>
      </w:r>
      <w:r w:rsidR="00C16309">
        <w:t xml:space="preserve"> </w:t>
      </w:r>
      <w:r w:rsidRPr="000209BC">
        <w:t>with</w:t>
      </w:r>
      <w:r w:rsidR="00C16309">
        <w:t xml:space="preserve"> </w:t>
      </w:r>
      <w:r w:rsidRPr="000209BC">
        <w:rPr>
          <w:i/>
          <w:iCs/>
        </w:rPr>
        <w:t>vyākaraṇas</w:t>
      </w:r>
      <w:r w:rsidRPr="000209BC">
        <w:t>, and</w:t>
      </w:r>
      <w:r w:rsidR="00C16309">
        <w:t xml:space="preserve"> </w:t>
      </w:r>
      <w:r w:rsidRPr="000209BC">
        <w:rPr>
          <w:i/>
          <w:iCs/>
        </w:rPr>
        <w:t>geyyas</w:t>
      </w:r>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r w:rsidRPr="000209BC">
        <w:rPr>
          <w:i/>
          <w:iCs/>
        </w:rPr>
        <w:t>vyākaraṇas</w:t>
      </w:r>
      <w:r w:rsidR="00C16309">
        <w:t xml:space="preserve"> </w:t>
      </w:r>
      <w:r w:rsidRPr="000209BC">
        <w:t>to cluster with other</w:t>
      </w:r>
      <w:r w:rsidR="00C16309">
        <w:t xml:space="preserve"> </w:t>
      </w:r>
      <w:r w:rsidRPr="000209BC">
        <w:rPr>
          <w:i/>
          <w:iCs/>
        </w:rPr>
        <w:t>vyākaraṇas</w:t>
      </w:r>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r w:rsidRPr="000209BC">
        <w:rPr>
          <w:i/>
          <w:iCs/>
        </w:rPr>
        <w:t>geyyas</w:t>
      </w:r>
      <w:r w:rsidRPr="000209BC">
        <w:t>, then intervene, and then 11</w:t>
      </w:r>
      <w:r w:rsidR="00C16309">
        <w:t xml:space="preserve"> </w:t>
      </w:r>
      <w:r w:rsidRPr="000209BC">
        <w:rPr>
          <w:i/>
          <w:iCs/>
        </w:rPr>
        <w:t>vyākaraṇas</w:t>
      </w:r>
      <w:r w:rsidRPr="000209BC">
        <w:t xml:space="preserve">. Here, as in the </w:t>
      </w:r>
      <w:r w:rsidRPr="00FF2DC3">
        <w:t>Theravāda</w:t>
      </w:r>
      <w:r w:rsidRPr="000209BC">
        <w:t>, the</w:t>
      </w:r>
      <w:r w:rsidR="00C16309">
        <w:t xml:space="preserve"> </w:t>
      </w:r>
      <w:r w:rsidRPr="000209BC">
        <w:rPr>
          <w:i/>
          <w:iCs/>
        </w:rPr>
        <w:t>geyyas</w:t>
      </w:r>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xml:space="preserve">. The </w:t>
      </w:r>
      <w:r w:rsidRPr="000209BC">
        <w:lastRenderedPageBreak/>
        <w:t>latter half is slightly less coherent, but still the aṅgas are readily discernable, mainly</w:t>
      </w:r>
      <w:r w:rsidR="00C16309">
        <w:t xml:space="preserve"> </w:t>
      </w:r>
      <w:r w:rsidRPr="000209BC">
        <w:rPr>
          <w:i/>
          <w:iCs/>
        </w:rPr>
        <w:t>vyākaraṇas</w:t>
      </w:r>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r w:rsidRPr="000209BC">
        <w:rPr>
          <w:i/>
          <w:iCs/>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Pr="000209BC">
        <w:rPr>
          <w:i/>
          <w:iCs/>
        </w:rPr>
        <w:t>vyākaraṇas</w:t>
      </w:r>
      <w:r w:rsidRPr="000209BC">
        <w:t>. Leaving aside the four intervening discourses, the first of the string of</w:t>
      </w:r>
      <w:r w:rsidR="00C16309">
        <w:t xml:space="preserve"> </w:t>
      </w:r>
      <w:r w:rsidRPr="000209BC">
        <w:rPr>
          <w:i/>
          <w:iCs/>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Pr="000209BC">
        <w:rPr>
          <w:i/>
          <w:iCs/>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466A4F7"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r w:rsidRPr="000209BC">
        <w:rPr>
          <w:i/>
          <w:iCs/>
        </w:rPr>
        <w:t>vyākaraṇas</w:t>
      </w:r>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r w:rsidRPr="000209BC">
        <w:rPr>
          <w:i/>
          <w:iCs/>
        </w:rPr>
        <w:t>vyākaraṇas</w:t>
      </w:r>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are a few</w:t>
      </w:r>
      <w:r w:rsidR="00C16309">
        <w:t xml:space="preserve"> </w:t>
      </w:r>
      <w:r w:rsidRPr="000209BC">
        <w:rPr>
          <w:i/>
          <w:iCs/>
        </w:rPr>
        <w:t>geyyas</w:t>
      </w:r>
      <w:r w:rsidRPr="000209BC">
        <w:t>. The position of the</w:t>
      </w:r>
      <w:r w:rsidR="00C16309">
        <w:t xml:space="preserve"> </w:t>
      </w:r>
      <w:r w:rsidRPr="000209BC">
        <w:rPr>
          <w:i/>
          <w:iCs/>
        </w:rPr>
        <w:t>geyya</w:t>
      </w:r>
      <w:r w:rsidR="00C16309">
        <w:t xml:space="preserve"> </w:t>
      </w:r>
      <w:r w:rsidRPr="000209BC">
        <w:t xml:space="preserve">SN 56.22/SA 392 is evidently anomalous, for the text is closely related to SN 56.21/SA 403.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0209BC">
        <w:rPr>
          <w:i/>
          <w:iCs/>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0209BC">
        <w:rPr>
          <w:i/>
          <w:iCs/>
        </w:rPr>
        <w:t>geyyas</w:t>
      </w:r>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r w:rsidRPr="000209BC">
        <w:rPr>
          <w:i/>
          <w:iCs/>
        </w:rPr>
        <w:t>vyākaraṇas</w:t>
      </w:r>
      <w:r w:rsidRPr="000209BC">
        <w:t>, in accordance with the sequence of the aṅgas.</w:t>
      </w:r>
    </w:p>
    <w:p w14:paraId="6420E769" w14:textId="637FB7D6" w:rsidR="000209BC" w:rsidRPr="000209BC" w:rsidRDefault="000209BC" w:rsidP="00B537E1">
      <w:pPr>
        <w:pStyle w:val="WW-paragraph"/>
      </w:pPr>
      <w:r w:rsidRPr="000209BC">
        <w:t xml:space="preserve">Another striking correspondence is that, in several cases, an identifiable group of texts is found in both collections. For example, take the texts SA </w:t>
      </w:r>
      <w:r w:rsidRPr="000209BC">
        <w:lastRenderedPageBreak/>
        <w:t>408–412. This group of</w:t>
      </w:r>
      <w:r w:rsidR="00C16309">
        <w:t xml:space="preserve"> </w:t>
      </w:r>
      <w:r w:rsidRPr="000209BC">
        <w:rPr>
          <w:i/>
          <w:iCs/>
        </w:rPr>
        <w:t>suttas</w:t>
      </w:r>
      <w:r w:rsidR="00C16309">
        <w:t xml:space="preserve"> </w:t>
      </w:r>
      <w:r w:rsidRPr="000209BC">
        <w:t>corresponds with the group SN 56.7–10. It is a pre-existing unit common to both traditions. A similar situation obtains with texts SA 394–401,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Pr="000209BC">
        <w:rPr>
          <w:i/>
          <w:iCs/>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7777777"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 xml:space="preserve">s suggested restoration of the two final texts (SA 905, 906).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w:t>
      </w:r>
      <w:r w:rsidRPr="000209BC">
        <w:lastRenderedPageBreak/>
        <w:t>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Pr="000209BC">
        <w:rPr>
          <w:i/>
          <w:iCs/>
        </w:rPr>
        <w:t>vyākaraṇas</w:t>
      </w:r>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r w:rsidRPr="000209BC">
        <w:rPr>
          <w:i/>
          <w:iCs/>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w:t>
      </w:r>
      <w:r w:rsidRPr="000209BC">
        <w:lastRenderedPageBreak/>
        <w:t>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0209BC">
        <w:rPr>
          <w:i/>
          <w:iCs/>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r w:rsidRPr="000209BC">
        <w:rPr>
          <w:i/>
          <w:iCs/>
        </w:rPr>
        <w:t>uddānas</w:t>
      </w:r>
      <w:r w:rsidR="00C16309">
        <w:t xml:space="preserve"> </w:t>
      </w:r>
      <w:r w:rsidRPr="000209BC">
        <w:lastRenderedPageBreak/>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0209BC">
        <w:rPr>
          <w:i/>
          <w:iCs/>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77777777" w:rsidR="000209BC" w:rsidRPr="000209BC" w:rsidRDefault="000209BC" w:rsidP="002D06FE">
            <w:pPr>
              <w:pStyle w:val="WW-paragraph"/>
            </w:pPr>
            <w:r w:rsidRPr="000209BC">
              <w:t>DN 34 Dasuttara</w:t>
            </w:r>
          </w:p>
        </w:tc>
        <w:tc>
          <w:tcPr>
            <w:tcW w:w="0" w:type="auto"/>
            <w:hideMark/>
          </w:tcPr>
          <w:p w14:paraId="2FB0BA73" w14:textId="77777777" w:rsidR="000209BC" w:rsidRPr="000209BC" w:rsidRDefault="000209BC" w:rsidP="002D06FE">
            <w:pPr>
              <w:pStyle w:val="WW-paragraph"/>
            </w:pPr>
            <w:r w:rsidRPr="000209BC">
              <w:t>DA 10, 11</w:t>
            </w:r>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77777777" w:rsidR="000209BC" w:rsidRPr="000209BC" w:rsidRDefault="000209BC" w:rsidP="002D06FE">
            <w:pPr>
              <w:pStyle w:val="WW-paragraph"/>
            </w:pPr>
            <w:r w:rsidRPr="000209BC">
              <w:t>DN 33 Saṅgīti</w:t>
            </w:r>
          </w:p>
        </w:tc>
        <w:tc>
          <w:tcPr>
            <w:tcW w:w="0" w:type="auto"/>
            <w:hideMark/>
          </w:tcPr>
          <w:p w14:paraId="74A62FFB" w14:textId="77777777" w:rsidR="000209BC" w:rsidRPr="000209BC" w:rsidRDefault="000209BC" w:rsidP="002D06FE">
            <w:pPr>
              <w:pStyle w:val="WW-paragraph"/>
            </w:pPr>
            <w:r w:rsidRPr="000209BC">
              <w:t>DA 9</w:t>
            </w:r>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77777777" w:rsidR="000209BC" w:rsidRPr="000209BC" w:rsidRDefault="000209BC" w:rsidP="002D06FE">
            <w:pPr>
              <w:pStyle w:val="WW-paragraph"/>
            </w:pPr>
            <w:r w:rsidRPr="000209BC">
              <w:t>DN 14 Mahāpadāna</w:t>
            </w:r>
          </w:p>
        </w:tc>
        <w:tc>
          <w:tcPr>
            <w:tcW w:w="0" w:type="auto"/>
            <w:hideMark/>
          </w:tcPr>
          <w:p w14:paraId="508306D5" w14:textId="77777777" w:rsidR="000209BC" w:rsidRPr="000209BC" w:rsidRDefault="000209BC" w:rsidP="002D06FE">
            <w:pPr>
              <w:pStyle w:val="WW-paragraph"/>
            </w:pPr>
            <w:r w:rsidRPr="000209BC">
              <w:t>DA 1</w:t>
            </w:r>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77777777" w:rsidR="000209BC" w:rsidRPr="000209BC" w:rsidRDefault="000209BC" w:rsidP="002D06FE">
            <w:pPr>
              <w:pStyle w:val="WW-paragraph"/>
            </w:pPr>
            <w:r w:rsidRPr="000209BC">
              <w:t>DN 16 Mahāparinibbāna</w:t>
            </w:r>
          </w:p>
        </w:tc>
        <w:tc>
          <w:tcPr>
            <w:tcW w:w="0" w:type="auto"/>
            <w:hideMark/>
          </w:tcPr>
          <w:p w14:paraId="55598D85" w14:textId="77777777" w:rsidR="000209BC" w:rsidRPr="000209BC" w:rsidRDefault="000209BC" w:rsidP="002D06FE">
            <w:pPr>
              <w:pStyle w:val="WW-paragraph"/>
            </w:pPr>
            <w:r w:rsidRPr="000209BC">
              <w:t>DA 2</w:t>
            </w:r>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0209BC">
        <w:rPr>
          <w:i/>
          <w:iCs/>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w:t>
      </w:r>
      <w:r w:rsidRPr="000209BC">
        <w:lastRenderedPageBreak/>
        <w:t>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77777777" w:rsidR="000209BC" w:rsidRPr="000209BC" w:rsidRDefault="000209BC" w:rsidP="002D3409">
      <w:pPr>
        <w:pStyle w:val="WW-paragraph"/>
      </w:pPr>
      <w:r w:rsidRPr="000209BC">
        <w:t>The next section, the ‘Paired Group’, consisting of two vaggas, contains much unshared material. However, one shared structural feature is the two pairs of discourses DN</w:t>
      </w:r>
      <w:r w:rsidRPr="000209BC">
        <w:rPr>
          <w:rFonts w:ascii="Times New Roman" w:hAnsi="Times New Roman"/>
        </w:rPr>
        <w:t> </w:t>
      </w:r>
      <w:r w:rsidRPr="000209BC">
        <w:t>18/DA</w:t>
      </w:r>
      <w:r w:rsidRPr="000209BC">
        <w:rPr>
          <w:rFonts w:ascii="Times New Roman" w:hAnsi="Times New Roman"/>
        </w:rPr>
        <w:t> </w:t>
      </w:r>
      <w:r w:rsidRPr="000209BC">
        <w:t>4/DA</w:t>
      </w:r>
      <w:r w:rsidRPr="00EF3832">
        <w:rPr>
          <w:rStyle w:val="wwc-superscript"/>
        </w:rPr>
        <w:t>2</w:t>
      </w:r>
      <w:r w:rsidRPr="000209BC">
        <w:rPr>
          <w:rFonts w:ascii="Times New Roman" w:hAnsi="Times New Roman"/>
        </w:rPr>
        <w:t> </w:t>
      </w:r>
      <w:r w:rsidRPr="000209BC">
        <w:t>13 Janavasabha &amp; DN</w:t>
      </w:r>
      <w:r w:rsidRPr="000209BC">
        <w:rPr>
          <w:rFonts w:ascii="Times New Roman" w:hAnsi="Times New Roman"/>
        </w:rPr>
        <w:t> </w:t>
      </w:r>
      <w:r w:rsidRPr="000209BC">
        <w:t>19/DA</w:t>
      </w:r>
      <w:r w:rsidRPr="000209BC">
        <w:rPr>
          <w:rFonts w:ascii="Times New Roman" w:hAnsi="Times New Roman"/>
        </w:rPr>
        <w:t> </w:t>
      </w:r>
      <w:r w:rsidRPr="000209BC">
        <w:t>3/DA</w:t>
      </w:r>
      <w:r w:rsidRPr="00EF3832">
        <w:rPr>
          <w:rStyle w:val="wwc-superscript"/>
        </w:rPr>
        <w:t>2</w:t>
      </w:r>
      <w:r w:rsidRPr="000209BC">
        <w:rPr>
          <w:rFonts w:ascii="Times New Roman" w:hAnsi="Times New Roman"/>
        </w:rPr>
        <w:t> </w:t>
      </w:r>
      <w:r w:rsidRPr="000209BC">
        <w:t>14 Mah</w:t>
      </w:r>
      <w:r w:rsidRPr="000209BC">
        <w:rPr>
          <w:rFonts w:cs="Source Serif Pro"/>
        </w:rPr>
        <w:t>ā</w:t>
      </w:r>
      <w:r w:rsidRPr="000209BC">
        <w:t xml:space="preserve"> Govinda; and DN</w:t>
      </w:r>
      <w:r w:rsidRPr="000209BC">
        <w:rPr>
          <w:rFonts w:ascii="Times New Roman" w:hAnsi="Times New Roman"/>
        </w:rPr>
        <w:t> </w:t>
      </w:r>
      <w:r w:rsidRPr="000209BC">
        <w:t>28/DA</w:t>
      </w:r>
      <w:r w:rsidRPr="000209BC">
        <w:rPr>
          <w:rFonts w:ascii="Times New Roman" w:hAnsi="Times New Roman"/>
        </w:rPr>
        <w:t> </w:t>
      </w:r>
      <w:r w:rsidRPr="000209BC">
        <w:t>18/DA</w:t>
      </w:r>
      <w:r w:rsidRPr="00EF3832">
        <w:rPr>
          <w:rStyle w:val="wwc-superscript"/>
        </w:rPr>
        <w:t>2</w:t>
      </w:r>
      <w:r w:rsidRPr="000209BC">
        <w:rPr>
          <w:rFonts w:ascii="Times New Roman" w:hAnsi="Times New Roman"/>
        </w:rPr>
        <w:t> </w:t>
      </w:r>
      <w:r w:rsidRPr="000209BC">
        <w:t>15 Sampas</w:t>
      </w:r>
      <w:r w:rsidRPr="000209BC">
        <w:rPr>
          <w:rFonts w:cs="Source Serif Pro"/>
        </w:rPr>
        <w:t>ā</w:t>
      </w:r>
      <w:r w:rsidRPr="000209BC">
        <w:t>dan</w:t>
      </w:r>
      <w:r w:rsidRPr="000209BC">
        <w:rPr>
          <w:rFonts w:cs="Source Serif Pro"/>
        </w:rPr>
        <w:t>ī</w:t>
      </w:r>
      <w:r w:rsidRPr="000209BC">
        <w:t>ya &amp; DN</w:t>
      </w:r>
      <w:r w:rsidRPr="000209BC">
        <w:rPr>
          <w:rFonts w:ascii="Times New Roman" w:hAnsi="Times New Roman"/>
        </w:rPr>
        <w:t> </w:t>
      </w:r>
      <w:r w:rsidRPr="000209BC">
        <w:t>29/DA</w:t>
      </w:r>
      <w:r w:rsidRPr="000209BC">
        <w:rPr>
          <w:rFonts w:ascii="Times New Roman" w:hAnsi="Times New Roman"/>
        </w:rPr>
        <w:t> </w:t>
      </w:r>
      <w:r w:rsidRPr="000209BC">
        <w:t>17/ DA</w:t>
      </w:r>
      <w:r w:rsidRPr="00EF3832">
        <w:rPr>
          <w:rStyle w:val="wwc-superscript"/>
        </w:rPr>
        <w:t>2</w:t>
      </w:r>
      <w:r w:rsidRPr="000209BC">
        <w:rPr>
          <w:rFonts w:ascii="Times New Roman" w:hAnsi="Times New Roman"/>
        </w:rPr>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lastRenderedPageBreak/>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77777777" w:rsidR="000209BC" w:rsidRPr="000209BC" w:rsidRDefault="000209BC" w:rsidP="002D3409">
            <w:pPr>
              <w:pStyle w:val="WW-paragraph"/>
            </w:pPr>
            <w:r w:rsidRPr="000209BC">
              <w:t>MN 60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77777777" w:rsidR="000209BC" w:rsidRPr="000209BC" w:rsidRDefault="000209BC" w:rsidP="002D3409">
            <w:pPr>
              <w:pStyle w:val="WW-paragraph"/>
            </w:pPr>
            <w:r w:rsidRPr="000209BC">
              <w:t>DN 24 Pāṭika</w:t>
            </w:r>
          </w:p>
        </w:tc>
        <w:tc>
          <w:tcPr>
            <w:tcW w:w="0" w:type="auto"/>
            <w:hideMark/>
          </w:tcPr>
          <w:p w14:paraId="04F93BA0" w14:textId="77777777" w:rsidR="000209BC" w:rsidRPr="000209BC" w:rsidRDefault="000209BC" w:rsidP="002D3409">
            <w:pPr>
              <w:pStyle w:val="WW-paragraph"/>
            </w:pPr>
            <w:r w:rsidRPr="000209BC">
              <w:t>DA 15</w:t>
            </w:r>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7777777" w:rsidR="000209BC" w:rsidRPr="000209BC" w:rsidRDefault="000209BC" w:rsidP="002D3409">
            <w:pPr>
              <w:pStyle w:val="WW-paragraph"/>
            </w:pPr>
            <w:r w:rsidRPr="000209BC">
              <w:t>MN 105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77777777" w:rsidR="000209BC" w:rsidRPr="000209BC" w:rsidRDefault="000209BC" w:rsidP="002D3409">
            <w:pPr>
              <w:pStyle w:val="WW-paragraph"/>
            </w:pPr>
            <w:r w:rsidRPr="000209BC">
              <w:t>MN 4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77777777" w:rsidR="000209BC" w:rsidRPr="000209BC" w:rsidRDefault="000209BC" w:rsidP="002D3409">
            <w:pPr>
              <w:pStyle w:val="WW-paragraph"/>
            </w:pPr>
            <w:r w:rsidRPr="000209BC">
              <w:t>MN 12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77777777" w:rsidR="000209BC" w:rsidRPr="000209BC" w:rsidRDefault="000209BC" w:rsidP="002D3409">
            <w:pPr>
              <w:pStyle w:val="WW-paragraph"/>
            </w:pPr>
            <w:r w:rsidRPr="000209BC">
              <w:t>DN 18 Janavasabha</w:t>
            </w:r>
          </w:p>
        </w:tc>
        <w:tc>
          <w:tcPr>
            <w:tcW w:w="0" w:type="auto"/>
            <w:hideMark/>
          </w:tcPr>
          <w:p w14:paraId="47BDA580" w14:textId="77777777" w:rsidR="000209BC" w:rsidRPr="000209BC" w:rsidRDefault="000209BC" w:rsidP="002D3409">
            <w:pPr>
              <w:pStyle w:val="WW-paragraph"/>
            </w:pPr>
            <w:r w:rsidRPr="000209BC">
              <w:t>DA 4</w:t>
            </w:r>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77777777" w:rsidR="000209BC" w:rsidRPr="000209BC" w:rsidRDefault="000209BC" w:rsidP="002D3409">
            <w:pPr>
              <w:pStyle w:val="WW-paragraph"/>
            </w:pPr>
            <w:r w:rsidRPr="000209BC">
              <w:t>DN 19 Mahā Govinda</w:t>
            </w:r>
          </w:p>
        </w:tc>
        <w:tc>
          <w:tcPr>
            <w:tcW w:w="0" w:type="auto"/>
            <w:hideMark/>
          </w:tcPr>
          <w:p w14:paraId="409BE020" w14:textId="77777777" w:rsidR="000209BC" w:rsidRPr="000209BC" w:rsidRDefault="000209BC" w:rsidP="002D3409">
            <w:pPr>
              <w:pStyle w:val="WW-paragraph"/>
            </w:pPr>
            <w:r w:rsidRPr="000209BC">
              <w:t>DA 3</w:t>
            </w:r>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7777777" w:rsidR="000209BC" w:rsidRPr="000209BC" w:rsidRDefault="000209BC" w:rsidP="002D3409">
            <w:pPr>
              <w:pStyle w:val="WW-paragraph"/>
            </w:pPr>
            <w:r w:rsidRPr="000209BC">
              <w:t>DN 28 Sampasādanīya</w:t>
            </w:r>
          </w:p>
        </w:tc>
        <w:tc>
          <w:tcPr>
            <w:tcW w:w="0" w:type="auto"/>
            <w:hideMark/>
          </w:tcPr>
          <w:p w14:paraId="52F7233D" w14:textId="77777777" w:rsidR="000209BC" w:rsidRPr="000209BC" w:rsidRDefault="000209BC" w:rsidP="002D3409">
            <w:pPr>
              <w:pStyle w:val="WW-paragraph"/>
            </w:pPr>
            <w:r w:rsidRPr="000209BC">
              <w:t>DA 18</w:t>
            </w:r>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7777777" w:rsidR="000209BC" w:rsidRPr="000209BC" w:rsidRDefault="000209BC" w:rsidP="002D3409">
            <w:pPr>
              <w:pStyle w:val="WW-paragraph"/>
            </w:pPr>
            <w:r w:rsidRPr="000209BC">
              <w:t>DN 29 Pāsādika</w:t>
            </w:r>
          </w:p>
        </w:tc>
        <w:tc>
          <w:tcPr>
            <w:tcW w:w="0" w:type="auto"/>
            <w:hideMark/>
          </w:tcPr>
          <w:p w14:paraId="5B10E2F1" w14:textId="77777777" w:rsidR="000209BC" w:rsidRPr="000209BC" w:rsidRDefault="000209BC" w:rsidP="002D3409">
            <w:pPr>
              <w:pStyle w:val="WW-paragraph"/>
            </w:pPr>
            <w:r w:rsidRPr="000209BC">
              <w:t>DA 17</w:t>
            </w:r>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77777777" w:rsidR="000209BC" w:rsidRPr="000209BC" w:rsidRDefault="000209BC" w:rsidP="002D3409">
            <w:pPr>
              <w:pStyle w:val="WW-paragraph"/>
            </w:pPr>
            <w:r w:rsidRPr="000209BC">
              <w:t>MN 102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77777777" w:rsidR="000209BC" w:rsidRPr="000209BC" w:rsidRDefault="000209BC" w:rsidP="002D3409">
            <w:pPr>
              <w:pStyle w:val="WW-paragraph"/>
            </w:pPr>
            <w:r w:rsidRPr="000209BC">
              <w:t>MN 95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77777777" w:rsidR="000209BC" w:rsidRPr="000209BC" w:rsidRDefault="000209BC" w:rsidP="002D3409">
            <w:pPr>
              <w:pStyle w:val="WW-paragraph"/>
            </w:pPr>
            <w:r w:rsidRPr="000209BC">
              <w:t>MN 36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7777777" w:rsidR="000209BC" w:rsidRPr="000209BC" w:rsidRDefault="000209BC" w:rsidP="002D3409">
            <w:pPr>
              <w:pStyle w:val="WW-paragraph"/>
            </w:pPr>
            <w:r w:rsidRPr="000209BC">
              <w:t>MN 85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7777777" w:rsidR="000209BC" w:rsidRPr="000209BC" w:rsidRDefault="000209BC" w:rsidP="002D3409">
            <w:pPr>
              <w:pStyle w:val="WW-paragraph"/>
            </w:pPr>
            <w:r w:rsidRPr="000209BC">
              <w:t>MN 100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77777777" w:rsidR="000209BC" w:rsidRPr="000209BC" w:rsidRDefault="000209BC" w:rsidP="002D3409">
            <w:pPr>
              <w:pStyle w:val="WW-paragraph"/>
            </w:pPr>
            <w:r w:rsidRPr="000209BC">
              <w:t>DN 32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77777777" w:rsidR="000209BC" w:rsidRPr="000209BC" w:rsidRDefault="000209BC" w:rsidP="002D3409">
            <w:pPr>
              <w:pStyle w:val="WW-paragraph"/>
            </w:pPr>
            <w:r w:rsidRPr="000209BC">
              <w:t>DN 20 Mahā Samaya</w:t>
            </w:r>
          </w:p>
        </w:tc>
        <w:tc>
          <w:tcPr>
            <w:tcW w:w="0" w:type="auto"/>
            <w:hideMark/>
          </w:tcPr>
          <w:p w14:paraId="10FCB504" w14:textId="77777777" w:rsidR="000209BC" w:rsidRPr="000209BC" w:rsidRDefault="000209BC" w:rsidP="002D3409">
            <w:pPr>
              <w:pStyle w:val="WW-paragraph"/>
            </w:pPr>
            <w:r w:rsidRPr="000209BC">
              <w:t>DA 19</w:t>
            </w:r>
          </w:p>
        </w:tc>
      </w:tr>
    </w:tbl>
    <w:p w14:paraId="59E565D1" w14:textId="79C2B94B" w:rsidR="000209BC" w:rsidRPr="000209BC" w:rsidRDefault="000209BC" w:rsidP="002D3409">
      <w:pPr>
        <w:pStyle w:val="WW-paragraph"/>
      </w:pPr>
      <w:r w:rsidRPr="000209BC">
        <w:t>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MN 60/DA</w:t>
      </w:r>
      <w:r w:rsidRPr="00001D32">
        <w:rPr>
          <w:rStyle w:val="wwc-superscript"/>
        </w:rPr>
        <w:t>2</w:t>
      </w:r>
      <w:r w:rsidRPr="000209BC">
        <w:rPr>
          <w:rFonts w:ascii="Times New Roman" w:hAnsi="Times New Roman"/>
        </w:rPr>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gha. MN</w:t>
      </w:r>
      <w:r w:rsidRPr="000209BC">
        <w:rPr>
          <w:rFonts w:ascii="Times New Roman" w:hAnsi="Times New Roman"/>
        </w:rPr>
        <w:t> </w:t>
      </w:r>
      <w:r w:rsidRPr="000209BC">
        <w:t>95/DA</w:t>
      </w:r>
      <w:r w:rsidRPr="00001D32">
        <w:rPr>
          <w:rStyle w:val="wwc-superscript"/>
        </w:rPr>
        <w:t>2</w:t>
      </w:r>
      <w:r w:rsidRPr="000209BC">
        <w:rPr>
          <w:rFonts w:ascii="Times New Roman" w:hAnsi="Times New Roman"/>
        </w:rPr>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r w:rsidRPr="000209BC">
        <w:t>MN</w:t>
      </w:r>
      <w:r w:rsidRPr="000209BC">
        <w:rPr>
          <w:rFonts w:ascii="Times New Roman" w:hAnsi="Times New Roman"/>
        </w:rPr>
        <w:t> </w:t>
      </w:r>
      <w:r w:rsidRPr="000209BC">
        <w:t>105/DA</w:t>
      </w:r>
      <w:r w:rsidRPr="00001D32">
        <w:rPr>
          <w:rStyle w:val="wwc-superscript"/>
        </w:rPr>
        <w:t>2</w:t>
      </w:r>
      <w:r w:rsidRPr="000209BC">
        <w:rPr>
          <w:rFonts w:ascii="Times New Roman" w:hAnsi="Times New Roman"/>
        </w:rPr>
        <w:t> </w:t>
      </w:r>
      <w:r w:rsidRPr="000209BC">
        <w:t>10 Sunakkhatta and MN</w:t>
      </w:r>
      <w:r w:rsidRPr="000209BC">
        <w:rPr>
          <w:rFonts w:ascii="Times New Roman" w:hAnsi="Times New Roman"/>
        </w:rPr>
        <w:t> </w:t>
      </w:r>
      <w:r w:rsidRPr="000209BC">
        <w:t>12/DA</w:t>
      </w:r>
      <w:r w:rsidRPr="00001D32">
        <w:rPr>
          <w:rStyle w:val="wwc-superscript"/>
        </w:rPr>
        <w:t>2</w:t>
      </w:r>
      <w:r w:rsidRPr="000209BC">
        <w:rPr>
          <w:rFonts w:ascii="Times New Roman" w:hAnsi="Times New Roman"/>
        </w:rPr>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da are episodes in the dismal spiritual career of the wanderer Sunakkhatta, who also appears in DN</w:t>
      </w:r>
      <w:r w:rsidRPr="000209BC">
        <w:rPr>
          <w:rFonts w:ascii="Times New Roman" w:hAnsi="Times New Roman"/>
        </w:rPr>
        <w:t> </w:t>
      </w:r>
      <w:r w:rsidRPr="000209BC">
        <w:t>24/DA</w:t>
      </w:r>
      <w:r w:rsidRPr="000209BC">
        <w:rPr>
          <w:rFonts w:ascii="Times New Roman" w:hAnsi="Times New Roman"/>
        </w:rPr>
        <w:t> </w:t>
      </w:r>
      <w:r w:rsidRPr="000209BC">
        <w:t>15/DA</w:t>
      </w:r>
      <w:r w:rsidRPr="00001D32">
        <w:rPr>
          <w:rStyle w:val="wwc-superscript"/>
        </w:rPr>
        <w:t>2</w:t>
      </w:r>
      <w:r w:rsidRPr="000209BC">
        <w:rPr>
          <w:rFonts w:ascii="Times New Roman" w:hAnsi="Times New Roman"/>
        </w:rPr>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rgha. MN</w:t>
      </w:r>
      <w:r w:rsidRPr="000209BC">
        <w:rPr>
          <w:rFonts w:ascii="Times New Roman" w:hAnsi="Times New Roman"/>
        </w:rPr>
        <w:t> </w:t>
      </w:r>
      <w:r w:rsidRPr="000209BC">
        <w:t>4/DA</w:t>
      </w:r>
      <w:r w:rsidRPr="00001D32">
        <w:rPr>
          <w:rStyle w:val="wwc-superscript"/>
        </w:rPr>
        <w:t>2</w:t>
      </w:r>
      <w:r w:rsidRPr="000209BC">
        <w:rPr>
          <w:rFonts w:ascii="Times New Roman" w:hAnsi="Times New Roman"/>
        </w:rPr>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gha, at DN</w:t>
      </w:r>
      <w:r w:rsidRPr="000209BC">
        <w:rPr>
          <w:rFonts w:ascii="Times New Roman" w:hAnsi="Times New Roman"/>
        </w:rPr>
        <w:t> </w:t>
      </w:r>
      <w:r w:rsidRPr="000209BC">
        <w:t>13.2. This also deals with the Bodhisatta</w:t>
      </w:r>
      <w:r w:rsidRPr="000209BC">
        <w:rPr>
          <w:rFonts w:cs="Source Serif Pro"/>
        </w:rPr>
        <w:t>’</w:t>
      </w:r>
      <w:r w:rsidRPr="000209BC">
        <w:t>s practices before enlightenment, which link it up with MN</w:t>
      </w:r>
      <w:r w:rsidRPr="000209BC">
        <w:rPr>
          <w:rFonts w:ascii="Times New Roman" w:hAnsi="Times New Roman"/>
        </w:rPr>
        <w:t> </w:t>
      </w:r>
      <w:r w:rsidRPr="000209BC">
        <w:t>36/DA</w:t>
      </w:r>
      <w:r w:rsidRPr="00001D32">
        <w:rPr>
          <w:rStyle w:val="wwc-superscript"/>
        </w:rPr>
        <w:t>2</w:t>
      </w:r>
      <w:r w:rsidRPr="000209BC">
        <w:rPr>
          <w:rFonts w:ascii="Times New Roman" w:hAnsi="Times New Roman"/>
        </w:rPr>
        <w:t> </w:t>
      </w:r>
      <w:r w:rsidRPr="000209BC">
        <w:t>20 Mah</w:t>
      </w:r>
      <w:r w:rsidRPr="000209BC">
        <w:rPr>
          <w:rFonts w:cs="Source Serif Pro"/>
        </w:rPr>
        <w:t>ā</w:t>
      </w:r>
      <w:r w:rsidRPr="000209BC">
        <w:t>saccaka, MN</w:t>
      </w:r>
      <w:r w:rsidRPr="000209BC">
        <w:rPr>
          <w:rFonts w:ascii="Times New Roman" w:hAnsi="Times New Roman"/>
        </w:rPr>
        <w:t> </w:t>
      </w:r>
      <w:r w:rsidRPr="000209BC">
        <w:t>85/DA</w:t>
      </w:r>
      <w:r w:rsidRPr="00253BE9">
        <w:rPr>
          <w:rStyle w:val="wwc-superscript"/>
        </w:rPr>
        <w:t>2</w:t>
      </w:r>
      <w:r w:rsidRPr="000209BC">
        <w:rPr>
          <w:rFonts w:ascii="Times New Roman" w:hAnsi="Times New Roman"/>
        </w:rPr>
        <w:t> </w:t>
      </w:r>
      <w:r w:rsidRPr="000209BC">
        <w:t>21 Bodhir</w:t>
      </w:r>
      <w:r w:rsidRPr="000209BC">
        <w:rPr>
          <w:rFonts w:cs="Source Serif Pro"/>
        </w:rPr>
        <w:t>ā</w:t>
      </w:r>
      <w:r w:rsidRPr="000209BC">
        <w:t>jakum</w:t>
      </w:r>
      <w:r w:rsidRPr="000209BC">
        <w:rPr>
          <w:rFonts w:cs="Source Serif Pro"/>
        </w:rPr>
        <w:t>ā</w:t>
      </w:r>
      <w:r w:rsidRPr="000209BC">
        <w:t>ra, and MN</w:t>
      </w:r>
      <w:r w:rsidRPr="000209BC">
        <w:rPr>
          <w:rFonts w:ascii="Times New Roman" w:hAnsi="Times New Roman"/>
        </w:rPr>
        <w:t> </w:t>
      </w:r>
      <w:r w:rsidRPr="000209BC">
        <w:t>100/DA</w:t>
      </w:r>
      <w:r w:rsidRPr="00253BE9">
        <w:rPr>
          <w:rStyle w:val="wwc-superscript"/>
        </w:rPr>
        <w:t>2</w:t>
      </w:r>
      <w:r w:rsidR="00C16309">
        <w:t xml:space="preserve"> </w:t>
      </w:r>
      <w:r w:rsidRPr="000209BC">
        <w:t>22</w:t>
      </w:r>
      <w:r w:rsidRPr="000209BC">
        <w:rPr>
          <w:rFonts w:ascii="Times New Roman" w:hAnsi="Times New Roman"/>
        </w:rPr>
        <w:t>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s ascetic practices, in response to challenges by either the Jains or the Brahmans. MN</w:t>
      </w:r>
      <w:r w:rsidRPr="000209BC">
        <w:rPr>
          <w:rFonts w:ascii="Times New Roman" w:hAnsi="Times New Roman"/>
        </w:rPr>
        <w:t> </w:t>
      </w:r>
      <w:r w:rsidRPr="000209BC">
        <w:t>102/DA</w:t>
      </w:r>
      <w:r w:rsidRPr="00001D32">
        <w:rPr>
          <w:rStyle w:val="wwc-superscript"/>
        </w:rPr>
        <w:t>2</w:t>
      </w:r>
      <w:r w:rsidRPr="000209BC">
        <w:rPr>
          <w:rFonts w:ascii="Times New Roman" w:hAnsi="Times New Roman"/>
        </w:rPr>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DN</w:t>
      </w:r>
      <w:r w:rsidRPr="000209BC">
        <w:rPr>
          <w:rFonts w:ascii="Times New Roman" w:hAnsi="Times New Roman"/>
        </w:rPr>
        <w:t> </w:t>
      </w:r>
      <w:r w:rsidRPr="000209BC">
        <w:t>1/DA</w:t>
      </w:r>
      <w:r w:rsidRPr="000209BC">
        <w:rPr>
          <w:rFonts w:ascii="Times New Roman" w:hAnsi="Times New Roman"/>
        </w:rPr>
        <w:t> </w:t>
      </w:r>
      <w:r w:rsidRPr="000209BC">
        <w:t>21/DA</w:t>
      </w:r>
      <w:r w:rsidRPr="00001D32">
        <w:rPr>
          <w:rStyle w:val="wwc-superscript"/>
        </w:rPr>
        <w:t>2</w:t>
      </w:r>
      <w:r w:rsidRPr="000209BC">
        <w:rPr>
          <w:rFonts w:ascii="Times New Roman" w:hAnsi="Times New Roman"/>
        </w:rPr>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gha-style trait is that several of these discourses deal with the gradual training: MN</w:t>
      </w:r>
      <w:r w:rsidRPr="000209BC">
        <w:rPr>
          <w:rFonts w:ascii="Times New Roman" w:hAnsi="Times New Roman"/>
        </w:rPr>
        <w:t> </w:t>
      </w:r>
      <w:r w:rsidRPr="000209BC">
        <w:t>60/DA</w:t>
      </w:r>
      <w:r w:rsidRPr="00001D32">
        <w:rPr>
          <w:rStyle w:val="wwc-superscript"/>
        </w:rPr>
        <w:t>2</w:t>
      </w:r>
      <w:r w:rsidRPr="000209BC">
        <w:rPr>
          <w:rFonts w:ascii="Times New Roman" w:hAnsi="Times New Roman"/>
        </w:rPr>
        <w:t> </w:t>
      </w:r>
      <w:r w:rsidRPr="000209BC">
        <w:t xml:space="preserve">7 </w:t>
      </w:r>
      <w:r w:rsidRPr="000209BC">
        <w:lastRenderedPageBreak/>
        <w:t>Apa</w:t>
      </w:r>
      <w:r w:rsidRPr="000209BC">
        <w:rPr>
          <w:rFonts w:cs="Source Serif Pro"/>
        </w:rPr>
        <w:t>ṇṇ</w:t>
      </w:r>
      <w:r w:rsidRPr="000209BC">
        <w:t>aka, MN</w:t>
      </w:r>
      <w:r w:rsidRPr="000209BC">
        <w:rPr>
          <w:rFonts w:ascii="Times New Roman" w:hAnsi="Times New Roman"/>
        </w:rPr>
        <w:t> </w:t>
      </w:r>
      <w:r w:rsidRPr="000209BC">
        <w:t>4/DA</w:t>
      </w:r>
      <w:r w:rsidRPr="00253BE9">
        <w:rPr>
          <w:rStyle w:val="wwc-superscript"/>
        </w:rPr>
        <w:t>2</w:t>
      </w:r>
      <w:r w:rsidRPr="000209BC">
        <w:rPr>
          <w:rFonts w:ascii="Times New Roman" w:hAnsi="Times New Roman"/>
        </w:rPr>
        <w:t> </w:t>
      </w:r>
      <w:r w:rsidRPr="000209BC">
        <w:t>11 Bhayabherava, MN</w:t>
      </w:r>
      <w:r w:rsidRPr="000209BC">
        <w:rPr>
          <w:rFonts w:ascii="Times New Roman" w:hAnsi="Times New Roman"/>
        </w:rPr>
        <w:t> </w:t>
      </w:r>
      <w:r w:rsidRPr="000209BC">
        <w:t>36/DA</w:t>
      </w:r>
      <w:r w:rsidRPr="00253BE9">
        <w:rPr>
          <w:rStyle w:val="wwc-superscript"/>
        </w:rPr>
        <w:t>2</w:t>
      </w:r>
      <w:r w:rsidRPr="000209BC">
        <w:rPr>
          <w:rFonts w:ascii="Times New Roman" w:hAnsi="Times New Roman"/>
        </w:rPr>
        <w:t> </w:t>
      </w:r>
      <w:r w:rsidRPr="000209BC">
        <w:t>20 Mah</w:t>
      </w:r>
      <w:r w:rsidRPr="000209BC">
        <w:rPr>
          <w:rFonts w:cs="Source Serif Pro"/>
        </w:rPr>
        <w:t>ā</w:t>
      </w:r>
      <w:r w:rsidRPr="000209BC">
        <w:t>saccaka, MN</w:t>
      </w:r>
      <w:r w:rsidRPr="000209BC">
        <w:rPr>
          <w:rFonts w:ascii="Times New Roman" w:hAnsi="Times New Roman"/>
        </w:rPr>
        <w:t> </w:t>
      </w:r>
      <w:r w:rsidRPr="000209BC">
        <w:t>85/ DA</w:t>
      </w:r>
      <w:r w:rsidRPr="00001D32">
        <w:rPr>
          <w:rStyle w:val="wwc-superscript"/>
        </w:rPr>
        <w:t>2</w:t>
      </w:r>
      <w:r w:rsidRPr="000209BC">
        <w:rPr>
          <w:rFonts w:ascii="Times New Roman" w:hAnsi="Times New Roman"/>
        </w:rPr>
        <w:t> </w:t>
      </w:r>
      <w:r w:rsidRPr="000209BC">
        <w:t>21 Bodhir</w:t>
      </w:r>
      <w:r w:rsidRPr="000209BC">
        <w:rPr>
          <w:rFonts w:cs="Source Serif Pro"/>
        </w:rPr>
        <w:t>ā</w:t>
      </w:r>
      <w:r w:rsidRPr="000209BC">
        <w:t>jakum</w:t>
      </w:r>
      <w:r w:rsidRPr="000209BC">
        <w:rPr>
          <w:rFonts w:cs="Source Serif Pro"/>
        </w:rPr>
        <w:t>ā</w:t>
      </w:r>
      <w:r w:rsidRPr="000209BC">
        <w:t>ra, and MN</w:t>
      </w:r>
      <w:r w:rsidRPr="000209BC">
        <w:rPr>
          <w:rFonts w:ascii="Times New Roman" w:hAnsi="Times New Roman"/>
        </w:rPr>
        <w:t> </w:t>
      </w:r>
      <w:r w:rsidRPr="000209BC">
        <w:t>100/DA</w:t>
      </w:r>
      <w:r w:rsidRPr="00001D32">
        <w:rPr>
          <w:rStyle w:val="wwc-superscript"/>
        </w:rPr>
        <w:t>2</w:t>
      </w:r>
      <w:r w:rsidRPr="000209BC">
        <w:rPr>
          <w:rFonts w:ascii="Times New Roman" w:hAnsi="Times New Roman"/>
        </w:rPr>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is MN</w:t>
      </w:r>
      <w:r w:rsidRPr="000209BC">
        <w:rPr>
          <w:rFonts w:ascii="Times New Roman" w:hAnsi="Times New Roman"/>
        </w:rPr>
        <w:t> </w:t>
      </w:r>
      <w:r w:rsidRPr="000209BC">
        <w:t>55/DA</w:t>
      </w:r>
      <w:r w:rsidRPr="00001D32">
        <w:rPr>
          <w:rStyle w:val="wwc-superscript"/>
        </w:rPr>
        <w:t>2</w:t>
      </w:r>
      <w:r w:rsidRPr="000209BC">
        <w:rPr>
          <w:rFonts w:ascii="Times New Roman" w:hAnsi="Times New Roman"/>
        </w:rPr>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77777777"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DN</w:t>
      </w:r>
      <w:r w:rsidRPr="000209BC">
        <w:rPr>
          <w:rFonts w:ascii="Times New Roman" w:hAnsi="Times New Roman"/>
        </w:rPr>
        <w:t> </w:t>
      </w:r>
      <w:r w:rsidRPr="000209BC">
        <w:t>15/MA</w:t>
      </w:r>
      <w:r w:rsidRPr="000209BC">
        <w:rPr>
          <w:rFonts w:ascii="Times New Roman" w:hAnsi="Times New Roman"/>
        </w:rPr>
        <w:t> </w:t>
      </w:r>
      <w:r w:rsidRPr="000209BC">
        <w:t>97 Mah</w:t>
      </w:r>
      <w:r w:rsidRPr="000209BC">
        <w:rPr>
          <w:rFonts w:cs="Source Serif Pro"/>
        </w:rPr>
        <w:t>ā</w:t>
      </w:r>
      <w:r w:rsidRPr="000209BC">
        <w:t xml:space="preserve"> Nid</w:t>
      </w:r>
      <w:r w:rsidRPr="000209BC">
        <w:rPr>
          <w:rFonts w:cs="Source Serif Pro"/>
        </w:rPr>
        <w:t>ā</w:t>
      </w:r>
      <w:r w:rsidRPr="000209BC">
        <w:t>na, DN</w:t>
      </w:r>
      <w:r w:rsidRPr="000209BC">
        <w:rPr>
          <w:rFonts w:ascii="Times New Roman" w:hAnsi="Times New Roman"/>
        </w:rPr>
        <w:t> </w:t>
      </w:r>
      <w:r w:rsidRPr="000209BC">
        <w:t>17/MA</w:t>
      </w:r>
      <w:r w:rsidRPr="000209BC">
        <w:rPr>
          <w:rFonts w:ascii="Times New Roman" w:hAnsi="Times New Roman"/>
        </w:rPr>
        <w:t> </w:t>
      </w:r>
      <w:r w:rsidRPr="000209BC">
        <w:t>68 Mah</w:t>
      </w:r>
      <w:r w:rsidRPr="000209BC">
        <w:rPr>
          <w:rFonts w:cs="Source Serif Pro"/>
        </w:rPr>
        <w:t>ā</w:t>
      </w:r>
      <w:r w:rsidRPr="000209BC">
        <w:t xml:space="preserve"> Sudassana, DN</w:t>
      </w:r>
      <w:r w:rsidRPr="000209BC">
        <w:rPr>
          <w:rFonts w:ascii="Times New Roman" w:hAnsi="Times New Roman"/>
        </w:rPr>
        <w:t> </w:t>
      </w:r>
      <w:r w:rsidRPr="000209BC">
        <w:t>21/MA</w:t>
      </w:r>
      <w:r w:rsidRPr="000209BC">
        <w:rPr>
          <w:rFonts w:ascii="Times New Roman" w:hAnsi="Times New Roman"/>
        </w:rPr>
        <w:t> </w:t>
      </w:r>
      <w:r w:rsidRPr="000209BC">
        <w:t>134 Sakkapa</w:t>
      </w:r>
      <w:r w:rsidRPr="000209BC">
        <w:rPr>
          <w:rFonts w:cs="Source Serif Pro"/>
        </w:rPr>
        <w:t>ñ</w:t>
      </w:r>
      <w:r w:rsidRPr="000209BC">
        <w:t>ha, DN</w:t>
      </w:r>
      <w:r w:rsidRPr="000209BC">
        <w:rPr>
          <w:rFonts w:ascii="Times New Roman" w:hAnsi="Times New Roman"/>
        </w:rPr>
        <w:t> </w:t>
      </w:r>
      <w:r w:rsidRPr="000209BC">
        <w:t>22/MA</w:t>
      </w:r>
      <w:r w:rsidRPr="000209BC">
        <w:rPr>
          <w:rFonts w:ascii="Times New Roman" w:hAnsi="Times New Roman"/>
        </w:rPr>
        <w:t> </w:t>
      </w:r>
      <w:r w:rsidRPr="000209BC">
        <w:t>98 Satipa</w:t>
      </w:r>
      <w:r w:rsidRPr="000209BC">
        <w:rPr>
          <w:rFonts w:cs="Source Serif Pro"/>
        </w:rPr>
        <w:t>ṭṭ</w:t>
      </w:r>
      <w:r w:rsidRPr="000209BC">
        <w:t>h</w:t>
      </w:r>
      <w:r w:rsidRPr="000209BC">
        <w:rPr>
          <w:rFonts w:cs="Source Serif Pro"/>
        </w:rPr>
        <w:t>ā</w:t>
      </w:r>
      <w:r w:rsidRPr="000209BC">
        <w:t>na, DN</w:t>
      </w:r>
      <w:r w:rsidRPr="000209BC">
        <w:rPr>
          <w:rFonts w:ascii="Times New Roman" w:hAnsi="Times New Roman"/>
        </w:rPr>
        <w:t> </w:t>
      </w:r>
      <w:r w:rsidRPr="000209BC">
        <w:t>23/MA</w:t>
      </w:r>
      <w:r w:rsidRPr="000209BC">
        <w:rPr>
          <w:rFonts w:ascii="Times New Roman" w:hAnsi="Times New Roman"/>
        </w:rPr>
        <w:t> </w:t>
      </w:r>
      <w:r w:rsidRPr="000209BC">
        <w:t>71 P</w:t>
      </w:r>
      <w:r w:rsidRPr="000209BC">
        <w:rPr>
          <w:rFonts w:cs="Source Serif Pro"/>
        </w:rPr>
        <w:t>ā</w:t>
      </w:r>
      <w:r w:rsidRPr="000209BC">
        <w:t>y</w:t>
      </w:r>
      <w:r w:rsidRPr="000209BC">
        <w:rPr>
          <w:rFonts w:cs="Source Serif Pro"/>
        </w:rPr>
        <w:t>ā</w:t>
      </w:r>
      <w:r w:rsidRPr="000209BC">
        <w:t>si, DN</w:t>
      </w:r>
      <w:r w:rsidRPr="000209BC">
        <w:rPr>
          <w:rFonts w:ascii="Times New Roman" w:hAnsi="Times New Roman"/>
        </w:rPr>
        <w:t> </w:t>
      </w:r>
      <w:r w:rsidRPr="000209BC">
        <w:t>25/MA</w:t>
      </w:r>
      <w:r w:rsidRPr="000209BC">
        <w:rPr>
          <w:rFonts w:ascii="Times New Roman" w:hAnsi="Times New Roman"/>
        </w:rPr>
        <w:t> </w:t>
      </w:r>
      <w:r w:rsidRPr="000209BC">
        <w:t>104 Udumbarikas</w:t>
      </w:r>
      <w:r w:rsidRPr="000209BC">
        <w:rPr>
          <w:rFonts w:cs="Source Serif Pro"/>
        </w:rPr>
        <w:t>ī</w:t>
      </w:r>
      <w:r w:rsidRPr="000209BC">
        <w:t>han</w:t>
      </w:r>
      <w:r w:rsidRPr="000209BC">
        <w:rPr>
          <w:rFonts w:cs="Source Serif Pro"/>
        </w:rPr>
        <w:t>ā</w:t>
      </w:r>
      <w:r w:rsidRPr="000209BC">
        <w:t>da, DN</w:t>
      </w:r>
      <w:r w:rsidRPr="000209BC">
        <w:rPr>
          <w:rFonts w:ascii="Times New Roman" w:hAnsi="Times New Roman"/>
        </w:rPr>
        <w:t> </w:t>
      </w:r>
      <w:r w:rsidRPr="000209BC">
        <w:t>26/MA</w:t>
      </w:r>
      <w:r w:rsidRPr="000209BC">
        <w:rPr>
          <w:rFonts w:ascii="Times New Roman" w:hAnsi="Times New Roman"/>
        </w:rPr>
        <w:t> </w:t>
      </w:r>
      <w:r w:rsidRPr="000209BC">
        <w:t>70 Cakkavattis</w:t>
      </w:r>
      <w:r w:rsidRPr="000209BC">
        <w:rPr>
          <w:rFonts w:cs="Source Serif Pro"/>
        </w:rPr>
        <w:t>ī</w:t>
      </w:r>
      <w:r w:rsidRPr="000209BC">
        <w:t>han</w:t>
      </w:r>
      <w:r w:rsidRPr="000209BC">
        <w:rPr>
          <w:rFonts w:cs="Source Serif Pro"/>
        </w:rPr>
        <w:t>ā</w:t>
      </w:r>
      <w:r w:rsidRPr="000209BC">
        <w:t>da, DN</w:t>
      </w:r>
      <w:r w:rsidRPr="000209BC">
        <w:rPr>
          <w:rFonts w:ascii="Times New Roman" w:hAnsi="Times New Roman"/>
        </w:rPr>
        <w:t> </w:t>
      </w:r>
      <w:r w:rsidRPr="000209BC">
        <w:t>27/MA</w:t>
      </w:r>
      <w:r w:rsidRPr="000209BC">
        <w:rPr>
          <w:rFonts w:ascii="Times New Roman" w:hAnsi="Times New Roman"/>
        </w:rPr>
        <w:t> </w:t>
      </w:r>
      <w:r w:rsidRPr="000209BC">
        <w:t>154 Agga</w:t>
      </w:r>
      <w:r w:rsidRPr="000209BC">
        <w:rPr>
          <w:rFonts w:cs="Source Serif Pro"/>
        </w:rPr>
        <w:t>ññ</w:t>
      </w:r>
      <w:r w:rsidRPr="000209BC">
        <w:t>a, DN</w:t>
      </w:r>
      <w:r w:rsidRPr="000209BC">
        <w:rPr>
          <w:rFonts w:ascii="Times New Roman" w:hAnsi="Times New Roman"/>
        </w:rPr>
        <w:t> </w:t>
      </w:r>
      <w:r w:rsidRPr="000209BC">
        <w:t>30/ MA</w:t>
      </w:r>
      <w:r w:rsidRPr="000209BC">
        <w:rPr>
          <w:rFonts w:ascii="Times New Roman" w:hAnsi="Times New Roman"/>
        </w:rPr>
        <w:t> </w:t>
      </w:r>
      <w:r w:rsidRPr="000209BC">
        <w:t>59 Lakkha</w:t>
      </w:r>
      <w:r w:rsidRPr="000209BC">
        <w:rPr>
          <w:rFonts w:cs="Source Serif Pro"/>
        </w:rPr>
        <w:t>ṇ</w:t>
      </w:r>
      <w:r w:rsidRPr="000209BC">
        <w:t>a, DN</w:t>
      </w:r>
      <w:r w:rsidRPr="000209BC">
        <w:rPr>
          <w:rFonts w:ascii="Times New Roman" w:hAnsi="Times New Roman"/>
        </w:rPr>
        <w:t> </w:t>
      </w:r>
      <w:r w:rsidRPr="000209BC">
        <w:t>31/MA</w:t>
      </w:r>
      <w:r w:rsidRPr="000209BC">
        <w:rPr>
          <w:rFonts w:ascii="Times New Roman" w:hAnsi="Times New Roman"/>
        </w:rPr>
        <w:t> </w:t>
      </w:r>
      <w:r w:rsidRPr="000209BC">
        <w:t>135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w:t>
      </w:r>
      <w:r w:rsidRPr="000209BC">
        <w:lastRenderedPageBreak/>
        <w:t xml:space="preserve">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77777777" w:rsidR="000209BC" w:rsidRPr="000209BC" w:rsidRDefault="000209BC" w:rsidP="002D3409">
            <w:pPr>
              <w:pStyle w:val="WW-paragraph"/>
            </w:pPr>
            <w:r w:rsidRPr="000209BC">
              <w:t>DN 12 Lohicca</w:t>
            </w:r>
          </w:p>
        </w:tc>
        <w:tc>
          <w:tcPr>
            <w:tcW w:w="0" w:type="auto"/>
            <w:hideMark/>
          </w:tcPr>
          <w:p w14:paraId="37748E8D" w14:textId="77777777" w:rsidR="000209BC" w:rsidRPr="000209BC" w:rsidRDefault="000209BC" w:rsidP="002D3409">
            <w:pPr>
              <w:pStyle w:val="WW-paragraph"/>
            </w:pPr>
            <w:r w:rsidRPr="000209BC">
              <w:t>DA 29</w:t>
            </w:r>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7777777" w:rsidR="000209BC" w:rsidRPr="000209BC" w:rsidRDefault="000209BC" w:rsidP="002D3409">
            <w:pPr>
              <w:pStyle w:val="WW-paragraph"/>
            </w:pPr>
            <w:r w:rsidRPr="000209BC">
              <w:t>DN 12 Lohicca</w:t>
            </w:r>
          </w:p>
        </w:tc>
        <w:tc>
          <w:tcPr>
            <w:tcW w:w="0" w:type="auto"/>
            <w:hideMark/>
          </w:tcPr>
          <w:p w14:paraId="0F919A93" w14:textId="77777777" w:rsidR="000209BC" w:rsidRPr="000209BC" w:rsidRDefault="000209BC" w:rsidP="002D3409">
            <w:pPr>
              <w:pStyle w:val="WW-paragraph"/>
            </w:pPr>
            <w:r w:rsidRPr="000209BC">
              <w:t>DA 29</w:t>
            </w:r>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7777777" w:rsidR="000209BC" w:rsidRPr="000209BC" w:rsidRDefault="000209BC" w:rsidP="002D3409">
            <w:pPr>
              <w:pStyle w:val="WW-paragraph"/>
            </w:pPr>
            <w:r w:rsidRPr="000209BC">
              <w:t>DN 11 Kevaddha</w:t>
            </w:r>
          </w:p>
        </w:tc>
        <w:tc>
          <w:tcPr>
            <w:tcW w:w="0" w:type="auto"/>
            <w:hideMark/>
          </w:tcPr>
          <w:p w14:paraId="29E7FC54" w14:textId="77777777" w:rsidR="000209BC" w:rsidRPr="000209BC" w:rsidRDefault="000209BC" w:rsidP="002D3409">
            <w:pPr>
              <w:pStyle w:val="WW-paragraph"/>
            </w:pPr>
            <w:r w:rsidRPr="000209BC">
              <w:t>DA 24</w:t>
            </w:r>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7777777" w:rsidR="000209BC" w:rsidRPr="000209BC" w:rsidRDefault="000209BC" w:rsidP="002D3409">
            <w:pPr>
              <w:pStyle w:val="WW-paragraph"/>
            </w:pPr>
            <w:r w:rsidRPr="000209BC">
              <w:t>DN 7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77777777" w:rsidR="000209BC" w:rsidRPr="000209BC" w:rsidRDefault="000209BC" w:rsidP="002D3409">
            <w:pPr>
              <w:pStyle w:val="WW-paragraph"/>
            </w:pPr>
            <w:r w:rsidRPr="000209BC">
              <w:t>DN 7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77777777" w:rsidR="000209BC" w:rsidRPr="000209BC" w:rsidRDefault="000209BC" w:rsidP="002D3409">
            <w:pPr>
              <w:pStyle w:val="WW-paragraph"/>
            </w:pPr>
            <w:r w:rsidRPr="000209BC">
              <w:t>DN 6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77777777" w:rsidR="000209BC" w:rsidRPr="000209BC" w:rsidRDefault="000209BC" w:rsidP="002D3409">
            <w:pPr>
              <w:pStyle w:val="WW-paragraph"/>
            </w:pPr>
            <w:r w:rsidRPr="000209BC">
              <w:t>DN 4 Soṇadaṇḍa</w:t>
            </w:r>
          </w:p>
        </w:tc>
        <w:tc>
          <w:tcPr>
            <w:tcW w:w="0" w:type="auto"/>
            <w:hideMark/>
          </w:tcPr>
          <w:p w14:paraId="6EF3E5FA" w14:textId="77777777" w:rsidR="000209BC" w:rsidRPr="000209BC" w:rsidRDefault="000209BC" w:rsidP="002D3409">
            <w:pPr>
              <w:pStyle w:val="WW-paragraph"/>
            </w:pPr>
            <w:r w:rsidRPr="000209BC">
              <w:t>DA 22</w:t>
            </w:r>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7777777" w:rsidR="000209BC" w:rsidRPr="000209BC" w:rsidRDefault="000209BC" w:rsidP="002D3409">
            <w:pPr>
              <w:pStyle w:val="WW-paragraph"/>
            </w:pPr>
            <w:r w:rsidRPr="000209BC">
              <w:t>DN 5 Kūṭadanta</w:t>
            </w:r>
          </w:p>
        </w:tc>
        <w:tc>
          <w:tcPr>
            <w:tcW w:w="0" w:type="auto"/>
            <w:hideMark/>
          </w:tcPr>
          <w:p w14:paraId="428DA727" w14:textId="77777777" w:rsidR="000209BC" w:rsidRPr="000209BC" w:rsidRDefault="000209BC" w:rsidP="002D3409">
            <w:pPr>
              <w:pStyle w:val="WW-paragraph"/>
            </w:pPr>
            <w:r w:rsidRPr="000209BC">
              <w:t>DA 23</w:t>
            </w:r>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77777777" w:rsidR="000209BC" w:rsidRPr="000209BC" w:rsidRDefault="000209BC" w:rsidP="002D3409">
            <w:pPr>
              <w:pStyle w:val="WW-paragraph"/>
            </w:pPr>
            <w:r w:rsidRPr="000209BC">
              <w:t>DN 3 Ambaṭṭha</w:t>
            </w:r>
          </w:p>
        </w:tc>
        <w:tc>
          <w:tcPr>
            <w:tcW w:w="0" w:type="auto"/>
            <w:hideMark/>
          </w:tcPr>
          <w:p w14:paraId="616F50DE" w14:textId="77777777" w:rsidR="000209BC" w:rsidRPr="000209BC" w:rsidRDefault="000209BC" w:rsidP="002D3409">
            <w:pPr>
              <w:pStyle w:val="WW-paragraph"/>
            </w:pPr>
            <w:r w:rsidRPr="000209BC">
              <w:t>DA 20</w:t>
            </w:r>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77777777" w:rsidR="000209BC" w:rsidRPr="000209BC" w:rsidRDefault="000209BC" w:rsidP="002D3409">
            <w:pPr>
              <w:pStyle w:val="WW-paragraph"/>
            </w:pPr>
            <w:r w:rsidRPr="000209BC">
              <w:t>DN 9 Poṭṭhapāda</w:t>
            </w:r>
          </w:p>
        </w:tc>
        <w:tc>
          <w:tcPr>
            <w:tcW w:w="0" w:type="auto"/>
            <w:hideMark/>
          </w:tcPr>
          <w:p w14:paraId="691F0DC1" w14:textId="77777777" w:rsidR="000209BC" w:rsidRPr="000209BC" w:rsidRDefault="000209BC" w:rsidP="002D3409">
            <w:pPr>
              <w:pStyle w:val="WW-paragraph"/>
            </w:pPr>
            <w:r w:rsidRPr="000209BC">
              <w:t>DA 28</w:t>
            </w:r>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77777777" w:rsidR="000209BC" w:rsidRPr="000209BC" w:rsidRDefault="000209BC" w:rsidP="002D3409">
            <w:pPr>
              <w:pStyle w:val="WW-paragraph"/>
            </w:pPr>
            <w:r w:rsidRPr="000209BC">
              <w:t>DN 10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77777777" w:rsidR="000209BC" w:rsidRPr="000209BC" w:rsidRDefault="000209BC" w:rsidP="002D3409">
            <w:pPr>
              <w:pStyle w:val="WW-paragraph"/>
            </w:pPr>
            <w:r w:rsidRPr="000209BC">
              <w:t>MN 55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77777777" w:rsidR="000209BC" w:rsidRPr="000209BC" w:rsidRDefault="000209BC" w:rsidP="002D3409">
            <w:pPr>
              <w:pStyle w:val="WW-paragraph"/>
            </w:pPr>
            <w:r w:rsidRPr="000209BC">
              <w:t>DN 2 Sāmaññaphala</w:t>
            </w:r>
          </w:p>
        </w:tc>
        <w:tc>
          <w:tcPr>
            <w:tcW w:w="0" w:type="auto"/>
            <w:hideMark/>
          </w:tcPr>
          <w:p w14:paraId="272EE243" w14:textId="77777777" w:rsidR="000209BC" w:rsidRPr="000209BC" w:rsidRDefault="000209BC" w:rsidP="002D3409">
            <w:pPr>
              <w:pStyle w:val="WW-paragraph"/>
            </w:pPr>
            <w:r w:rsidRPr="000209BC">
              <w:t>DA 27</w:t>
            </w:r>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77777777" w:rsidR="000209BC" w:rsidRPr="000209BC" w:rsidRDefault="000209BC" w:rsidP="002D3409">
            <w:pPr>
              <w:pStyle w:val="WW-paragraph"/>
            </w:pPr>
            <w:r w:rsidRPr="000209BC">
              <w:t>DN 13 Tevijja</w:t>
            </w:r>
          </w:p>
        </w:tc>
        <w:tc>
          <w:tcPr>
            <w:tcW w:w="0" w:type="auto"/>
            <w:hideMark/>
          </w:tcPr>
          <w:p w14:paraId="658BF914" w14:textId="77777777" w:rsidR="000209BC" w:rsidRPr="000209BC" w:rsidRDefault="000209BC" w:rsidP="002D3409">
            <w:pPr>
              <w:pStyle w:val="WW-paragraph"/>
            </w:pPr>
            <w:r w:rsidRPr="000209BC">
              <w:t>DA 26</w:t>
            </w:r>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77777777" w:rsidR="000209BC" w:rsidRPr="000209BC" w:rsidRDefault="000209BC" w:rsidP="002D3409">
            <w:pPr>
              <w:pStyle w:val="WW-paragraph"/>
            </w:pPr>
            <w:r w:rsidRPr="000209BC">
              <w:t>DN 8 Kassapasīhanāda</w:t>
            </w:r>
          </w:p>
        </w:tc>
        <w:tc>
          <w:tcPr>
            <w:tcW w:w="0" w:type="auto"/>
            <w:hideMark/>
          </w:tcPr>
          <w:p w14:paraId="0F665618" w14:textId="77777777" w:rsidR="000209BC" w:rsidRPr="000209BC" w:rsidRDefault="000209BC" w:rsidP="002D3409">
            <w:pPr>
              <w:pStyle w:val="WW-paragraph"/>
            </w:pPr>
            <w:r w:rsidRPr="000209BC">
              <w:t>DA 25</w:t>
            </w:r>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77777777" w:rsidR="000209BC" w:rsidRPr="000209BC" w:rsidRDefault="000209BC" w:rsidP="002D3409">
            <w:pPr>
              <w:pStyle w:val="WW-paragraph"/>
            </w:pPr>
            <w:r w:rsidRPr="000209BC">
              <w:t>DN 1 Brahmajāla</w:t>
            </w:r>
          </w:p>
        </w:tc>
        <w:tc>
          <w:tcPr>
            <w:tcW w:w="0" w:type="auto"/>
            <w:hideMark/>
          </w:tcPr>
          <w:p w14:paraId="2B78C516" w14:textId="77777777" w:rsidR="000209BC" w:rsidRPr="000209BC" w:rsidRDefault="000209BC" w:rsidP="002D3409">
            <w:pPr>
              <w:pStyle w:val="WW-paragraph"/>
            </w:pPr>
            <w:r w:rsidRPr="000209BC">
              <w:t>DA 21</w:t>
            </w:r>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i/>
          <w:iCs/>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w:t>
      </w:r>
      <w:r w:rsidRPr="000209BC">
        <w:lastRenderedPageBreak/>
        <w:t xml:space="preserve">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Pr="000209BC">
        <w:rPr>
          <w:i/>
          <w:iCs/>
        </w:rPr>
        <w:t>vyākaraṇas</w:t>
      </w:r>
      <w:r w:rsidRPr="000209BC">
        <w:t>, chronicling the vibrant debates between the Buddha and his spiritual contemporaries.</w:t>
      </w:r>
    </w:p>
    <w:p w14:paraId="4946816E" w14:textId="64793B86"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w:t>
      </w:r>
      <w:r w:rsidRPr="000209BC">
        <w:lastRenderedPageBreak/>
        <w:t>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on dependent origination (having much in common with SN 12.4–9/SA 366).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din text SN 12.22 but not in its counterpart SA 348). This is embedded within an</w:t>
      </w:r>
      <w:r w:rsidR="00C16309">
        <w:rPr>
          <w:rFonts w:cs="Source Serif Pro"/>
        </w:rPr>
        <w:t xml:space="preserve"> </w:t>
      </w:r>
      <w:r w:rsidRPr="000209BC">
        <w:rPr>
          <w:i/>
          <w:iCs/>
        </w:rPr>
        <w:t>apadāna</w:t>
      </w:r>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r w:rsidRPr="000209BC">
        <w:rPr>
          <w:i/>
          <w:iCs/>
        </w:rPr>
        <w:t>udānas</w:t>
      </w:r>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 xml:space="preserve">akas suggests that they are </w:t>
      </w:r>
      <w:r w:rsidRPr="000209BC">
        <w:lastRenderedPageBreak/>
        <w:t>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i/>
          <w:iCs/>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w:t>
      </w:r>
      <w:r w:rsidRPr="000209BC">
        <w:lastRenderedPageBreak/>
        <w:t xml:space="preserve">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w:t>
      </w:r>
      <w:r w:rsidRPr="000209BC">
        <w:lastRenderedPageBreak/>
        <w:t>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w:t>
      </w:r>
      <w:r w:rsidRPr="000209BC">
        <w:lastRenderedPageBreak/>
        <w:t>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w:t>
      </w:r>
      <w:r w:rsidRPr="000209BC">
        <w:lastRenderedPageBreak/>
        <w:t>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77777777"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(EA 9.7, 9.8),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t>
      </w:r>
      <w:r w:rsidRPr="000209BC">
        <w:lastRenderedPageBreak/>
        <w:t>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0209BC">
        <w:rPr>
          <w:i/>
          <w:iCs/>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15D1BDD1"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r w:rsidRPr="000209BC">
        <w:rPr>
          <w:i/>
          <w:iCs/>
        </w:rPr>
        <w:lastRenderedPageBreak/>
        <w:t>vyākaraṇas</w:t>
      </w:r>
      <w:r w:rsidR="00C16309">
        <w:t xml:space="preserve"> </w:t>
      </w:r>
      <w:r w:rsidRPr="000209BC">
        <w:t>dealing with familiar topics such as the sense media, dependent origination, etc. About 78 discourses, mainly</w:t>
      </w:r>
      <w:r w:rsidR="00C16309">
        <w:t xml:space="preserve"> </w:t>
      </w:r>
      <w:r w:rsidRPr="000209BC">
        <w:rPr>
          <w:i/>
          <w:iCs/>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0209BC">
        <w:rPr>
          <w:i/>
          <w:iCs/>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0209BC">
        <w:rPr>
          <w:i/>
          <w:iCs/>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0209BC">
        <w:rPr>
          <w:i/>
          <w:iCs/>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i/>
          <w:iCs/>
        </w:rPr>
        <w:t>jīvit</w:t>
      </w:r>
      <w:r w:rsidRPr="000209BC">
        <w:rPr>
          <w:i/>
          <w:iCs/>
        </w:rPr>
        <w:softHyphen/>
        <w:t>indriyas</w:t>
      </w:r>
      <w:r w:rsidRPr="000209BC">
        <w:rPr>
          <w:i/>
          <w:iCs/>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lastRenderedPageBreak/>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0209BC">
        <w:rPr>
          <w:i/>
          <w:iCs/>
        </w:rPr>
        <w:t>suttas</w:t>
      </w:r>
      <w:r w:rsidRPr="000209BC">
        <w:t>,</w:t>
      </w:r>
      <w:r w:rsidR="00C16309">
        <w:t xml:space="preserve"> </w:t>
      </w:r>
      <w:r w:rsidRPr="000209BC">
        <w:rPr>
          <w:i/>
          <w:iCs/>
        </w:rPr>
        <w:t>geyyas</w:t>
      </w:r>
      <w:r w:rsidRPr="000209BC">
        <w:t>, and</w:t>
      </w:r>
      <w:r w:rsidR="00C16309">
        <w:t xml:space="preserve"> </w:t>
      </w:r>
      <w:r w:rsidRPr="000209BC">
        <w:rPr>
          <w:i/>
          <w:iCs/>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0209BC">
        <w:rPr>
          <w:i/>
          <w:iCs/>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r w:rsidRPr="000209BC">
        <w:rPr>
          <w:i/>
          <w:iCs/>
        </w:rPr>
        <w:t>otaraṇa</w:t>
      </w:r>
      <w:r w:rsidR="00C16309">
        <w:t xml:space="preserve"> </w:t>
      </w:r>
      <w:r w:rsidRPr="000209BC">
        <w:t>is one of the sixteen</w:t>
      </w:r>
      <w:r w:rsidR="00C16309">
        <w:t xml:space="preserve"> </w:t>
      </w:r>
      <w:r w:rsidRPr="000209BC">
        <w:rPr>
          <w:i/>
          <w:iCs/>
        </w:rPr>
        <w:t>hāras</w:t>
      </w:r>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w:t>
      </w:r>
      <w:r w:rsidRPr="000209BC">
        <w:lastRenderedPageBreak/>
        <w:t>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0209BC">
        <w:rPr>
          <w:i/>
          <w:iCs/>
        </w:rPr>
        <w:t>mahāpadesa</w:t>
      </w:r>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0209BC">
        <w:rPr>
          <w:i/>
          <w:iCs/>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lastRenderedPageBreak/>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w:t>
      </w:r>
      <w:r w:rsidRPr="000209BC">
        <w:lastRenderedPageBreak/>
        <w:t>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i/>
          <w:iCs/>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w:t>
      </w:r>
      <w:r w:rsidRPr="000209BC">
        <w:lastRenderedPageBreak/>
        <w:t>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verses, starting with the Request of Brahmā, are 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Sutta, the story of 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 xml:space="preserve">Once the course and structure of the Dhamma &amp; Vinaya had been set up in this manner, each of the suggested main threads proceeded to diversify and sub-divide further, resulting in the fascinating yet frustrating mass of unity </w:t>
      </w:r>
      <w:r w:rsidRPr="000209BC">
        <w:lastRenderedPageBreak/>
        <w:t>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79B80A3F"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DN 16.3.34,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w:t>
      </w:r>
      <w:r w:rsidRPr="000209BC">
        <w:lastRenderedPageBreak/>
        <w:t>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w:t>
      </w:r>
      <w:r w:rsidRPr="000209BC">
        <w:lastRenderedPageBreak/>
        <w:t>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In the Catuṣpariṣat Sūtra, the Buddha’s illness is followed by the Request of Māra; then, after Māra has disappeared, Sakka the King of Gods appears before the Buddha to 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w:t>
      </w:r>
      <w:r w:rsidRPr="000209BC">
        <w:lastRenderedPageBreak/>
        <w:t>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r w:rsidRPr="000209BC">
        <w:rPr>
          <w:i/>
          <w:iCs/>
        </w:rPr>
        <w:t>dhammapariyāya</w:t>
      </w:r>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w:t>
      </w:r>
      <w:r w:rsidRPr="000209BC">
        <w:lastRenderedPageBreak/>
        <w:t>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lastRenderedPageBreak/>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1420C0F7"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 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17BF69B2"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 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21D27530"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 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1ECC7496"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 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w:t>
      </w:r>
      <w:r w:rsidRPr="000209BC">
        <w:lastRenderedPageBreak/>
        <w:t xml:space="preserve">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0209BC">
        <w:rPr>
          <w:i/>
          <w:iCs/>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58960FBA"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Pr="000209BC">
        <w:rPr>
          <w:rFonts w:ascii="Times New Roman" w:hAnsi="Times New Roman"/>
        </w:rPr>
        <w:t>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i/>
          <w:iCs/>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lastRenderedPageBreak/>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t xml:space="preserve">Schmithausen, for example, suggests that the redactors of the Pali canon have put the watching of breath first because in some canonical texts, such </w:t>
      </w:r>
      <w:r w:rsidRPr="000209BC">
        <w:lastRenderedPageBreak/>
        <w:t>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0209BC">
        <w:rPr>
          <w:i/>
          <w:iC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w:t>
      </w:r>
      <w:r w:rsidRPr="000209BC">
        <w:lastRenderedPageBreak/>
        <w:t>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i/>
          <w:iCs/>
        </w:rPr>
        <w:t>imam’eva kāya</w:t>
      </w:r>
      <w:r w:rsidRPr="000209BC">
        <w:rPr>
          <w:rFonts w:ascii="Cambria" w:hAnsi="Cambria" w:cs="Cambria"/>
          <w:i/>
          <w:iCs/>
        </w:rPr>
        <w:t>ṁ</w:t>
      </w:r>
      <w:r w:rsidRPr="000209BC">
        <w:rPr>
          <w:rFonts w:cs="Source Serif Pro"/>
          <w:i/>
          <w:iCs/>
        </w:rPr>
        <w:t>…</w:t>
      </w:r>
      <w:r w:rsidRPr="000209BC">
        <w:rPr>
          <w:i/>
          <w:iCs/>
        </w:rPr>
        <w:t xml:space="preserve"> paccavekkhati</w:t>
      </w:r>
      <w:r w:rsidRPr="000209BC">
        <w:t>). The emphatic</w:t>
      </w:r>
      <w:r w:rsidR="00C16309">
        <w:t xml:space="preserve"> </w:t>
      </w:r>
      <w:r w:rsidRPr="000209BC">
        <w:rPr>
          <w:i/>
          <w:iCs/>
        </w:rPr>
        <w:t>imam’eva kāya</w:t>
      </w:r>
      <w:r w:rsidRPr="000209BC">
        <w:rPr>
          <w:rFonts w:ascii="Cambria" w:hAnsi="Cambria" w:cs="Cambria"/>
          <w:i/>
          <w:iCs/>
        </w:rPr>
        <w:t>ṁ</w:t>
      </w:r>
      <w:r w:rsidR="00C16309">
        <w:t xml:space="preserve"> </w:t>
      </w:r>
      <w:r w:rsidRPr="000209BC">
        <w:t>(‘this very body’) is reminiscent of the repetitive</w:t>
      </w:r>
      <w:r w:rsidR="00C16309">
        <w:t xml:space="preserve"> </w:t>
      </w:r>
      <w:r w:rsidRPr="000209BC">
        <w:rPr>
          <w:i/>
          <w:iCs/>
        </w:rPr>
        <w:t>kāye kāya-…</w:t>
      </w:r>
      <w:r w:rsidR="00C16309">
        <w:t xml:space="preserve"> </w:t>
      </w:r>
      <w:r w:rsidRPr="000209BC">
        <w:t>(‘a body in the body…’); and the ocular</w:t>
      </w:r>
      <w:r w:rsidR="00C16309">
        <w:t xml:space="preserve"> </w:t>
      </w:r>
      <w:r w:rsidRPr="000209BC">
        <w:rPr>
          <w:i/>
          <w:iCs/>
        </w:rPr>
        <w:t>paccavekkhati</w:t>
      </w:r>
      <w:r w:rsidR="00C16309">
        <w:t xml:space="preserve"> </w:t>
      </w:r>
      <w:r w:rsidRPr="000209BC">
        <w:t>(‘reviews’) is similar to -</w:t>
      </w:r>
      <w:r w:rsidRPr="000209BC">
        <w:rPr>
          <w:i/>
          <w:iCs/>
        </w:rPr>
        <w:t>anupassī</w:t>
      </w:r>
      <w:r w:rsidR="00C16309">
        <w:t xml:space="preserve"> </w:t>
      </w:r>
      <w:r w:rsidRPr="000209BC">
        <w:t>(‘contemplates’). Elsewhere the contemplation of the parts of the body is summed up like this: ‘Thus one dwells contemplating ugliness in this body’ (</w:t>
      </w:r>
      <w:r w:rsidRPr="000209BC">
        <w:rPr>
          <w:i/>
          <w:iCs/>
        </w:rPr>
        <w:t>iti imasmi</w:t>
      </w:r>
      <w:r w:rsidRPr="000209BC">
        <w:rPr>
          <w:rFonts w:ascii="Cambria" w:hAnsi="Cambria" w:cs="Cambria"/>
          <w:i/>
          <w:iCs/>
        </w:rPr>
        <w:t>ṁ</w:t>
      </w:r>
      <w:r w:rsidRPr="000209BC">
        <w:rPr>
          <w:i/>
          <w:iCs/>
        </w:rPr>
        <w:t xml:space="preserve"> k</w:t>
      </w:r>
      <w:r w:rsidRPr="000209BC">
        <w:rPr>
          <w:rFonts w:cs="Source Serif Pro"/>
          <w:i/>
          <w:iCs/>
        </w:rPr>
        <w:t>ā</w:t>
      </w:r>
      <w:r w:rsidRPr="000209BC">
        <w:rPr>
          <w:i/>
          <w:iCs/>
        </w:rPr>
        <w:t>ye asubh</w:t>
      </w:r>
      <w:r w:rsidRPr="000209BC">
        <w:rPr>
          <w:rFonts w:cs="Source Serif Pro"/>
          <w:i/>
          <w:iCs/>
        </w:rPr>
        <w:t>ā</w:t>
      </w:r>
      <w:r w:rsidRPr="000209BC">
        <w:rPr>
          <w:i/>
          <w:iCs/>
        </w:rPr>
        <w:t>nupass</w:t>
      </w:r>
      <w:r w:rsidRPr="000209BC">
        <w:rPr>
          <w:rFonts w:cs="Source Serif Pro"/>
          <w:i/>
          <w:iCs/>
        </w:rPr>
        <w:t>ī</w:t>
      </w:r>
      <w:r w:rsidRPr="000209BC">
        <w:rPr>
          <w:i/>
          <w:iCs/>
        </w:rPr>
        <w:t xml:space="preserve">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0209BC">
        <w:rPr>
          <w:i/>
          <w:iCs/>
        </w:rPr>
        <w:t>kāye kāyānupassī</w:t>
      </w:r>
      <w:r w:rsidR="00C16309">
        <w:t xml:space="preserve"> </w:t>
      </w:r>
      <w:r w:rsidRPr="000209BC">
        <w:rPr>
          <w:i/>
          <w:iCs/>
        </w:rPr>
        <w:t>viharati</w:t>
      </w:r>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lastRenderedPageBreak/>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w:t>
      </w:r>
      <w:r w:rsidRPr="000209BC">
        <w:lastRenderedPageBreak/>
        <w:t>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i/>
          <w:iCs/>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w:t>
      </w:r>
      <w:r w:rsidRPr="000209BC">
        <w:lastRenderedPageBreak/>
        <w:t>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0209BC">
        <w:rPr>
          <w:i/>
          <w:iCs/>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i/>
          <w:iCs/>
        </w:rPr>
        <w:t>asubha</w:t>
      </w:r>
      <w:r w:rsidRPr="000209BC">
        <w:t>), in fact the phrase</w:t>
      </w:r>
      <w:r w:rsidR="00C16309">
        <w:t xml:space="preserve"> </w:t>
      </w:r>
      <w:r w:rsidRPr="000209BC">
        <w:rPr>
          <w:i/>
          <w:iCs/>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 xml:space="preserve">reason to assume that the Pali tradition, or any other </w:t>
      </w:r>
      <w:r w:rsidRPr="000209BC">
        <w:lastRenderedPageBreak/>
        <w:t>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‘observation of the positions of the body’. After this moment the situation </w:t>
      </w:r>
      <w:r w:rsidRPr="000209BC">
        <w:lastRenderedPageBreak/>
        <w:t>changes. The monk no longer makes any movement. Yet his first act in this motionless position is ‘calling up [establishing] mindfulness’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hapetv</w:t>
      </w:r>
      <w:r w:rsidRPr="000209BC">
        <w:rPr>
          <w:rFonts w:cs="Source Serif Pro"/>
          <w:i/>
          <w:iCs/>
        </w:rPr>
        <w:t>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 xml:space="preserve">1) The standard description of ‘observations of the positions of the body’ does not include the word ‘mindfulness’ in the description of the practice itself. The act is described, as above, by saying the monk ‘acts with clear </w:t>
      </w:r>
      <w:r w:rsidRPr="000209BC">
        <w:lastRenderedPageBreak/>
        <w:t>comprehension’ (</w:t>
      </w:r>
      <w:r w:rsidRPr="000209BC">
        <w:rPr>
          <w:i/>
          <w:iCs/>
        </w:rPr>
        <w:t>sampajānakārī hoti</w:t>
      </w:r>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0209BC">
        <w:rPr>
          <w:i/>
          <w:iCs/>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0209BC">
        <w:rPr>
          <w:i/>
          <w:iCs/>
        </w:rPr>
        <w:t>siddhāsana</w:t>
      </w:r>
      <w:r w:rsidR="00C16309">
        <w:t xml:space="preserve"> </w:t>
      </w:r>
      <w:r w:rsidRPr="000209BC">
        <w:t xml:space="preserve">(with legs crossed </w:t>
      </w:r>
      <w:r w:rsidRPr="000209BC">
        <w:lastRenderedPageBreak/>
        <w:t>at the ankles) or</w:t>
      </w:r>
      <w:r w:rsidR="00C16309">
        <w:t xml:space="preserve"> </w:t>
      </w:r>
      <w:r w:rsidRPr="000209BC">
        <w:rPr>
          <w:i/>
          <w:iCs/>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0209BC">
        <w:rPr>
          <w:i/>
          <w:iCs/>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r w:rsidRPr="000209BC">
        <w:rPr>
          <w:i/>
          <w:iCs/>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r w:rsidRPr="000209BC">
        <w:rPr>
          <w:i/>
          <w:iCs/>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0209BC">
        <w:rPr>
          <w:i/>
          <w:iCs/>
        </w:rPr>
        <w:t>dhī</w:t>
      </w:r>
      <w:r w:rsidRPr="000209BC">
        <w:t>, familiar as the root of the Buddhist term ‘jhāna’.</w:t>
      </w:r>
      <w:r w:rsidR="00C16309">
        <w:t xml:space="preserve"> </w:t>
      </w:r>
      <w:r w:rsidRPr="000209BC">
        <w:rPr>
          <w:i/>
          <w:iCs/>
        </w:rPr>
        <w:t>Dhī</w:t>
      </w:r>
      <w:r w:rsidR="00C16309">
        <w:t xml:space="preserve"> </w:t>
      </w:r>
      <w:r w:rsidRPr="000209BC">
        <w:t>is used early on in the sense of ‘thought’, and has a special connection with the ‘visioning’ of the Vedic poetry:</w:t>
      </w:r>
      <w:r w:rsidR="00C16309">
        <w:t xml:space="preserve"> </w:t>
      </w:r>
      <w:r w:rsidRPr="000209BC">
        <w:rPr>
          <w:i/>
          <w:iCs/>
        </w:rPr>
        <w:t>dhī</w:t>
      </w:r>
      <w:r w:rsidR="00C16309">
        <w:t xml:space="preserve"> </w:t>
      </w:r>
      <w:r w:rsidRPr="000209BC">
        <w:t>is the intuitive awareness as the poet/priest ‘sees’ the verses. This ‘thought’ (</w:t>
      </w:r>
      <w:r w:rsidRPr="000209BC">
        <w:rPr>
          <w:i/>
          <w:iCs/>
        </w:rPr>
        <w:t>dhī</w:t>
      </w:r>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0209BC">
        <w:rPr>
          <w:i/>
          <w:iCs/>
        </w:rPr>
        <w:t>dhyāyati</w:t>
      </w:r>
      <w:r w:rsidRPr="000209BC">
        <w:t>), as if playing (</w:t>
      </w:r>
      <w:r w:rsidRPr="000209BC">
        <w:rPr>
          <w:i/>
          <w:iCs/>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0209BC">
        <w:rPr>
          <w:i/>
          <w:iCs/>
        </w:rPr>
        <w:t>upāsana</w:t>
      </w:r>
      <w:r w:rsidRPr="000209BC">
        <w:t>. Edward Crangle, following Velkar, has studied this term in detail, and lists the frequency of occurrence. In the Bṛhadāraṇyaka,</w:t>
      </w:r>
      <w:r w:rsidR="00C16309">
        <w:t xml:space="preserve"> </w:t>
      </w:r>
      <w:r w:rsidRPr="000209BC">
        <w:rPr>
          <w:i/>
          <w:iCs/>
        </w:rPr>
        <w:t>upāsana</w:t>
      </w:r>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twice. In the Chāndogya,</w:t>
      </w:r>
      <w:r w:rsidR="00C16309">
        <w:t xml:space="preserve"> </w:t>
      </w:r>
      <w:r w:rsidRPr="000209BC">
        <w:rPr>
          <w:i/>
          <w:iCs/>
        </w:rPr>
        <w:t>upāsana</w:t>
      </w:r>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r w:rsidRPr="000209BC">
        <w:rPr>
          <w:i/>
          <w:iCs/>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0209BC">
        <w:rPr>
          <w:i/>
          <w:iCs/>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0209BC">
        <w:rPr>
          <w:i/>
          <w:iCs/>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0209BC">
        <w:rPr>
          <w:i/>
          <w:iCs/>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0209BC">
        <w:rPr>
          <w:i/>
          <w:iCs/>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0209BC">
        <w:rPr>
          <w:i/>
          <w:iCs/>
        </w:rPr>
        <w:t>upāsana</w:t>
      </w:r>
      <w:r w:rsidR="00C16309">
        <w:t xml:space="preserve"> </w:t>
      </w:r>
      <w:r w:rsidRPr="000209BC">
        <w:t>is related to the Buddhist term satipaṭṭhāna, especially the last element of this compound,</w:t>
      </w:r>
      <w:r w:rsidR="00C16309">
        <w:t xml:space="preserve"> </w:t>
      </w:r>
      <w:r w:rsidRPr="000209BC">
        <w:rPr>
          <w:i/>
          <w:iCs/>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0209BC">
        <w:rPr>
          <w:i/>
          <w:iCs/>
        </w:rPr>
        <w:t>upasthāna</w:t>
      </w:r>
      <w:r w:rsidR="00C16309">
        <w:t xml:space="preserve"> </w:t>
      </w:r>
      <w:r w:rsidRPr="000209BC">
        <w:t>and</w:t>
      </w:r>
      <w:r w:rsidR="00C16309">
        <w:t xml:space="preserve"> </w:t>
      </w:r>
      <w:r w:rsidRPr="000209BC">
        <w:rPr>
          <w:i/>
          <w:iCs/>
        </w:rPr>
        <w:t>upāsana</w:t>
      </w:r>
      <w:r w:rsidRPr="000209BC">
        <w:t>). Though they are from different roots, the construction and basic meanings are similar: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ās</w:t>
      </w:r>
      <w:r w:rsidR="00C16309">
        <w:t xml:space="preserve"> </w:t>
      </w:r>
      <w:r w:rsidRPr="000209BC">
        <w:t>means to ‘sit near’;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0209BC">
        <w:rPr>
          <w:i/>
          <w:iCs/>
        </w:rPr>
        <w:t>upāsana</w:t>
      </w:r>
      <w:r w:rsidR="00C16309">
        <w:t xml:space="preserve"> </w:t>
      </w:r>
      <w:r w:rsidRPr="000209BC">
        <w:t xml:space="preserve">are also found in satipaṭṭhāna: the breath, water, fire, space, bliss, mind, etc. So Crangle’s suggestion can be accepted. The major contemplative practice of </w:t>
      </w:r>
      <w:r w:rsidRPr="000209BC">
        <w:lastRenderedPageBreak/>
        <w:t>the pre-Buddhist period is</w:t>
      </w:r>
      <w:r w:rsidR="00C16309">
        <w:t xml:space="preserve"> </w:t>
      </w:r>
      <w:r w:rsidRPr="000209BC">
        <w:rPr>
          <w:i/>
          <w:iCs/>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lastRenderedPageBreak/>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i/>
          <w:iCs/>
        </w:rPr>
        <w:t>anantavā attā</w:t>
      </w:r>
      <w:r w:rsidRPr="000209BC">
        <w:t>), or that the self is identical with the world (</w:t>
      </w:r>
      <w:r w:rsidRPr="000209BC">
        <w:rPr>
          <w:i/>
          <w:iCs/>
        </w:rPr>
        <w:t>so attā so loko</w:t>
      </w:r>
      <w:r w:rsidRPr="000209BC">
        <w:t>), or that ‘I am He’ (</w:t>
      </w:r>
      <w:r w:rsidRPr="000209BC">
        <w:rPr>
          <w:i/>
          <w:iCs/>
        </w:rPr>
        <w:t>eso’hamasmi</w:t>
      </w:r>
      <w:r w:rsidRPr="000209BC">
        <w:t>); or indeed the Buddha’s condemnation of the suggestion by a certain Brahman cosmologist that ‘All is oneness’ (</w:t>
      </w:r>
      <w:r w:rsidRPr="000209BC">
        <w:rPr>
          <w:i/>
          <w:iCs/>
        </w:rPr>
        <w:t>sabba</w:t>
      </w:r>
      <w:r w:rsidRPr="000209BC">
        <w:rPr>
          <w:rFonts w:ascii="Cambria" w:hAnsi="Cambria" w:cs="Cambria"/>
          <w:i/>
          <w:iCs/>
        </w:rPr>
        <w:t>ṁ</w:t>
      </w:r>
      <w:r w:rsidRPr="000209BC">
        <w:rPr>
          <w:i/>
          <w:iCs/>
        </w:rPr>
        <w:t xml:space="preserve"> ekatta</w:t>
      </w:r>
      <w:r w:rsidRPr="000209BC">
        <w:rPr>
          <w:rFonts w:ascii="Cambria" w:hAnsi="Cambria" w:cs="Cambria"/>
          <w:i/>
          <w:iCs/>
        </w:rPr>
        <w:t>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i/>
          <w:iCs/>
        </w:rPr>
        <w:t>saññā</w:t>
      </w:r>
      <w:r w:rsidRPr="000209BC">
        <w:t>) and liberating understanding (</w:t>
      </w:r>
      <w:r w:rsidRPr="000209BC">
        <w:rPr>
          <w:i/>
          <w:iCs/>
        </w:rPr>
        <w:t>paññā</w:t>
      </w:r>
      <w:r w:rsidRPr="000209BC">
        <w:t>), and emphasizes awareness (</w:t>
      </w:r>
      <w:r w:rsidRPr="000209BC">
        <w:rPr>
          <w:i/>
          <w:iCs/>
        </w:rPr>
        <w:t>viññāṇa</w:t>
      </w:r>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0209BC">
        <w:rPr>
          <w:i/>
          <w:iCs/>
        </w:rPr>
        <w:t>appamāda</w:t>
      </w:r>
      <w:r w:rsidRPr="000209BC">
        <w:t>) and ‘keeping hold’ (</w:t>
      </w:r>
      <w:r w:rsidRPr="000209BC">
        <w:rPr>
          <w:i/>
          <w:iCs/>
        </w:rPr>
        <w:t>dhāraṇa</w:t>
      </w:r>
      <w:r w:rsidRPr="000209BC">
        <w:t>), a term semantically equivalent to</w:t>
      </w:r>
      <w:r w:rsidR="00C16309">
        <w:t xml:space="preserve"> </w:t>
      </w:r>
      <w:r w:rsidRPr="000209BC">
        <w:rPr>
          <w:i/>
          <w:iCs/>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The breath is a prime exercise in satipaṭṭhāna body contemplation, and other aspects suggestive of satipaṭṭhāna can also be discerned in the Upaniṣadic tradition. Just as in the Satipaṭṭhāna Sa</w:t>
      </w:r>
      <w:r w:rsidRPr="000209BC">
        <w:rPr>
          <w:rFonts w:ascii="Cambria" w:hAnsi="Cambria" w:cs="Cambria"/>
        </w:rPr>
        <w:t>ṁ</w:t>
      </w:r>
      <w:r w:rsidRPr="000209BC">
        <w:t xml:space="preserve">yutta, the dependence </w:t>
      </w:r>
      <w:r w:rsidRPr="000209BC">
        <w:lastRenderedPageBreak/>
        <w:t>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i/>
          <w:iCs/>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0209BC">
        <w:rPr>
          <w:i/>
          <w:iCs/>
        </w:rPr>
        <w:t>cit</w:t>
      </w:r>
      <w:r w:rsidRPr="000209BC">
        <w:t>,</w:t>
      </w:r>
      <w:r w:rsidR="00C16309">
        <w:t xml:space="preserve"> </w:t>
      </w:r>
      <w:r w:rsidRPr="000209BC">
        <w:rPr>
          <w:i/>
          <w:iCs/>
        </w:rPr>
        <w:t>sat</w:t>
      </w:r>
      <w:r w:rsidRPr="000209BC">
        <w:t>,</w:t>
      </w:r>
      <w:r w:rsidR="00C16309">
        <w:t xml:space="preserve"> </w:t>
      </w:r>
      <w:r w:rsidRPr="000209BC">
        <w:rPr>
          <w:i/>
          <w:iCs/>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0209BC">
        <w:rPr>
          <w:i/>
          <w:iCs/>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0209BC">
        <w:rPr>
          <w:i/>
          <w:iCs/>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0209BC">
        <w:rPr>
          <w:i/>
          <w:iCs/>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with the teaching taken as a whole, because it led only to rebirth in the </w:t>
      </w:r>
      <w:r w:rsidRPr="000209BC">
        <w:lastRenderedPageBreak/>
        <w:t>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(MN 36), the Mahāvastu (of the Mahāsaṅghika Vinaya), the Saṅghabhedavastu (from the Mūlasarvāstivāda Vinaya), and the Dharmaguptaka Vinaya. Accounts in the Ekottara (EA 31.8) and the </w:t>
      </w:r>
      <w:r w:rsidRPr="000209BC">
        <w:lastRenderedPageBreak/>
        <w:t>Lalitavistara attribute all four jhānas to the Bodhisatta as child; while the Mūlasarvāstivāda Vinaya and an individual Chinese translation (T</w:t>
      </w:r>
      <w:r w:rsidRPr="000209BC">
        <w:rPr>
          <w:rFonts w:ascii="Times New Roman" w:hAnsi="Times New Roman"/>
        </w:rPr>
        <w:t> </w:t>
      </w:r>
      <w:r w:rsidRPr="000209BC">
        <w:rPr>
          <w:rFonts w:cs="Source Serif Pro"/>
        </w:rPr>
        <w:t>№</w:t>
      </w:r>
      <w:r w:rsidRPr="000209BC">
        <w:rPr>
          <w:rFonts w:ascii="Times New Roman" w:hAnsi="Times New Roman"/>
        </w:rPr>
        <w:t>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difference being that there someone’s head actually does get split!</w:t>
      </w:r>
      <w:r w:rsidR="006E5436">
        <w:rPr>
          <w:rStyle w:val="FootnoteReference"/>
        </w:rPr>
        <w:footnoteReference w:id="199"/>
      </w:r>
      <w:r w:rsidR="00C16309">
        <w:t xml:space="preserve"> </w:t>
      </w:r>
      <w:r w:rsidRPr="000209BC">
        <w:t xml:space="preserve">The Buddha of course dismisses the efficacy of Vedic knowledge, ritual, sacrifice, and metaphysical conceptions of ‘Self’. We meet again the phrase ‘seen, </w:t>
      </w:r>
      <w:r w:rsidRPr="000209BC">
        <w:lastRenderedPageBreak/>
        <w:t>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160015DB" w:rsidR="000209BC" w:rsidRPr="000209BC" w:rsidRDefault="000209BC" w:rsidP="00BD668E">
      <w:pPr>
        <w:pStyle w:val="WW-paragraph"/>
      </w:pPr>
      <w:r w:rsidRPr="000209BC">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 xml:space="preserve">and in a third case the four divine </w:t>
      </w:r>
      <w:r w:rsidRPr="000209BC">
        <w:lastRenderedPageBreak/>
        <w:t>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0209BC">
        <w:rPr>
          <w:i/>
          <w:iCs/>
        </w:rPr>
        <w:t>jhāna</w:t>
      </w:r>
      <w:r w:rsidRPr="000209BC">
        <w:rPr>
          <w:rFonts w:ascii="Cambria" w:hAnsi="Cambria" w:cs="Cambria"/>
          <w:i/>
          <w:iCs/>
        </w:rPr>
        <w:t>ṁ</w:t>
      </w:r>
      <w:r w:rsidR="00C16309">
        <w:t xml:space="preserve"> </w:t>
      </w:r>
      <w:r w:rsidRPr="000209BC">
        <w:rPr>
          <w:i/>
          <w:iCs/>
        </w:rPr>
        <w:t>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Vedic/Upaniṣadic ‘Brahmans’ as well as the radical nonconformist ‘samanas’. Five terms describe the path to samādhi: ardency (</w:t>
      </w:r>
      <w:r w:rsidRPr="000209BC">
        <w:rPr>
          <w:i/>
          <w:iCs/>
        </w:rPr>
        <w:t>ātappa</w:t>
      </w:r>
      <w:r w:rsidRPr="000209BC">
        <w:t>), striving (</w:t>
      </w:r>
      <w:r w:rsidRPr="000209BC">
        <w:rPr>
          <w:i/>
          <w:iCs/>
        </w:rPr>
        <w:t>padhāna</w:t>
      </w:r>
      <w:r w:rsidRPr="000209BC">
        <w:t>), commitment (</w:t>
      </w:r>
      <w:r w:rsidRPr="000209BC">
        <w:rPr>
          <w:i/>
          <w:iCs/>
        </w:rPr>
        <w:t>anuyoga</w:t>
      </w:r>
      <w:r w:rsidRPr="000209BC">
        <w:t>), heedfulness (</w:t>
      </w:r>
      <w:r w:rsidRPr="000209BC">
        <w:rPr>
          <w:i/>
          <w:iCs/>
        </w:rPr>
        <w:t>appamāda</w:t>
      </w:r>
      <w:r w:rsidRPr="000209BC">
        <w:t>), and right attention (</w:t>
      </w:r>
      <w:r w:rsidRPr="000209BC">
        <w:rPr>
          <w:i/>
          <w:iCs/>
        </w:rPr>
        <w:t>sammā manasikāra</w:t>
      </w:r>
      <w:r w:rsidRPr="000209BC">
        <w:t>). All of these terms are commonly found in Buddhist contexts;</w:t>
      </w:r>
      <w:r w:rsidR="00C16309">
        <w:t xml:space="preserve"> </w:t>
      </w:r>
      <w:r w:rsidRPr="000209BC">
        <w:rPr>
          <w:i/>
          <w:iCs/>
        </w:rPr>
        <w:t>ātappa</w:t>
      </w:r>
      <w:r w:rsidR="00C16309">
        <w:t xml:space="preserve"> </w:t>
      </w:r>
      <w:r w:rsidRPr="000209BC">
        <w:t xml:space="preserve">occurs in the satipaṭṭhāna formula. ‘Heedfulness’, which we encountered above in the Śvetāśvatara Upaniṣad, </w:t>
      </w:r>
      <w:r w:rsidRPr="000209BC">
        <w:lastRenderedPageBreak/>
        <w:t>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lastRenderedPageBreak/>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0209BC">
        <w:rPr>
          <w:i/>
          <w:iCs/>
        </w:rPr>
        <w:t>jhānayoga</w:t>
      </w:r>
      <w:r w:rsidRPr="000209BC">
        <w:t>’, but only the first jhāna is described in detail.</w:t>
      </w:r>
    </w:p>
    <w:p w14:paraId="59162D6D" w14:textId="3AA9FC66" w:rsidR="000209BC" w:rsidRPr="000209BC" w:rsidRDefault="00E0565C" w:rsidP="00E0565C">
      <w:pPr>
        <w:pStyle w:val="WW-line-block-center"/>
      </w:pPr>
      <w:r>
        <w:lastRenderedPageBreak/>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0209BC">
        <w:rPr>
          <w:i/>
          <w:iCs/>
        </w:rPr>
        <w:t>vicāra</w:t>
      </w:r>
      <w:r w:rsidR="000209BC" w:rsidRPr="000209BC">
        <w:t>) and initial application (</w:t>
      </w:r>
      <w:r w:rsidR="000209BC" w:rsidRPr="000209BC">
        <w:rPr>
          <w:i/>
          <w:iCs/>
        </w:rPr>
        <w:t>vitakka</w:t>
      </w:r>
      <w:r w:rsidR="000209BC" w:rsidRPr="000209BC">
        <w:t>)</w:t>
      </w:r>
      <w:r>
        <w:br/>
        <w:t>    </w:t>
      </w:r>
      <w:r w:rsidR="00C16309">
        <w:t xml:space="preserve"> </w:t>
      </w:r>
      <w:r w:rsidR="000209BC" w:rsidRPr="000209BC">
        <w:t>And seclusion (</w:t>
      </w:r>
      <w:r w:rsidR="000209BC" w:rsidRPr="000209BC">
        <w:rPr>
          <w:i/>
          <w:iCs/>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lastRenderedPageBreak/>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0209BC">
        <w:rPr>
          <w:i/>
          <w:iCs/>
        </w:rPr>
        <w:t>guṇas</w:t>
      </w:r>
      <w:r w:rsidRPr="000209BC">
        <w:t>) of stimulation (</w:t>
      </w:r>
      <w:r w:rsidRPr="000209BC">
        <w:rPr>
          <w:i/>
          <w:iCs/>
        </w:rPr>
        <w:t>rajas</w:t>
      </w:r>
      <w:r w:rsidRPr="000209BC">
        <w:t>, literally ‘desire’), depression (</w:t>
      </w:r>
      <w:r w:rsidRPr="000209BC">
        <w:rPr>
          <w:i/>
          <w:iCs/>
        </w:rPr>
        <w:t>tamas</w:t>
      </w:r>
      <w:r w:rsidRPr="000209BC">
        <w:t>, ‘darkness’), and vitality (</w:t>
      </w:r>
      <w:r w:rsidRPr="000209BC">
        <w:rPr>
          <w:i/>
          <w:iCs/>
        </w:rPr>
        <w:t>sattvas</w:t>
      </w:r>
      <w:r w:rsidRPr="000209BC">
        <w:t>, ‘being’) that make up our worldly state, the fundamental ground of nature (</w:t>
      </w:r>
      <w:r w:rsidRPr="000209BC">
        <w:rPr>
          <w:i/>
          <w:iCs/>
        </w:rPr>
        <w:t>prakṛti</w:t>
      </w:r>
      <w:r w:rsidRPr="000209BC">
        <w:t>) from which these evolved, and the individual soul (</w:t>
      </w:r>
      <w:r w:rsidRPr="000209BC">
        <w:rPr>
          <w:i/>
          <w:iCs/>
        </w:rPr>
        <w:t>puruṣa</w:t>
      </w:r>
      <w:r w:rsidRPr="000209BC">
        <w:t>), whose purity and clear discernment lead to the state of consummation (</w:t>
      </w:r>
      <w:r w:rsidRPr="000209BC">
        <w:rPr>
          <w:i/>
          <w:iCs/>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0209BC">
        <w:rPr>
          <w:i/>
          <w:iCs/>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r w:rsidRPr="000209BC">
        <w:rPr>
          <w:i/>
          <w:iCs/>
        </w:rPr>
        <w:t>pramāṇa</w:t>
      </w:r>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r w:rsidRPr="000209BC">
        <w:rPr>
          <w:i/>
          <w:iCs/>
        </w:rPr>
        <w:t>pratyakṣa</w:t>
      </w:r>
      <w:r w:rsidRPr="000209BC">
        <w:t xml:space="preserve">) could be an obstacle to samādhi. The treatment of </w:t>
      </w:r>
      <w:r w:rsidRPr="000209BC">
        <w:lastRenderedPageBreak/>
        <w:t>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0209BC">
        <w:rPr>
          <w:i/>
          <w:iCs/>
        </w:rPr>
        <w:t>samprajñāta</w:t>
      </w:r>
      <w:r w:rsidRPr="000209BC">
        <w:t>, which it describes as: ‘accompanied by initial application, sustained application, bliss (</w:t>
      </w:r>
      <w:r w:rsidRPr="000209BC">
        <w:rPr>
          <w:i/>
          <w:iCs/>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0209BC">
        <w:rPr>
          <w:i/>
          <w:iCs/>
        </w:rPr>
        <w:t>puruṣa</w:t>
      </w:r>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 xml:space="preserve">‘When, sir, this self, quite secluded from sensual pleasures, secluded from unskilful qualities, enters and abides in the first jhāna, which has initial &amp; </w:t>
      </w:r>
      <w:r w:rsidRPr="000209BC">
        <w:lastRenderedPageBreak/>
        <w:t>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0209BC">
        <w:rPr>
          <w:i/>
          <w:iCs/>
        </w:rPr>
        <w:t>asamprajñāta</w:t>
      </w:r>
      <w:r w:rsidR="00C16309">
        <w:t xml:space="preserve"> </w:t>
      </w:r>
      <w:r w:rsidRPr="000209BC">
        <w:t>(although again the term is not supplied in the extremely laconic text itself</w:t>
      </w:r>
      <w:r w:rsidRPr="000209BC">
        <w:rPr>
          <w:rFonts w:ascii="Times New Roman" w:hAnsi="Times New Roman"/>
        </w:rPr>
        <w:t> </w:t>
      </w:r>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0209BC">
        <w:rPr>
          <w:i/>
          <w:iCs/>
        </w:rPr>
        <w:t>bhavapratyayo videhaprakṛtilāyanam</w:t>
      </w:r>
      <w:r w:rsidRPr="000209BC">
        <w:t>)’. This seems to mean either that this state of consciousness generates a bodiless (</w:t>
      </w:r>
      <w:r w:rsidRPr="000209BC">
        <w:rPr>
          <w:i/>
          <w:iCs/>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0209BC">
        <w:rPr>
          <w:i/>
          <w:iCs/>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0209BC">
        <w:rPr>
          <w:i/>
          <w:iCs/>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0209BC">
        <w:rPr>
          <w:i/>
          <w:iCs/>
        </w:rPr>
        <w:t>sati</w:t>
      </w:r>
      <w:r w:rsidR="00C16309">
        <w:t xml:space="preserve"> </w:t>
      </w:r>
      <w:r w:rsidRPr="000209BC">
        <w:t>here is in positive sense, as usual in 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0209BC">
        <w:rPr>
          <w:i/>
          <w:iCs/>
        </w:rPr>
        <w:t>asamprajñāta</w:t>
      </w:r>
      <w:r w:rsidR="00C16309">
        <w:t xml:space="preserve"> </w:t>
      </w:r>
      <w:r w:rsidRPr="000209BC">
        <w:t>samādhi, is presumably the</w:t>
      </w:r>
      <w:r w:rsidR="00C16309">
        <w:t xml:space="preserve"> </w:t>
      </w:r>
      <w:r w:rsidRPr="000209BC">
        <w:rPr>
          <w:i/>
          <w:iCs/>
        </w:rPr>
        <w:t>samprajñāta</w:t>
      </w:r>
      <w:r w:rsidR="00C16309">
        <w:t xml:space="preserve"> </w:t>
      </w:r>
      <w:r w:rsidRPr="000209BC">
        <w:lastRenderedPageBreak/>
        <w:t>samādhi, i.e. form jhāna. The</w:t>
      </w:r>
      <w:r w:rsidR="00C16309">
        <w:t xml:space="preserve"> </w:t>
      </w:r>
      <w:r w:rsidRPr="000209BC">
        <w:rPr>
          <w:i/>
          <w:iCs/>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0209BC">
        <w:rPr>
          <w:i/>
          <w:iCs/>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0209BC">
        <w:rPr>
          <w:i/>
          <w:iCs/>
        </w:rPr>
        <w:t>vitakka</w:t>
      </w:r>
      <w:r w:rsidRPr="000209BC">
        <w:t>) and without; the latter is associated with purity of mindfulness, as in the Buddhist fourth jhāna. Attainments with and without sustained application (</w:t>
      </w:r>
      <w:r w:rsidRPr="000209BC">
        <w:rPr>
          <w:i/>
          <w:iCs/>
        </w:rPr>
        <w:t>vicāra</w:t>
      </w:r>
      <w:r w:rsidRPr="000209BC">
        <w:t>), which are said to be subtle conditions, are also mentioned; like the Buddhist second jhāna, absence of sustained application comes with ‘inner clarity’ (</w:t>
      </w:r>
      <w:r w:rsidRPr="000209BC">
        <w:rPr>
          <w:i/>
          <w:iCs/>
        </w:rPr>
        <w:t>adhyātma prasāda</w:t>
      </w:r>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lastRenderedPageBreak/>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0209BC">
        <w:rPr>
          <w:i/>
          <w:iCs/>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i/>
          <w:iCs/>
        </w:rPr>
        <w:t>anusaya</w:t>
      </w:r>
      <w:r w:rsidRPr="000209BC">
        <w:t>) regarding pleasure and pain. All these ‘fluctuations’ are to be overcome with jhāna. The result of action (</w:t>
      </w:r>
      <w:r w:rsidRPr="000209BC">
        <w:rPr>
          <w:i/>
          <w:iCs/>
        </w:rPr>
        <w:t>karma</w:t>
      </w:r>
      <w:r w:rsidRPr="000209BC">
        <w:t>) rooted in defilement (</w:t>
      </w:r>
      <w:r w:rsidRPr="000209BC">
        <w:rPr>
          <w:i/>
          <w:iCs/>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0209BC">
        <w:rPr>
          <w:i/>
          <w:iCs/>
        </w:rPr>
        <w:t>pratyāhāra</w:t>
      </w:r>
      <w:r w:rsidRPr="000209BC">
        <w:t>), jhāna, remembering (</w:t>
      </w:r>
      <w:r w:rsidRPr="000209BC">
        <w:rPr>
          <w:i/>
          <w:iCs/>
        </w:rPr>
        <w:t>dhāraṇa</w:t>
      </w:r>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r w:rsidRPr="000209BC">
        <w:rPr>
          <w:i/>
          <w:iCs/>
        </w:rPr>
        <w:t>yama</w:t>
      </w:r>
      <w:r w:rsidRPr="000209BC">
        <w:t>, is basic ethics similar to the five precepts; the second factor,</w:t>
      </w:r>
      <w:r w:rsidR="00C16309">
        <w:t xml:space="preserve"> </w:t>
      </w:r>
      <w:r w:rsidRPr="000209BC">
        <w:rPr>
          <w:i/>
          <w:iCs/>
        </w:rPr>
        <w:t>niyama</w:t>
      </w:r>
      <w:r w:rsidRPr="000209BC">
        <w:t xml:space="preserve">, concerns purity, austerity, contentment, chanting, and devotion to God. To counter thoughts </w:t>
      </w:r>
      <w:r w:rsidRPr="000209BC">
        <w:lastRenderedPageBreak/>
        <w:t>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i/>
          <w:iCs/>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0209BC">
        <w:rPr>
          <w:i/>
          <w:iCs/>
        </w:rPr>
        <w:t>dhāraṇa</w:t>
      </w:r>
      <w:r w:rsidRPr="000209BC">
        <w:t>, defined as ‘fixing the mind on one place’.</w:t>
      </w:r>
      <w:r w:rsidR="00E56C99">
        <w:rPr>
          <w:rStyle w:val="FootnoteReference"/>
        </w:rPr>
        <w:footnoteReference w:id="221"/>
      </w:r>
      <w:r w:rsidR="00C16309">
        <w:t xml:space="preserve"> </w:t>
      </w:r>
      <w:r w:rsidRPr="000209BC">
        <w:rPr>
          <w:i/>
          <w:iCs/>
        </w:rPr>
        <w:t>Dhāraṇa</w:t>
      </w:r>
      <w:r w:rsidRPr="000209BC">
        <w:t>, like</w:t>
      </w:r>
      <w:r w:rsidR="00C16309">
        <w:t xml:space="preserve"> </w:t>
      </w:r>
      <w:r w:rsidRPr="000209BC">
        <w:rPr>
          <w:i/>
          <w:iCs/>
        </w:rPr>
        <w:t>sati</w:t>
      </w:r>
      <w:r w:rsidRPr="000209BC">
        <w:t>, means ‘remembering, bearing in mind’, and the Abhidhamma lists</w:t>
      </w:r>
      <w:r w:rsidR="00C16309">
        <w:t xml:space="preserve"> </w:t>
      </w:r>
      <w:r w:rsidRPr="000209BC">
        <w:rPr>
          <w:i/>
          <w:iCs/>
        </w:rPr>
        <w:t>dhāraṇa</w:t>
      </w:r>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r w:rsidRPr="000209BC">
        <w:rPr>
          <w:i/>
          <w:iCs/>
        </w:rPr>
        <w:t>dhāraṇa</w:t>
      </w:r>
      <w:r w:rsidR="00C16309">
        <w:t xml:space="preserve"> </w:t>
      </w:r>
      <w:r w:rsidRPr="000209BC">
        <w:t>with</w:t>
      </w:r>
      <w:r w:rsidR="00C16309">
        <w:t xml:space="preserve"> </w:t>
      </w:r>
      <w:r w:rsidRPr="000209BC">
        <w:rPr>
          <w:i/>
          <w:iCs/>
        </w:rPr>
        <w:t>appamāda</w:t>
      </w:r>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r w:rsidRPr="000209BC">
        <w:rPr>
          <w:i/>
          <w:iCs/>
        </w:rPr>
        <w:t>appamāda</w:t>
      </w:r>
      <w:r w:rsidRPr="000209BC">
        <w:t>. The change in terminology from</w:t>
      </w:r>
      <w:r w:rsidR="00C16309">
        <w:t xml:space="preserve"> </w:t>
      </w:r>
      <w:r w:rsidRPr="000209BC">
        <w:rPr>
          <w:i/>
          <w:iCs/>
        </w:rPr>
        <w:t>sati</w:t>
      </w:r>
      <w:r w:rsidR="00C16309">
        <w:t xml:space="preserve"> </w:t>
      </w:r>
      <w:r w:rsidRPr="000209BC">
        <w:t>to</w:t>
      </w:r>
      <w:r w:rsidR="00C16309">
        <w:t xml:space="preserve"> </w:t>
      </w:r>
      <w:r w:rsidRPr="000209BC">
        <w:rPr>
          <w:i/>
          <w:iCs/>
        </w:rPr>
        <w:t>dhāraṇa</w:t>
      </w:r>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r w:rsidRPr="000209BC">
        <w:rPr>
          <w:i/>
          <w:iCs/>
        </w:rPr>
        <w:t>Dhāraṇa</w:t>
      </w:r>
      <w:r w:rsidR="00C16309">
        <w:t xml:space="preserve"> </w:t>
      </w:r>
      <w:r w:rsidRPr="000209BC">
        <w:t>is followed by</w:t>
      </w:r>
      <w:r w:rsidR="00C16309">
        <w:t xml:space="preserve"> </w:t>
      </w:r>
      <w:r w:rsidRPr="000209BC">
        <w:rPr>
          <w:i/>
          <w:iCs/>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0209BC">
        <w:rPr>
          <w:i/>
          <w:iCs/>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r w:rsidRPr="000209BC">
        <w:rPr>
          <w:i/>
          <w:iCs/>
        </w:rPr>
        <w:t>dhāraṇa</w:t>
      </w:r>
      <w:r w:rsidRPr="000209BC">
        <w:t>, jhāna, and samādhi are together said to make up ‘restraint’ (</w:t>
      </w:r>
      <w:r w:rsidRPr="000209BC">
        <w:rPr>
          <w:i/>
          <w:iCs/>
        </w:rPr>
        <w:t>sa</w:t>
      </w:r>
      <w:r w:rsidRPr="000209BC">
        <w:rPr>
          <w:rFonts w:ascii="Cambria" w:hAnsi="Cambria" w:cs="Cambria"/>
          <w:i/>
          <w:iCs/>
        </w:rPr>
        <w:t>ṁ</w:t>
      </w:r>
      <w:r w:rsidRPr="000209BC">
        <w:rPr>
          <w:i/>
          <w:iCs/>
        </w:rPr>
        <w:t>yama</w:t>
      </w:r>
      <w:r w:rsidRPr="000209BC">
        <w:t xml:space="preserve">), so they are not thought </w:t>
      </w:r>
      <w:r w:rsidRPr="000209BC">
        <w:lastRenderedPageBreak/>
        <w:t>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 xml:space="preserve">We turn now to the second thread of pre-Buddhist meditation. The classic description here is the account of the Bodhisatta’s austerities. His striving was most terrible: ‘crushing mind with mind’, doing the ‘breathless jhāna’ </w:t>
      </w:r>
      <w:r w:rsidRPr="000209BC">
        <w:lastRenderedPageBreak/>
        <w:t>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lastRenderedPageBreak/>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lastRenderedPageBreak/>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 xml:space="preserve">in which only subtle activity remains and from which one does not fall back. He first stops the </w:t>
      </w:r>
      <w:r w:rsidRPr="000209BC">
        <w:lastRenderedPageBreak/>
        <w:t>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i/>
          <w:iCs/>
        </w:rPr>
        <w:t>anicca</w:t>
      </w:r>
      <w:r w:rsidRPr="000209BC">
        <w:t>), change (</w:t>
      </w:r>
      <w:r w:rsidRPr="000209BC">
        <w:rPr>
          <w:i/>
          <w:iCs/>
        </w:rPr>
        <w:t>vipariṇāma</w:t>
      </w:r>
      <w:r w:rsidRPr="000209BC">
        <w:t>), and ugliness (</w:t>
      </w:r>
      <w:r w:rsidRPr="000209BC">
        <w:rPr>
          <w:i/>
          <w:iCs/>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0209BC">
        <w:rPr>
          <w:i/>
          <w:iCs/>
        </w:rPr>
        <w:t>anuprekṣā</w:t>
      </w:r>
      <w:r w:rsidRPr="000209BC">
        <w:t>, is semantically identical with the term</w:t>
      </w:r>
      <w:r w:rsidR="00C16309">
        <w:t xml:space="preserve"> </w:t>
      </w:r>
      <w:r w:rsidRPr="000209BC">
        <w:rPr>
          <w:i/>
          <w:iCs/>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79CB34CC" w14:textId="77777777" w:rsidR="000209BC" w:rsidRPr="000209BC" w:rsidRDefault="000209BC" w:rsidP="001F72BC">
      <w:pPr>
        <w:pStyle w:val="WW-paragraph"/>
        <w:numPr>
          <w:ilvl w:val="0"/>
          <w:numId w:val="26"/>
        </w:numPr>
      </w:pPr>
      <w:r w:rsidRPr="000209BC">
        <w:t>Solitariness (</w:t>
      </w:r>
      <w:r w:rsidRPr="000209BC">
        <w:rPr>
          <w:i/>
          <w:iCs/>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0209BC">
        <w:rPr>
          <w:i/>
          <w:iCs/>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lastRenderedPageBreak/>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lastRenderedPageBreak/>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 xml:space="preserve">The early Buddhists were extraordinarily generous in their assessment of the spiritual attainments of outsiders. They were quite happy to attribute to them such central elements of the Buddhist meditation system as </w:t>
      </w:r>
      <w:r w:rsidRPr="000209BC">
        <w:lastRenderedPageBreak/>
        <w:t>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 xml:space="preserve">The Brahmanical tradition leaned to the side of samatha, while the Jain tradition leaned to the side of vipassanā, each shaping its presentation and </w:t>
      </w:r>
      <w:r w:rsidRPr="000209BC">
        <w:lastRenderedPageBreak/>
        <w:t>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w:t>
      </w:r>
      <w:r w:rsidRPr="000209BC">
        <w:lastRenderedPageBreak/>
        <w:t xml:space="preserve">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Pr="000209BC">
        <w:t>. The alternative resolution into</w:t>
      </w:r>
      <w:r w:rsidR="00C16309">
        <w:t xml:space="preserve"> </w:t>
      </w:r>
      <w:r w:rsidRPr="000209BC">
        <w:rPr>
          <w:i/>
          <w:iCs/>
        </w:rPr>
        <w:t>sati</w:t>
      </w:r>
      <w:r w:rsidR="00C16309">
        <w:t xml:space="preserve"> </w:t>
      </w:r>
      <w:r w:rsidRPr="000209BC">
        <w:t>and</w:t>
      </w:r>
      <w:r w:rsidR="00C16309">
        <w:t xml:space="preserve"> </w:t>
      </w:r>
      <w:r w:rsidRPr="000209BC">
        <w:rPr>
          <w:i/>
          <w:iCs/>
        </w:rPr>
        <w:t>paṭṭhāna</w:t>
      </w:r>
      <w:r w:rsidRPr="000209BC">
        <w:t>, though favoured by the commentaries, is spurious. The difference between the two is that while</w:t>
      </w:r>
      <w:r w:rsidR="00C16309">
        <w:t xml:space="preserve"> </w:t>
      </w:r>
      <w:r w:rsidRPr="000209BC">
        <w:rPr>
          <w:i/>
          <w:iCs/>
        </w:rPr>
        <w:t>upaṭṭhāna</w:t>
      </w:r>
      <w:r w:rsidR="00C16309">
        <w:t xml:space="preserve"> </w:t>
      </w:r>
      <w:r w:rsidRPr="000209BC">
        <w:t>expresses the subjective act of establishing or setting up mindfulness,</w:t>
      </w:r>
      <w:r w:rsidR="00C16309">
        <w:t xml:space="preserve"> </w:t>
      </w:r>
      <w:r w:rsidRPr="000209BC">
        <w:rPr>
          <w:i/>
          <w:iCs/>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0209BC">
        <w:rPr>
          <w:i/>
          <w:iCs/>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0209BC">
        <w:rPr>
          <w:i/>
          <w:iCs/>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0209BC">
        <w:rPr>
          <w:i/>
          <w:iCs/>
        </w:rPr>
        <w:t>upāsana</w:t>
      </w:r>
      <w:r w:rsidRPr="000209BC">
        <w:t>.</w:t>
      </w:r>
    </w:p>
    <w:p w14:paraId="673298DC" w14:textId="65A30C73" w:rsidR="000209BC" w:rsidRPr="000209BC" w:rsidRDefault="000209BC" w:rsidP="001F72BC">
      <w:pPr>
        <w:pStyle w:val="WW-paragraph"/>
      </w:pPr>
      <w:r w:rsidRPr="000209BC">
        <w:rPr>
          <w:i/>
          <w:iCs/>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0209BC">
        <w:rPr>
          <w:i/>
          <w:iCs/>
        </w:rPr>
        <w:t>upaṭṭhāna</w:t>
      </w:r>
      <w:r w:rsidRPr="000209BC">
        <w:t>, with the object in locative case, as in satipaṭṭhāna and elsewhere. In the context of satipaṭṭhāna,</w:t>
      </w:r>
      <w:r w:rsidR="00C16309">
        <w:t xml:space="preserve"> </w:t>
      </w:r>
      <w:r w:rsidRPr="000209BC">
        <w:rPr>
          <w:i/>
          <w:iCs/>
        </w:rPr>
        <w:t>upaṭṭhāna</w:t>
      </w:r>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r w:rsidRPr="000209BC">
        <w:rPr>
          <w:i/>
          <w:iCs/>
        </w:rPr>
        <w:t>upaṭṭhapeti</w:t>
      </w:r>
      <w:r w:rsidR="00C16309">
        <w:t xml:space="preserve"> </w:t>
      </w:r>
      <w:r w:rsidRPr="000209BC">
        <w:t>stand in the same organic relation as do</w:t>
      </w:r>
      <w:r w:rsidR="00C16309">
        <w:t xml:space="preserve"> </w:t>
      </w:r>
      <w:r w:rsidRPr="000209BC">
        <w:rPr>
          <w:i/>
          <w:iCs/>
        </w:rPr>
        <w:t>saddhā</w:t>
      </w:r>
      <w:r w:rsidR="00C16309">
        <w:t xml:space="preserve"> </w:t>
      </w:r>
      <w:r w:rsidRPr="000209BC">
        <w:t>with</w:t>
      </w:r>
      <w:r w:rsidR="00C16309">
        <w:t xml:space="preserve"> </w:t>
      </w:r>
      <w:r w:rsidRPr="000209BC">
        <w:rPr>
          <w:i/>
          <w:iCs/>
        </w:rPr>
        <w:t>adhimuccati</w:t>
      </w:r>
      <w:r w:rsidRPr="000209BC">
        <w:t>, or</w:t>
      </w:r>
      <w:r w:rsidR="00C16309">
        <w:t xml:space="preserve"> </w:t>
      </w:r>
      <w:r w:rsidRPr="000209BC">
        <w:rPr>
          <w:i/>
          <w:iCs/>
        </w:rPr>
        <w:t>viriya</w:t>
      </w:r>
      <w:r w:rsidR="00C16309">
        <w:t xml:space="preserve"> </w:t>
      </w:r>
      <w:r w:rsidRPr="000209BC">
        <w:t>with</w:t>
      </w:r>
      <w:r w:rsidR="00C16309">
        <w:t xml:space="preserve"> </w:t>
      </w:r>
      <w:r w:rsidRPr="000209BC">
        <w:rPr>
          <w:i/>
          <w:iCs/>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0209BC">
        <w:rPr>
          <w:i/>
          <w:iCs/>
        </w:rPr>
        <w:lastRenderedPageBreak/>
        <w:t>upaṭṭhapeti</w:t>
      </w:r>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00C16309">
        <w:t xml:space="preserve"> </w:t>
      </w:r>
      <w:r w:rsidRPr="000209BC">
        <w:t>occur in the idiom</w:t>
      </w:r>
      <w:r w:rsidR="00C16309">
        <w:t xml:space="preserve">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hapeti</w:t>
      </w:r>
      <w:r w:rsidRPr="000209BC">
        <w:t>. The term</w:t>
      </w:r>
      <w:r w:rsidR="00C16309">
        <w:t xml:space="preserve"> </w:t>
      </w:r>
      <w:r w:rsidRPr="000209BC">
        <w:rPr>
          <w:i/>
          <w:iCs/>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0209BC">
        <w:rPr>
          <w:i/>
          <w:iCs/>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0209BC">
        <w:rPr>
          <w:i/>
          <w:iCs/>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0209BC">
        <w:rPr>
          <w:i/>
          <w:iCs/>
        </w:rPr>
        <w:t>nipakasmṛti</w:t>
      </w:r>
      <w:r w:rsidRPr="000209BC">
        <w:t>,</w:t>
      </w:r>
      <w:r w:rsidR="00C16309">
        <w:t xml:space="preserve"> </w:t>
      </w:r>
      <w:r w:rsidRPr="000209BC">
        <w:rPr>
          <w:i/>
          <w:iCs/>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 xml:space="preserve">This formula does not explicitly treat mindfulness as meditation. It is less closely associated with satipaṭṭhāna as such rather than ordinary </w:t>
      </w:r>
      <w:r w:rsidRPr="000209BC">
        <w:lastRenderedPageBreak/>
        <w:t>mindfulness. As I have shown elsewhere, the term</w:t>
      </w:r>
      <w:r w:rsidR="00C16309">
        <w:t xml:space="preserve"> </w:t>
      </w:r>
      <w:r w:rsidRPr="000209BC">
        <w:rPr>
          <w:i/>
          <w:iCs/>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i/>
          <w:iCs/>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0209BC">
        <w:rPr>
          <w:i/>
          <w:iCs/>
        </w:rPr>
        <w:t>citta</w:t>
      </w:r>
      <w:r w:rsidRPr="000209BC">
        <w:t>, that many seek the solace of eternal bliss. Overall, however, this explanation is</w:t>
      </w:r>
      <w:r w:rsidR="00C16309">
        <w:t xml:space="preserve"> </w:t>
      </w:r>
      <w:r w:rsidRPr="000209BC">
        <w:rPr>
          <w:i/>
          <w:iCs/>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DF4802">
      <w:pPr>
        <w:pStyle w:val="WW-paragraph"/>
      </w:pPr>
      <w:r w:rsidRPr="000209BC">
        <w:t>This conclusion is supported by SA 612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 xml:space="preserve">exalted aspirations, refined </w:t>
      </w:r>
      <w:r w:rsidRPr="000209BC">
        <w:lastRenderedPageBreak/>
        <w:t>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0209BC">
        <w:rPr>
          <w:i/>
          <w:iCs/>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0209BC">
        <w:rPr>
          <w:i/>
          <w:iCs/>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comes here!’</w:t>
      </w:r>
      <w:r w:rsidR="002563C3">
        <w:rPr>
          <w:rStyle w:val="FootnoteReference"/>
        </w:rPr>
        <w:footnoteReference w:id="254"/>
      </w:r>
      <w:r w:rsidR="00C16309">
        <w:t xml:space="preserve"> </w:t>
      </w:r>
      <w:r w:rsidRPr="000209BC">
        <w:t xml:space="preserve">The texts goes on to define ‘ardent’ as the four right efforts, </w:t>
      </w:r>
      <w:r w:rsidRPr="000209BC">
        <w:lastRenderedPageBreak/>
        <w:t>‘clearly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0209BC">
        <w:rPr>
          <w:i/>
          <w:iCs/>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0209BC">
        <w:rPr>
          <w:i/>
          <w:iCs/>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0209BC">
        <w:rPr>
          <w:i/>
          <w:iCs/>
        </w:rPr>
        <w:t>abhijjhā</w:t>
      </w:r>
      <w:r w:rsidR="00C16309">
        <w:t xml:space="preserve"> </w:t>
      </w:r>
      <w:r w:rsidRPr="000209BC">
        <w:t>and</w:t>
      </w:r>
      <w:r w:rsidR="00C16309">
        <w:t xml:space="preserve"> </w:t>
      </w:r>
      <w:r w:rsidRPr="000209BC">
        <w:rPr>
          <w:i/>
          <w:iCs/>
        </w:rPr>
        <w:t>domanassa</w:t>
      </w:r>
      <w:r w:rsidR="00C16309">
        <w:t xml:space="preserve"> </w:t>
      </w:r>
      <w:r w:rsidRPr="000209BC">
        <w:t>are used.</w:t>
      </w:r>
      <w:r w:rsidR="00C16309">
        <w:t xml:space="preserve"> </w:t>
      </w:r>
      <w:r w:rsidRPr="000209BC">
        <w:rPr>
          <w:i/>
          <w:iCs/>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0209BC">
        <w:rPr>
          <w:i/>
          <w:iCs/>
        </w:rPr>
        <w:t>kāmacchanda</w:t>
      </w:r>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r w:rsidRPr="000209BC">
        <w:rPr>
          <w:i/>
          <w:iCs/>
        </w:rPr>
        <w:t>domanassa</w:t>
      </w:r>
      <w:r w:rsidRPr="000209BC">
        <w:t xml:space="preserve">, which I render here as ‘aversion’, usually </w:t>
      </w:r>
      <w:r w:rsidRPr="000209BC">
        <w:lastRenderedPageBreak/>
        <w:t>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0209BC">
        <w:rPr>
          <w:i/>
          <w:iCs/>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r w:rsidRPr="000209BC">
        <w:rPr>
          <w:i/>
          <w:iCs/>
        </w:rPr>
        <w:t>ātāpī, sampajāno, satimā, vineyya loke abhijjhā-domanassa</w:t>
      </w:r>
      <w:r w:rsidRPr="000209BC">
        <w:rPr>
          <w:rFonts w:ascii="Cambria" w:hAnsi="Cambria" w:cs="Cambria"/>
          <w:i/>
          <w:iCs/>
        </w:rPr>
        <w:t>ṁ</w:t>
      </w:r>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lastRenderedPageBreak/>
        <w:t>…</w:t>
      </w:r>
      <w:r w:rsidR="00C16309">
        <w:t xml:space="preserve"> </w:t>
      </w:r>
      <w:r w:rsidRPr="000209BC">
        <w:rPr>
          <w:i/>
          <w:iCs/>
        </w:rPr>
        <w:t>vigatābhijjho, vigatābyapado, asammuḷho, sampajāno, patissato mettāsahagatena cetasā…</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A03A44">
        <w:rPr>
          <w:i/>
          <w:iCs/>
        </w:rPr>
        <w:t>Kāye kāyānupassana-satipaṭṭhāna</w:t>
      </w:r>
      <w:r w:rsidRPr="00A03A44">
        <w:rPr>
          <w:rFonts w:ascii="Cambria" w:hAnsi="Cambria" w:cs="Cambria"/>
          <w:i/>
          <w:iCs/>
        </w:rPr>
        <w:t>ṁ</w:t>
      </w:r>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363205">
        <w:rPr>
          <w:i/>
          <w:iCs/>
        </w:rPr>
        <w:t>Kāye kāyānupassī viharati; ātāpī, sampajāno, satimā, vineyya loke abhijjhā-domanassa</w:t>
      </w:r>
      <w:r w:rsidRPr="00363205">
        <w:rPr>
          <w:rFonts w:ascii="Cambria" w:hAnsi="Cambria" w:cs="Cambria"/>
          <w:i/>
          <w:iCs/>
        </w:rPr>
        <w:t>ṁ</w:t>
      </w:r>
      <w:r w:rsidRPr="00363205">
        <w:rPr>
          <w:rFonts w:cs="Source Serif Pro"/>
          <w:i/>
          <w:iCs/>
        </w:rPr>
        <w:t>…</w:t>
      </w:r>
      <w:r w:rsidR="00C16309">
        <w:t xml:space="preserve"> </w:t>
      </w:r>
      <w:r w:rsidRPr="000209BC">
        <w:t>(standard auxilliary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lastRenderedPageBreak/>
        <w:t>→</w:t>
      </w:r>
      <w:r w:rsidRPr="000A0E39">
        <w:rPr>
          <w:rFonts w:ascii="Times New Roman" w:hAnsi="Times New Roman"/>
        </w:rPr>
        <w:t> </w:t>
      </w:r>
      <w:r w:rsidRPr="000A0E39">
        <w:rPr>
          <w:i/>
          <w:iCs/>
        </w:rPr>
        <w:t>Kāye kāyānupassī viharato yo kayasmi</w:t>
      </w:r>
      <w:r w:rsidRPr="000A0E39">
        <w:rPr>
          <w:rFonts w:ascii="Cambria" w:hAnsi="Cambria" w:cs="Cambria"/>
          <w:i/>
          <w:iCs/>
        </w:rPr>
        <w:t>ṁ</w:t>
      </w:r>
      <w:r w:rsidRPr="000A0E39">
        <w:rPr>
          <w:i/>
          <w:iCs/>
        </w:rPr>
        <w:t xml:space="preserve"> chando so pah</w:t>
      </w:r>
      <w:r w:rsidRPr="000A0E39">
        <w:rPr>
          <w:rFonts w:cs="Source Serif Pro"/>
          <w:i/>
          <w:iCs/>
        </w:rPr>
        <w:t>ī</w:t>
      </w:r>
      <w:r w:rsidRPr="000A0E39">
        <w:rPr>
          <w:i/>
          <w:iCs/>
        </w:rPr>
        <w:t>yati; chandassa pah</w:t>
      </w:r>
      <w:r w:rsidRPr="000A0E39">
        <w:rPr>
          <w:rFonts w:cs="Source Serif Pro"/>
          <w:i/>
          <w:iCs/>
        </w:rPr>
        <w:t>ā</w:t>
      </w:r>
      <w:r w:rsidRPr="000A0E39">
        <w:rPr>
          <w:i/>
          <w:iCs/>
        </w:rPr>
        <w:t>n</w:t>
      </w:r>
      <w:r w:rsidRPr="000A0E39">
        <w:rPr>
          <w:rFonts w:cs="Source Serif Pro"/>
          <w:i/>
          <w:iCs/>
        </w:rPr>
        <w:t>ā</w:t>
      </w:r>
      <w:r w:rsidRPr="000A0E39">
        <w:rPr>
          <w:i/>
          <w:iCs/>
        </w:rPr>
        <w:t>ya amata</w:t>
      </w:r>
      <w:r w:rsidRPr="000A0E39">
        <w:rPr>
          <w:rFonts w:ascii="Cambria" w:hAnsi="Cambria" w:cs="Cambria"/>
          <w:i/>
          <w:iCs/>
        </w:rPr>
        <w:t>ṁ</w:t>
      </w:r>
      <w:r w:rsidRPr="000A0E39">
        <w:rPr>
          <w:i/>
          <w:iCs/>
        </w:rPr>
        <w:t xml:space="preserve"> sacchikata</w:t>
      </w:r>
      <w:r w:rsidRPr="000A0E39">
        <w:rPr>
          <w:rFonts w:ascii="Cambria" w:hAnsi="Cambria" w:cs="Cambria"/>
          <w:i/>
          <w:iCs/>
        </w:rPr>
        <w:t>ṁ</w:t>
      </w:r>
      <w:r w:rsidRPr="000A0E39">
        <w:rPr>
          <w:i/>
          <w:iCs/>
        </w:rPr>
        <w:t xml:space="preserve"> hoti</w:t>
      </w:r>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kāyo pariññāto hoti…</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16333A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pi upahanet’eva pāpake akusale dhamme…</w:t>
      </w:r>
      <w:r w:rsidR="00C16309">
        <w:t xml:space="preserve"> </w:t>
      </w:r>
      <w:r w:rsidRPr="000209BC">
        <w:t>(SN 54.10/SA 813/Skt)</w:t>
      </w:r>
      <w:r w:rsidR="00647C71">
        <w:t xml:space="preserve"> </w:t>
      </w:r>
      <w:r w:rsidR="000D3E48">
        <w:br/>
      </w:r>
      <w:r w:rsidR="000D3E48">
        <w:br/>
      </w:r>
      <w:r w:rsidRPr="000209BC">
        <w:t>When one abides contemplating a body in the body, one crushes evil unskilful qualities…</w:t>
      </w:r>
    </w:p>
    <w:p w14:paraId="6AE8F7F0" w14:textId="1AC04E2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virajjati vimuccati anup</w:t>
      </w:r>
      <w:r w:rsidRPr="000209BC">
        <w:rPr>
          <w:rFonts w:cs="Source Serif Pro"/>
          <w:i/>
          <w:iCs/>
        </w:rPr>
        <w:t>ā</w:t>
      </w:r>
      <w:r w:rsidRPr="000209BC">
        <w:rPr>
          <w:i/>
          <w:iCs/>
        </w:rPr>
        <w:t>d</w:t>
      </w:r>
      <w:r w:rsidRPr="000209BC">
        <w:rPr>
          <w:rFonts w:cs="Source Serif Pro"/>
          <w:i/>
          <w:iCs/>
        </w:rPr>
        <w:t>ā</w:t>
      </w:r>
      <w:r w:rsidRPr="000209BC">
        <w:rPr>
          <w:i/>
          <w:iCs/>
        </w:rPr>
        <w:t xml:space="preserve">ya </w:t>
      </w:r>
      <w:r w:rsidRPr="000209BC">
        <w:rPr>
          <w:rFonts w:cs="Source Serif Pro"/>
          <w:i/>
          <w:iCs/>
        </w:rPr>
        <w:t>ā</w:t>
      </w:r>
      <w:r w:rsidRPr="000209BC">
        <w:rPr>
          <w:i/>
          <w:iCs/>
        </w:rPr>
        <w:t>savehi</w:t>
      </w:r>
      <w:r w:rsidRPr="000209BC">
        <w:rPr>
          <w:rFonts w:cs="Source Serif Pro"/>
          <w:i/>
          <w:iCs/>
        </w:rPr>
        <w:t>…</w:t>
      </w:r>
      <w:r w:rsidR="00C16309">
        <w:t xml:space="preserve"> </w:t>
      </w:r>
      <w:r w:rsidRPr="000209BC">
        <w:t>(SN 47.11/SA 614)</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1110657" w:rsidR="00647C71" w:rsidRDefault="000209BC" w:rsidP="00A32D5F">
      <w:pPr>
        <w:pStyle w:val="WW-paragraph"/>
        <w:numPr>
          <w:ilvl w:val="0"/>
          <w:numId w:val="32"/>
        </w:numPr>
      </w:pPr>
      <w:r w:rsidRPr="00647C71">
        <w:rPr>
          <w:i/>
          <w:iCs/>
        </w:rPr>
        <w:t>Kāye kāyānupassī viharatha; ātāpīno, sampajānā, ekodibhūtā, vippasannacittā, samāhitā, ekaggacittā…</w:t>
      </w:r>
      <w:r w:rsidR="00C16309">
        <w:t xml:space="preserve"> </w:t>
      </w:r>
      <w:r w:rsidRPr="000209BC">
        <w:t>(SN 47.4/SA 621)</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1002918F" w:rsidR="00647C71" w:rsidRDefault="000209BC" w:rsidP="00A32D5F">
      <w:pPr>
        <w:pStyle w:val="WW-paragraph"/>
        <w:numPr>
          <w:ilvl w:val="0"/>
          <w:numId w:val="32"/>
        </w:numPr>
      </w:pPr>
      <w:r w:rsidRPr="00647C71">
        <w:rPr>
          <w:rFonts w:cs="Source Serif Pro"/>
        </w:rPr>
        <w:lastRenderedPageBreak/>
        <w:t>→</w:t>
      </w:r>
      <w:r w:rsidRPr="00647C71">
        <w:rPr>
          <w:rFonts w:ascii="Times New Roman" w:hAnsi="Times New Roman"/>
        </w:rPr>
        <w:t> </w:t>
      </w:r>
      <w:r w:rsidRPr="00647C71">
        <w:rPr>
          <w:i/>
          <w:iCs/>
        </w:rPr>
        <w:t>Kāye kāyānupassī viharami; ātāpī, sampajāno, satimā, ‘sukhasmī’ ti pajānāti…</w:t>
      </w:r>
      <w:r w:rsidR="00C16309">
        <w:t xml:space="preserve"> </w:t>
      </w:r>
      <w:r w:rsidRPr="000209BC">
        <w:t>(SN 47.10/SA 615)</w:t>
      </w:r>
      <w:r w:rsidR="00647C71">
        <w:t xml:space="preserve"> </w:t>
      </w:r>
      <w:r w:rsidR="000D3E48">
        <w:br/>
      </w:r>
      <w:r w:rsidR="000D3E48">
        <w:br/>
      </w:r>
      <w:r w:rsidRPr="000209BC">
        <w:t>I abide contemplating a body in the body; ardent, clearly comprehending, mindful, I understand: ‘I am blissful’…</w:t>
      </w:r>
    </w:p>
    <w:p w14:paraId="7A445BED" w14:textId="2F3D48F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sam</w:t>
      </w:r>
      <w:r w:rsidRPr="000209BC">
        <w:rPr>
          <w:rFonts w:cs="Source Serif Pro"/>
          <w:i/>
          <w:iCs/>
        </w:rPr>
        <w:t>ā</w:t>
      </w:r>
      <w:r w:rsidRPr="000209BC">
        <w:rPr>
          <w:i/>
          <w:iCs/>
        </w:rPr>
        <w:t>dhiyati upakkiles</w:t>
      </w:r>
      <w:r w:rsidRPr="000209BC">
        <w:rPr>
          <w:rFonts w:cs="Source Serif Pro"/>
          <w:i/>
          <w:iCs/>
        </w:rPr>
        <w:t>ā</w:t>
      </w:r>
      <w:r w:rsidRPr="000209BC">
        <w:rPr>
          <w:i/>
          <w:iCs/>
        </w:rPr>
        <w:t xml:space="preserve"> pah</w:t>
      </w:r>
      <w:r w:rsidRPr="000209BC">
        <w:rPr>
          <w:rFonts w:cs="Source Serif Pro"/>
          <w:i/>
          <w:iCs/>
        </w:rPr>
        <w:t>ī</w:t>
      </w:r>
      <w:r w:rsidRPr="000209BC">
        <w:rPr>
          <w:i/>
          <w:iCs/>
        </w:rPr>
        <w:t>yanti</w:t>
      </w:r>
      <w:r w:rsidRPr="000209BC">
        <w:rPr>
          <w:rFonts w:cs="Source Serif Pro"/>
          <w:i/>
          <w:iCs/>
        </w:rPr>
        <w:t>…</w:t>
      </w:r>
      <w:r w:rsidR="00C16309">
        <w:t xml:space="preserve"> </w:t>
      </w:r>
      <w:r w:rsidRPr="000209BC">
        <w:t>(SN 47.8/SA 616)</w:t>
      </w:r>
      <w:r w:rsidR="00647C71">
        <w:t xml:space="preserve"> </w:t>
      </w:r>
      <w:r w:rsidR="000D3E48">
        <w:br/>
      </w:r>
      <w:r w:rsidR="000D3E48">
        <w:br/>
      </w:r>
      <w:r w:rsidRPr="000209BC">
        <w:t>For one abiding contemplating a body in the body, the mind enters samādhi, the taints are abandoned…</w:t>
      </w:r>
    </w:p>
    <w:p w14:paraId="3DBE5A75" w14:textId="71089B90"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tattha sammā samādhiyati sammā vippasīdati…</w:t>
      </w:r>
      <w:r w:rsidR="00C16309">
        <w:t xml:space="preserve"> </w:t>
      </w:r>
      <w:r w:rsidRPr="000209BC">
        <w:t>(DN 18.26/DA 4)</w:t>
      </w:r>
      <w:r w:rsidR="00647C71">
        <w:t xml:space="preserve"> </w:t>
      </w:r>
      <w:r w:rsidR="000D3E48">
        <w:br/>
      </w:r>
      <w:r w:rsidR="000D3E48">
        <w:br/>
      </w:r>
      <w:r w:rsidRPr="000209BC">
        <w:t>When one abides contemplating a body in the body, there one gains right samādhi, right clarity…</w:t>
      </w:r>
    </w:p>
    <w:p w14:paraId="2B071031" w14:textId="2F996B2A"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0209BC">
        <w:rPr>
          <w:i/>
          <w:iCs/>
        </w:rPr>
        <w:t>Kāye kāyānupassī viharahi, mā ca 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r w:rsidR="000209BC" w:rsidRPr="000209BC">
        <w:rPr>
          <w:i/>
          <w:iCs/>
        </w:rPr>
        <w:t xml:space="preserve"> vitakka</w:t>
      </w:r>
      <w:r w:rsidR="000209BC" w:rsidRPr="000209BC">
        <w:rPr>
          <w:rFonts w:ascii="Cambria" w:hAnsi="Cambria" w:cs="Cambria"/>
          <w:i/>
          <w:iCs/>
        </w:rPr>
        <w:t>ṁ</w:t>
      </w:r>
      <w:r w:rsidR="000209BC" w:rsidRPr="000209BC">
        <w:rPr>
          <w:i/>
          <w:iCs/>
        </w:rPr>
        <w:t xml:space="preserve"> vitakkesi</w:t>
      </w:r>
      <w:r w:rsidR="000209BC" w:rsidRPr="000209BC">
        <w:rPr>
          <w:rFonts w:cs="Source Serif Pro"/>
          <w:i/>
          <w:iCs/>
        </w:rPr>
        <w:t>…</w:t>
      </w:r>
      <w:r w:rsidR="000209BC" w:rsidRPr="000209BC">
        <w:t>(MN 125.24/MA 198)</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 xml:space="preserve">These variants fall naturally into three groups. The first pair (1 &amp; 2) give the most basic statement or summary of the practice. Second are the variants </w:t>
      </w:r>
      <w:r w:rsidRPr="000209BC">
        <w:lastRenderedPageBreak/>
        <w:t>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0209BC">
        <w:rPr>
          <w:i/>
          <w:iCs/>
        </w:rPr>
        <w:t>vippasāda</w:t>
      </w:r>
      <w:r w:rsidRPr="000209BC">
        <w:t>, which is similar to the</w:t>
      </w:r>
      <w:r w:rsidR="00C16309">
        <w:t xml:space="preserve"> </w:t>
      </w:r>
      <w:r w:rsidRPr="000209BC">
        <w:rPr>
          <w:i/>
          <w:iCs/>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0209BC">
        <w:rPr>
          <w:i/>
          <w:iCs/>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r w:rsidR="000209BC" w:rsidRPr="000209BC">
        <w:rPr>
          <w:i/>
          <w:iCs/>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r w:rsidR="000209BC" w:rsidRPr="000209BC">
        <w:rPr>
          <w:i/>
          <w:iCs/>
        </w:rPr>
        <w:t>Kāye kāyānupaśyino viharataḥ</w:t>
      </w:r>
      <w:r w:rsidR="00C16309">
        <w:rPr>
          <w:i/>
          <w:iCs/>
        </w:rPr>
        <w:t xml:space="preserve"> </w:t>
      </w:r>
      <w:r w:rsidR="000209BC" w:rsidRPr="000209BC">
        <w:rPr>
          <w:i/>
          <w:iCs/>
        </w:rPr>
        <w:t>kāyā</w:t>
      </w:r>
      <w:r w:rsidR="000209BC" w:rsidRPr="000209BC">
        <w:rPr>
          <w:i/>
          <w:iCs/>
        </w:rPr>
        <w:softHyphen/>
        <w:t>lamban</w:t>
      </w:r>
      <w:r w:rsidR="000209BC" w:rsidRPr="000209BC">
        <w:rPr>
          <w:i/>
          <w:iCs/>
        </w:rPr>
        <w:softHyphen/>
        <w:t>ānusmṛti</w:t>
      </w:r>
      <w:r w:rsidR="00C16309">
        <w:rPr>
          <w:i/>
          <w:iCs/>
        </w:rPr>
        <w:t xml:space="preserve"> </w:t>
      </w:r>
      <w:r w:rsidR="000209BC" w:rsidRPr="000209BC">
        <w:rPr>
          <w:i/>
          <w:iCs/>
        </w:rPr>
        <w:t>tiṣṭhati 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r w:rsidR="000209BC" w:rsidRPr="000209BC">
        <w:rPr>
          <w:i/>
          <w:iCs/>
        </w:rPr>
        <w:t>Kāye kāyānupaśyino viharataḥ upaṣṭhita smṛti bhavaty asammuḍheti</w:t>
      </w:r>
      <w:r w:rsidR="000209BC" w:rsidRPr="000209BC">
        <w:t>… (Abhidharmakośa 342)</w:t>
      </w:r>
      <w:r w:rsidR="000209BC" w:rsidRPr="000209BC">
        <w:br/>
      </w:r>
      <w:r w:rsidR="000209BC" w:rsidRPr="000209BC">
        <w:lastRenderedPageBreak/>
        <w:t>For one abiding contemplating a body in the body, unconfused mindfulness is established…</w:t>
      </w:r>
    </w:p>
    <w:p w14:paraId="01766D85" w14:textId="57EECE48" w:rsidR="000209BC" w:rsidRPr="000209BC" w:rsidRDefault="003A56C7" w:rsidP="0004120D">
      <w:pPr>
        <w:pStyle w:val="WW-paragraph"/>
        <w:numPr>
          <w:ilvl w:val="0"/>
          <w:numId w:val="32"/>
        </w:numPr>
      </w:pPr>
      <w:r w:rsidRPr="008F42AF">
        <w:rPr>
          <w:i/>
          <w:iCs/>
        </w:rPr>
        <w:t xml:space="preserve"> </w:t>
      </w:r>
      <w:r w:rsidR="000209BC" w:rsidRPr="008F42AF">
        <w:rPr>
          <w:i/>
          <w:iCs/>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0209BC">
        <w:rPr>
          <w:i/>
          <w:iCs/>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t>
      </w:r>
      <w:r w:rsidRPr="000209BC">
        <w:lastRenderedPageBreak/>
        <w:t>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 xml:space="preserve">yutta. However, they do not </w:t>
      </w:r>
      <w:r w:rsidRPr="000209BC">
        <w:lastRenderedPageBreak/>
        <w:t>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0209BC">
        <w:rPr>
          <w:i/>
          <w:iCs/>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0209BC">
        <w:rPr>
          <w:i/>
          <w:iCs/>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0209BC">
        <w:rPr>
          <w:i/>
          <w:iCs/>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lastRenderedPageBreak/>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0209BC">
        <w:rPr>
          <w:i/>
          <w:iCs/>
        </w:rPr>
        <w:t>anupassanā</w:t>
      </w:r>
      <w:r w:rsidRPr="000209BC">
        <w:t>) here is seeing only (</w:t>
      </w:r>
      <w:r w:rsidRPr="000209BC">
        <w:rPr>
          <w:i/>
          <w:iCs/>
        </w:rPr>
        <w:t>eva</w:t>
      </w:r>
      <w:r w:rsidRPr="000209BC">
        <w:t>) one side of a situation. Moreover, it means seeing that one side not occasionally but constantly (</w:t>
      </w:r>
      <w:r w:rsidRPr="000209BC">
        <w:rPr>
          <w:i/>
          <w:iCs/>
        </w:rPr>
        <w:t>sadā</w:t>
      </w:r>
      <w:r w:rsidRPr="000209BC">
        <w:t>,</w:t>
      </w:r>
      <w:r w:rsidR="00C16309">
        <w:t xml:space="preserve"> </w:t>
      </w:r>
      <w:r w:rsidRPr="000209BC">
        <w:rPr>
          <w:i/>
          <w:iCs/>
        </w:rPr>
        <w:t>nicca</w:t>
      </w:r>
      <w:r w:rsidRPr="000209BC">
        <w:rPr>
          <w:rFonts w:ascii="Cambria" w:hAnsi="Cambria" w:cs="Cambria"/>
          <w:i/>
          <w:iCs/>
        </w:rPr>
        <w:t>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0209BC">
        <w:rPr>
          <w:i/>
          <w:iCs/>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0209BC">
        <w:rPr>
          <w:i/>
          <w:iCs/>
        </w:rPr>
        <w:t>anupassanā</w:t>
      </w:r>
      <w:r w:rsidR="00C16309">
        <w:t xml:space="preserve"> </w:t>
      </w:r>
      <w:r w:rsidRPr="000209BC">
        <w:t xml:space="preserve">refers to a mode of </w:t>
      </w:r>
      <w:r w:rsidRPr="000209BC">
        <w:lastRenderedPageBreak/>
        <w:t>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0209BC">
        <w:rPr>
          <w:i/>
          <w:iCs/>
        </w:rPr>
        <w:t>ekatvā</w:t>
      </w:r>
      <w:r w:rsidRPr="000209BC">
        <w:t>) here relates to the classic description of satipaṭṭhāna as the ‘path going to one’ (</w:t>
      </w:r>
      <w:r w:rsidRPr="000209BC">
        <w:rPr>
          <w:i/>
          <w:iCs/>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0209BC">
        <w:rPr>
          <w:i/>
          <w:iCs/>
        </w:rPr>
        <w:t>anupassanā</w:t>
      </w:r>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0209BC">
        <w:rPr>
          <w:i/>
          <w:iCs/>
        </w:rPr>
        <w:t>anupassanā</w:t>
      </w:r>
      <w:r w:rsidR="00C16309">
        <w:t xml:space="preserve"> </w:t>
      </w:r>
      <w:r w:rsidRPr="000209BC">
        <w:t xml:space="preserve">and the ‘one’. The wise are to contemplate the one, inactive source, not the multiplicity of </w:t>
      </w:r>
      <w:r w:rsidRPr="000209BC">
        <w:lastRenderedPageBreak/>
        <w:t>appearance; only this leads to happiness. The Bṛhadāraṇyaka also uses</w:t>
      </w:r>
      <w:r w:rsidR="00C16309">
        <w:t xml:space="preserve"> </w:t>
      </w:r>
      <w:r w:rsidRPr="000209BC">
        <w:rPr>
          <w:i/>
          <w:iCs/>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0209BC">
        <w:rPr>
          <w:i/>
          <w:iCs/>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r w:rsidRPr="000209BC">
        <w:rPr>
          <w:i/>
          <w:iCs/>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0209BC">
        <w:rPr>
          <w:i/>
          <w:iCs/>
        </w:rPr>
        <w:t>Anupassanā</w:t>
      </w:r>
      <w:r w:rsidR="00C16309">
        <w:t xml:space="preserve"> </w:t>
      </w:r>
      <w:r w:rsidRPr="000209BC">
        <w:t>in these verses is aimed at eliminating sensual lust, and hence falls on the side of samatha.</w:t>
      </w:r>
      <w:r w:rsidR="00C16309">
        <w:t xml:space="preserve"> </w:t>
      </w:r>
      <w:r w:rsidRPr="000209BC">
        <w:rPr>
          <w:i/>
          <w:iCs/>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w:t>
      </w:r>
      <w:r w:rsidRPr="000209BC">
        <w:lastRenderedPageBreak/>
        <w:t>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0209BC">
        <w:rPr>
          <w:i/>
          <w:iCs/>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0209BC">
        <w:rPr>
          <w:i/>
          <w:iCs/>
        </w:rPr>
        <w:t>anupassanā</w:t>
      </w:r>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r w:rsidRPr="000209BC">
        <w:rPr>
          <w:i/>
          <w:iCs/>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r w:rsidRPr="000209BC">
        <w:rPr>
          <w:i/>
          <w:iCs/>
        </w:rPr>
        <w:t>vitakketi</w:t>
      </w:r>
      <w:r w:rsidR="00C16309">
        <w:t xml:space="preserve"> </w:t>
      </w:r>
      <w:r w:rsidRPr="000209BC">
        <w:t>means ‘to think’;</w:t>
      </w:r>
      <w:r w:rsidR="00C16309">
        <w:t xml:space="preserve"> </w:t>
      </w:r>
      <w:r w:rsidRPr="000209BC">
        <w:rPr>
          <w:i/>
          <w:iCs/>
        </w:rPr>
        <w:t>anuvitakketi</w:t>
      </w:r>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r w:rsidRPr="000209BC">
        <w:rPr>
          <w:i/>
          <w:iCs/>
        </w:rPr>
        <w:t>anussara</w:t>
      </w:r>
      <w:r w:rsidRPr="000209BC">
        <w:t>, which mean ‘remembers, keeps in memory.’ There is a similar nuance in two of the terms in the Abhidhamma gloss for the jhāna factor</w:t>
      </w:r>
      <w:r w:rsidR="00C16309">
        <w:t xml:space="preserve"> </w:t>
      </w:r>
      <w:r w:rsidRPr="000209BC">
        <w:rPr>
          <w:i/>
          <w:iCs/>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anusandhanatā</w:t>
      </w:r>
      <w:r w:rsidR="00C16309">
        <w:t xml:space="preserve"> </w:t>
      </w:r>
      <w:r w:rsidRPr="000209BC">
        <w:t>and</w:t>
      </w:r>
      <w:r w:rsidR="00C16309">
        <w:t xml:space="preserve"> </w:t>
      </w:r>
      <w:r w:rsidRPr="000209BC">
        <w:rPr>
          <w:i/>
          <w:iCs/>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0209BC">
        <w:rPr>
          <w:i/>
          <w:iCs/>
        </w:rPr>
        <w:t>Anupassanā</w:t>
      </w:r>
      <w:r w:rsidR="00C16309">
        <w:t xml:space="preserve"> </w:t>
      </w:r>
      <w:r w:rsidRPr="000209BC">
        <w:t>is semantically parallel with</w:t>
      </w:r>
      <w:r w:rsidR="00C16309">
        <w:t xml:space="preserve"> </w:t>
      </w:r>
      <w:r w:rsidRPr="000209BC">
        <w:rPr>
          <w:i/>
          <w:iCs/>
        </w:rPr>
        <w:t>anupekkhanatā</w:t>
      </w:r>
      <w:r w:rsidRPr="000209BC">
        <w:t>, and so also means ‘sustained observation’. This sustained, continuous aspect of</w:t>
      </w:r>
      <w:r w:rsidR="00C16309">
        <w:t xml:space="preserve"> </w:t>
      </w:r>
      <w:r w:rsidRPr="000209BC">
        <w:rPr>
          <w:i/>
          <w:iCs/>
        </w:rPr>
        <w:t>anupassanā</w:t>
      </w:r>
      <w:r w:rsidR="00C16309">
        <w:t xml:space="preserve"> </w:t>
      </w:r>
      <w:r w:rsidRPr="000209BC">
        <w:t>is emphasized in the verses we saw above. The Visuddhimagga’s commentary makes this sense explicit: ‘he keeps re-seeing (</w:t>
      </w:r>
      <w:r w:rsidRPr="000209BC">
        <w:rPr>
          <w:i/>
          <w:iCs/>
        </w:rPr>
        <w:t>anu</w:t>
      </w:r>
      <w:r w:rsidR="00C16309">
        <w:t xml:space="preserve"> </w:t>
      </w:r>
      <w:r w:rsidRPr="000209BC">
        <w:rPr>
          <w:i/>
          <w:iCs/>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lastRenderedPageBreak/>
        <w:t>11.4.7 Clear Comprehension</w:t>
      </w:r>
    </w:p>
    <w:p w14:paraId="06D690B0" w14:textId="57C4CDB2" w:rsidR="000209BC" w:rsidRPr="000209BC" w:rsidRDefault="000209BC" w:rsidP="005B119F">
      <w:pPr>
        <w:pStyle w:val="WW-paragraph"/>
      </w:pPr>
      <w:r w:rsidRPr="000209BC">
        <w:t>The term</w:t>
      </w:r>
      <w:r w:rsidR="00C16309">
        <w:t xml:space="preserve"> </w:t>
      </w:r>
      <w:r w:rsidRPr="000209BC">
        <w:rPr>
          <w:i/>
          <w:iCs/>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0209BC">
        <w:rPr>
          <w:i/>
          <w:iCs/>
        </w:rPr>
        <w:t>sampajañña</w:t>
      </w:r>
      <w:r w:rsidR="00C16309">
        <w:t xml:space="preserve"> </w:t>
      </w:r>
      <w:r w:rsidRPr="000209BC">
        <w:t>is etymologically equivalent to</w:t>
      </w:r>
      <w:r w:rsidR="00C16309">
        <w:t xml:space="preserve"> </w:t>
      </w:r>
      <w:r w:rsidRPr="000209BC">
        <w:rPr>
          <w:i/>
          <w:iCs/>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0209BC">
        <w:rPr>
          <w:i/>
          <w:iCs/>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0209BC">
        <w:rPr>
          <w:i/>
          <w:iCs/>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0209BC">
        <w:rPr>
          <w:i/>
          <w:iCs/>
        </w:rPr>
        <w:t>paññā</w:t>
      </w:r>
      <w:r w:rsidR="00C16309">
        <w:t xml:space="preserve"> </w:t>
      </w:r>
      <w:r w:rsidRPr="000209BC">
        <w:t>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lastRenderedPageBreak/>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 xml:space="preserve">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w:t>
      </w:r>
      <w:r w:rsidRPr="000209BC">
        <w:lastRenderedPageBreak/>
        <w:t>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0209BC">
        <w:rPr>
          <w:i/>
          <w:iCs/>
        </w:rPr>
        <w:t>nimitta</w:t>
      </w:r>
      <w:r w:rsidRPr="000209BC">
        <w:t>’. ‘Perceiving form internally’ refers to imagining a part of the body as the initial stage in developing a true samādhi</w:t>
      </w:r>
      <w:r w:rsidR="00C16309">
        <w:t xml:space="preserve"> </w:t>
      </w:r>
      <w:r w:rsidRPr="000209BC">
        <w:rPr>
          <w:i/>
          <w:iCs/>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 xml:space="preserve">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w:t>
      </w:r>
      <w:r w:rsidRPr="000209BC">
        <w:lastRenderedPageBreak/>
        <w:t>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 xml:space="preserve">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w:t>
      </w:r>
      <w:r w:rsidRPr="000209BC">
        <w:lastRenderedPageBreak/>
        <w:t>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 xml:space="preserve">‘Suppose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w:t>
      </w:r>
      <w:r w:rsidRPr="000209BC">
        <w:lastRenderedPageBreak/>
        <w:t>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0209BC">
        <w:rPr>
          <w:i/>
          <w:iCs/>
        </w:rPr>
        <w:t>ajjhatta</w:t>
      </w:r>
      <w:r w:rsidRPr="000209BC">
        <w:rPr>
          <w:rFonts w:ascii="Cambria" w:hAnsi="Cambria" w:cs="Cambria"/>
          <w:i/>
          <w:iCs/>
        </w:rPr>
        <w:t>ṁ</w:t>
      </w:r>
      <w:r w:rsidRPr="000209BC">
        <w:t>) is identical in both contexts, while the Buddhist usage of ‘external’ (</w:t>
      </w:r>
      <w:r w:rsidRPr="000209BC">
        <w:rPr>
          <w:i/>
          <w:iCs/>
        </w:rPr>
        <w:t>bahiddhā</w:t>
      </w:r>
      <w:r w:rsidRPr="000209BC">
        <w:t>) embraces both the ‘cosmic’ (</w:t>
      </w:r>
      <w:r w:rsidRPr="000209BC">
        <w:rPr>
          <w:i/>
          <w:iCs/>
        </w:rPr>
        <w:t>adhidaivata</w:t>
      </w:r>
      <w:r w:rsidRPr="000209BC">
        <w:rPr>
          <w:rFonts w:ascii="Cambria" w:hAnsi="Cambria" w:cs="Cambria"/>
          <w:i/>
          <w:iCs/>
        </w:rPr>
        <w:t>ṁ</w:t>
      </w:r>
      <w:r w:rsidRPr="000209BC">
        <w:t>) and the ‘objective’ (</w:t>
      </w:r>
      <w:r w:rsidRPr="000209BC">
        <w:rPr>
          <w:i/>
          <w:iCs/>
        </w:rPr>
        <w:t>adhibhūta</w:t>
      </w:r>
      <w:r w:rsidRPr="000209BC">
        <w:rPr>
          <w:rFonts w:ascii="Cambria" w:hAnsi="Cambria" w:cs="Cambria"/>
          <w:i/>
          <w:iCs/>
        </w:rPr>
        <w:t>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0209BC">
        <w:rPr>
          <w:i/>
          <w:iCs/>
        </w:rPr>
        <w:t>ekāyana magga</w:t>
      </w:r>
      <w:r w:rsidRPr="000209BC">
        <w:t>. The etymology is simple:</w:t>
      </w:r>
      <w:r w:rsidR="00C16309">
        <w:t xml:space="preserve"> </w:t>
      </w:r>
      <w:r w:rsidRPr="000209BC">
        <w:rPr>
          <w:i/>
          <w:iCs/>
        </w:rPr>
        <w:t>eka</w:t>
      </w:r>
      <w:r w:rsidR="00C16309">
        <w:t xml:space="preserve"> </w:t>
      </w:r>
      <w:r w:rsidRPr="000209BC">
        <w:t>means ‘one’;</w:t>
      </w:r>
      <w:r w:rsidR="00C16309">
        <w:t xml:space="preserve"> </w:t>
      </w:r>
      <w:r w:rsidRPr="000209BC">
        <w:rPr>
          <w:i/>
          <w:iCs/>
        </w:rPr>
        <w:t>ayana</w:t>
      </w:r>
      <w:r w:rsidR="00C16309">
        <w:t xml:space="preserve"> </w:t>
      </w:r>
      <w:r w:rsidRPr="000209BC">
        <w:t>means ‘going’; and</w:t>
      </w:r>
      <w:r w:rsidR="00C16309">
        <w:t xml:space="preserve"> </w:t>
      </w:r>
      <w:r w:rsidRPr="000209BC">
        <w:rPr>
          <w:i/>
          <w:iCs/>
        </w:rPr>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lastRenderedPageBreak/>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r w:rsidRPr="000209BC">
        <w:rPr>
          <w:i/>
          <w:iCs/>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0209BC">
        <w:rPr>
          <w:i/>
          <w:iCs/>
        </w:rPr>
        <w:t>ekāyana</w:t>
      </w:r>
      <w:r w:rsidR="00C16309">
        <w:t xml:space="preserve"> </w:t>
      </w:r>
      <w:r w:rsidRPr="000209BC">
        <w:t>as ‘the one and only way’ tell us more about the biases of the translators than about the meaning of the Pali.</w:t>
      </w:r>
    </w:p>
    <w:p w14:paraId="757AEE44" w14:textId="77777777"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yāna</w:t>
      </w:r>
      <w:r w:rsidRPr="000209BC">
        <w:t>; evidently the translator used this more familiar Mahāyāna term); SA 102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 xml:space="preserve">He cautions against any attempt to settle on a single concrete definition for such a term, which early on seemed to carry spiritual/mystical connotations, and is used in a variety of senses in the Brahmanical scriptures. The Chāndogya Upaniṣad lists the </w:t>
      </w:r>
      <w:r w:rsidRPr="000209BC">
        <w:lastRenderedPageBreak/>
        <w:t>‘Ekāyana’ as an ancient Brahmanical text, which according to the commentator dealt with</w:t>
      </w:r>
      <w:r w:rsidR="00C16309">
        <w:t xml:space="preserve"> </w:t>
      </w:r>
      <w:r w:rsidRPr="000209BC">
        <w:rPr>
          <w:i/>
          <w:iCs/>
        </w:rPr>
        <w:t>nītiśāstra</w:t>
      </w:r>
      <w:r w:rsidRPr="000209BC">
        <w:t>, ‘social ethics’ or ‘politics’; perhaps the idea here is that social policy leads to a unified society. Gethin notes that the non-Buddhist contexts for</w:t>
      </w:r>
      <w:r w:rsidR="00C16309">
        <w:t xml:space="preserve"> </w:t>
      </w:r>
      <w:r w:rsidRPr="000209BC">
        <w:rPr>
          <w:i/>
          <w:iCs/>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lastRenderedPageBreak/>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0209BC">
        <w:rPr>
          <w:i/>
          <w:iCs/>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0209BC">
        <w:rPr>
          <w:i/>
          <w:iCs/>
        </w:rPr>
        <w:t>ekāyana</w:t>
      </w:r>
      <w:r w:rsidR="00C16309">
        <w:t xml:space="preserve"> </w:t>
      </w:r>
      <w:r w:rsidRPr="000209BC">
        <w:rPr>
          <w:i/>
          <w:iCs/>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0209BC">
        <w:rPr>
          <w:i/>
          <w:iCs/>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0209BC">
        <w:rPr>
          <w:i/>
          <w:iCs/>
        </w:rPr>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0209BC">
        <w:rPr>
          <w:i/>
          <w:iCs/>
        </w:rPr>
        <w:t>ekāyana</w:t>
      </w:r>
      <w:r w:rsidR="00C16309">
        <w:t xml:space="preserve"> </w:t>
      </w:r>
      <w:r w:rsidRPr="000209BC">
        <w:t>passage; the ‘without’ passage; and the verses. ‘</w:t>
      </w:r>
      <w:r w:rsidRPr="000209BC">
        <w:rPr>
          <w:i/>
          <w:iCs/>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lastRenderedPageBreak/>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bhikkhu kāye kāyānupassī viharati</w:t>
      </w:r>
      <w:r w:rsidRPr="000209BC">
        <w:t>…) we have ‘should a monk abide contemplating a body in the body’ (</w:t>
      </w:r>
      <w:r w:rsidRPr="000209BC">
        <w:rPr>
          <w:i/>
          <w:iCs/>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0209BC">
        <w:rPr>
          <w:i/>
          <w:iCs/>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0209BC">
        <w:rPr>
          <w:i/>
          <w:iCs/>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na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t xml:space="preserve">The text listed as cognate by Akanuma here, SN 52.1, shares none of the special features of this text except for the setting. Instead, it mentions the </w:t>
      </w:r>
      <w:r w:rsidRPr="000209BC">
        <w:lastRenderedPageBreak/>
        <w:t>internal/external refrain, the rising and falling refrain, and perceiving the repulsive in the unrepulsive (etc.). Thus it replaces the samādhi emphasis of the Sarvāstivāda version with vipassanā.</w:t>
      </w:r>
    </w:p>
    <w:p w14:paraId="2966DD6C" w14:textId="12C622DA" w:rsidR="000209BC" w:rsidRPr="000209BC" w:rsidRDefault="000209BC" w:rsidP="002711B2">
      <w:pPr>
        <w:pStyle w:val="WW-paragraph"/>
      </w:pPr>
      <w:r w:rsidRPr="000209BC">
        <w:t>There is, then, a strong unity in the presentation of the</w:t>
      </w:r>
      <w:r w:rsidR="00C16309">
        <w:t xml:space="preserve"> </w:t>
      </w:r>
      <w:r w:rsidRPr="000209BC">
        <w:rPr>
          <w:i/>
          <w:iCs/>
        </w:rPr>
        <w:t>ekāyana</w:t>
      </w:r>
      <w:r w:rsidR="00C16309">
        <w:t xml:space="preserve"> </w:t>
      </w:r>
      <w:r w:rsidRPr="000209BC">
        <w:t>passage that we have seen so far. The two main doctrinal units (‘</w:t>
      </w:r>
      <w:r w:rsidRPr="000209BC">
        <w:rPr>
          <w:i/>
          <w:iCs/>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yukta. SA 607 presents the</w:t>
      </w:r>
      <w:r w:rsidR="00C16309">
        <w:rPr>
          <w:rFonts w:cs="Source Serif Pro"/>
        </w:rPr>
        <w:t xml:space="preserve"> </w:t>
      </w:r>
      <w:r w:rsidRPr="000209BC">
        <w:rPr>
          <w:i/>
          <w:iCs/>
        </w:rPr>
        <w:t>ekāyana</w:t>
      </w:r>
      <w:r w:rsidR="00C16309">
        <w:t xml:space="preserve"> </w:t>
      </w:r>
      <w:r w:rsidRPr="000209BC">
        <w:t>passage as a simple</w:t>
      </w:r>
      <w:r w:rsidR="00C16309">
        <w:t xml:space="preserve"> </w:t>
      </w:r>
      <w:r w:rsidRPr="000209BC">
        <w:rPr>
          <w:i/>
          <w:iCs/>
        </w:rPr>
        <w:t>sutta</w:t>
      </w:r>
      <w:r w:rsidR="00C16309">
        <w:t xml:space="preserve"> </w:t>
      </w:r>
      <w:r w:rsidRPr="000209BC">
        <w:t>at Sāvatthī, while the next</w:t>
      </w:r>
      <w:r w:rsidR="00C16309">
        <w:t xml:space="preserve"> </w:t>
      </w:r>
      <w:r w:rsidRPr="000209BC">
        <w:rPr>
          <w:i/>
          <w:iCs/>
        </w:rPr>
        <w:t>sutta</w:t>
      </w:r>
      <w:r w:rsidRPr="000209BC">
        <w:t>, SA 608,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0209BC">
        <w:rPr>
          <w:i/>
          <w:iCs/>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0209BC">
        <w:rPr>
          <w:i/>
          <w:iCs/>
        </w:rPr>
        <w:t>ekāyana</w:t>
      </w:r>
      <w:r w:rsidR="00C16309">
        <w:t xml:space="preserve"> </w:t>
      </w:r>
      <w:r w:rsidRPr="000209BC">
        <w:t xml:space="preserve">passage belongs here. 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0209BC">
        <w:rPr>
          <w:i/>
          <w:iCs/>
        </w:rPr>
        <w:t>ekāyana</w:t>
      </w:r>
      <w:r w:rsidR="00C16309">
        <w:t xml:space="preserve"> </w:t>
      </w:r>
      <w:r w:rsidRPr="000209BC">
        <w:t>discourse. Thus the</w:t>
      </w:r>
      <w:r w:rsidR="00C16309">
        <w:t xml:space="preserve"> </w:t>
      </w:r>
      <w:r w:rsidRPr="000209BC">
        <w:rPr>
          <w:i/>
          <w:iCs/>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0209BC">
        <w:rPr>
          <w:i/>
          <w:iCs/>
        </w:rPr>
        <w:t>ekāyana</w:t>
      </w:r>
      <w:r w:rsidR="00C16309">
        <w:t xml:space="preserve"> </w:t>
      </w:r>
      <w:r w:rsidRPr="000209BC">
        <w:t xml:space="preserve">discourse was a subsequent insertion at the beginning of the collection. If it had been situated later in the collection, as it is in the Sarvāstivāda, once the original setting was lost it would have been assumed that the setting was at Sāvatthī. But this, as so </w:t>
      </w:r>
      <w:r w:rsidRPr="000209BC">
        <w:lastRenderedPageBreak/>
        <w:t>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0209BC">
        <w:rPr>
          <w:i/>
          <w:iCs/>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0209BC">
        <w:rPr>
          <w:i/>
          <w:iCs/>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r w:rsidRPr="000209BC">
        <w:rPr>
          <w:i/>
          <w:iCs/>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 xml:space="preserve">The relevant passage </w:t>
      </w:r>
      <w:r w:rsidRPr="000209BC">
        <w:lastRenderedPageBreak/>
        <w:t>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lastRenderedPageBreak/>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0209BC">
        <w:rPr>
          <w:i/>
          <w:iCs/>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i/>
          <w:iCs/>
        </w:rPr>
        <w:t>samkalpa</w:t>
      </w:r>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vijñāna-ghana eva</w:t>
      </w:r>
      <w:r w:rsidRPr="000209BC">
        <w:t>). Having arisen out of these elements, one perishes back into them. When departed, there is no more perception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t>
      </w:r>
      <w:r w:rsidRPr="000209BC">
        <w:lastRenderedPageBreak/>
        <w:t>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 xml:space="preserve">The list of seen, heard, thought, and cognized (5) is presented in the same way in the </w:t>
      </w:r>
      <w:r w:rsidRPr="000209BC">
        <w:lastRenderedPageBreak/>
        <w:t>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0209BC">
        <w:rPr>
          <w:i/>
          <w:iCs/>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0209BC">
        <w:rPr>
          <w:i/>
          <w:iCs/>
        </w:rPr>
        <w:t>anantaro’bāhyaḥ, kṛtsnaḥ prajñānaghana eva</w:t>
      </w:r>
      <w:r w:rsidR="00973E96">
        <w:rPr>
          <w:rStyle w:val="FootnoteReference"/>
          <w:i/>
          <w:iCs/>
        </w:rPr>
        <w:footnoteReference w:id="304"/>
      </w:r>
      <w:r w:rsidRPr="000209BC">
        <w:t>). The internal/external reminds us of satipaṭṭhāna.</w:t>
      </w:r>
      <w:r w:rsidR="00C16309">
        <w:t xml:space="preserve"> </w:t>
      </w:r>
      <w:r w:rsidRPr="000209BC">
        <w:rPr>
          <w:i/>
          <w:iCs/>
        </w:rPr>
        <w:t>Kṛtsnaḥ</w:t>
      </w:r>
      <w:r w:rsidR="00C16309">
        <w:t xml:space="preserve"> </w:t>
      </w:r>
      <w:r w:rsidRPr="000209BC">
        <w:t>is the Pali</w:t>
      </w:r>
      <w:r w:rsidR="00C16309">
        <w:t xml:space="preserve"> </w:t>
      </w:r>
      <w:r w:rsidRPr="000209BC">
        <w:rPr>
          <w:i/>
          <w:iCs/>
        </w:rPr>
        <w:t>kasiṇa</w:t>
      </w:r>
      <w:r w:rsidRPr="000209BC">
        <w:t xml:space="preserve">, a well </w:t>
      </w:r>
      <w:r w:rsidRPr="000209BC">
        <w:lastRenderedPageBreak/>
        <w:t>known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0209BC">
        <w:rPr>
          <w:i/>
          <w:iCs/>
        </w:rPr>
        <w:t>kasiṇa</w:t>
      </w:r>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r w:rsidRPr="000209BC">
        <w:rPr>
          <w:i/>
          <w:iCs/>
        </w:rPr>
        <w:t>kasiṇa</w:t>
      </w:r>
      <w:r w:rsidR="00C16309">
        <w:t xml:space="preserve"> </w:t>
      </w:r>
      <w:r w:rsidRPr="000209BC">
        <w:t>is ‘above, below, across, non-dual, measureless’, which once again reminds us of the Upaniṣadic passage. This version substitutes</w:t>
      </w:r>
      <w:r w:rsidR="00C16309">
        <w:t xml:space="preserve"> </w:t>
      </w:r>
      <w:r w:rsidRPr="000209BC">
        <w:rPr>
          <w:i/>
          <w:iCs/>
        </w:rPr>
        <w:t>prajñāna</w:t>
      </w:r>
      <w:r w:rsidR="00C16309">
        <w:t xml:space="preserve"> </w:t>
      </w:r>
      <w:r w:rsidRPr="000209BC">
        <w:t>(‘understanding’) for the first version’s</w:t>
      </w:r>
      <w:r w:rsidR="00C16309">
        <w:t xml:space="preserve"> </w:t>
      </w:r>
      <w:r w:rsidRPr="000209BC">
        <w:rPr>
          <w:i/>
          <w:iCs/>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0209BC">
        <w:rPr>
          <w:i/>
          <w:iCs/>
        </w:rPr>
        <w:t>ekāyana</w:t>
      </w:r>
      <w:r w:rsidR="00C16309">
        <w:t xml:space="preserve"> </w:t>
      </w:r>
      <w:r w:rsidRPr="000209BC">
        <w:t>in the Suttas looks to the Brahmanical context, the central usage of</w:t>
      </w:r>
      <w:r w:rsidR="00C16309">
        <w:t xml:space="preserve"> </w:t>
      </w:r>
      <w:r w:rsidRPr="000209BC">
        <w:rPr>
          <w:i/>
          <w:iCs/>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0209BC">
        <w:rPr>
          <w:i/>
          <w:iCs/>
        </w:rPr>
        <w:t>ekāyana</w:t>
      </w:r>
      <w:r w:rsidR="00C16309">
        <w:t xml:space="preserve"> </w:t>
      </w:r>
      <w:r w:rsidRPr="000209BC">
        <w:t>drives home the centrality of this doctrine of Oneness. An</w:t>
      </w:r>
      <w:r w:rsidR="00C16309">
        <w:t xml:space="preserve"> </w:t>
      </w:r>
      <w:r w:rsidRPr="000209BC">
        <w:rPr>
          <w:i/>
          <w:iCs/>
        </w:rPr>
        <w:t>ekāyana</w:t>
      </w:r>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r w:rsidRPr="000209BC">
        <w:rPr>
          <w:i/>
          <w:iCs/>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0209BC">
        <w:rPr>
          <w:i/>
          <w:iCs/>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lastRenderedPageBreak/>
        <w:t>‘The mind (</w:t>
      </w:r>
      <w:r w:rsidRPr="000209BC">
        <w:rPr>
          <w:i/>
          <w:iCs/>
        </w:rPr>
        <w:t>citta</w:t>
      </w:r>
      <w:r w:rsidRPr="000209BC">
        <w:t>) is the convergence (</w:t>
      </w:r>
      <w:r w:rsidRPr="000209BC">
        <w:rPr>
          <w:i/>
          <w:iCs/>
        </w:rPr>
        <w:t>ekāyana</w:t>
      </w:r>
      <w:r w:rsidRPr="000209BC">
        <w:t>) of all these, mind is the self (</w:t>
      </w:r>
      <w:r w:rsidRPr="000209BC">
        <w:rPr>
          <w:i/>
          <w:iCs/>
        </w:rPr>
        <w:t>ātman</w:t>
      </w:r>
      <w:r w:rsidRPr="000209BC">
        <w:t>), mind is the foundation (</w:t>
      </w:r>
      <w:r w:rsidRPr="000209BC">
        <w:rPr>
          <w:i/>
          <w:iCs/>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0209BC">
        <w:rPr>
          <w:i/>
          <w:iCs/>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0209BC">
        <w:rPr>
          <w:i/>
          <w:iCs/>
        </w:rPr>
        <w:t>citta</w:t>
      </w:r>
      <w:r w:rsidRPr="000209BC">
        <w:t>,</w:t>
      </w:r>
      <w:r w:rsidR="00C16309">
        <w:t xml:space="preserve"> </w:t>
      </w:r>
      <w:r w:rsidRPr="000209BC">
        <w:rPr>
          <w:i/>
          <w:iCs/>
        </w:rPr>
        <w:t>ekāyana</w:t>
      </w:r>
      <w:r w:rsidRPr="000209BC">
        <w:t>,</w:t>
      </w:r>
      <w:r w:rsidR="00C16309">
        <w:t xml:space="preserve"> </w:t>
      </w:r>
      <w:r w:rsidRPr="000209BC">
        <w:rPr>
          <w:i/>
          <w:iCs/>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0209BC">
        <w:rPr>
          <w:i/>
          <w:iCs/>
        </w:rPr>
        <w:t>ekāyana</w:t>
      </w:r>
      <w:r w:rsidR="00C16309">
        <w:t xml:space="preserve"> </w:t>
      </w:r>
      <w:r w:rsidRPr="000209BC">
        <w:t>for the Brahmanical tradition is the convergence of the mind in samādhi. This accords with the etymology. The suffix -</w:t>
      </w:r>
      <w:r w:rsidRPr="000209BC">
        <w:rPr>
          <w:i/>
          <w:iCs/>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0209BC">
        <w:rPr>
          <w:i/>
          <w:iCs/>
        </w:rPr>
        <w:t>nara</w:t>
      </w:r>
      <w:r w:rsidR="00C16309">
        <w:rPr>
          <w:i/>
          <w:iCs/>
        </w:rPr>
        <w:t xml:space="preserve"> </w:t>
      </w:r>
      <w:r w:rsidRPr="000209BC">
        <w:t>and then he released his seed into them, therefore he is called ‘Narāyana’. Closer to home, the Pārāyana Vagga says: ‘This path goes to the beyond (</w:t>
      </w:r>
      <w:r w:rsidRPr="000209BC">
        <w:rPr>
          <w:i/>
          <w:iCs/>
        </w:rPr>
        <w:t>pāra</w:t>
      </w:r>
      <w:r w:rsidRPr="000209BC">
        <w:t>); therefore it is called “Pārāyana”.’ So</w:t>
      </w:r>
      <w:r w:rsidR="00C16309">
        <w:t xml:space="preserve"> </w:t>
      </w:r>
      <w:r w:rsidRPr="000209BC">
        <w:rPr>
          <w:i/>
          <w:iCs/>
        </w:rPr>
        <w:t>ekāyana</w:t>
      </w:r>
      <w:r w:rsidR="00C16309">
        <w:rPr>
          <w:i/>
          <w:iCs/>
        </w:rPr>
        <w:t xml:space="preserve"> </w:t>
      </w:r>
      <w:r w:rsidRPr="000209BC">
        <w:t>means ‘going to one’. This is the primary meaning that Gethin ends up with, which is the final of the commentarial readings (</w:t>
      </w:r>
      <w:r w:rsidRPr="000209BC">
        <w:rPr>
          <w:i/>
          <w:iCs/>
        </w:rPr>
        <w:t>eka</w:t>
      </w:r>
      <w:r w:rsidRPr="000209BC">
        <w:rPr>
          <w:rFonts w:ascii="Cambria" w:hAnsi="Cambria" w:cs="Cambria"/>
          <w:i/>
          <w:iCs/>
        </w:rPr>
        <w:t>ṁ</w:t>
      </w:r>
      <w:r w:rsidRPr="000209BC">
        <w:rPr>
          <w:i/>
          <w:iCs/>
        </w:rPr>
        <w:t xml:space="preserve"> ayati</w:t>
      </w:r>
      <w:r w:rsidRPr="000209BC">
        <w:t>).</w:t>
      </w:r>
    </w:p>
    <w:p w14:paraId="1EE385B6" w14:textId="2F911159" w:rsidR="000209BC" w:rsidRPr="000209BC" w:rsidRDefault="000209BC" w:rsidP="00E7468B">
      <w:pPr>
        <w:pStyle w:val="WW-paragraph"/>
      </w:pPr>
      <w:r w:rsidRPr="000209BC">
        <w:t xml:space="preserve">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w:t>
      </w:r>
      <w:r w:rsidRPr="000209BC">
        <w:lastRenderedPageBreak/>
        <w:t>‘one’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i/>
          <w:iCs/>
        </w:rPr>
        <w:t>ekaggatā</w:t>
      </w:r>
      <w:r w:rsidRPr="000209BC">
        <w:t>) and ‘unification’ (</w:t>
      </w:r>
      <w:r w:rsidRPr="000209BC">
        <w:rPr>
          <w:i/>
          <w:iCs/>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0209BC">
        <w:rPr>
          <w:i/>
          <w:iCs/>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0209BC">
        <w:rPr>
          <w:i/>
          <w:iCs/>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0209BC">
        <w:rPr>
          <w:i/>
          <w:iCs/>
        </w:rPr>
        <w:t>ekāyana</w:t>
      </w:r>
      <w:r w:rsidR="00C16309">
        <w:t xml:space="preserve"> </w:t>
      </w:r>
      <w:r w:rsidRPr="000209BC">
        <w:t xml:space="preserve">path. Although the Ekāyana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0209BC">
        <w:rPr>
          <w:i/>
          <w:iCs/>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lastRenderedPageBreak/>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i/>
          <w:iCs/>
        </w:rPr>
        <w:t>ñāyassa adhigamāya</w:t>
      </w:r>
      <w:r w:rsidRPr="000209BC">
        <w:t>) is vague, in Pali as well as in English. The term</w:t>
      </w:r>
      <w:r w:rsidR="00C16309">
        <w:t xml:space="preserve"> </w:t>
      </w:r>
      <w:r w:rsidRPr="000209BC">
        <w:rPr>
          <w:i/>
          <w:iCs/>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0209BC">
        <w:rPr>
          <w:i/>
          <w:iCs/>
        </w:rPr>
        <w:t>ñāya</w:t>
      </w:r>
      <w:r w:rsidR="00C16309">
        <w:t xml:space="preserve"> </w:t>
      </w:r>
      <w:r w:rsidRPr="000209BC">
        <w:t>is in the formula for recollection of the Sangha: ‘The Sangha of the Blessed One’s disciples has practiced well, practiced directly, practiced according to the way (</w:t>
      </w:r>
      <w:r w:rsidRPr="000209BC">
        <w:rPr>
          <w:i/>
          <w:iCs/>
        </w:rPr>
        <w:t>ñāya</w:t>
      </w:r>
      <w:r w:rsidRPr="000209BC">
        <w:t>), practiced properly.’ Here we are in the realm of practice, and this, rather than dependent origination, is where we should seek the meaning of</w:t>
      </w:r>
      <w:r w:rsidR="00C16309">
        <w:t xml:space="preserve"> </w:t>
      </w:r>
      <w:r w:rsidRPr="000209BC">
        <w:rPr>
          <w:i/>
          <w:iCs/>
        </w:rPr>
        <w:t>ñāya</w:t>
      </w:r>
      <w:r w:rsidR="00C16309">
        <w:t xml:space="preserve"> </w:t>
      </w:r>
      <w:r w:rsidRPr="000209BC">
        <w:t>in satipaṭṭhāna. The commentaries gloss</w:t>
      </w:r>
      <w:r w:rsidR="00C16309">
        <w:t xml:space="preserve"> </w:t>
      </w:r>
      <w:r w:rsidRPr="000209BC">
        <w:rPr>
          <w:i/>
          <w:iCs/>
        </w:rPr>
        <w:t>ñāya</w:t>
      </w:r>
      <w:r w:rsidR="00C16309">
        <w:t xml:space="preserve"> </w:t>
      </w:r>
      <w:r w:rsidRPr="000209BC">
        <w:t>here as ‘the noble eightfold path’. There are a whole series of texts that use the word</w:t>
      </w:r>
      <w:r w:rsidR="00C16309">
        <w:t xml:space="preserve"> </w:t>
      </w:r>
      <w:r w:rsidRPr="000209BC">
        <w:rPr>
          <w:i/>
          <w:iCs/>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 xml:space="preserve">These passages deal with the overall way of training, and all include samādhi. The most detailed context is in the Sandaka Sutta of the Majjhima. First the gradual training is taught, from the </w:t>
      </w:r>
      <w:r w:rsidRPr="000209BC">
        <w:lastRenderedPageBreak/>
        <w:t>appearance of the Tathāgata to the abandoning of hindrances; up to this stage the term</w:t>
      </w:r>
      <w:r w:rsidR="00C16309">
        <w:t xml:space="preserve"> </w:t>
      </w:r>
      <w:r w:rsidRPr="000209BC">
        <w:rPr>
          <w:i/>
          <w:iCs/>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i/>
          <w:iCs/>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0209BC">
        <w:rPr>
          <w:i/>
          <w:iCs/>
        </w:rPr>
        <w:t>ñāya</w:t>
      </w:r>
      <w:r w:rsidR="00C16309">
        <w:t xml:space="preserve"> </w:t>
      </w:r>
      <w:r w:rsidRPr="000209BC">
        <w:t>with</w:t>
      </w:r>
      <w:r w:rsidR="00C16309">
        <w:t xml:space="preserve"> </w:t>
      </w:r>
      <w:r w:rsidRPr="000209BC">
        <w:rPr>
          <w:i/>
          <w:iCs/>
        </w:rPr>
        <w:t>kusala</w:t>
      </w:r>
      <w:r w:rsidRPr="000209BC">
        <w:t>, ‘skilful’, is also relevant in the context of satipaṭṭhāna, for satipaṭṭhāna in the context of developing samādhi is said to be ‘for achieving the skilful’ (</w:t>
      </w:r>
      <w:r w:rsidRPr="000209BC">
        <w:rPr>
          <w:i/>
          <w:iCs/>
        </w:rPr>
        <w:t>kusalassadhigamāya</w:t>
      </w:r>
      <w:r w:rsidRPr="000209BC">
        <w:t>), just as it is said to be ‘for achieving the way’ (</w:t>
      </w:r>
      <w:r w:rsidRPr="000209BC">
        <w:rPr>
          <w:i/>
          <w:iCs/>
        </w:rPr>
        <w:t>ñāyassa</w:t>
      </w:r>
      <w:r w:rsidR="00C16309">
        <w:t xml:space="preserve"> </w:t>
      </w:r>
      <w:r w:rsidRPr="000209BC">
        <w:rPr>
          <w:i/>
          <w:iCs/>
        </w:rPr>
        <w:t>adhigamāya</w:t>
      </w:r>
      <w:r w:rsidRPr="000209BC">
        <w:t>).</w:t>
      </w:r>
      <w:r w:rsidR="000B55EC">
        <w:rPr>
          <w:rStyle w:val="FootnoteReference"/>
        </w:rPr>
        <w:footnoteReference w:id="310"/>
      </w:r>
      <w:r w:rsidR="00C16309">
        <w:t xml:space="preserve"> </w:t>
      </w:r>
      <w:r w:rsidRPr="000209BC">
        <w:t>Thus</w:t>
      </w:r>
      <w:r w:rsidR="00C16309">
        <w:t xml:space="preserve"> </w:t>
      </w:r>
      <w:r w:rsidRPr="000209BC">
        <w:rPr>
          <w:i/>
          <w:iCs/>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 xml:space="preserve">guttara are complementary collections of the shorter discourses, and the main doctrines are mostly </w:t>
      </w:r>
      <w:r w:rsidRPr="000209BC">
        <w:lastRenderedPageBreak/>
        <w:t>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i/>
          <w:iCs/>
        </w:rPr>
        <w:t>anussatiṭṭhāna</w:t>
      </w:r>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w:t>
      </w:r>
      <w:r w:rsidRPr="000209BC">
        <w:lastRenderedPageBreak/>
        <w:t xml:space="preserve">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lastRenderedPageBreak/>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r w:rsidRPr="000209BC">
        <w:rPr>
          <w:i/>
          <w:iCs/>
        </w:rPr>
        <w:t>vyākaraṇas</w:t>
      </w:r>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r w:rsidRPr="000209BC">
        <w:rPr>
          <w:i/>
          <w:iCs/>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r w:rsidRPr="000209BC">
        <w:rPr>
          <w:i/>
          <w:iCs/>
        </w:rPr>
        <w:t>vyākaraṇas.</w:t>
      </w:r>
      <w:r w:rsidR="00C16309">
        <w:t xml:space="preserve"> </w:t>
      </w:r>
      <w:r w:rsidRPr="000209BC">
        <w:t xml:space="preserve">We even have the </w:t>
      </w:r>
      <w:r w:rsidRPr="000209BC">
        <w:lastRenderedPageBreak/>
        <w:t>extra grace of three</w:t>
      </w:r>
      <w:r w:rsidR="00C16309">
        <w:t xml:space="preserve"> </w:t>
      </w:r>
      <w:r w:rsidRPr="000209BC">
        <w:rPr>
          <w:i/>
          <w:iCs/>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16"/>
        <w:gridCol w:w="140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r w:rsidRPr="000209BC">
        <w:rPr>
          <w:i/>
          <w:iCs/>
        </w:rPr>
        <w:t>geyyas</w:t>
      </w:r>
      <w:r w:rsidRPr="000209BC">
        <w:t>, and ten</w:t>
      </w:r>
      <w:r w:rsidR="00C16309">
        <w:t xml:space="preserve"> </w:t>
      </w:r>
      <w:r w:rsidRPr="000209BC">
        <w:rPr>
          <w:i/>
          <w:iCs/>
        </w:rPr>
        <w:t>vyākaraṇas</w:t>
      </w:r>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r w:rsidRPr="000209BC">
        <w:rPr>
          <w:i/>
          <w:iCs/>
        </w:rPr>
        <w:t>vyākaraṇas</w:t>
      </w:r>
      <w:r w:rsidRPr="000209BC">
        <w:t>, and a few</w:t>
      </w:r>
      <w:r w:rsidR="00C16309">
        <w:t xml:space="preserve"> </w:t>
      </w:r>
      <w:r w:rsidRPr="000209BC">
        <w:rPr>
          <w:i/>
          <w:iCs/>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43AE15EB" w:rsidR="000209BC" w:rsidRPr="000209BC" w:rsidRDefault="000209BC" w:rsidP="00435F86">
      <w:pPr>
        <w:pStyle w:val="WW-paragraph"/>
      </w:pPr>
      <w:r w:rsidRPr="000209BC">
        <w:rPr>
          <w:b/>
          <w:bCs/>
        </w:rPr>
        <w:lastRenderedPageBreak/>
        <w:t>SN 47.8/SA 616 The Cook:</w:t>
      </w:r>
      <w:r w:rsidR="00C16309">
        <w:t xml:space="preserve"> </w:t>
      </w:r>
      <w:r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Pr="000209BC">
        <w:rPr>
          <w:rFonts w:ascii="Times New Roman" w:hAnsi="Times New Roman"/>
        </w:rPr>
        <w:t>​</w:t>
      </w:r>
      <w:r w:rsidRPr="000209BC">
        <w:rPr>
          <w:rFonts w:cs="Source Serif Pro"/>
        </w:rPr>
        <w:t>—</w:t>
      </w:r>
      <w:r w:rsidRPr="000209BC">
        <w:rPr>
          <w:rFonts w:ascii="Times New Roman" w:hAnsi="Times New Roman"/>
        </w:rPr>
        <w:t>​</w:t>
      </w:r>
      <w:r w:rsidRPr="000209BC">
        <w:t>he enters sam</w:t>
      </w:r>
      <w:r w:rsidRPr="000209BC">
        <w:rPr>
          <w:rFonts w:cs="Source Serif Pro"/>
        </w:rPr>
        <w:t>ā</w:t>
      </w:r>
      <w:r w:rsidRPr="000209BC">
        <w:t>dhi and abandons defilements.</w:t>
      </w:r>
    </w:p>
    <w:p w14:paraId="415965BD" w14:textId="705AC924" w:rsidR="000209BC" w:rsidRPr="000209BC" w:rsidRDefault="000209BC" w:rsidP="00435F86">
      <w:pPr>
        <w:pStyle w:val="WW-paragraph"/>
      </w:pPr>
      <w:r w:rsidRPr="000209BC">
        <w:rPr>
          <w:b/>
          <w:bCs/>
        </w:rPr>
        <w:t>SN 47.6/SA 617 The Hawk:</w:t>
      </w:r>
      <w:r w:rsidR="00C16309">
        <w:t xml:space="preserve"> </w:t>
      </w:r>
      <w:r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6142F463" w:rsidR="000209BC" w:rsidRPr="000209BC" w:rsidRDefault="000209BC" w:rsidP="00435F86">
      <w:pPr>
        <w:pStyle w:val="WW-paragraph"/>
      </w:pPr>
      <w:r w:rsidRPr="000209BC">
        <w:rPr>
          <w:b/>
          <w:bCs/>
        </w:rPr>
        <w:t>SN 47.19/SA 619 Sedaka:</w:t>
      </w:r>
      <w:r w:rsidR="00C16309">
        <w:t xml:space="preserve"> </w:t>
      </w:r>
      <w:r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68C16DCE" w:rsidR="000209BC" w:rsidRPr="000209BC" w:rsidRDefault="000209BC" w:rsidP="00435F86">
      <w:pPr>
        <w:pStyle w:val="WW-paragraph"/>
      </w:pPr>
      <w:r w:rsidRPr="000209BC">
        <w:rPr>
          <w:b/>
          <w:bCs/>
        </w:rPr>
        <w:t>SN 47.7/SA 620 The Monkey:</w:t>
      </w:r>
      <w:r w:rsidR="00C16309">
        <w:t xml:space="preserve"> </w:t>
      </w:r>
      <w:r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Pr="000209BC">
        <w:lastRenderedPageBreak/>
        <w:t>description of the foolish monk who goes into town with senses unrestrained.</w:t>
      </w:r>
    </w:p>
    <w:p w14:paraId="3F0D94AE" w14:textId="76DC6CB2" w:rsidR="000209BC" w:rsidRPr="000209BC" w:rsidRDefault="000209BC" w:rsidP="00435F86">
      <w:pPr>
        <w:pStyle w:val="WW-paragraph"/>
      </w:pPr>
      <w:r w:rsidRPr="000209BC">
        <w:rPr>
          <w:b/>
          <w:bCs/>
        </w:rPr>
        <w:t>SN 47.20/SA 623: The Most Beautiful Girl in the Land:</w:t>
      </w:r>
      <w:r w:rsidR="00C16309">
        <w:t xml:space="preserve"> </w:t>
      </w:r>
      <w:r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Pr="000209BC">
        <w:rPr>
          <w:i/>
          <w:iCs/>
        </w:rPr>
        <w:t>vyākaraṇa</w:t>
      </w:r>
      <w:r w:rsidRPr="000209BC">
        <w:t>. The Pali is anomalous in that it mentions ‘mindfulness of the body’, and is the only text in the Satipaṭṭhāna-sa</w:t>
      </w:r>
      <w:r w:rsidRPr="000209BC">
        <w:rPr>
          <w:rFonts w:ascii="Cambria" w:hAnsi="Cambria" w:cs="Cambria"/>
        </w:rPr>
        <w:t>ṁ</w:t>
      </w:r>
      <w:r w:rsidRPr="000209BC">
        <w:t>yutta to omit the satipa</w:t>
      </w:r>
      <w:r w:rsidRPr="000209BC">
        <w:rPr>
          <w:rFonts w:cs="Source Serif Pro"/>
        </w:rPr>
        <w:t>ṭṭ</w:t>
      </w:r>
      <w:r w:rsidRPr="000209BC">
        <w:t>h</w:t>
      </w:r>
      <w:r w:rsidRPr="000209BC">
        <w:rPr>
          <w:rFonts w:cs="Source Serif Pro"/>
        </w:rPr>
        <w:t>ā</w:t>
      </w:r>
      <w:r w:rsidRPr="000209BC">
        <w:t>nas. SA, on the other hand, does include the four satipa</w:t>
      </w:r>
      <w:r w:rsidRPr="000209BC">
        <w:rPr>
          <w:rFonts w:cs="Source Serif Pro"/>
        </w:rPr>
        <w:t>ṭṭ</w:t>
      </w:r>
      <w:r w:rsidRPr="000209BC">
        <w:t>h</w:t>
      </w:r>
      <w:r w:rsidRPr="000209BC">
        <w:rPr>
          <w:rFonts w:cs="Source Serif Pro"/>
        </w:rPr>
        <w:t>ā</w:t>
      </w:r>
      <w:r w:rsidRPr="000209BC">
        <w:t xml:space="preserve">nas. It also adds some verses, which mention the pot of oil and encourage concentration. Another difference is that the </w:t>
      </w:r>
      <w:r w:rsidRPr="00FF2DC3">
        <w:t>Theravāda</w:t>
      </w:r>
      <w:r w:rsidRPr="000209BC">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hAnsi="Cambria" w:cs="Cambria"/>
        </w:rPr>
        <w:t>ṁ</w:t>
      </w:r>
      <w:r w:rsidRPr="000209BC">
        <w:t>yukta. The Sarv</w:t>
      </w:r>
      <w:r w:rsidRPr="000209BC">
        <w:rPr>
          <w:rFonts w:cs="Source Serif Pro"/>
        </w:rPr>
        <w:t>ā</w:t>
      </w:r>
      <w:r w:rsidRPr="000209BC">
        <w:t>stiv</w:t>
      </w:r>
      <w:r w:rsidRPr="000209BC">
        <w:rPr>
          <w:rFonts w:cs="Source Serif Pro"/>
        </w:rPr>
        <w:t>ā</w:t>
      </w:r>
      <w:r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0209BC">
        <w:rPr>
          <w:i/>
          <w:iCs/>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0C15D781" w:rsidR="000209BC" w:rsidRPr="000209BC" w:rsidRDefault="000209BC" w:rsidP="00435F86">
      <w:pPr>
        <w:pStyle w:val="WW-paragraph"/>
      </w:pPr>
      <w:r w:rsidRPr="000209BC">
        <w:lastRenderedPageBreak/>
        <w:t>SN 47.9 ‘Ill’ tells the moving story of the Buddha’s illness shortly before his passing away.</w:t>
      </w:r>
      <w:r w:rsidR="000B55EC">
        <w:rPr>
          <w:rStyle w:val="FootnoteReference"/>
        </w:rPr>
        <w:footnoteReference w:id="319"/>
      </w:r>
      <w:r w:rsidR="00C16309">
        <w:t xml:space="preserve"> </w:t>
      </w:r>
      <w:r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69C4EDA2" w:rsidR="000209BC" w:rsidRPr="000209BC" w:rsidRDefault="000209BC" w:rsidP="00435F86">
      <w:pPr>
        <w:pStyle w:val="WW-paragraph"/>
      </w:pPr>
      <w:r w:rsidRPr="000209BC">
        <w:t>SN 47.11–14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they are merely mentioned in passing</w:t>
      </w:r>
      <w:r w:rsidRPr="000209BC">
        <w:rPr>
          <w:rFonts w:ascii="Times New Roman" w:hAnsi="Times New Roman"/>
        </w:rPr>
        <w:t>​</w:t>
      </w:r>
      <w:r w:rsidRPr="000209BC">
        <w:rPr>
          <w:rFonts w:cs="Source Serif Pro"/>
        </w:rPr>
        <w:t>—</w:t>
      </w:r>
      <w:r w:rsidRPr="000209BC">
        <w:rPr>
          <w:rFonts w:ascii="Times New Roman" w:hAnsi="Times New Roman"/>
        </w:rPr>
        <w:t>​</w:t>
      </w:r>
      <w:r w:rsidRPr="000209BC">
        <w:t>so it is not surprising to find that the Sarv</w:t>
      </w:r>
      <w:r w:rsidRPr="000209BC">
        <w:rPr>
          <w:rFonts w:cs="Source Serif Pro"/>
        </w:rPr>
        <w:t>ā</w:t>
      </w:r>
      <w:r w:rsidRPr="000209BC">
        <w:t>stiv</w:t>
      </w:r>
      <w:r w:rsidRPr="000209BC">
        <w:rPr>
          <w:rFonts w:cs="Source Serif Pro"/>
        </w:rPr>
        <w:t>ā</w:t>
      </w:r>
      <w:r w:rsidRPr="000209BC">
        <w:t>da preferred to allocate this text to their S</w:t>
      </w:r>
      <w:r w:rsidRPr="000209BC">
        <w:rPr>
          <w:rFonts w:cs="Source Serif Pro"/>
        </w:rPr>
        <w:t>ā</w:t>
      </w:r>
      <w:r w:rsidRPr="000209BC">
        <w:t>riputta-sa</w:t>
      </w:r>
      <w:r w:rsidRPr="000209BC">
        <w:rPr>
          <w:rFonts w:ascii="Cambria" w:hAnsi="Cambria" w:cs="Cambria"/>
        </w:rPr>
        <w:t>ṁ</w:t>
      </w:r>
      <w:r w:rsidRPr="000209BC">
        <w:t xml:space="preserve">yutta. The episode is found in the </w:t>
      </w:r>
      <w:r w:rsidRPr="00FF2DC3">
        <w:lastRenderedPageBreak/>
        <w:t>Theravāda</w:t>
      </w:r>
      <w:r w:rsidRPr="000209BC">
        <w:t xml:space="preserve"> Mah</w:t>
      </w:r>
      <w:r w:rsidRPr="000209BC">
        <w:rPr>
          <w:rFonts w:cs="Source Serif Pro"/>
        </w:rPr>
        <w:t>ā</w:t>
      </w:r>
      <w:r w:rsidRPr="000209BC">
        <w:t xml:space="preserve"> Parinibb</w:t>
      </w:r>
      <w:r w:rsidRPr="000209BC">
        <w:rPr>
          <w:rFonts w:cs="Source Serif Pro"/>
        </w:rPr>
        <w:t>ā</w:t>
      </w:r>
      <w:r w:rsidRPr="000209BC">
        <w:t>na Sutta, but not in the Sarv</w:t>
      </w:r>
      <w:r w:rsidRPr="000209BC">
        <w:rPr>
          <w:rFonts w:cs="Source Serif Pro"/>
        </w:rPr>
        <w:t>ā</w:t>
      </w:r>
      <w:r w:rsidRPr="000209BC">
        <w:t>stiv</w:t>
      </w:r>
      <w:r w:rsidRPr="000209BC">
        <w:rPr>
          <w:rFonts w:cs="Source Serif Pro"/>
        </w:rPr>
        <w:t>ā</w:t>
      </w:r>
      <w:r w:rsidRPr="000209BC">
        <w:t>da or the Dharmaguptaka versions of that text</w:t>
      </w:r>
      <w:r w:rsidR="000B55EC">
        <w:rPr>
          <w:rStyle w:val="FootnoteReference"/>
        </w:rPr>
        <w:footnoteReference w:id="321"/>
      </w:r>
      <w:r w:rsidRPr="000209BC">
        <w:t>.</w:t>
      </w:r>
      <w:r w:rsidR="00C16309">
        <w:rPr>
          <w:rFonts w:cs="Source Serif Pro"/>
        </w:rPr>
        <w:t xml:space="preserve"> </w:t>
      </w:r>
      <w:r w:rsidRPr="000209BC">
        <w:t>It also forms the kernel for the much longer dialogue in the Sampas</w:t>
      </w:r>
      <w:r w:rsidRPr="000209BC">
        <w:rPr>
          <w:rFonts w:cs="Source Serif Pro"/>
        </w:rPr>
        <w:t>ā</w:t>
      </w:r>
      <w:r w:rsidRPr="000209BC">
        <w:t>dan</w:t>
      </w:r>
      <w:r w:rsidRPr="000209BC">
        <w:rPr>
          <w:rFonts w:cs="Source Serif Pro"/>
        </w:rPr>
        <w:t>ī</w:t>
      </w:r>
      <w:r w:rsidRPr="000209BC">
        <w:t>ya Sutta.</w:t>
      </w:r>
      <w:r w:rsidR="000B55EC">
        <w:rPr>
          <w:rStyle w:val="FootnoteReference"/>
        </w:rPr>
        <w:footnoteReference w:id="322"/>
      </w:r>
    </w:p>
    <w:p w14:paraId="3A878B31" w14:textId="77777777" w:rsidR="000209BC" w:rsidRPr="000209BC" w:rsidRDefault="000209BC" w:rsidP="00435F86">
      <w:pPr>
        <w:pStyle w:val="WW-paragraph"/>
      </w:pPr>
      <w:r w:rsidRPr="000209BC">
        <w:t xml:space="preserve">SN 47.13/ SA 638, the next text in the </w:t>
      </w:r>
      <w:r w:rsidRPr="00FF2DC3">
        <w:t>Theravāda</w:t>
      </w:r>
      <w:r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Pr="000209BC">
        <w:rPr>
          <w:rFonts w:ascii="Times New Roman" w:hAnsi="Times New Roman"/>
        </w:rPr>
        <w:t>​</w:t>
      </w:r>
      <w:r w:rsidRPr="000209BC">
        <w:rPr>
          <w:rFonts w:cs="Source Serif Pro"/>
        </w:rPr>
        <w:t>—</w:t>
      </w:r>
      <w:r w:rsidRPr="000209BC">
        <w:rPr>
          <w:rFonts w:ascii="Times New Roman" w:hAnsi="Times New Roman"/>
        </w:rPr>
        <w:t>​</w:t>
      </w:r>
      <w:r w:rsidRPr="000209BC">
        <w:t>said by the commentary to be Venerable S</w:t>
      </w:r>
      <w:r w:rsidRPr="000209BC">
        <w:rPr>
          <w:rFonts w:cs="Source Serif Pro"/>
        </w:rPr>
        <w:t>ā</w:t>
      </w:r>
      <w:r w:rsidRPr="000209BC">
        <w:t>riputta</w:t>
      </w:r>
      <w:r w:rsidRPr="000209BC">
        <w:rPr>
          <w:rFonts w:cs="Source Serif Pro"/>
        </w:rPr>
        <w:t>’</w:t>
      </w:r>
      <w:r w:rsidRPr="000209BC">
        <w:t>s younger brother</w:t>
      </w:r>
      <w:r w:rsidRPr="000209BC">
        <w:rPr>
          <w:rFonts w:ascii="Times New Roman" w:hAnsi="Times New Roman"/>
        </w:rPr>
        <w:t>​</w:t>
      </w:r>
      <w:r w:rsidRPr="000209BC">
        <w:rPr>
          <w:rFonts w:cs="Source Serif Pro"/>
        </w:rPr>
        <w:t>—</w:t>
      </w:r>
      <w:r w:rsidRPr="000209BC">
        <w:rPr>
          <w:rFonts w:ascii="Times New Roman" w:hAnsi="Times New Roman"/>
        </w:rPr>
        <w:t>​</w:t>
      </w:r>
      <w:r w:rsidRPr="000209BC">
        <w:t>was his attendant during his illness. On his passing away, he took Venerable S</w:t>
      </w:r>
      <w:r w:rsidRPr="000209BC">
        <w:rPr>
          <w:rFonts w:cs="Source Serif Pro"/>
        </w:rPr>
        <w:t>ā</w:t>
      </w:r>
      <w:r w:rsidRPr="000209BC">
        <w:t>riputta</w:t>
      </w:r>
      <w:r w:rsidRPr="000209BC">
        <w:rPr>
          <w:rFonts w:cs="Source Serif Pro"/>
        </w:rPr>
        <w:t>’</w:t>
      </w:r>
      <w:r w:rsidRPr="000209BC">
        <w:t xml:space="preserve">s bowl and robes and went to where the Buddha was staying. The </w:t>
      </w:r>
      <w:r w:rsidRPr="00FF2DC3">
        <w:t>Theravāda</w:t>
      </w:r>
      <w:r w:rsidRPr="000209BC">
        <w:t xml:space="preserve"> says he was at Sāvatthī, which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S</w:t>
      </w:r>
      <w:r w:rsidRPr="000209BC">
        <w:rPr>
          <w:rFonts w:cs="Source Serif Pro"/>
        </w:rPr>
        <w:t>ā</w:t>
      </w:r>
      <w:r w:rsidRPr="000209BC">
        <w:t>vatth</w:t>
      </w:r>
      <w:r w:rsidRPr="000209BC">
        <w:rPr>
          <w:rFonts w:cs="Source Serif Pro"/>
        </w:rPr>
        <w:t>ī</w:t>
      </w:r>
      <w:r w:rsidRPr="000209BC">
        <w:t xml:space="preserve"> is 200</w:t>
      </w:r>
      <w:r w:rsidRPr="000209BC">
        <w:rPr>
          <w:rFonts w:ascii="Times New Roman" w:hAnsi="Times New Roman"/>
        </w:rPr>
        <w:t> </w:t>
      </w:r>
      <w:r w:rsidRPr="000209BC">
        <w:t>km to the north-west, and it is inconceivable that the Buddha made such an extravagant detour in his last, feeble, journey, a detour attested in no other text. The Sarv</w:t>
      </w:r>
      <w:r w:rsidRPr="000209BC">
        <w:rPr>
          <w:rFonts w:cs="Source Serif Pro"/>
        </w:rPr>
        <w:t>ā</w:t>
      </w:r>
      <w:r w:rsidRPr="000209BC">
        <w:t>stiv</w:t>
      </w:r>
      <w:r w:rsidRPr="000209BC">
        <w:rPr>
          <w:rFonts w:cs="Source Serif Pro"/>
        </w:rPr>
        <w:t>ā</w:t>
      </w:r>
      <w:r w:rsidRPr="000209BC">
        <w:t>da says the Buddha was staying in R</w:t>
      </w:r>
      <w:r w:rsidRPr="000209BC">
        <w:rPr>
          <w:rFonts w:cs="Source Serif Pro"/>
        </w:rPr>
        <w:t>ā</w:t>
      </w:r>
      <w:r w:rsidRPr="000209BC">
        <w:t>jagaha, at the Ve</w:t>
      </w:r>
      <w:r w:rsidRPr="000209BC">
        <w:rPr>
          <w:rFonts w:cs="Source Serif Pro"/>
        </w:rPr>
        <w:t>ḷ</w:t>
      </w:r>
      <w:r w:rsidRPr="000209BC">
        <w:t>uvana. But this is little better, for the Mah</w:t>
      </w:r>
      <w:r w:rsidRPr="000209BC">
        <w:rPr>
          <w:rFonts w:cs="Source Serif Pro"/>
        </w:rPr>
        <w:t>ā</w:t>
      </w:r>
      <w:r w:rsidRPr="000209BC">
        <w:t xml:space="preserve"> Parinibb</w:t>
      </w:r>
      <w:r w:rsidRPr="000209BC">
        <w:rPr>
          <w:rFonts w:cs="Source Serif Pro"/>
        </w:rPr>
        <w:t>ā</w:t>
      </w:r>
      <w:r w:rsidRPr="000209BC">
        <w:t>na Sutta says that S</w:t>
      </w:r>
      <w:r w:rsidRPr="000209BC">
        <w:rPr>
          <w:rFonts w:cs="Source Serif Pro"/>
        </w:rPr>
        <w:t>ā</w:t>
      </w:r>
      <w:r w:rsidRPr="000209BC">
        <w:t>riputta visited the Buddha in N</w:t>
      </w:r>
      <w:r w:rsidRPr="000209BC">
        <w:rPr>
          <w:rFonts w:cs="Source Serif Pro"/>
        </w:rPr>
        <w:t>āḷ</w:t>
      </w:r>
      <w:r w:rsidRPr="000209BC">
        <w:t>and</w:t>
      </w:r>
      <w:r w:rsidRPr="000209BC">
        <w:rPr>
          <w:rFonts w:cs="Source Serif Pro"/>
        </w:rPr>
        <w:t>ā</w:t>
      </w:r>
      <w:r w:rsidRPr="000209BC">
        <w:t>, after he had already taken the north road from R</w:t>
      </w:r>
      <w:r w:rsidRPr="000209BC">
        <w:rPr>
          <w:rFonts w:cs="Source Serif Pro"/>
        </w:rPr>
        <w:t>ā</w:t>
      </w:r>
      <w:r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Pr="000209BC">
        <w:lastRenderedPageBreak/>
        <w:t>refuge.’ One does this through the practice of satipaṭṭhāna. This is much like the Mahā Parinibbāna Sutta, and it is surprising that this text finds no place in that narrative.</w:t>
      </w:r>
    </w:p>
    <w:p w14:paraId="7CF3B715" w14:textId="406A2B43" w:rsidR="000209BC" w:rsidRPr="000209BC" w:rsidRDefault="000209BC" w:rsidP="00435F86">
      <w:pPr>
        <w:pStyle w:val="WW-paragraph"/>
      </w:pPr>
      <w:r w:rsidRPr="000209BC">
        <w:t xml:space="preserve">This text forms a pair with SN 47.14/SA 639,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0209BC">
        <w:rPr>
          <w:i/>
          <w:iCs/>
        </w:rPr>
        <w:t>avadāna</w:t>
      </w:r>
      <w:r w:rsidRPr="000209BC">
        <w:t>. Next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83B1375" w:rsidR="000209BC" w:rsidRPr="000209BC" w:rsidRDefault="000209BC" w:rsidP="00435F86">
      <w:pPr>
        <w:pStyle w:val="WW-paragraph"/>
      </w:pPr>
      <w:r w:rsidRPr="000209BC">
        <w:t>These narratives enrich and inform the presentation of satipaṭṭhāna, contextualizing the abstract meditation formula within the drama of life and death. Another discourse also emphasizes satipaṭṭhāna in the context of death. This discourse, SN 47.30/SA 1038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0209BC">
        <w:rPr>
          <w:i/>
          <w:iCs/>
        </w:rPr>
        <w:t>bhūta</w:t>
      </w:r>
      <w:r w:rsidRPr="000209BC">
        <w:t>) and ‘conditioned’ (</w:t>
      </w:r>
      <w:r w:rsidRPr="000209BC">
        <w:rPr>
          <w:i/>
          <w:iCs/>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77777777" w:rsidR="000209BC" w:rsidRPr="000209BC" w:rsidRDefault="000209BC" w:rsidP="00742073">
      <w:pPr>
        <w:pStyle w:val="WW-paragraph"/>
      </w:pPr>
      <w:r w:rsidRPr="000209BC">
        <w:t xml:space="preserve">Further light on this is shed by SN 47.35,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SA 637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77777777" w:rsidR="000209BC" w:rsidRPr="000209BC" w:rsidRDefault="000209BC" w:rsidP="00742073">
      <w:pPr>
        <w:pStyle w:val="WW-paragraph"/>
      </w:pPr>
      <w:r w:rsidRPr="000209BC">
        <w:t xml:space="preserve">SN 47.35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0209BC">
        <w:rPr>
          <w:i/>
          <w:iCs/>
        </w:rPr>
        <w:t>dhamme ñāṇa</w:t>
      </w:r>
      <w:r w:rsidRPr="000209BC">
        <w:rPr>
          <w:rFonts w:ascii="Cambria" w:hAnsi="Cambria" w:cs="Cambria"/>
          <w:i/>
          <w:iCs/>
        </w:rPr>
        <w:t>ṁ</w:t>
      </w:r>
      <w:r w:rsidR="00C16309">
        <w:t xml:space="preserve"> </w:t>
      </w:r>
      <w:r w:rsidRPr="000209BC">
        <w:t>(knowledge regarding phenomena), but not</w:t>
      </w:r>
      <w:r w:rsidR="00C16309">
        <w:t xml:space="preserve"> </w:t>
      </w:r>
      <w:r w:rsidRPr="000209BC">
        <w:rPr>
          <w:i/>
          <w:iCs/>
        </w:rPr>
        <w:t>anvaye ñāṇa</w:t>
      </w:r>
      <w:r w:rsidRPr="000209BC">
        <w:rPr>
          <w:rFonts w:ascii="Cambria" w:hAnsi="Cambria" w:cs="Cambria"/>
          <w:i/>
          <w:iCs/>
        </w:rPr>
        <w:t>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w:t>
      </w:r>
      <w:r w:rsidRPr="000209BC">
        <w:lastRenderedPageBreak/>
        <w:t>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0209BC">
        <w:rPr>
          <w:i/>
          <w:iCs/>
        </w:rPr>
        <w:t>abbhūtadhamma</w:t>
      </w:r>
      <w:r w:rsidRPr="000209BC">
        <w:t>); and in the Aṅguttara in the context of the</w:t>
      </w:r>
      <w:r w:rsidR="00C16309">
        <w:t xml:space="preserve"> </w:t>
      </w:r>
      <w:r w:rsidRPr="000209BC">
        <w:rPr>
          <w:i/>
          <w:iCs/>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77777777"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SN 47.40 Vibha</w:t>
      </w:r>
      <w:r w:rsidRPr="000209BC">
        <w:rPr>
          <w:rFonts w:cs="Source Serif Pro"/>
        </w:rPr>
        <w:t>ṅ</w:t>
      </w:r>
      <w:r w:rsidRPr="000209BC">
        <w:t>ga and SN 47.42/SA 609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0209BC">
        <w:rPr>
          <w:i/>
          <w:iCs/>
        </w:rPr>
        <w:t>desanā</w:t>
      </w:r>
      <w:r w:rsidRPr="000209BC">
        <w:t>) in brief is contrasted with ‘analysis’ (</w:t>
      </w:r>
      <w:r w:rsidRPr="000209BC">
        <w:rPr>
          <w:i/>
          <w:iCs/>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yutta. Several other vibha</w:t>
      </w:r>
      <w:r w:rsidRPr="000209BC">
        <w:rPr>
          <w:rFonts w:cs="Source Serif Pro"/>
        </w:rPr>
        <w:t>ṅ</w:t>
      </w:r>
      <w:r w:rsidRPr="000209BC">
        <w:t>gas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These are distinguished from the vibhaṅgas left in the Sa</w:t>
      </w:r>
      <w:r w:rsidRPr="000209BC">
        <w:rPr>
          <w:rFonts w:ascii="Cambria" w:hAnsi="Cambria" w:cs="Cambria"/>
        </w:rPr>
        <w:t>ṁ</w:t>
      </w:r>
      <w:r w:rsidRPr="000209BC">
        <w:t>yutta by length: the shorter vibha</w:t>
      </w:r>
      <w:r w:rsidRPr="000209BC">
        <w:rPr>
          <w:rFonts w:cs="Source Serif Pro"/>
        </w:rPr>
        <w:t>ṅ</w:t>
      </w:r>
      <w:r w:rsidRPr="000209BC">
        <w:t>gas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4A5E604C"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0209BC">
        <w:rPr>
          <w:i/>
          <w:iCs/>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0209BC">
        <w:rPr>
          <w:i/>
          <w:iCs/>
        </w:rPr>
        <w:t>desanā</w:t>
      </w:r>
      <w:r w:rsidRPr="000209BC">
        <w:t>).</w:t>
      </w:r>
      <w:r w:rsidR="00302E1E">
        <w:rPr>
          <w:rStyle w:val="FootnoteReference"/>
        </w:rPr>
        <w:footnoteReference w:id="334"/>
      </w:r>
      <w:r w:rsidR="00C16309">
        <w:t xml:space="preserve"> </w:t>
      </w:r>
      <w:r w:rsidRPr="000209BC">
        <w:t>It starts off with the Buddha saying: ‘Monks, I will teach you the development of the four satipaṭṭhānas.’ The discourse merely gives the basic satipaṭṭhāna formula and says this is the development of the four satipaṭṭhānas. The closest Sarvāstivāda cognate to this, SA 610,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0209BC">
        <w:rPr>
          <w:i/>
          <w:iCs/>
        </w:rPr>
        <w:t>viññāṇa</w:t>
      </w:r>
      <w:r w:rsidRPr="000209BC">
        <w:t>), rather than ‘mind’ (</w:t>
      </w:r>
      <w:r w:rsidRPr="000209BC">
        <w:rPr>
          <w:i/>
          <w:iCs/>
        </w:rPr>
        <w:t>citta</w:t>
      </w:r>
      <w:r w:rsidRPr="000209BC">
        <w:t>). Obviously here</w:t>
      </w:r>
      <w:r w:rsidR="00C16309">
        <w:t xml:space="preserve"> </w:t>
      </w:r>
      <w:r w:rsidRPr="000209BC">
        <w:rPr>
          <w:i/>
          <w:iCs/>
        </w:rPr>
        <w:t>citta</w:t>
      </w:r>
      <w:r w:rsidR="00C16309">
        <w:t xml:space="preserve"> </w:t>
      </w:r>
      <w:r w:rsidRPr="000209BC">
        <w:t>and</w:t>
      </w:r>
      <w:r w:rsidR="00C16309">
        <w:t xml:space="preserve"> </w:t>
      </w:r>
      <w:r w:rsidRPr="000209BC">
        <w:rPr>
          <w:i/>
          <w:iCs/>
        </w:rPr>
        <w:t>viññāṇa</w:t>
      </w:r>
      <w:r w:rsidR="00C16309">
        <w:t xml:space="preserve"> </w:t>
      </w:r>
      <w:r w:rsidRPr="000209BC">
        <w:t>are synonyms; but why does this terminological shift occur here? Typically,</w:t>
      </w:r>
      <w:r w:rsidR="00C16309">
        <w:t xml:space="preserve"> </w:t>
      </w:r>
      <w:r w:rsidRPr="000209BC">
        <w:rPr>
          <w:i/>
          <w:iCs/>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0209BC">
        <w:rPr>
          <w:i/>
          <w:iCs/>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0209BC">
        <w:rPr>
          <w:i/>
          <w:iCs/>
        </w:rPr>
        <w:t>adhicitta</w:t>
      </w:r>
      <w:r w:rsidRPr="000209BC">
        <w:t>), ‘endowment with mind’ (</w:t>
      </w:r>
      <w:r w:rsidRPr="000209BC">
        <w:rPr>
          <w:i/>
          <w:iCs/>
        </w:rPr>
        <w:t>cittasampadā</w:t>
      </w:r>
      <w:r w:rsidRPr="000209BC">
        <w:t xml:space="preserve">), etc. It is therefore treated under the fourth noble truth, and is </w:t>
      </w:r>
      <w:r w:rsidRPr="000209BC">
        <w:lastRenderedPageBreak/>
        <w:t>‘to be developed’. This is why</w:t>
      </w:r>
      <w:r w:rsidR="00C16309">
        <w:t xml:space="preserve"> </w:t>
      </w:r>
      <w:r w:rsidRPr="000209BC">
        <w:rPr>
          <w:i/>
          <w:iCs/>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0209BC">
        <w:rPr>
          <w:i/>
          <w:iCs/>
        </w:rPr>
        <w:t>citta</w:t>
      </w:r>
      <w:r w:rsidR="00C16309">
        <w:t xml:space="preserve"> </w:t>
      </w:r>
      <w:r w:rsidRPr="000209BC">
        <w:t>appearing out of character in a role normally played by</w:t>
      </w:r>
      <w:r w:rsidR="00C16309">
        <w:t xml:space="preserve"> </w:t>
      </w:r>
      <w:r w:rsidRPr="000209BC">
        <w:rPr>
          <w:i/>
          <w:iCs/>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w:t>
      </w:r>
      <w:r w:rsidRPr="000209BC">
        <w:lastRenderedPageBreak/>
        <w:t>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 xml:space="preserve">nas, and only then was </w:t>
      </w:r>
      <w:r w:rsidRPr="000209BC">
        <w:lastRenderedPageBreak/>
        <w:t>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 xml:space="preserve">All of the </w:t>
      </w:r>
      <w:r w:rsidRPr="000209BC">
        <w:lastRenderedPageBreak/>
        <w:t>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w:t>
      </w:r>
      <w:r w:rsidRPr="000209BC">
        <w:lastRenderedPageBreak/>
        <w:t>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w:t>
      </w:r>
      <w:r w:rsidRPr="000209BC">
        <w:lastRenderedPageBreak/>
        <w:t>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lastRenderedPageBreak/>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w:t>
      </w:r>
      <w:r w:rsidRPr="000209BC">
        <w:lastRenderedPageBreak/>
        <w:t xml:space="preserve">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2919DF">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9E0F03">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96061B">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216B56">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lastRenderedPageBreak/>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detailed exercise or series of exercises, few of which occur elsewhere in the </w:t>
      </w:r>
      <w:r w:rsidRPr="000209BC">
        <w:lastRenderedPageBreak/>
        <w:t>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xml:space="preserve">, a matrix or schedule of doctrinal categories, </w:t>
      </w:r>
      <w:r w:rsidRPr="000209BC">
        <w:lastRenderedPageBreak/>
        <w:t>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 xml:space="preserve">In addition to the usual threefold analysis of feelings, the satipaṭṭhāna material introduces the distinction between ‘carnal’ and ‘spiritual’ feelings. </w:t>
      </w:r>
      <w:r w:rsidRPr="000209BC">
        <w:lastRenderedPageBreak/>
        <w:t>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Develops ‘that nimitta’, compares with external</w:t>
            </w:r>
          </w:p>
        </w:tc>
        <w:tc>
          <w:tcPr>
            <w:tcW w:w="2410" w:type="dxa"/>
            <w:hideMark/>
          </w:tcPr>
          <w:p w14:paraId="73A088A2" w14:textId="77777777" w:rsidR="000209BC" w:rsidRPr="000209BC" w:rsidRDefault="000209BC" w:rsidP="003555DD">
            <w:pPr>
              <w:pStyle w:val="WW-paragraph"/>
            </w:pPr>
            <w:r w:rsidRPr="000209BC">
              <w:t>Develops ‘that nimitta’, compares with external</w:t>
            </w:r>
          </w:p>
        </w:tc>
        <w:tc>
          <w:tcPr>
            <w:tcW w:w="2268" w:type="dxa"/>
            <w:hideMark/>
          </w:tcPr>
          <w:p w14:paraId="70A6A190" w14:textId="77777777" w:rsidR="000209BC" w:rsidRPr="000209BC" w:rsidRDefault="000209BC" w:rsidP="003555DD">
            <w:pPr>
              <w:pStyle w:val="WW-paragraph"/>
            </w:pPr>
            <w:r w:rsidRPr="000209BC">
              <w:t>Develops ‘that nimitta’, compares with external</w:t>
            </w:r>
          </w:p>
        </w:tc>
        <w:tc>
          <w:tcPr>
            <w:tcW w:w="2471" w:type="dxa"/>
            <w:hideMark/>
          </w:tcPr>
          <w:p w14:paraId="4391151D" w14:textId="77777777" w:rsidR="000209BC" w:rsidRPr="000209BC" w:rsidRDefault="000209BC" w:rsidP="003555DD">
            <w:pPr>
              <w:pStyle w:val="WW-paragraph"/>
            </w:pPr>
            <w:r w:rsidRPr="000209BC">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 xml:space="preserve">How to contemplate dhammas </w:t>
            </w:r>
            <w:r w:rsidRPr="000209BC">
              <w:lastRenderedPageBreak/>
              <w:t>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lastRenderedPageBreak/>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Defines: contemplates, abides, ardent, clearly comprehending</w:t>
            </w:r>
            <w:r w:rsidRPr="000209BC">
              <w:lastRenderedPageBreak/>
              <w:t>, mindful, world, covetousness, aversion, remove</w:t>
            </w:r>
          </w:p>
        </w:tc>
        <w:tc>
          <w:tcPr>
            <w:tcW w:w="2410" w:type="dxa"/>
            <w:hideMark/>
          </w:tcPr>
          <w:p w14:paraId="048540F1" w14:textId="77777777" w:rsidR="000209BC" w:rsidRPr="000209BC" w:rsidRDefault="000209BC" w:rsidP="003555DD">
            <w:pPr>
              <w:pStyle w:val="WW-paragraph"/>
            </w:pPr>
            <w:r w:rsidRPr="000209BC">
              <w:lastRenderedPageBreak/>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w:t>
      </w:r>
      <w:r w:rsidRPr="000209BC">
        <w:lastRenderedPageBreak/>
        <w:t>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0209BC">
        <w:rPr>
          <w:i/>
          <w:iCs/>
        </w:rPr>
        <w:t>anussati</w:t>
      </w:r>
      <w:r w:rsidRPr="000209BC">
        <w:t>); the term ‘mind’ (</w:t>
      </w:r>
      <w:r w:rsidRPr="000209BC">
        <w:rPr>
          <w:i/>
          <w:iCs/>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0209BC">
        <w:rPr>
          <w:i/>
          <w:iCs/>
        </w:rPr>
        <w:t>iti</w:t>
      </w:r>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r w:rsidRPr="000209BC">
        <w:lastRenderedPageBreak/>
        <w:t>‘</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0209BC">
        <w:rPr>
          <w:i/>
          <w:iCs/>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w:t>
      </w:r>
      <w:r w:rsidRPr="000209BC">
        <w:lastRenderedPageBreak/>
        <w:t>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w:t>
      </w:r>
      <w:r w:rsidRPr="000209BC">
        <w:lastRenderedPageBreak/>
        <w:t>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abhidhammic addition. Most of the definitions, or rather, strings of synonyms, are standard enough. ‘World’ is </w:t>
      </w:r>
      <w:r w:rsidRPr="000209BC">
        <w:lastRenderedPageBreak/>
        <w:t>defined thus: ‘This very body [feeling, mind, dhamma] is the world; also the five aggregates associated with grasping are the world.’ The mechanical nature of these definitions is shown up by the gloss on</w:t>
      </w:r>
      <w:r w:rsidR="00C16309">
        <w:t xml:space="preserve"> </w:t>
      </w:r>
      <w:r w:rsidRPr="000209BC">
        <w:rPr>
          <w:i/>
          <w:iCs/>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lastRenderedPageBreak/>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i/>
          <w:iCs/>
        </w:rPr>
        <w:t>svatthita</w:t>
      </w:r>
      <w:r w:rsidRPr="000209BC">
        <w:rPr>
          <w:rFonts w:ascii="Cambria" w:hAnsi="Cambria" w:cs="Cambria"/>
          <w:i/>
          <w:iCs/>
        </w:rPr>
        <w:t>ṁ</w:t>
      </w:r>
      <w:r w:rsidRPr="000209BC">
        <w:rPr>
          <w:i/>
          <w:iCs/>
        </w:rPr>
        <w:t xml:space="preserve">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Sāriputta.</w:t>
      </w:r>
      <w:r w:rsidR="00541B60">
        <w:rPr>
          <w:rStyle w:val="FootnoteReference"/>
        </w:rPr>
        <w:footnoteReference w:id="362"/>
      </w:r>
      <w:r w:rsidR="00C16309">
        <w:t xml:space="preserve"> </w:t>
      </w:r>
      <w:r w:rsidRPr="000209BC">
        <w:lastRenderedPageBreak/>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lastRenderedPageBreak/>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t xml:space="preserve">f. Defines (as 1.d; from here text </w:t>
            </w:r>
            <w:r w:rsidRPr="000209BC">
              <w:lastRenderedPageBreak/>
              <w:t>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w:t>
            </w:r>
            <w:r w:rsidRPr="000209BC">
              <w:lastRenderedPageBreak/>
              <w:t>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w:t>
            </w:r>
            <w:r w:rsidRPr="000209BC">
              <w:lastRenderedPageBreak/>
              <w:t>sensual.</w:t>
            </w:r>
          </w:p>
          <w:p w14:paraId="66F71B37" w14:textId="12B985DC" w:rsidR="00EB6212" w:rsidRPr="000209BC" w:rsidRDefault="00EB6212" w:rsidP="00B24726">
            <w:pPr>
              <w:pStyle w:val="WW-paragraph"/>
            </w:pPr>
            <w:r w:rsidRPr="00EB6212">
              <w:rPr>
                <w:rStyle w:val="wwc-superscript"/>
              </w:rPr>
              <w:t>2</w:t>
            </w:r>
            <w:r>
              <w:t xml:space="preserve"> </w:t>
            </w:r>
            <w:r w:rsidRPr="000209BC">
              <w:t>Vipassanā refrain; see SN 22.122/SA 259.</w:t>
            </w:r>
          </w:p>
        </w:tc>
      </w:tr>
    </w:tbl>
    <w:p w14:paraId="663DE7BA" w14:textId="77777777" w:rsidR="000209BC" w:rsidRDefault="000209BC" w:rsidP="0082671E">
      <w:pPr>
        <w:pStyle w:val="WW-paragraph"/>
      </w:pPr>
      <w:r w:rsidRPr="000209BC">
        <w:lastRenderedPageBreak/>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i/>
          <w:iCs/>
        </w:rPr>
        <w:t>amahaggatam/</w:t>
      </w:r>
      <w:r w:rsidRPr="000209BC">
        <w:rPr>
          <w:i/>
          <w:iCs/>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comparison implies that here the Dharmaskandha is more authentic to the old Sarvāstivāda tradition, while the Smṛtyupasthāna Sūtra version has </w:t>
      </w:r>
      <w:r w:rsidRPr="000209BC">
        <w:lastRenderedPageBreak/>
        <w:t>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external are interestingly different from the </w:t>
      </w:r>
      <w:r w:rsidRPr="00FF2DC3">
        <w:t>Theravāda</w:t>
      </w:r>
      <w:r w:rsidRPr="000209BC">
        <w:t xml:space="preserve"> and are clearly sectarian. For the </w:t>
      </w:r>
      <w:r w:rsidRPr="00FF2DC3">
        <w:t>Theravāda</w:t>
      </w:r>
      <w:r w:rsidRPr="000209BC">
        <w:t xml:space="preserve">, as for the early Suttas, ‘internal’ means </w:t>
      </w:r>
      <w:r w:rsidRPr="000209BC">
        <w:lastRenderedPageBreak/>
        <w:t>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0209BC">
        <w:rPr>
          <w:i/>
          <w:iCs/>
        </w:rPr>
        <w:t>saviññāṇaka</w:t>
      </w:r>
      <w:r w:rsidRPr="000209BC">
        <w:t>, which we could relate to the familiar idea of ‘[kammically] acquired’ (</w:t>
      </w:r>
      <w:r w:rsidRPr="000209BC">
        <w:rPr>
          <w:i/>
          <w:iCs/>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0209BC">
        <w:rPr>
          <w:i/>
          <w:iCs/>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abandon lust, which is samatha. Sometimes this samatha aspect is made </w:t>
      </w:r>
      <w:r w:rsidRPr="000209BC">
        <w:lastRenderedPageBreak/>
        <w:t>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i/>
          <w:iCs/>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Rāhulovāda Sutta, Venerable Rāhula asks the Buddha to teach him </w:t>
      </w:r>
      <w:r w:rsidRPr="000209BC">
        <w:lastRenderedPageBreak/>
        <w:t>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lastRenderedPageBreak/>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r w:rsidRPr="000209BC">
        <w:rPr>
          <w:i/>
          <w:iCs/>
        </w:rPr>
        <w:t>bhāva</w:t>
      </w:r>
      <w:r w:rsidRPr="000209BC">
        <w:t>…’. Here both</w:t>
      </w:r>
      <w:r w:rsidR="00C16309">
        <w:t xml:space="preserve"> </w:t>
      </w:r>
      <w:r w:rsidRPr="000209BC">
        <w:rPr>
          <w:i/>
          <w:iCs/>
        </w:rPr>
        <w:t>dhamma</w:t>
      </w:r>
      <w:r w:rsidR="00C16309">
        <w:t xml:space="preserve"> </w:t>
      </w:r>
      <w:r w:rsidRPr="000209BC">
        <w:t>and</w:t>
      </w:r>
      <w:r w:rsidR="00C16309">
        <w:t xml:space="preserve"> </w:t>
      </w:r>
      <w:r w:rsidRPr="000209BC">
        <w:rPr>
          <w:i/>
          <w:iCs/>
        </w:rPr>
        <w:t>bhāva</w:t>
      </w:r>
      <w:r w:rsidR="00C16309">
        <w:t xml:space="preserve"> </w:t>
      </w:r>
      <w:r w:rsidRPr="000209BC">
        <w:t>are non-technical words meaning simply ‘nature’. But the Prajñāpāramitā translation has, instead of ‘nature’ for</w:t>
      </w:r>
      <w:r w:rsidR="00C16309">
        <w:t xml:space="preserve"> </w:t>
      </w:r>
      <w:r w:rsidRPr="000209BC">
        <w:rPr>
          <w:i/>
          <w:iCs/>
        </w:rPr>
        <w:t>bhāva</w:t>
      </w:r>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r w:rsidRPr="000209BC">
        <w:rPr>
          <w:i/>
          <w:iCs/>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0209BC">
        <w:rPr>
          <w:i/>
          <w:iCs/>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2F9CF3F1"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We have met such groupings frequently; this statement was likely brought in from SN 47.12/SA 498.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706"/>
        <w:gridCol w:w="4226"/>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77777777" w:rsidR="000209BC" w:rsidRPr="000209BC" w:rsidRDefault="000209BC" w:rsidP="007F3824">
            <w:pPr>
              <w:pStyle w:val="WW-paragraph"/>
            </w:pPr>
            <w:r w:rsidRPr="000209BC">
              <w:t>(see MN 20.3/MA 101)</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lastRenderedPageBreak/>
              <w:t>4. Suppressing thought</w:t>
            </w:r>
          </w:p>
        </w:tc>
        <w:tc>
          <w:tcPr>
            <w:tcW w:w="0" w:type="auto"/>
            <w:hideMark/>
          </w:tcPr>
          <w:p w14:paraId="742A773C" w14:textId="77777777" w:rsidR="000209BC" w:rsidRPr="000209BC" w:rsidRDefault="000209BC" w:rsidP="007F3824">
            <w:pPr>
              <w:pStyle w:val="WW-paragraph"/>
            </w:pPr>
            <w:r w:rsidRPr="000209BC">
              <w:t>(see MN 20.7/MA 101)</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77777777" w:rsidR="000209BC" w:rsidRPr="000209BC" w:rsidRDefault="000209BC" w:rsidP="007F3824">
            <w:pPr>
              <w:pStyle w:val="WW-paragraph"/>
            </w:pPr>
            <w:r w:rsidRPr="000209BC">
              <w:t>(Similes at MN 119.18/MA 81,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7777777" w:rsidR="000209BC" w:rsidRPr="000209BC" w:rsidRDefault="000209BC" w:rsidP="007F3824">
            <w:pPr>
              <w:pStyle w:val="WW-paragraph"/>
            </w:pPr>
            <w:r w:rsidRPr="000209BC">
              <w:t>(See SN 51.20)</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77777777" w:rsidR="000209BC" w:rsidRPr="000209BC" w:rsidRDefault="000209BC" w:rsidP="007F3824">
            <w:pPr>
              <w:pStyle w:val="WW-paragraph"/>
            </w:pPr>
            <w:r w:rsidRPr="000209BC">
              <w:t>(See AN 5.28)</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 xml:space="preserve">The Sarvāstivāda refrain says that diligent practice of this in a secluded place frees the mind from distress, brings samādhi, and brings knowledge </w:t>
      </w:r>
      <w:r w:rsidRPr="000209BC">
        <w:lastRenderedPageBreak/>
        <w:t>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 xml:space="preserve">This is consistent with the simile for mindfulness of the </w:t>
      </w:r>
      <w:r w:rsidRPr="000209BC">
        <w:lastRenderedPageBreak/>
        <w:t>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 xml:space="preserve">He sits pervading this body with pure bright heart, so that there is no part of his whole body unpervaded by pure bright heart. Just as if there </w:t>
      </w:r>
      <w:r w:rsidRPr="000209BC">
        <w:lastRenderedPageBreak/>
        <w:t>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w:t>
      </w:r>
      <w:r w:rsidRPr="000209BC">
        <w:lastRenderedPageBreak/>
        <w:t>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Bronkhorst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lastRenderedPageBreak/>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w:t>
      </w:r>
      <w:r w:rsidRPr="000209BC">
        <w:lastRenderedPageBreak/>
        <w:t>reviewing.’ The first three of these obviously refer to jhāna, and are especially close to the descriptions of the jhāna similes. In particular the phrase ‘suffusion with heart (</w:t>
      </w:r>
      <w:r w:rsidRPr="000209BC">
        <w:rPr>
          <w:i/>
          <w:iCs/>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t xml:space="preserve">This section so far makes perfect sense as a description of the normal course of practice in the Suttas. The problem lies, not in internal incongruities, but in its inclusion as part of body contemplation. Only some of the sections are </w:t>
      </w:r>
      <w:r w:rsidRPr="000209BC">
        <w:lastRenderedPageBreak/>
        <w:t>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Having considered in some detail the body contemplation section of the Sarvāstivāda Smṛtyupasthāna Sūtra, we may now move on to the remainder. The refrain in the Smṛtyupasthāna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0209BC">
        <w:rPr>
          <w:i/>
          <w:iCs/>
        </w:rPr>
        <w:t>ñāṇa</w:t>
      </w:r>
      <w:r w:rsidRPr="000209BC">
        <w:t>,</w:t>
      </w:r>
      <w:r w:rsidR="00C16309">
        <w:t xml:space="preserve"> </w:t>
      </w:r>
      <w:r w:rsidRPr="000209BC">
        <w:rPr>
          <w:i/>
          <w:iCs/>
        </w:rPr>
        <w:t>dassana</w:t>
      </w:r>
      <w:r w:rsidRPr="000209BC">
        <w:t>,</w:t>
      </w:r>
      <w:r w:rsidR="00C16309">
        <w:t xml:space="preserve"> </w:t>
      </w:r>
      <w:r w:rsidRPr="000209BC">
        <w:rPr>
          <w:i/>
          <w:iCs/>
        </w:rPr>
        <w:t>vijjā</w:t>
      </w:r>
      <w:r w:rsidRPr="000209BC">
        <w:t>,</w:t>
      </w:r>
      <w:r w:rsidR="00C16309">
        <w:t xml:space="preserve"> </w:t>
      </w:r>
      <w:r w:rsidRPr="000209BC">
        <w:rPr>
          <w:i/>
          <w:iCs/>
        </w:rPr>
        <w:t>paññā</w:t>
      </w:r>
      <w:r w:rsidRPr="000209BC">
        <w:t>). There is no mention of impermanence.</w:t>
      </w:r>
    </w:p>
    <w:p w14:paraId="58BB3DA5" w14:textId="76B5DD3F" w:rsidR="000209BC" w:rsidRPr="000209BC" w:rsidRDefault="000209BC" w:rsidP="00A7012D">
      <w:pPr>
        <w:pStyle w:val="WW-paragraph"/>
      </w:pPr>
      <w:r w:rsidRPr="000209BC">
        <w:lastRenderedPageBreak/>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r w:rsidRPr="000209BC">
        <w:rPr>
          <w:i/>
          <w:iCs/>
        </w:rPr>
        <w:t>patti</w:t>
      </w:r>
      <w:r w:rsidR="00C16309">
        <w:t xml:space="preserve"> </w:t>
      </w:r>
      <w:r w:rsidRPr="000209BC">
        <w:t>‘attainment’ or</w:t>
      </w:r>
      <w:r w:rsidR="00C16309">
        <w:t xml:space="preserve"> </w:t>
      </w:r>
      <w:r w:rsidRPr="000209BC">
        <w:rPr>
          <w:i/>
          <w:iCs/>
        </w:rPr>
        <w:t>attha</w:t>
      </w:r>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r w:rsidRPr="000209BC">
        <w:rPr>
          <w:i/>
          <w:iCs/>
        </w:rPr>
        <w:t>patissati</w:t>
      </w:r>
      <w:r w:rsidRPr="000209BC">
        <w:t>). The Chinese term here means ‘vision’. Could there have been a further confusion between something like</w:t>
      </w:r>
      <w:r w:rsidR="00C16309">
        <w:t xml:space="preserve"> </w:t>
      </w:r>
      <w:r w:rsidRPr="000209BC">
        <w:rPr>
          <w:i/>
          <w:iCs/>
        </w:rPr>
        <w:t>passati</w:t>
      </w:r>
      <w:r w:rsidR="00C16309">
        <w:t xml:space="preserve"> </w:t>
      </w:r>
      <w:r w:rsidRPr="000209BC">
        <w:t>and</w:t>
      </w:r>
      <w:r w:rsidR="00C16309">
        <w:t xml:space="preserve"> </w:t>
      </w:r>
      <w:r w:rsidRPr="000209BC">
        <w:rPr>
          <w:i/>
          <w:iCs/>
        </w:rPr>
        <w:t>patissati</w:t>
      </w:r>
      <w:r w:rsidRPr="000209BC">
        <w:t>? (Of course,</w:t>
      </w:r>
      <w:r w:rsidR="00C16309">
        <w:t xml:space="preserve"> </w:t>
      </w:r>
      <w:r w:rsidRPr="000209BC">
        <w:rPr>
          <w:i/>
          <w:iCs/>
        </w:rPr>
        <w:t>passati</w:t>
      </w:r>
      <w:r w:rsidR="00C16309">
        <w:t xml:space="preserve"> </w:t>
      </w:r>
      <w:r w:rsidRPr="000209BC">
        <w:t>is a verb and</w:t>
      </w:r>
      <w:r w:rsidR="00C16309">
        <w:t xml:space="preserve"> </w:t>
      </w:r>
      <w:r w:rsidRPr="000209BC">
        <w:rPr>
          <w:i/>
          <w:iCs/>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w:t>
      </w:r>
      <w:r w:rsidRPr="000209BC">
        <w:lastRenderedPageBreak/>
        <w:t>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 xml:space="preserve">dhi, naturally precede the wisdom practice of the sense media. In the </w:t>
      </w:r>
      <w:r w:rsidRPr="000209BC">
        <w:lastRenderedPageBreak/>
        <w:t>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w:t>
      </w:r>
      <w:r w:rsidRPr="000209BC">
        <w:lastRenderedPageBreak/>
        <w:t xml:space="preserve">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w:t>
      </w:r>
      <w:r w:rsidRPr="000209BC">
        <w:lastRenderedPageBreak/>
        <w:t>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yukta that this kind of artificial ascription of setting is very prevalent. So when a discourse is said to have taken place at Sāvatthī, we should not take this too seriously. In cases 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xml:space="preserve">). The Indian original of this translation might be </w:t>
      </w:r>
      <w:r w:rsidRPr="000209BC">
        <w:lastRenderedPageBreak/>
        <w:t>something like</w:t>
      </w:r>
      <w:r w:rsidR="00C16309">
        <w:rPr>
          <w:rFonts w:cs="Source Serif Pro"/>
        </w:rPr>
        <w:t xml:space="preserve"> </w:t>
      </w:r>
      <w:r w:rsidRPr="000209BC">
        <w:rPr>
          <w:i/>
          <w:iCs/>
        </w:rPr>
        <w:t>manosamatha</w:t>
      </w:r>
      <w:r w:rsidRPr="000209BC">
        <w:t>. This term does not appear as such in the Pali, although the virtually identical</w:t>
      </w:r>
      <w:r w:rsidR="00C16309">
        <w:t xml:space="preserve"> </w:t>
      </w:r>
      <w:r w:rsidRPr="000209BC">
        <w:rPr>
          <w:i/>
          <w:iCs/>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w:t>
      </w:r>
      <w:r w:rsidRPr="000209BC">
        <w:lastRenderedPageBreak/>
        <w:t>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 xml:space="preserve">The contemplations of feeling and mind are similar in their content to the other versions, but the refrains are different to both the other versions and </w:t>
      </w:r>
      <w:r w:rsidRPr="000209BC">
        <w:lastRenderedPageBreak/>
        <w:t>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0209BC">
        <w:rPr>
          <w:i/>
          <w:iCs/>
        </w:rPr>
        <w:t>atakkāvacara</w:t>
      </w:r>
      <w:r w:rsidR="00C16309">
        <w:rPr>
          <w:i/>
          <w:iCs/>
        </w:rPr>
        <w:t xml:space="preserve"> </w:t>
      </w:r>
      <w:r w:rsidRPr="000209BC">
        <w:t>(beyond the sphere of reason) or</w:t>
      </w:r>
      <w:r w:rsidR="00C16309">
        <w:t xml:space="preserve"> </w:t>
      </w:r>
      <w:r w:rsidRPr="000209BC">
        <w:rPr>
          <w:i/>
          <w:iCs/>
        </w:rPr>
        <w:t>acinteyya</w:t>
      </w:r>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xml:space="preserve">, the normal rendering of mindfulness, here for both the awakening-factor of mindfulness and of rapture. The awakening-factors are presented very </w:t>
      </w:r>
      <w:r w:rsidRPr="000209BC">
        <w:lastRenderedPageBreak/>
        <w:t>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0209BC">
        <w:rPr>
          <w:i/>
          <w:iCs/>
        </w:rPr>
        <w:t>vitakka</w:t>
      </w:r>
      <w:r w:rsidR="00C16309">
        <w:t xml:space="preserve"> </w:t>
      </w:r>
      <w:r w:rsidRPr="000209BC">
        <w:t>(initial application) for</w:t>
      </w:r>
      <w:r w:rsidR="00C16309">
        <w:t xml:space="preserve"> </w:t>
      </w:r>
      <w:r w:rsidRPr="000209BC">
        <w:rPr>
          <w:i/>
          <w:iCs/>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w:t>
      </w:r>
      <w:r w:rsidRPr="000209BC">
        <w:lastRenderedPageBreak/>
        <w:t>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r w:rsidRPr="000209BC">
        <w:rPr>
          <w:i/>
          <w:iCs/>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lastRenderedPageBreak/>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 xml:space="preserve">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w:t>
      </w:r>
      <w:r w:rsidRPr="000209BC">
        <w:lastRenderedPageBreak/>
        <w:t>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lastRenderedPageBreak/>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It is impossible to understand, and clearly against the normal 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lastRenderedPageBreak/>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six sense media are more at home here than the five aggregates. Firstly, as we have seen, mindfulness is more characteristically mentioned with the sense media, and the sense </w:t>
      </w:r>
      <w:r w:rsidRPr="000209BC">
        <w:lastRenderedPageBreak/>
        <w:t>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0209BC">
        <w:rPr>
          <w:i/>
          <w:iCs/>
        </w:rPr>
        <w:t>uppāda</w:t>
      </w:r>
      <w:r w:rsidRPr="000209BC">
        <w:t>), which recurs through these sections. The contemplation of aggregates similarly speaks of ‘origination’ (</w:t>
      </w:r>
      <w:r w:rsidRPr="000209BC">
        <w:rPr>
          <w:i/>
          <w:iCs/>
        </w:rPr>
        <w:t>samudaya</w:t>
      </w:r>
      <w:r w:rsidRPr="000209BC">
        <w:t>). But then, having already discussed impermanence once, it is re-introduced in the vipassanā refrain, which also speaks of ‘origination’ (</w:t>
      </w:r>
      <w:r w:rsidRPr="000209BC">
        <w:rPr>
          <w:i/>
          <w:iCs/>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The dhammas section in the Majjhima version closes with a brief enunciation of the four noble truths. This is then expanded greatly in the Mahā Satipaṭṭhāna Sutta of the Dīgha Nikāya.</w:t>
      </w:r>
      <w:r w:rsidR="004202BB">
        <w:rPr>
          <w:rStyle w:val="FootnoteReference"/>
        </w:rPr>
        <w:footnoteReference w:id="396"/>
      </w:r>
      <w:r w:rsidR="00C16309">
        <w:t xml:space="preserve"> </w:t>
      </w:r>
      <w:r w:rsidRPr="000209BC">
        <w:t xml:space="preserve">Some of the recent Burmese recensions have re-incorporated this entire section from the Dīgha Nikāya back into the Majjhima Nikāya, and even acknowledge this provenance by re-titling it the ‘Mahā Satipaṭṭhāna Sutta’. Perhaps a better title would be the </w:t>
      </w:r>
      <w:r w:rsidRPr="000209BC">
        <w:lastRenderedPageBreak/>
        <w:t>‘Piltdown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w:t>
      </w:r>
      <w:r w:rsidRPr="000209BC">
        <w:lastRenderedPageBreak/>
        <w:t>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 xml:space="preserve">The Mahā Satipaṭṭhāna Sutta adds a lengthy analysis of the second and third </w:t>
      </w:r>
      <w:r w:rsidRPr="000209BC">
        <w:lastRenderedPageBreak/>
        <w:t>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0209BC">
        <w:rPr>
          <w:i/>
          <w:iCs/>
        </w:rPr>
        <w:t>cittavīthi</w:t>
      </w:r>
      <w:r w:rsidRPr="000209BC">
        <w:t>, the final, definitive exposition of psychological processes worked out in great detail by the later ābhidhammikas. Thus the Mahā Satipaṭṭhāna Sutta stands as an important bridge to the Abhidhamma. We 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 xml:space="preserve">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t>
      </w:r>
      <w:r w:rsidRPr="000209BC">
        <w:lastRenderedPageBreak/>
        <w:t>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w:t>
      </w:r>
      <w:r w:rsidRPr="000209BC">
        <w:lastRenderedPageBreak/>
        <w:t>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lastRenderedPageBreak/>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i/>
          <w:iCs/>
        </w:rPr>
        <w:t>evam’eta</w:t>
      </w:r>
      <w:r w:rsidRPr="000209BC">
        <w:rPr>
          <w:rFonts w:ascii="Cambria" w:hAnsi="Cambria" w:cs="Cambria"/>
          <w:i/>
          <w:iCs/>
        </w:rPr>
        <w:t>ṁ</w:t>
      </w:r>
      <w:r w:rsidRPr="000209BC">
        <w:rPr>
          <w:i/>
          <w:iCs/>
        </w:rPr>
        <w:t xml:space="preserve"> bh</w:t>
      </w:r>
      <w:r w:rsidRPr="000209BC">
        <w:rPr>
          <w:rFonts w:cs="Source Serif Pro"/>
          <w:i/>
          <w:iCs/>
        </w:rPr>
        <w:t>ū</w:t>
      </w:r>
      <w:r w:rsidRPr="000209BC">
        <w:rPr>
          <w:i/>
          <w:iCs/>
        </w:rPr>
        <w:t>tapubba</w:t>
      </w:r>
      <w:r w:rsidRPr="000209BC">
        <w:rPr>
          <w:rFonts w:ascii="Cambria" w:hAnsi="Cambria" w:cs="Cambria"/>
          <w:i/>
          <w:iCs/>
        </w:rPr>
        <w:t>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0209BC">
        <w:rPr>
          <w:i/>
          <w:iCs/>
        </w:rPr>
        <w:t>va</w:t>
      </w:r>
      <w:r w:rsidRPr="000209BC">
        <w:rPr>
          <w:rFonts w:ascii="Cambria" w:hAnsi="Cambria" w:cs="Cambria"/>
          <w:i/>
          <w:iCs/>
        </w:rPr>
        <w:t>ṁ</w:t>
      </w:r>
      <w:r w:rsidRPr="000209BC">
        <w:rPr>
          <w:i/>
          <w:iCs/>
        </w:rPr>
        <w:t>sattha</w:t>
      </w:r>
      <w:r w:rsidRPr="000209BC">
        <w:t>. One of the few other places in the canon that contains</w:t>
      </w:r>
      <w:r w:rsidR="00C16309">
        <w:t xml:space="preserve"> </w:t>
      </w:r>
      <w:r w:rsidRPr="000209BC">
        <w:rPr>
          <w:i/>
          <w:iCs/>
        </w:rPr>
        <w:t>va</w:t>
      </w:r>
      <w:r w:rsidRPr="000209BC">
        <w:rPr>
          <w:rFonts w:ascii="Cambria" w:hAnsi="Cambria" w:cs="Cambria"/>
          <w:i/>
          <w:iCs/>
        </w:rPr>
        <w:t>ṁ</w:t>
      </w:r>
      <w:r w:rsidRPr="000209BC">
        <w:rPr>
          <w:i/>
          <w:iCs/>
        </w:rPr>
        <w:t>sattha</w:t>
      </w:r>
      <w:r w:rsidR="00C16309">
        <w:t xml:space="preserve"> </w:t>
      </w:r>
      <w:r w:rsidRPr="000209BC">
        <w:t>and other similarly late, elaborate verse styles is the 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w:t>
      </w:r>
      <w:r w:rsidRPr="000209BC">
        <w:lastRenderedPageBreak/>
        <w:t xml:space="preserve">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w:t>
      </w:r>
      <w:r w:rsidRPr="000209BC">
        <w:lastRenderedPageBreak/>
        <w:t xml:space="preserve">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i/>
          <w:iCs/>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i/>
          <w:iCs/>
        </w:rPr>
        <w:t>anupada</w:t>
      </w:r>
      <w:r w:rsidRPr="000209BC">
        <w:t>,</w:t>
      </w:r>
      <w:r w:rsidR="00C16309">
        <w:t xml:space="preserve"> </w:t>
      </w:r>
      <w:r w:rsidRPr="000209BC">
        <w:rPr>
          <w:i/>
          <w:iCs/>
        </w:rPr>
        <w:t>vavattheti</w:t>
      </w:r>
      <w:r w:rsidRPr="000209BC">
        <w:t>, and</w:t>
      </w:r>
      <w:r w:rsidR="00C16309">
        <w:t xml:space="preserve"> </w:t>
      </w:r>
      <w:r w:rsidRPr="000209BC">
        <w:rPr>
          <w:i/>
          <w:iCs/>
        </w:rPr>
        <w:t>pāramī</w:t>
      </w:r>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7856139A" w:rsidR="000209BC" w:rsidRDefault="000209BC" w:rsidP="00DA4800">
      <w:pPr>
        <w:pStyle w:val="WW-paragraph"/>
      </w:pPr>
      <w:r w:rsidRPr="00F32C89">
        <w:rPr>
          <w:rStyle w:val="Strong"/>
        </w:rPr>
        <w:t>MA 44, MA 54, and MA 55</w:t>
      </w:r>
      <w:r w:rsidRPr="000209BC">
        <w:t xml:space="preserve"> present versions of the doctrinal framework that I call ‘dependent liberation’, known elsewhere as ‘transcendental dependant origination’. The Sarvāstivāda Sa</w:t>
      </w:r>
      <w:r w:rsidRPr="000209BC">
        <w:rPr>
          <w:rFonts w:ascii="Cambria" w:hAnsi="Cambria" w:cs="Cambria"/>
        </w:rPr>
        <w:t>ṁ</w:t>
      </w:r>
      <w:r w:rsidRPr="000209BC">
        <w:t xml:space="preserve">yukta </w:t>
      </w:r>
      <w:r w:rsidRPr="000209BC">
        <w:rPr>
          <w:rFonts w:cs="Source Serif Pro"/>
        </w:rPr>
        <w:t>Ā</w:t>
      </w:r>
      <w:r w:rsidRPr="000209BC">
        <w:t>gama includes a sa</w:t>
      </w:r>
      <w:r w:rsidRPr="000209BC">
        <w:rPr>
          <w:rFonts w:ascii="Cambria" w:hAnsi="Cambria" w:cs="Cambria"/>
        </w:rPr>
        <w:t>ṁ</w:t>
      </w:r>
      <w:r w:rsidRPr="000209BC">
        <w:t>yutta comprised of discourses on this theme, most of which in the Pali have been shifted to the A</w:t>
      </w:r>
      <w:r w:rsidRPr="000209BC">
        <w:rPr>
          <w:rFonts w:cs="Source Serif Pro"/>
        </w:rPr>
        <w:t>ṅ</w:t>
      </w:r>
      <w:r w:rsidRPr="000209BC">
        <w:t>guttara Nik</w:t>
      </w:r>
      <w:r w:rsidRPr="000209BC">
        <w:rPr>
          <w:rFonts w:cs="Source Serif Pro"/>
        </w:rPr>
        <w:t>ā</w:t>
      </w:r>
      <w:r w:rsidRPr="000209BC">
        <w:t xml:space="preserve">ya. The elements of the framework occur in a whole range of central teachings, yet a full exposition is lacking from the </w:t>
      </w:r>
      <w:r w:rsidRPr="00FF2DC3">
        <w:t>Theravāda</w:t>
      </w:r>
      <w:r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255BBB53" w:rsidR="000209BC" w:rsidRDefault="000209BC" w:rsidP="00DA4800">
      <w:pPr>
        <w:pStyle w:val="WW-paragraph"/>
      </w:pPr>
      <w:r w:rsidRPr="00F32C89">
        <w:rPr>
          <w:rStyle w:val="Strong"/>
        </w:rPr>
        <w:lastRenderedPageBreak/>
        <w:t>MA 44:</w:t>
      </w:r>
      <w:r w:rsidR="00C16309">
        <w:t xml:space="preserve"> </w:t>
      </w:r>
      <w:r w:rsidRPr="000209BC">
        <w:t>Mindfulness &amp; clear comprehension</w:t>
      </w:r>
      <w:r w:rsidR="00F32C89">
        <w:rPr>
          <w:rStyle w:val="FootnoteReference"/>
        </w:rPr>
        <w:footnoteReference w:id="412"/>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sense faculties </w:t>
      </w:r>
      <w:r w:rsidRPr="000209BC">
        <w:rPr>
          <w:rFonts w:cs="Source Serif Pro"/>
        </w:rPr>
        <w:t>→</w:t>
      </w:r>
      <w:r w:rsidRPr="000209BC">
        <w:t xml:space="preserve"> 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1B647716" w:rsidR="00DA4800" w:rsidRDefault="000209BC" w:rsidP="00DA4800">
      <w:pPr>
        <w:pStyle w:val="WW-paragraph"/>
      </w:pPr>
      <w:r w:rsidRPr="00F32C89">
        <w:rPr>
          <w:rStyle w:val="Strong"/>
        </w:rPr>
        <w:t>MA 54:</w:t>
      </w:r>
      <w:r w:rsidR="00C16309">
        <w:t xml:space="preserve"> </w:t>
      </w:r>
      <w:r w:rsidRPr="000209BC">
        <w:t>Honouring and attending upon</w:t>
      </w:r>
      <w:r w:rsidRPr="000209BC">
        <w:rPr>
          <w:rFonts w:ascii="Times New Roman" w:hAnsi="Times New Roman"/>
        </w:rPr>
        <w:t> </w:t>
      </w:r>
      <w:r w:rsidRPr="000209BC">
        <w:rPr>
          <w:rFonts w:cs="Source Serif Pro"/>
        </w:rPr>
        <w:t>→</w:t>
      </w:r>
      <w:r w:rsidRPr="000209BC">
        <w:rPr>
          <w:rFonts w:ascii="Times New Roman" w:hAnsi="Times New Roman"/>
        </w:rPr>
        <w:t> </w:t>
      </w:r>
      <w:r w:rsidRPr="000209BC">
        <w:t>approaching</w:t>
      </w:r>
      <w:r w:rsidRPr="000209BC">
        <w:rPr>
          <w:rFonts w:ascii="Times New Roman" w:hAnsi="Times New Roman"/>
        </w:rPr>
        <w:t> </w:t>
      </w:r>
      <w:r w:rsidRPr="000209BC">
        <w:rPr>
          <w:rFonts w:cs="Source Serif Pro"/>
        </w:rPr>
        <w:t>→</w:t>
      </w:r>
      <w:r w:rsidRPr="000209BC">
        <w:rPr>
          <w:rFonts w:ascii="Times New Roman" w:hAnsi="Times New Roman"/>
        </w:rPr>
        <w:t> </w:t>
      </w:r>
      <w:r w:rsidRPr="000209BC">
        <w:t>listening to the good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giving ear</w:t>
      </w:r>
      <w:r w:rsidR="00F32C89">
        <w:rPr>
          <w:rStyle w:val="FootnoteReference"/>
        </w:rPr>
        <w:footnoteReference w:id="414"/>
      </w:r>
      <w:r w:rsidRPr="000209BC">
        <w:rPr>
          <w:rFonts w:ascii="Times New Roman" w:hAnsi="Times New Roman"/>
        </w:rPr>
        <w:t> </w:t>
      </w:r>
      <w:r w:rsidRPr="000209BC">
        <w:rPr>
          <w:rFonts w:cs="Source Serif Pro"/>
        </w:rPr>
        <w:t>→</w:t>
      </w:r>
      <w:r w:rsidRPr="000209BC">
        <w:rPr>
          <w:rFonts w:ascii="Times New Roman" w:hAnsi="Times New Roman"/>
        </w:rPr>
        <w:t> </w:t>
      </w:r>
      <w:r w:rsidRPr="000209BC">
        <w:t>consideration of the meaning of the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learning the Dhamma by heart</w:t>
      </w:r>
      <w:r w:rsidRPr="000209BC">
        <w:rPr>
          <w:rFonts w:ascii="Times New Roman" w:hAnsi="Times New Roman"/>
        </w:rPr>
        <w:t> </w:t>
      </w:r>
      <w:r w:rsidR="00F32C89">
        <w:rPr>
          <w:rStyle w:val="FootnoteReference"/>
        </w:rPr>
        <w:footnoteReference w:id="415"/>
      </w:r>
      <w:r w:rsidRPr="000209BC">
        <w:rPr>
          <w:rFonts w:cs="Source Serif Pro"/>
        </w:rPr>
        <w:t>→</w:t>
      </w:r>
      <w:r w:rsidRPr="000209BC">
        <w:rPr>
          <w:rFonts w:ascii="Times New Roman" w:hAnsi="Times New Roman"/>
        </w:rPr>
        <w:t> </w:t>
      </w:r>
      <w:r w:rsidRPr="000209BC">
        <w:t>recital</w:t>
      </w:r>
      <w:r w:rsidRPr="000209BC">
        <w:rPr>
          <w:rFonts w:ascii="Times New Roman" w:hAnsi="Times New Roman"/>
        </w:rPr>
        <w:t> </w:t>
      </w:r>
      <w:r w:rsidRPr="000209BC">
        <w:rPr>
          <w:rFonts w:cs="Source Serif Pro"/>
        </w:rPr>
        <w:t>→</w:t>
      </w:r>
      <w:r w:rsidRPr="000209BC">
        <w:rPr>
          <w:rFonts w:ascii="Times New Roman" w:hAnsi="Times New Roman"/>
        </w:rPr>
        <w:t> </w:t>
      </w:r>
      <w:r w:rsidRPr="000209BC">
        <w:t>reflective acceptance</w:t>
      </w:r>
      <w:r w:rsidR="00F32C89">
        <w:rPr>
          <w:rStyle w:val="FootnoteReference"/>
        </w:rPr>
        <w:footnoteReference w:id="416"/>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00F32C89">
        <w:rPr>
          <w:rStyle w:val="FootnoteReference"/>
        </w:rPr>
        <w:footnoteReference w:id="417"/>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the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precepts</w:t>
      </w:r>
      <w:r w:rsidRPr="000209BC">
        <w:rPr>
          <w:rFonts w:ascii="Times New Roman" w:hAnsi="Times New Roman"/>
        </w:rPr>
        <w:t> </w:t>
      </w:r>
      <w:r w:rsidRPr="000209BC">
        <w:rPr>
          <w:rFonts w:cs="Source Serif Pro"/>
        </w:rPr>
        <w:t>→</w:t>
      </w:r>
      <w:r w:rsidRPr="000209BC">
        <w:rPr>
          <w:rFonts w:ascii="Times New Roman" w:hAnsi="Times New Roman"/>
        </w:rPr>
        <w:t> </w:t>
      </w:r>
      <w:r w:rsidRPr="000209BC">
        <w:t>non-remorse</w:t>
      </w:r>
      <w:r w:rsidRPr="000209BC">
        <w:rPr>
          <w:rFonts w:ascii="Times New Roman" w:hAnsi="Times New Roman"/>
        </w:rPr>
        <w:t> </w:t>
      </w:r>
      <w:r w:rsidRPr="000209BC">
        <w:rPr>
          <w:rFonts w:cs="Source Serif Pro"/>
        </w:rPr>
        <w:t>→</w:t>
      </w:r>
      <w:r w:rsidRPr="000209BC">
        <w:rPr>
          <w:rFonts w:ascii="Times New Roman" w:hAnsi="Times New Roman"/>
        </w:rPr>
        <w:t> </w:t>
      </w:r>
      <w:r w:rsidRPr="000209BC">
        <w:t>gladness</w:t>
      </w:r>
      <w:r w:rsidRPr="000209BC">
        <w:rPr>
          <w:rFonts w:ascii="Times New Roman" w:hAnsi="Times New Roman"/>
        </w:rPr>
        <w:t> </w:t>
      </w:r>
      <w:r w:rsidRPr="000209BC">
        <w:rPr>
          <w:rFonts w:cs="Source Serif Pro"/>
        </w:rPr>
        <w:t>→</w:t>
      </w:r>
      <w:r w:rsidRPr="000209BC">
        <w:rPr>
          <w:rFonts w:ascii="Times New Roman" w:hAnsi="Times New Roman"/>
        </w:rPr>
        <w:t> </w:t>
      </w:r>
      <w:r w:rsidRPr="000209BC">
        <w:t>rapture</w:t>
      </w:r>
      <w:r w:rsidRPr="000209BC">
        <w:rPr>
          <w:rFonts w:ascii="Times New Roman" w:hAnsi="Times New Roman"/>
        </w:rPr>
        <w:t> </w:t>
      </w:r>
      <w:r w:rsidRPr="000209BC">
        <w:rPr>
          <w:rFonts w:cs="Source Serif Pro"/>
        </w:rPr>
        <w:t>→</w:t>
      </w:r>
      <w:r w:rsidRPr="000209BC">
        <w:rPr>
          <w:rFonts w:ascii="Times New Roman" w:hAnsi="Times New Roman"/>
        </w:rPr>
        <w:t> </w:t>
      </w:r>
      <w:r w:rsidRPr="000209BC">
        <w:t>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knowledge &amp; vision of things as they have become </w:t>
      </w:r>
      <w:r w:rsidRPr="000209BC">
        <w:rPr>
          <w:rFonts w:cs="Source Serif Pro"/>
        </w:rPr>
        <w:t>→</w:t>
      </w:r>
      <w:r w:rsidRPr="000209BC">
        <w:t xml:space="preserve"> repulsion </w:t>
      </w:r>
      <w:r w:rsidRPr="000209BC">
        <w:rPr>
          <w:rFonts w:cs="Source Serif Pro"/>
        </w:rPr>
        <w:t>→</w:t>
      </w:r>
      <w:r w:rsidRPr="000209BC">
        <w:t xml:space="preserve"> fading of lust </w:t>
      </w:r>
      <w:r w:rsidRPr="000209BC">
        <w:rPr>
          <w:rFonts w:cs="Source Serif Pro"/>
        </w:rPr>
        <w:t>→</w:t>
      </w:r>
      <w:r w:rsidRPr="000209BC">
        <w:t xml:space="preserve"> liberation </w:t>
      </w:r>
      <w:r w:rsidRPr="000209BC">
        <w:rPr>
          <w:rFonts w:cs="Source Serif Pro"/>
        </w:rPr>
        <w:t>→</w:t>
      </w:r>
      <w:r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34A0B021" w:rsidR="000209BC" w:rsidRPr="000209BC" w:rsidRDefault="000209BC" w:rsidP="00DA4800">
      <w:pPr>
        <w:pStyle w:val="WW-paragraph"/>
      </w:pPr>
      <w:r w:rsidRPr="00F32C89">
        <w:rPr>
          <w:rStyle w:val="Strong"/>
        </w:rPr>
        <w:t>MA 55:</w:t>
      </w:r>
      <w:r w:rsidR="00C16309">
        <w:t xml:space="preserve"> </w:t>
      </w:r>
      <w:r w:rsidRPr="000209BC">
        <w:t>Ignorance → conceptual activities → cognition → name &amp; form → six senses → contact → feeling → craving → grasping → existence → birth → aging &amp; death</w:t>
      </w:r>
      <w:r w:rsidRPr="000209BC">
        <w:rPr>
          <w:rFonts w:ascii="Times New Roman" w:hAnsi="Times New Roman"/>
        </w:rPr>
        <w:t> </w:t>
      </w:r>
      <w:r w:rsidRPr="000209BC">
        <w:rPr>
          <w:rFonts w:cs="Source Serif Pro"/>
        </w:rPr>
        <w:t>→</w:t>
      </w:r>
      <w:r w:rsidRPr="000209BC">
        <w:rPr>
          <w:rFonts w:ascii="Times New Roman" w:hAnsi="Times New Roman"/>
        </w:rPr>
        <w:t> </w:t>
      </w:r>
      <w:r w:rsidRPr="000209BC">
        <w:t>suffering</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mindfulness </w:t>
      </w:r>
      <w:r w:rsidRPr="000209BC">
        <w:lastRenderedPageBreak/>
        <w:t>&amp;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 xml:space="preserve">dhi </w:t>
      </w:r>
      <w:r w:rsidRPr="000209BC">
        <w:rPr>
          <w:rFonts w:cs="Source Serif Pro"/>
        </w:rPr>
        <w:t>→</w:t>
      </w:r>
      <w:r w:rsidRPr="000209BC">
        <w:t xml:space="preserve"> 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7777777" w:rsidR="00DA4800" w:rsidRDefault="000209BC" w:rsidP="00DA4800">
      <w:pPr>
        <w:pStyle w:val="WW-paragraph"/>
      </w:pPr>
      <w:r w:rsidRPr="000209BC">
        <w:rPr>
          <w:b/>
          <w:bCs/>
        </w:rPr>
        <w:t>MA 80 (*Kaṭhinadhamma Sutta):</w:t>
      </w:r>
      <w:r w:rsidR="00C16309">
        <w:t xml:space="preserve"> </w:t>
      </w:r>
      <w:r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Pr="000209BC">
        <w:rPr>
          <w:i/>
          <w:iCs/>
        </w:rPr>
        <w:t>kaṭhina</w:t>
      </w:r>
      <w:r w:rsidR="00C16309">
        <w:t xml:space="preserve"> </w:t>
      </w:r>
      <w:r w:rsidRPr="000209BC">
        <w:t xml:space="preserve">to the monks. Anuruddha spoke of how he embraced the monk’s life, observed the precepts, abandoned the hindrances, developed meditation, attained the four jhānas, and finally the six clear </w:t>
      </w:r>
      <w:r w:rsidRPr="000209BC">
        <w:lastRenderedPageBreak/>
        <w:t>knowledges culminating in arahantship. The Buddha sat up, praised Anuruddha, and encouraged the monks to practice these</w:t>
      </w:r>
      <w:r w:rsidR="00C16309">
        <w:t xml:space="preserve"> </w:t>
      </w:r>
      <w:r w:rsidRPr="000209BC">
        <w:rPr>
          <w:i/>
          <w:iCs/>
        </w:rPr>
        <w:t>kaṭhina</w:t>
      </w:r>
      <w:r w:rsidR="00C16309">
        <w:t xml:space="preserve"> </w:t>
      </w:r>
      <w:r w:rsidRPr="000209BC">
        <w:t>dhammas.</w:t>
      </w:r>
    </w:p>
    <w:p w14:paraId="01559B11" w14:textId="4C2A8942" w:rsidR="00DA4800" w:rsidRDefault="00DA4800" w:rsidP="00DA4800">
      <w:pPr>
        <w:pStyle w:val="WW-space"/>
      </w:pPr>
      <w:r>
        <w:t>0</w:t>
      </w:r>
    </w:p>
    <w:p w14:paraId="66B4D217" w14:textId="77777777" w:rsidR="00DA4800" w:rsidRDefault="000209BC" w:rsidP="00DA4800">
      <w:pPr>
        <w:pStyle w:val="WW-paragraph"/>
      </w:pPr>
      <w:r w:rsidRPr="000209BC">
        <w:rPr>
          <w:b/>
          <w:bCs/>
        </w:rPr>
        <w:t>MA 218:</w:t>
      </w:r>
      <w:r w:rsidR="00C16309">
        <w:t xml:space="preserve"> </w:t>
      </w:r>
      <w:r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74E6513F" w:rsidR="000209BC" w:rsidRPr="000209BC" w:rsidRDefault="000209BC" w:rsidP="00DA4800">
      <w:pPr>
        <w:pStyle w:val="WW-paragraph"/>
      </w:pPr>
      <w:r w:rsidRPr="000209BC">
        <w:rPr>
          <w:b/>
          <w:bCs/>
        </w:rPr>
        <w:t>MA 219:</w:t>
      </w:r>
      <w:r w:rsidR="00C16309">
        <w:t xml:space="preserve"> </w:t>
      </w:r>
      <w:r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Pr="000209BC">
        <w:t>and through understanding end the defilements would die absolutely without distress. Here the mention of ‘correct view’ and ‘precepts’ echoes the Satipaṭṭhāna-sa</w:t>
      </w:r>
      <w:r w:rsidRPr="000209BC">
        <w:rPr>
          <w:rFonts w:ascii="Cambria" w:hAnsi="Cambria" w:cs="Cambria"/>
        </w:rPr>
        <w:t>ṁ</w:t>
      </w:r>
      <w:r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77777777" w:rsidR="00DA4800" w:rsidRDefault="000209BC" w:rsidP="00DA4800">
      <w:pPr>
        <w:pStyle w:val="WW-paragraph"/>
      </w:pPr>
      <w:r w:rsidRPr="000209BC">
        <w:rPr>
          <w:b/>
          <w:bCs/>
        </w:rPr>
        <w:t>MA 176:</w:t>
      </w:r>
      <w:r w:rsidR="00C16309">
        <w:t xml:space="preserve"> </w:t>
      </w:r>
      <w:r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2623D277" w:rsidR="000209BC" w:rsidRPr="000209BC" w:rsidRDefault="000209BC" w:rsidP="00DA4800">
      <w:pPr>
        <w:pStyle w:val="WW-paragraph"/>
      </w:pPr>
      <w:r w:rsidRPr="000209BC">
        <w:rPr>
          <w:b/>
          <w:bCs/>
        </w:rPr>
        <w:lastRenderedPageBreak/>
        <w:t>MA 117:</w:t>
      </w:r>
      <w:r w:rsidR="00C16309">
        <w:t xml:space="preserve"> </w:t>
      </w:r>
      <w:r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217D0984" w:rsidR="000209BC" w:rsidRPr="000209BC" w:rsidRDefault="000209BC" w:rsidP="00DA4800">
      <w:pPr>
        <w:pStyle w:val="WW-paragraph"/>
      </w:pPr>
      <w:r w:rsidRPr="000209BC">
        <w:rPr>
          <w:b/>
          <w:bCs/>
        </w:rPr>
        <w:t>MA 222:</w:t>
      </w:r>
      <w:r w:rsidR="00C16309">
        <w:t xml:space="preserve"> </w:t>
      </w:r>
      <w:r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Pr="000209BC">
        <w:t>the ten dhammas of the adept.</w:t>
      </w:r>
    </w:p>
    <w:p w14:paraId="4485686B" w14:textId="77777777" w:rsidR="000209BC" w:rsidRPr="000209BC" w:rsidRDefault="000209BC" w:rsidP="00DA4800">
      <w:pPr>
        <w:pStyle w:val="WW-paragraph"/>
      </w:pPr>
      <w:r w:rsidRPr="000209BC">
        <w:lastRenderedPageBreak/>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0209BC">
        <w:rPr>
          <w:i/>
          <w:iCs/>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 xml:space="preserve">Sāriputta addresses </w:t>
      </w:r>
      <w:r w:rsidRPr="000209BC">
        <w:lastRenderedPageBreak/>
        <w:t>Mahā Kassapa as</w:t>
      </w:r>
      <w:r w:rsidR="00C16309">
        <w:t xml:space="preserve"> </w:t>
      </w:r>
      <w:r w:rsidRPr="000209BC">
        <w:rPr>
          <w:i/>
          <w:iCs/>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lastRenderedPageBreak/>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0209BC">
        <w:rPr>
          <w:i/>
          <w:iCs/>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w:t>
      </w:r>
      <w:r w:rsidRPr="000209BC">
        <w:lastRenderedPageBreak/>
        <w:t>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0209BC">
        <w:rPr>
          <w:i/>
          <w:iCs/>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0209BC">
        <w:rPr>
          <w:i/>
          <w:iCs/>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0209BC">
        <w:rPr>
          <w:i/>
          <w:iCs/>
        </w:rPr>
        <w:t>tena samayena</w:t>
      </w:r>
      <w:r w:rsidRPr="000209BC">
        <w:t>); the Sutta Piṭaka has ‘On one occasion…’ (</w:t>
      </w:r>
      <w:r w:rsidRPr="000209BC">
        <w:rPr>
          <w:i/>
          <w:iCs/>
        </w:rPr>
        <w:t>eka</w:t>
      </w:r>
      <w:r w:rsidRPr="000209BC">
        <w:rPr>
          <w:rFonts w:ascii="Cambria" w:hAnsi="Cambria" w:cs="Cambria"/>
          <w:i/>
          <w:iCs/>
        </w:rPr>
        <w:t>ṁ</w:t>
      </w:r>
      <w:r w:rsidRPr="000209BC">
        <w:rPr>
          <w:i/>
          <w:iCs/>
        </w:rPr>
        <w:t xml:space="preserve"> samaya</w:t>
      </w:r>
      <w:r w:rsidRPr="000209BC">
        <w:rPr>
          <w:rFonts w:ascii="Cambria" w:hAnsi="Cambria" w:cs="Cambria"/>
          <w:i/>
          <w:iCs/>
        </w:rPr>
        <w:t>ṁ</w:t>
      </w:r>
      <w:r w:rsidRPr="000209BC">
        <w:t>); and the Abhidhamma Piṭaka uses ‘On whatever occasion…’ (</w:t>
      </w:r>
      <w:r w:rsidRPr="000209BC">
        <w:rPr>
          <w:i/>
          <w:iCs/>
        </w:rPr>
        <w:t>yasmi</w:t>
      </w:r>
      <w:r w:rsidRPr="000209BC">
        <w:rPr>
          <w:rFonts w:ascii="Cambria" w:hAnsi="Cambria" w:cs="Cambria"/>
          <w:i/>
          <w:iCs/>
        </w:rPr>
        <w:t>ṁ</w:t>
      </w:r>
      <w:r w:rsidRPr="000209BC">
        <w:rPr>
          <w:i/>
          <w:iCs/>
        </w:rPr>
        <w:t xml:space="preserve">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0209BC">
        <w:rPr>
          <w:i/>
          <w:iCs/>
        </w:rPr>
        <w:t>viharati</w:t>
      </w:r>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0209BC">
        <w:rPr>
          <w:i/>
          <w:iCs/>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 xml:space="preserve">na? A further incongruity is that the transcendental path and fruit, as we </w:t>
      </w:r>
      <w:r w:rsidRPr="000209BC">
        <w:lastRenderedPageBreak/>
        <w:t>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0209BC">
        <w:rPr>
          <w:i/>
          <w:iCs/>
        </w:rPr>
        <w:t>citta</w:t>
      </w:r>
      <w:r w:rsidR="00C16309">
        <w:t xml:space="preserve"> </w:t>
      </w:r>
      <w:r w:rsidRPr="000209BC">
        <w:t>in terms of</w:t>
      </w:r>
      <w:r w:rsidR="00C16309">
        <w:t xml:space="preserve"> </w:t>
      </w:r>
      <w:r w:rsidRPr="000209BC">
        <w:rPr>
          <w:i/>
          <w:iCs/>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r w:rsidRPr="000209BC">
        <w:rPr>
          <w:i/>
          <w:iCs/>
        </w:rPr>
        <w:t>upaṭṭhāna</w:t>
      </w:r>
      <w:r w:rsidRPr="000209BC">
        <w:t xml:space="preserve">, is mentioned under the definition of samatha. The </w:t>
      </w:r>
      <w:r w:rsidRPr="000209BC">
        <w:lastRenderedPageBreak/>
        <w:t>word</w:t>
      </w:r>
      <w:r w:rsidR="00C16309">
        <w:t xml:space="preserve"> </w:t>
      </w:r>
      <w:r w:rsidRPr="000209BC">
        <w:rPr>
          <w:i/>
          <w:iCs/>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0209BC">
        <w:rPr>
          <w:i/>
          <w:iCs/>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0209BC">
        <w:rPr>
          <w:i/>
          <w:iCs/>
        </w:rPr>
        <w:t>paṭṭhāna</w:t>
      </w:r>
      <w:r w:rsidRPr="000209BC">
        <w:t>], establishment [</w:t>
      </w:r>
      <w:r w:rsidRPr="000209BC">
        <w:rPr>
          <w:i/>
          <w:iCs/>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 xml:space="preserve">bodhisattvas’, took as their chief inspiration the ascetic, meditative lifestyle </w:t>
      </w:r>
      <w:r w:rsidRPr="000209BC">
        <w:lastRenderedPageBreak/>
        <w:t>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0209BC">
        <w:rPr>
          <w:i/>
          <w:iCs/>
        </w:rPr>
        <w:t>saññā</w:t>
      </w:r>
      <w:r w:rsidR="00C16309">
        <w:t xml:space="preserve"> </w:t>
      </w:r>
      <w:r w:rsidRPr="000209BC">
        <w:t>could perform the role of memory. But while</w:t>
      </w:r>
      <w:r w:rsidR="00C16309">
        <w:t xml:space="preserve"> </w:t>
      </w:r>
      <w:r w:rsidRPr="000209BC">
        <w:rPr>
          <w:i/>
          <w:iCs/>
        </w:rPr>
        <w:t>saññā</w:t>
      </w:r>
      <w:r w:rsidR="00C16309">
        <w:t xml:space="preserve"> </w:t>
      </w:r>
      <w:r w:rsidRPr="000209BC">
        <w:t>has some connection with memory, it is not used in the required sense of ‘recollection’.</w:t>
      </w:r>
      <w:r w:rsidR="00C16309">
        <w:t xml:space="preserve"> </w:t>
      </w:r>
      <w:r w:rsidRPr="000209BC">
        <w:rPr>
          <w:i/>
          <w:iCs/>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Jñānapraṣṭhāna forms its culmination.</w:t>
      </w:r>
      <w:r w:rsidR="00397BF4">
        <w:rPr>
          <w:rStyle w:val="FootnoteReference"/>
        </w:rPr>
        <w:footnoteReference w:id="459"/>
      </w:r>
      <w:r w:rsidR="00C16309">
        <w:t xml:space="preserve"> </w:t>
      </w:r>
      <w:r w:rsidRPr="000209BC">
        <w:t xml:space="preserve">This work encompasses all the </w:t>
      </w:r>
      <w:r w:rsidRPr="000209BC">
        <w:lastRenderedPageBreak/>
        <w:t xml:space="preserve">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t xml:space="preserve">If we now compare these [Sutta descriptions of the satipaṭṭhānas] with Dharmaśrī’s description, it is striking that even taking the concision of the latter into account, there are no individual correspondences. The </w:t>
      </w:r>
      <w:r w:rsidRPr="000209BC">
        <w:lastRenderedPageBreak/>
        <w:t>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0209BC">
        <w:rPr>
          <w:i/>
          <w:iCs/>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w:t>
      </w:r>
      <w:r w:rsidRPr="000209BC">
        <w:lastRenderedPageBreak/>
        <w:t>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0209BC">
        <w:rPr>
          <w:i/>
          <w:iCs/>
        </w:rPr>
        <w:t>paññā</w:t>
      </w:r>
      <w:r w:rsidRPr="000209BC">
        <w:t>). The Sarvāstivādins arrive at this definition through taking the term</w:t>
      </w:r>
      <w:r w:rsidR="00C16309">
        <w:t xml:space="preserve"> </w:t>
      </w:r>
      <w:r w:rsidRPr="000209BC">
        <w:rPr>
          <w:i/>
          <w:iCs/>
        </w:rPr>
        <w:t>anupassanā</w:t>
      </w:r>
      <w:r w:rsidR="00C16309">
        <w:t xml:space="preserve"> </w:t>
      </w:r>
      <w:r w:rsidRPr="000209BC">
        <w:t>to express the essence of satipaṭṭhāna. We have seen that the Theravādins agree in taking</w:t>
      </w:r>
      <w:r w:rsidR="00C16309">
        <w:t xml:space="preserve"> </w:t>
      </w:r>
      <w:r w:rsidRPr="000209BC">
        <w:rPr>
          <w:i/>
          <w:iCs/>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t>
      </w:r>
      <w:r w:rsidRPr="000209BC">
        <w:lastRenderedPageBreak/>
        <w:t>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Strangely, the Kośa says that ānāpānasati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ānāpānasati, which is the opposite of thinking, cannot be associated with pleasure or pain. On the other hand, the two agreeable sensations [rapture &amp; bliss of the </w:t>
      </w:r>
      <w:r w:rsidRPr="000209BC">
        <w:lastRenderedPageBreak/>
        <w:t>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w:t>
      </w:r>
      <w:r w:rsidRPr="000209BC">
        <w:lastRenderedPageBreak/>
        <w:t>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r w:rsidRPr="000209BC">
        <w:rPr>
          <w:i/>
          <w:iCs/>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w:t>
      </w:r>
      <w:r w:rsidRPr="000209BC">
        <w:lastRenderedPageBreak/>
        <w:t>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0209BC">
              <w:rPr>
                <w:rFonts w:ascii="Times New Roman" w:eastAsia="Times New Roman" w:hAnsi="Times New Roman" w:cs="Times New Roman"/>
                <w:i/>
                <w:iCs/>
                <w:kern w:val="0"/>
                <w:sz w:val="24"/>
                <w:lang w:eastAsia="en-GB"/>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lastRenderedPageBreak/>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0209BC">
              <w:rPr>
                <w:rFonts w:ascii="Times New Roman" w:eastAsia="Times New Roman" w:hAnsi="Times New Roman" w:cs="Times New Roman"/>
                <w:i/>
                <w:iCs/>
                <w:kern w:val="0"/>
                <w:sz w:val="24"/>
                <w:lang w:eastAsia="en-GB"/>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0209BC">
              <w:rPr>
                <w:rFonts w:ascii="Times New Roman" w:eastAsia="Times New Roman" w:hAnsi="Times New Roman" w:cs="Times New Roman"/>
                <w:i/>
                <w:iCs/>
                <w:kern w:val="0"/>
                <w:sz w:val="24"/>
                <w:lang w:eastAsia="en-GB"/>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0209BC">
        <w:rPr>
          <w:i/>
          <w:iCs/>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i/>
          <w:iCs/>
        </w:rPr>
        <w:t>paññā</w:t>
      </w:r>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Satyasiddhiśāstra analyses the 37 wings to awakening as either samatha or vipassanā. It says the first three </w:t>
      </w:r>
      <w:r w:rsidRPr="000209BC">
        <w:lastRenderedPageBreak/>
        <w:t>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w:t>
      </w:r>
      <w:r w:rsidRPr="000209BC">
        <w:lastRenderedPageBreak/>
        <w:t>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i/>
          <w:iCs/>
        </w:rPr>
        <w:t>upāya</w:t>
      </w:r>
      <w:r w:rsidRPr="000209BC">
        <w:t>), which here is a term for the triad of ethics, samādhi, and understanding. Samādhi (here the Chinese translation suggests a Sanskrit original</w:t>
      </w:r>
      <w:r w:rsidR="00C16309">
        <w:t xml:space="preserve"> </w:t>
      </w:r>
      <w:r w:rsidRPr="000209BC">
        <w:rPr>
          <w:i/>
          <w:iCs/>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0209BC">
        <w:rPr>
          <w:i/>
          <w:iCs/>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t>
      </w:r>
      <w:r w:rsidRPr="000209BC">
        <w:lastRenderedPageBreak/>
        <w:t>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yukta (Hurvitz adds Pali cognates, not all of which are correct), and then has a discussion that has 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lastRenderedPageBreak/>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w:t>
      </w:r>
      <w:r w:rsidRPr="000209BC">
        <w:lastRenderedPageBreak/>
        <w:t>Sarvāstivāda, and it may be that their main innovations were literary rather 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 xml:space="preserve">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w:t>
      </w:r>
      <w:r w:rsidRPr="000209BC">
        <w:lastRenderedPageBreak/>
        <w:t>of the special features of the Satipaṭṭhāna Sutta. I have found the following interesting passage.</w:t>
      </w:r>
    </w:p>
    <w:p w14:paraId="71FAE6D1" w14:textId="2EAF2748" w:rsidR="000209BC" w:rsidRPr="000209BC" w:rsidRDefault="000209BC" w:rsidP="002A56DB">
      <w:pPr>
        <w:pStyle w:val="WW-blockquote"/>
      </w:pPr>
      <w:r w:rsidRPr="000209BC">
        <w:t>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 xml:space="preserve">yutta </w:t>
      </w:r>
      <w:r w:rsidRPr="000209BC">
        <w:lastRenderedPageBreak/>
        <w:t>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0209BC">
        <w:rPr>
          <w:i/>
          <w:iCs/>
        </w:rPr>
        <w:t>nimitta</w:t>
      </w:r>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xml:space="preserve">, emphasizing the method of analysis, tends towards an ontology of pluralistic realism, and thus sees samatha and vipassanā as essentially different ‘things’, while the Mahāyāna, emphasizing the method of synthesis, tends towards a monistic (or ‘holistic’) </w:t>
      </w:r>
      <w:r w:rsidRPr="000209BC">
        <w:lastRenderedPageBreak/>
        <w:t>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0209BC">
        <w:rPr>
          <w:i/>
          <w:iCs/>
        </w:rPr>
        <w:t>Mahāyāna Buddhist Meditation</w:t>
      </w:r>
      <w:r w:rsidRPr="000209BC">
        <w:t>.</w:t>
      </w:r>
    </w:p>
    <w:p w14:paraId="55FE21A7" w14:textId="77777777"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Pr="000209BC">
        <w:rPr>
          <w:rFonts w:ascii="Times New Roman" w:hAnsi="Times New Roman"/>
        </w:rPr>
        <w:t> </w:t>
      </w:r>
      <w:r w:rsidRPr="000209BC">
        <w:t>47)</w:t>
      </w:r>
    </w:p>
    <w:p w14:paraId="115DEFCB" w14:textId="77777777" w:rsidR="000209BC" w:rsidRPr="000209BC" w:rsidRDefault="000209BC" w:rsidP="002A56DB">
      <w:pPr>
        <w:pStyle w:val="WW-blockquote"/>
      </w:pPr>
      <w:r w:rsidRPr="000209BC">
        <w:t>The perfect union of these two, mental stabilization and higher vision (</w:t>
      </w:r>
      <w:r w:rsidRPr="000209BC">
        <w:rPr>
          <w:i/>
          <w:iCs/>
        </w:rPr>
        <w:t>samatha</w:t>
      </w:r>
      <w:r w:rsidRPr="000209BC">
        <w:rPr>
          <w:i/>
          <w:iCs/>
        </w:rPr>
        <w:softHyphen/>
        <w:t>vipassanā</w:t>
      </w:r>
      <w:r w:rsidRPr="000209BC">
        <w:rPr>
          <w:i/>
          <w:iCs/>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Pr="000209BC">
        <w:rPr>
          <w:rFonts w:ascii="Times New Roman" w:hAnsi="Times New Roman"/>
        </w:rPr>
        <w:t> </w:t>
      </w:r>
      <w:r w:rsidRPr="000209BC">
        <w:t>47)</w:t>
      </w:r>
    </w:p>
    <w:p w14:paraId="5BC4F657" w14:textId="77777777" w:rsidR="000209BC" w:rsidRPr="002A56DB" w:rsidRDefault="000209BC" w:rsidP="002A56DB">
      <w:pPr>
        <w:pStyle w:val="WW-tight-right-cite"/>
      </w:pPr>
      <w:r w:rsidRPr="000209BC">
        <w:t>GESHE SOPA</w:t>
      </w:r>
      <w:r w:rsidRPr="000209BC">
        <w:br/>
        <w:t>‘Śamatha</w:t>
      </w:r>
      <w:r w:rsidRPr="000209BC">
        <w:softHyphen/>
        <w:t>vipaśyanā</w:t>
      </w:r>
      <w:r w:rsidRPr="000209BC">
        <w:softHyphen/>
        <w:t>yuganaddha:</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0209BC">
        <w:rPr>
          <w:i/>
          <w:iCs/>
        </w:rPr>
        <w:t>paññā</w:t>
      </w:r>
      <w:r w:rsidRPr="000209BC">
        <w:t>) is attained either through or accompanied by meditation (jhāna, samādhi, and so on). Examples of this idea can be seen in various formulæ such as ‘the pairing of quietude and insight’ (</w:t>
      </w:r>
      <w:r w:rsidRPr="000209BC">
        <w:rPr>
          <w:i/>
          <w:iCs/>
        </w:rPr>
        <w:t>samatha</w:t>
      </w:r>
      <w:r w:rsidRPr="000209BC">
        <w:rPr>
          <w:i/>
          <w:iCs/>
        </w:rPr>
        <w:softHyphen/>
        <w:t>vipassanā</w:t>
      </w:r>
      <w:r w:rsidRPr="000209BC">
        <w:rPr>
          <w:i/>
          <w:iCs/>
        </w:rPr>
        <w:softHyphen/>
        <w:t>yuganaddha</w:t>
      </w:r>
      <w:r w:rsidRPr="000209BC">
        <w:t>), and in the last two of the ‘three disciplines’ (</w:t>
      </w:r>
      <w:r w:rsidRPr="000209BC">
        <w:rPr>
          <w:i/>
          <w:iCs/>
        </w:rPr>
        <w:t>sīla-samādhi-paññā</w:t>
      </w:r>
      <w:r w:rsidRPr="000209BC">
        <w:t>), the ‘five faculties’ (</w:t>
      </w:r>
      <w:r w:rsidRPr="000209BC">
        <w:rPr>
          <w:i/>
          <w:iCs/>
        </w:rPr>
        <w:t>saddhā-viriya-satisamādhi-paññā</w:t>
      </w:r>
      <w:r w:rsidRPr="000209BC">
        <w:t>), and the ‘six perfections’ (</w:t>
      </w:r>
      <w:r w:rsidRPr="000209BC">
        <w:rPr>
          <w:i/>
          <w:iCs/>
        </w:rPr>
        <w:t>dāna-sīla-khanti-viriya-jhānapaññā</w:t>
      </w:r>
      <w:r w:rsidRPr="000209BC">
        <w:t>).</w:t>
      </w:r>
    </w:p>
    <w:p w14:paraId="50F2909D" w14:textId="77777777"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r w:rsidRPr="000209BC">
        <w:rPr>
          <w:rFonts w:cs="Source Serif Pro"/>
        </w:rPr>
        <w:t>Ś</w:t>
      </w:r>
      <w:r w:rsidRPr="000209BC">
        <w:t>unyat</w:t>
      </w:r>
      <w:r w:rsidRPr="000209BC">
        <w:rPr>
          <w:rFonts w:cs="Source Serif Pro"/>
        </w:rPr>
        <w:t>ā</w:t>
      </w:r>
      <w:r w:rsidRPr="000209BC">
        <w:t>:</w:t>
      </w:r>
      <w:r w:rsidRPr="000209BC">
        <w:br/>
      </w:r>
      <w:r w:rsidRPr="00FC5EF0">
        <w:rPr>
          <w:rStyle w:val="wwc-sesame-zot-reference"/>
        </w:rPr>
        <w:t>A Yogacāra Interpretation of Emptiness</w:t>
      </w:r>
      <w:r w:rsidRPr="000209BC">
        <w:rPr>
          <w:rFonts w:cs="Source Serif Pro"/>
        </w:rPr>
        <w:t>’</w:t>
      </w:r>
      <w:r w:rsidRPr="000209BC">
        <w:t>, pg.</w:t>
      </w:r>
      <w:r w:rsidRPr="000209BC">
        <w:rPr>
          <w:rFonts w:ascii="Times New Roman" w:hAnsi="Times New Roman"/>
        </w:rPr>
        <w:t> </w:t>
      </w:r>
      <w:r w:rsidRPr="000209BC">
        <w:t>66.</w:t>
      </w:r>
    </w:p>
    <w:p w14:paraId="04A2B9DF" w14:textId="77777777" w:rsidR="000209BC" w:rsidRPr="000209BC" w:rsidRDefault="000209BC" w:rsidP="00FC5EF0">
      <w:pPr>
        <w:pStyle w:val="WW-blockquote"/>
      </w:pPr>
      <w:r w:rsidRPr="000209BC">
        <w:lastRenderedPageBreak/>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77777777" w:rsidR="000209BC" w:rsidRPr="000209BC" w:rsidRDefault="000209BC" w:rsidP="00FC5EF0">
      <w:pPr>
        <w:pStyle w:val="WW-tight-right-cite"/>
      </w:pPr>
      <w:r w:rsidRPr="000209BC">
        <w:t>YUICHI KAJIYAMA</w:t>
      </w:r>
      <w:r w:rsidRPr="000209BC">
        <w:br/>
        <w:t>‘</w:t>
      </w:r>
      <w:r w:rsidRPr="00FC5EF0">
        <w:rPr>
          <w:rStyle w:val="wwc-sesame-zot-reference"/>
        </w:rPr>
        <w:t>Later Mādhyamakas</w:t>
      </w:r>
      <w:r w:rsidRPr="000209BC">
        <w:t>’, pg.</w:t>
      </w:r>
      <w:r w:rsidRPr="000209BC">
        <w:rPr>
          <w:rFonts w:ascii="Times New Roman" w:hAnsi="Times New Roman"/>
        </w:rPr>
        <w:t> </w:t>
      </w:r>
      <w:r w:rsidRPr="000209BC">
        <w:t>135.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7777777"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Pr="000209BC">
        <w:rPr>
          <w:rFonts w:ascii="Times New Roman" w:hAnsi="Times New Roman"/>
        </w:rPr>
        <w:t> </w:t>
      </w:r>
      <w:r w:rsidRPr="000209BC">
        <w:t>149.</w:t>
      </w:r>
    </w:p>
    <w:p w14:paraId="05B8A9BA" w14:textId="77777777"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hAnsi="Times New Roman"/>
        </w:rPr>
        <w:t> </w:t>
      </w:r>
      <w:r w:rsidRPr="000209BC">
        <w:t>178)</w:t>
      </w:r>
    </w:p>
    <w:p w14:paraId="1853FB0C" w14:textId="77777777"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hAnsi="Times New Roman"/>
        </w:rPr>
        <w:t>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lastRenderedPageBreak/>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77777777"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Pr="000209BC">
        <w:rPr>
          <w:rFonts w:ascii="Times New Roman" w:hAnsi="Times New Roman"/>
        </w:rPr>
        <w:t>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lastRenderedPageBreak/>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lastRenderedPageBreak/>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lastRenderedPageBreak/>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i/>
          <w:iCs/>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B6F3203"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SN 47.3/SA 636/MA 76*, the only change being the substitution of ‘bodhisattva’ for ‘bhikkhu’. Again we see the use of </w:t>
      </w:r>
      <w:r w:rsidRPr="000209BC">
        <w:lastRenderedPageBreak/>
        <w:t>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0209BC">
        <w:rPr>
          <w:i/>
          <w:iC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lastRenderedPageBreak/>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0209BC">
        <w:rPr>
          <w:i/>
          <w:iCs/>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w:t>
      </w:r>
      <w:r w:rsidRPr="000209BC">
        <w:lastRenderedPageBreak/>
        <w:t>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0209BC">
        <w:rPr>
          <w:i/>
          <w:iCs/>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0209BC">
        <w:rPr>
          <w:i/>
          <w:iCs/>
        </w:rPr>
        <w:t>kāya</w:t>
      </w:r>
      <w:r w:rsidRPr="000209BC">
        <w:t>) and ‘sensual desires’ (</w:t>
      </w:r>
      <w:r w:rsidRPr="000209BC">
        <w:rPr>
          <w:i/>
          <w:iCs/>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w:t>
      </w:r>
      <w:r w:rsidRPr="000209BC">
        <w:lastRenderedPageBreak/>
        <w:t>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i/>
          <w:iCs/>
        </w:rPr>
        <w:t>anussati</w:t>
      </w:r>
      <w:r w:rsidRPr="000209BC">
        <w:t>), and the use of this term shows the connection with satipaṭṭhāna. The seeing of the Buddhas appears to be a kind of meditation vision or</w:t>
      </w:r>
      <w:r w:rsidR="00C16309">
        <w:t xml:space="preserve"> </w:t>
      </w:r>
      <w:r w:rsidRPr="000209BC">
        <w:rPr>
          <w:i/>
          <w:iCs/>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w:t>
      </w:r>
      <w:r w:rsidRPr="000209BC">
        <w:lastRenderedPageBreak/>
        <w:t>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0209BC">
        <w:rPr>
          <w:i/>
          <w:iCs/>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The status and meaning of meditative visions is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those corpses have not come from anywhere, nor have they gone anywhere, they are not made by anyone, nor </w:t>
      </w:r>
      <w:r w:rsidRPr="000209BC">
        <w:lastRenderedPageBreak/>
        <w:t>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i/>
          <w:iCs/>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lastRenderedPageBreak/>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w:t>
      </w:r>
      <w:r w:rsidRPr="000209BC">
        <w:lastRenderedPageBreak/>
        <w:t>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0209BC">
        <w:rPr>
          <w:i/>
          <w:iCs/>
        </w:rPr>
        <w:t>saṅgaha</w:t>
      </w:r>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0209BC">
        <w:rPr>
          <w:i/>
          <w:iCs/>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0209BC">
        <w:rPr>
          <w:i/>
          <w:iCs/>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r w:rsidRPr="000209BC">
        <w:rPr>
          <w:i/>
          <w:iCs/>
        </w:rPr>
        <w:t>anupassanā</w:t>
      </w:r>
      <w:r w:rsidRPr="000209BC">
        <w:t xml:space="preserve">. ‘Nondistraction’ is the basic function of samatha; here it recalls such contexts as satipaṭṭhāna as the ‘path to convergence’, the ‘basis for samādhi’, and so on, and particularly ānāpānasati in its function of non-distraction. </w:t>
      </w:r>
      <w:r w:rsidRPr="000209BC">
        <w:lastRenderedPageBreak/>
        <w:t>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lastRenderedPageBreak/>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0209BC">
        <w:rPr>
          <w:i/>
          <w:iCs/>
        </w:rPr>
        <w:t>samatāpaśyanā</w:t>
      </w:r>
      <w:r w:rsidRPr="000209BC">
        <w:t>) of the natural image of the body (</w:t>
      </w:r>
      <w:r w:rsidRPr="000209BC">
        <w:rPr>
          <w:i/>
          <w:iCs/>
        </w:rPr>
        <w:t>prakṛtibimbakāyasya</w:t>
      </w:r>
      <w:r w:rsidRPr="000209BC">
        <w:t>) with the imagined counter-image of the body (</w:t>
      </w:r>
      <w:r w:rsidRPr="000209BC">
        <w:rPr>
          <w:i/>
          <w:iCs/>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0209BC">
        <w:rPr>
          <w:i/>
          <w:iCs/>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r w:rsidRPr="000209BC">
        <w:rPr>
          <w:i/>
          <w:iCs/>
        </w:rPr>
        <w:t>kleśa</w:t>
      </w:r>
      <w:r w:rsidRPr="000209BC">
        <w:t>), right mindfulness is the factor which dispels the impediments of the minor defilements (</w:t>
      </w:r>
      <w:r w:rsidRPr="000209BC">
        <w:rPr>
          <w:i/>
          <w:iCs/>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 xml:space="preserve">In this the text demonstrates </w:t>
      </w:r>
      <w:r w:rsidRPr="000209BC">
        <w:lastRenderedPageBreak/>
        <w:t>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 xml:space="preserve">Stefan Anacker’s ‘Commentary on the Separation of the Middle from the Extremes’ offers a translation of the Madhyāntavibhāgabhāṣya, which is, according to the translator, ‘one of the most striking works in the Mahāyāna </w:t>
      </w:r>
      <w:r w:rsidRPr="000209BC">
        <w:lastRenderedPageBreak/>
        <w:t>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w:t>
      </w:r>
      <w:r w:rsidRPr="000209BC">
        <w:lastRenderedPageBreak/>
        <w:t>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 xml:space="preserve">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w:t>
      </w:r>
      <w:r w:rsidRPr="000209BC">
        <w:lastRenderedPageBreak/>
        <w:t>(to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 xml:space="preserve">It is the old cliché about the selfishness of the disciples. Given how emphatically the Mahāyāna stigmatized the early </w:t>
      </w:r>
      <w:r w:rsidRPr="000209BC">
        <w:lastRenderedPageBreak/>
        <w:t>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lastRenderedPageBreak/>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lastRenderedPageBreak/>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 xml:space="preserve">by Jeffrey Hopkins. This is based on a variety of sources, including Indian Buddhist texts, Tibetan treatises, and oral teachings by contemporary Tibetan monks. Here, mindfulness is treated </w:t>
      </w:r>
      <w:r w:rsidRPr="000209BC">
        <w:lastRenderedPageBreak/>
        <w:t>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Laziness (</w:t>
            </w:r>
            <w:r w:rsidRPr="000209BC">
              <w:rPr>
                <w:rFonts w:ascii="Times New Roman" w:eastAsia="Times New Roman" w:hAnsi="Times New Roman" w:cs="Times New Roman"/>
                <w:i/>
                <w:iCs/>
                <w:kern w:val="0"/>
                <w:sz w:val="24"/>
                <w:lang w:eastAsia="en-GB"/>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0209BC">
              <w:rPr>
                <w:rFonts w:ascii="Times New Roman" w:eastAsia="Times New Roman" w:hAnsi="Times New Roman" w:cs="Times New Roman"/>
                <w:i/>
                <w:iCs/>
                <w:kern w:val="0"/>
                <w:sz w:val="24"/>
                <w:lang w:eastAsia="en-GB"/>
              </w:rPr>
              <w:t>śraddhā</w:t>
            </w:r>
            <w:r w:rsidRPr="000209BC">
              <w:rPr>
                <w:rFonts w:ascii="Times New Roman" w:eastAsia="Times New Roman" w:hAnsi="Times New Roman" w:cs="Times New Roman"/>
                <w:kern w:val="0"/>
                <w:sz w:val="24"/>
                <w:lang w:eastAsia="en-GB"/>
              </w:rPr>
              <w:t>), desire (</w:t>
            </w:r>
            <w:r w:rsidRPr="000209BC">
              <w:rPr>
                <w:rFonts w:ascii="Times New Roman" w:eastAsia="Times New Roman" w:hAnsi="Times New Roman" w:cs="Times New Roman"/>
                <w:i/>
                <w:iCs/>
                <w:kern w:val="0"/>
                <w:sz w:val="24"/>
                <w:lang w:eastAsia="en-GB"/>
              </w:rPr>
              <w:t>chanda</w:t>
            </w:r>
            <w:r w:rsidRPr="000209BC">
              <w:rPr>
                <w:rFonts w:ascii="Times New Roman" w:eastAsia="Times New Roman" w:hAnsi="Times New Roman" w:cs="Times New Roman"/>
                <w:kern w:val="0"/>
                <w:sz w:val="24"/>
                <w:lang w:eastAsia="en-GB"/>
              </w:rPr>
              <w:t>), effort (</w:t>
            </w:r>
            <w:r w:rsidRPr="000209BC">
              <w:rPr>
                <w:rFonts w:ascii="Times New Roman" w:eastAsia="Times New Roman" w:hAnsi="Times New Roman" w:cs="Times New Roman"/>
                <w:i/>
                <w:iCs/>
                <w:kern w:val="0"/>
                <w:sz w:val="24"/>
                <w:lang w:eastAsia="en-GB"/>
              </w:rPr>
              <w:t>vyāyāma</w:t>
            </w:r>
            <w:r w:rsidRPr="000209BC">
              <w:rPr>
                <w:rFonts w:ascii="Times New Roman" w:eastAsia="Times New Roman" w:hAnsi="Times New Roman" w:cs="Times New Roman"/>
                <w:kern w:val="0"/>
                <w:sz w:val="24"/>
                <w:lang w:eastAsia="en-GB"/>
              </w:rPr>
              <w:t>), tranquillity (</w:t>
            </w:r>
            <w:r w:rsidRPr="000209BC">
              <w:rPr>
                <w:rFonts w:ascii="Times New Roman" w:eastAsia="Times New Roman" w:hAnsi="Times New Roman" w:cs="Times New Roman"/>
                <w:i/>
                <w:iCs/>
                <w:kern w:val="0"/>
                <w:sz w:val="24"/>
                <w:lang w:eastAsia="en-GB"/>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0209BC">
              <w:rPr>
                <w:rFonts w:ascii="Times New Roman" w:eastAsia="Times New Roman" w:hAnsi="Times New Roman" w:cs="Times New Roman"/>
                <w:i/>
                <w:iCs/>
                <w:kern w:val="0"/>
                <w:sz w:val="24"/>
                <w:lang w:eastAsia="en-GB"/>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0209BC">
              <w:rPr>
                <w:rFonts w:ascii="Times New Roman" w:eastAsia="Times New Roman" w:hAnsi="Times New Roman" w:cs="Times New Roman"/>
                <w:i/>
                <w:iCs/>
                <w:kern w:val="0"/>
                <w:sz w:val="24"/>
                <w:lang w:eastAsia="en-GB"/>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0209BC">
              <w:rPr>
                <w:rFonts w:ascii="Times New Roman" w:eastAsia="Times New Roman" w:hAnsi="Times New Roman" w:cs="Times New Roman"/>
                <w:i/>
                <w:iCs/>
                <w:kern w:val="0"/>
                <w:sz w:val="24"/>
                <w:lang w:eastAsia="en-GB"/>
              </w:rPr>
              <w:t>laya</w:t>
            </w:r>
            <w:r w:rsidRPr="000209BC">
              <w:rPr>
                <w:rFonts w:ascii="Times New Roman" w:eastAsia="Times New Roman" w:hAnsi="Times New Roman" w:cs="Times New Roman"/>
                <w:kern w:val="0"/>
                <w:sz w:val="24"/>
                <w:lang w:eastAsia="en-GB"/>
              </w:rPr>
              <w:t>) and restlessness (</w:t>
            </w:r>
            <w:r w:rsidRPr="000209BC">
              <w:rPr>
                <w:rFonts w:ascii="Times New Roman" w:eastAsia="Times New Roman" w:hAnsi="Times New Roman" w:cs="Times New Roman"/>
                <w:i/>
                <w:iCs/>
                <w:kern w:val="0"/>
                <w:sz w:val="24"/>
                <w:lang w:eastAsia="en-GB"/>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0209BC">
              <w:rPr>
                <w:rFonts w:ascii="Times New Roman" w:eastAsia="Times New Roman" w:hAnsi="Times New Roman" w:cs="Times New Roman"/>
                <w:i/>
                <w:iCs/>
                <w:kern w:val="0"/>
                <w:sz w:val="24"/>
                <w:lang w:eastAsia="en-GB"/>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0209BC">
              <w:rPr>
                <w:rFonts w:ascii="Times New Roman" w:eastAsia="Times New Roman" w:hAnsi="Times New Roman" w:cs="Times New Roman"/>
                <w:i/>
                <w:iCs/>
                <w:kern w:val="0"/>
                <w:sz w:val="24"/>
                <w:lang w:eastAsia="en-GB"/>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0209BC">
              <w:rPr>
                <w:rFonts w:ascii="Times New Roman" w:eastAsia="Times New Roman" w:hAnsi="Times New Roman" w:cs="Times New Roman"/>
                <w:i/>
                <w:iCs/>
                <w:kern w:val="0"/>
                <w:sz w:val="24"/>
                <w:lang w:eastAsia="en-GB"/>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0209BC">
              <w:rPr>
                <w:rFonts w:ascii="Times New Roman" w:eastAsia="Times New Roman" w:hAnsi="Times New Roman" w:cs="Times New Roman"/>
                <w:i/>
                <w:iCs/>
                <w:kern w:val="0"/>
                <w:sz w:val="24"/>
                <w:lang w:eastAsia="en-GB"/>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0209BC">
              <w:rPr>
                <w:rFonts w:ascii="Times New Roman" w:eastAsia="Times New Roman" w:hAnsi="Times New Roman" w:cs="Times New Roman"/>
                <w:i/>
                <w:iCs/>
                <w:kern w:val="0"/>
                <w:sz w:val="24"/>
                <w:lang w:eastAsia="en-GB"/>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0209BC">
        <w:rPr>
          <w:i/>
          <w:iCs/>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0209BC">
        <w:rPr>
          <w:i/>
          <w:iCs/>
        </w:rPr>
        <w:t>ekotikaraṇa</w:t>
      </w:r>
      <w:r w:rsidRPr="000209BC">
        <w:t>)</w:t>
      </w:r>
    </w:p>
    <w:p w14:paraId="484802F3" w14:textId="03EAA576" w:rsidR="000209BC" w:rsidRPr="000209BC" w:rsidRDefault="000209BC" w:rsidP="006A011D">
      <w:pPr>
        <w:pStyle w:val="WW-paragraph"/>
        <w:numPr>
          <w:ilvl w:val="0"/>
          <w:numId w:val="40"/>
        </w:numPr>
      </w:pPr>
      <w:r w:rsidRPr="000209BC">
        <w:t>Strong peace (</w:t>
      </w:r>
      <w:r w:rsidRPr="000209BC">
        <w:rPr>
          <w:i/>
          <w:iCs/>
        </w:rPr>
        <w:t>vūpaśamana</w:t>
      </w:r>
      <w:r w:rsidRPr="000209BC">
        <w:t>)</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0DA6035D" w14:textId="77777777" w:rsidR="000209BC" w:rsidRPr="000209BC" w:rsidRDefault="000209BC" w:rsidP="006A011D">
      <w:pPr>
        <w:pStyle w:val="WW-paragraph"/>
        <w:numPr>
          <w:ilvl w:val="0"/>
          <w:numId w:val="40"/>
        </w:numPr>
      </w:pPr>
      <w:r w:rsidRPr="000209BC">
        <w:t>Peace (</w:t>
      </w:r>
      <w:r w:rsidRPr="000209BC">
        <w:rPr>
          <w:i/>
          <w:iCs/>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0209BC">
        <w:rPr>
          <w:i/>
          <w:iCs/>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0209BC">
        <w:rPr>
          <w:i/>
          <w:iCs/>
        </w:rPr>
        <w:t>upasthāpanā</w:t>
      </w:r>
      <w:r w:rsidRPr="000209BC">
        <w:t>)</w:t>
      </w:r>
    </w:p>
    <w:p w14:paraId="0A8A9062" w14:textId="77777777" w:rsidR="000209BC" w:rsidRPr="000209BC" w:rsidRDefault="000209BC" w:rsidP="006A011D">
      <w:pPr>
        <w:pStyle w:val="WW-paragraph"/>
        <w:numPr>
          <w:ilvl w:val="0"/>
          <w:numId w:val="40"/>
        </w:numPr>
      </w:pPr>
      <w:r w:rsidRPr="000209BC">
        <w:t>Re–setting (</w:t>
      </w:r>
      <w:r w:rsidRPr="000209BC">
        <w:rPr>
          <w:i/>
          <w:iCs/>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0209BC">
        <w:rPr>
          <w:i/>
          <w:iCs/>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0209BC">
        <w:rPr>
          <w:i/>
          <w:iCs/>
        </w:rPr>
        <w:t>cittasthāpanā</w:t>
      </w:r>
      <w:r w:rsidRPr="000209BC">
        <w:t>)</w:t>
      </w:r>
    </w:p>
    <w:p w14:paraId="515097C5" w14:textId="13E5A15F" w:rsidR="000209BC" w:rsidRPr="000209BC" w:rsidRDefault="000209BC" w:rsidP="006A011D">
      <w:pPr>
        <w:pStyle w:val="WW-paragraph"/>
      </w:pPr>
      <w:r w:rsidRPr="000209BC">
        <w:lastRenderedPageBreak/>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0209BC">
        <w:rPr>
          <w:i/>
          <w:iCs/>
        </w:rPr>
        <w:t>upasthāpanā</w:t>
      </w:r>
      <w:r w:rsidR="00C16309">
        <w:t xml:space="preserve"> </w:t>
      </w:r>
      <w:r w:rsidRPr="000209BC">
        <w:t>(=</w:t>
      </w:r>
      <w:r w:rsidRPr="000209BC">
        <w:rPr>
          <w:rFonts w:ascii="Times New Roman" w:hAnsi="Times New Roman"/>
        </w:rPr>
        <w:t> </w:t>
      </w:r>
      <w:r w:rsidRPr="000209BC">
        <w:rPr>
          <w:i/>
          <w:iCs/>
        </w:rPr>
        <w:t>upaṭṭhāna</w:t>
      </w:r>
      <w:r w:rsidRPr="000209BC">
        <w:t>), the second member of the compound satipaṭṭhāna (</w:t>
      </w:r>
      <w:r w:rsidRPr="000209BC">
        <w:rPr>
          <w:i/>
          <w:iCs/>
        </w:rPr>
        <w:t>smṛtyupasthāna</w:t>
      </w:r>
      <w:r w:rsidRPr="000209BC">
        <w:t>). The first three terms are all from the same root, and have been derived from</w:t>
      </w:r>
      <w:r w:rsidR="00C16309">
        <w:t xml:space="preserve"> </w:t>
      </w:r>
      <w:r w:rsidRPr="000209BC">
        <w:rPr>
          <w:i/>
          <w:iCs/>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0209BC">
        <w:rPr>
          <w:i/>
          <w:iCs/>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0209BC">
        <w:rPr>
          <w:i/>
          <w:iCs/>
        </w:rPr>
        <w:t>ekāyana</w:t>
      </w:r>
      <w:r w:rsidRPr="000209BC">
        <w:t xml:space="preserve">, where both </w:t>
      </w:r>
      <w:r w:rsidRPr="000209BC">
        <w:lastRenderedPageBreak/>
        <w:t>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0209BC">
        <w:rPr>
          <w:i/>
          <w:iCs/>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lastRenderedPageBreak/>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lastRenderedPageBreak/>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lastRenderedPageBreak/>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yutta and discourse of CDB (this varies from earlier texts and translations, especially in SN 35);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44E6A" w14:textId="77777777" w:rsidR="008629AD" w:rsidRDefault="008629AD" w:rsidP="00F15316">
      <w:pPr>
        <w:spacing w:after="0" w:line="240" w:lineRule="auto"/>
      </w:pPr>
      <w:r>
        <w:separator/>
      </w:r>
    </w:p>
  </w:endnote>
  <w:endnote w:type="continuationSeparator" w:id="0">
    <w:p w14:paraId="2E5ACBDF" w14:textId="77777777" w:rsidR="008629AD" w:rsidRDefault="008629AD"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65BE7E" w14:textId="77777777" w:rsidR="008629AD" w:rsidRDefault="008629AD" w:rsidP="00D60BEC">
      <w:pPr>
        <w:spacing w:before="240" w:after="0" w:line="240" w:lineRule="auto"/>
      </w:pPr>
      <w:r w:rsidRPr="00D60BEC">
        <w:separator/>
      </w:r>
    </w:p>
  </w:footnote>
  <w:footnote w:type="continuationSeparator" w:id="0">
    <w:p w14:paraId="414E46FB" w14:textId="77777777" w:rsidR="008629AD" w:rsidRDefault="008629AD"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2FE23195"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26.21/MA 204/T № 765.4/Pali Vinaya 1.7. Taking</w:t>
      </w:r>
      <w:r w:rsidR="00C16309">
        <w:rPr>
          <w:lang w:eastAsia="en-GB"/>
        </w:rPr>
        <w:t xml:space="preserve"> </w:t>
      </w:r>
      <w:r w:rsidRPr="000E7574">
        <w:rPr>
          <w:rStyle w:val="wwc-pali"/>
        </w:rPr>
        <w:t>tesaṁ</w:t>
      </w:r>
      <w:r w:rsidR="00C16309">
        <w:rPr>
          <w:lang w:eastAsia="en-GB"/>
        </w:rPr>
        <w:t xml:space="preserve"> </w:t>
      </w:r>
      <w:r w:rsidRPr="00513F3B">
        <w:rPr>
          <w:lang w:eastAsia="en-GB"/>
        </w:rPr>
        <w:t>as supplying the implied ‘their’ of the second line (cp. DN 18.27/DA 4/T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(cp. Sn 1146, 1149, AN 1.14/EA 4.1–10).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07E1021D" w:rsidR="00161B53" w:rsidRPr="00161B53" w:rsidRDefault="00161B53" w:rsidP="00161B53">
      <w:pPr>
        <w:pStyle w:val="FootnoteText"/>
        <w:rPr>
          <w:lang w:eastAsia="en-GB"/>
        </w:rPr>
      </w:pPr>
      <w:r>
        <w:rPr>
          <w:rStyle w:val="FootnoteReference"/>
        </w:rPr>
        <w:footnoteRef/>
      </w:r>
      <w:r>
        <w:t xml:space="preserve"> </w:t>
      </w:r>
      <w:r w:rsidRPr="00513F3B">
        <w:rPr>
          <w:lang w:eastAsia="en-GB"/>
        </w:rPr>
        <w:t>MN 81/MA 63 Ghaṭikāra and MN 83/MA 67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C45929">
        <w:rPr>
          <w:rStyle w:val="wwc-sesame"/>
        </w:rPr>
        <w:t>Mādhyamaka</w:t>
      </w:r>
      <w:r w:rsidRPr="00513F3B">
        <w:rPr>
          <w:lang w:eastAsia="en-GB"/>
        </w:rPr>
        <w:t xml:space="preserve">, takes as its textual basis </w:t>
      </w:r>
      <w:r w:rsidRPr="00C45929">
        <w:rPr>
          <w:rStyle w:val="wwc-sesame"/>
        </w:rPr>
        <w:t>Nāgārjuna’s</w:t>
      </w:r>
      <w:r w:rsidRPr="00513F3B">
        <w:rPr>
          <w:lang w:eastAsia="en-GB"/>
        </w:rPr>
        <w:t xml:space="preserve"> </w:t>
      </w:r>
      <w:r w:rsidRPr="00C45929">
        <w:rPr>
          <w:rStyle w:val="wwc-sesame"/>
        </w:rPr>
        <w:t>Mūlamādhyamakakārikā</w:t>
      </w:r>
      <w:r w:rsidRPr="00513F3B">
        <w:rPr>
          <w:lang w:eastAsia="en-GB"/>
        </w:rPr>
        <w:t xml:space="preserve">, which is based on the </w:t>
      </w:r>
      <w:r w:rsidRPr="00C45929">
        <w:rPr>
          <w:rStyle w:val="wwc-sesame"/>
        </w:rPr>
        <w:t>Kaccāyana Sutta</w:t>
      </w:r>
      <w:r w:rsidRPr="00513F3B">
        <w:rPr>
          <w:lang w:eastAsia="en-GB"/>
        </w:rPr>
        <w:t xml:space="preserve"> of the </w:t>
      </w:r>
      <w:r w:rsidRPr="00C45929">
        <w:rPr>
          <w:rStyle w:val="wwc-sesame"/>
        </w:rPr>
        <w:t>Saṁyutta</w:t>
      </w:r>
      <w:r w:rsidRPr="00513F3B">
        <w:rPr>
          <w:lang w:eastAsia="en-GB"/>
        </w:rPr>
        <w:t>. Thus the two main schools of the Mah</w:t>
      </w:r>
      <w:r w:rsidRPr="00513F3B">
        <w:rPr>
          <w:rFonts w:cs="Source Serif Pro"/>
          <w:lang w:eastAsia="en-GB"/>
        </w:rPr>
        <w:t>ā</w:t>
      </w:r>
      <w:r w:rsidRPr="00513F3B">
        <w:rPr>
          <w:lang w:eastAsia="en-GB"/>
        </w:rPr>
        <w:t>y</w:t>
      </w:r>
      <w:r w:rsidRPr="00513F3B">
        <w:rPr>
          <w:rFonts w:cs="Source Serif Pro"/>
          <w:lang w:eastAsia="en-GB"/>
        </w:rPr>
        <w:t>ā</w:t>
      </w:r>
      <w:r w:rsidRPr="00513F3B">
        <w:rPr>
          <w:lang w:eastAsia="en-GB"/>
        </w:rPr>
        <w:t xml:space="preserve">na share the </w:t>
      </w:r>
      <w:r w:rsidRPr="00C45929">
        <w:rPr>
          <w:rStyle w:val="wwc-sesame"/>
        </w:rPr>
        <w:t>Saṁyutta</w:t>
      </w:r>
      <w:r w:rsidRPr="00513F3B">
        <w:rPr>
          <w:lang w:eastAsia="en-GB"/>
        </w:rPr>
        <w:t xml:space="preserve"> as a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43E90561"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22.22/SA 73/EA 25.4.</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E0A4A">
        <w:rPr>
          <w:rStyle w:val="wwc-sesame"/>
        </w:rPr>
        <w:t>Sāmmitīyanikāyaśāstra</w:t>
      </w:r>
      <w:r w:rsidRPr="00513F3B">
        <w:rPr>
          <w:lang w:eastAsia="en-GB"/>
        </w:rPr>
        <w:t xml:space="preserve"> (San-mi-ti pu lun), T № 1649, p. 463b11, 465b10, 463b 9–12. See Thiện </w:t>
      </w:r>
      <w:r w:rsidRPr="00324BDD">
        <w:rPr>
          <w:rStyle w:val="wwc-sesame-zot-reference"/>
        </w:rPr>
        <w:t>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There is some suggestion that the Request of Brahmā may have been the first discourse in the </w:t>
      </w:r>
      <w:r w:rsidRPr="005E2E6F">
        <w:rPr>
          <w:rStyle w:val="wwc-sesame"/>
        </w:rPr>
        <w:t>Sagāthāvagga</w:t>
      </w:r>
      <w:r w:rsidRPr="00513F3B">
        <w:rPr>
          <w:lang w:eastAsia="en-GB"/>
        </w:rPr>
        <w:t xml:space="preserve">, based on Bucknell’s reconstruction, following the </w:t>
      </w:r>
      <w:r w:rsidRPr="005E2E6F">
        <w:rPr>
          <w:rStyle w:val="wwc-sesame"/>
        </w:rPr>
        <w:t>Yogacārabhūmiśāstra</w:t>
      </w:r>
      <w:r w:rsidRPr="00513F3B">
        <w:rPr>
          <w:lang w:eastAsia="en-GB"/>
        </w:rPr>
        <w:t xml:space="preserve">, of the </w:t>
      </w:r>
      <w:r w:rsidRPr="005E2E6F">
        <w:rPr>
          <w:rStyle w:val="wwc-sesame"/>
        </w:rPr>
        <w:t>Sagāthāvagga</w:t>
      </w:r>
      <w:r w:rsidRPr="00513F3B">
        <w:rPr>
          <w:lang w:eastAsia="en-GB"/>
        </w:rPr>
        <w:t xml:space="preserve"> along the lines of the Eight Assemblies; however the argument is too complex to go into here. The Request of Brahmā is, surprisingly, missing from the </w:t>
      </w:r>
      <w:r w:rsidRPr="005E2E6F">
        <w:rPr>
          <w:rStyle w:val="wwc-sesame"/>
        </w:rPr>
        <w:t>Sarvāstivāda</w:t>
      </w:r>
      <w:r w:rsidRPr="00513F3B">
        <w:rPr>
          <w:lang w:eastAsia="en-GB"/>
        </w:rPr>
        <w:t xml:space="preserve"> </w:t>
      </w:r>
      <w:r w:rsidRPr="005E2E6F">
        <w:rPr>
          <w:rStyle w:val="wwc-sesame"/>
        </w:rPr>
        <w:t>Saṁyukta</w:t>
      </w:r>
      <w:r w:rsidRPr="00513F3B">
        <w:rPr>
          <w:lang w:eastAsia="en-GB"/>
        </w:rPr>
        <w:t xml:space="preserve">, although it is found in the </w:t>
      </w:r>
      <w:r w:rsidRPr="005E2E6F">
        <w:rPr>
          <w:rStyle w:val="wwc-sesame"/>
        </w:rPr>
        <w:t>Ekottara</w:t>
      </w:r>
      <w:r w:rsidRPr="00513F3B">
        <w:rPr>
          <w:lang w:eastAsia="en-GB"/>
        </w:rPr>
        <w:t xml:space="preserve"> and (Sanskrit) </w:t>
      </w:r>
      <w:r w:rsidRPr="005E2E6F">
        <w:rPr>
          <w:rStyle w:val="wwc-sesame"/>
        </w:rPr>
        <w:t>Dīrgha Āgamas</w:t>
      </w:r>
      <w:r w:rsidRPr="00513F3B">
        <w:rPr>
          <w:lang w:eastAsia="en-GB"/>
        </w:rPr>
        <w:t>, and probably elsewhere, appearing immediately before the</w:t>
      </w:r>
      <w:r w:rsidR="00C16309">
        <w:rPr>
          <w:rFonts w:cs="Source Serif Pro"/>
          <w:lang w:eastAsia="en-GB"/>
        </w:rPr>
        <w:t xml:space="preserve"> </w:t>
      </w:r>
      <w:r w:rsidRPr="005E2E6F">
        <w:rPr>
          <w:rStyle w:val="wwc-sesame"/>
        </w:rPr>
        <w:t>Dhamma</w:t>
      </w:r>
      <w:r w:rsidRPr="005E2E6F">
        <w:rPr>
          <w:rStyle w:val="wwc-sesame"/>
        </w:rPr>
        <w:softHyphen/>
        <w:t>cakkap</w:t>
      </w:r>
      <w:r w:rsidRPr="005E2E6F">
        <w:rPr>
          <w:rStyle w:val="wwc-sesame"/>
        </w:rPr>
        <w:softHyphen/>
        <w:t>pavattana</w:t>
      </w:r>
      <w:r w:rsidR="00C16309">
        <w:rPr>
          <w:rStyle w:val="wwc-sesame"/>
        </w:rPr>
        <w:t xml:space="preserve"> </w:t>
      </w:r>
      <w:r w:rsidRPr="005E2E6F">
        <w:rPr>
          <w:rStyle w:val="wwc-sesame"/>
        </w:rPr>
        <w:t>Sutta</w:t>
      </w:r>
      <w:r w:rsidRPr="00513F3B">
        <w:rPr>
          <w:lang w:eastAsia="en-GB"/>
        </w:rPr>
        <w:t xml:space="preserve">, just as in the </w:t>
      </w:r>
      <w:r w:rsidRPr="005E2E6F">
        <w:rPr>
          <w:rStyle w:val="wwc-sesame"/>
        </w:rPr>
        <w:t>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513F3B">
        <w:rPr>
          <w:i/>
          <w:iCs/>
          <w:lang w:eastAsia="en-GB"/>
        </w:rPr>
        <w:t>saṅkhitta-gāthā-sa</w:t>
      </w:r>
      <w:r w:rsidRPr="00513F3B">
        <w:rPr>
          <w:rFonts w:ascii="Cambria" w:hAnsi="Cambria" w:cs="Cambria"/>
          <w:i/>
          <w:iCs/>
          <w:lang w:eastAsia="en-GB"/>
        </w:rPr>
        <w:t>ṁ</w:t>
      </w:r>
      <w:r w:rsidRPr="00513F3B">
        <w:rPr>
          <w:i/>
          <w:iCs/>
          <w:lang w:eastAsia="en-GB"/>
        </w:rPr>
        <w:t>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513F3B">
        <w:rPr>
          <w:i/>
          <w:iCs/>
          <w:lang w:eastAsia="en-GB"/>
        </w:rPr>
        <w:t>paṭicca-samuppāda</w:t>
      </w:r>
      <w:r w:rsidR="00C16309">
        <w:rPr>
          <w:lang w:eastAsia="en-GB"/>
        </w:rPr>
        <w:t xml:space="preserve"> </w:t>
      </w:r>
      <w:r w:rsidRPr="00513F3B">
        <w:rPr>
          <w:lang w:eastAsia="en-GB"/>
        </w:rPr>
        <w:t>or</w:t>
      </w:r>
      <w:r w:rsidR="00C16309">
        <w:rPr>
          <w:lang w:eastAsia="en-GB"/>
        </w:rPr>
        <w:t xml:space="preserve"> </w:t>
      </w:r>
      <w:r w:rsidRPr="00513F3B">
        <w:rPr>
          <w:i/>
          <w:iCs/>
          <w:lang w:eastAsia="en-GB"/>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529175B1"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45.35/SA 796–797/SA 799.</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Pr>
          <w:rStyle w:val="wwc-sesame"/>
        </w:rPr>
        <w:t>C</w:t>
      </w:r>
      <w:r w:rsidR="00F66CB3">
        <w:rPr>
          <w:rStyle w:val="wwc-sesame"/>
        </w:rPr>
        <w:t>DB,</w:t>
      </w:r>
      <w:r w:rsidR="00FB33EE">
        <w:rPr>
          <w:rStyle w:val="wwc-sesame"/>
        </w:rPr>
        <w:t xml:space="preserve"> p</w:t>
      </w:r>
      <w:r w:rsidRPr="00FB33EE">
        <w:rPr>
          <w:rStyle w:val="wwc-sesame"/>
        </w:rPr>
        <w:t>g. 532</w:t>
      </w:r>
      <w:r w:rsidR="00737955" w:rsidRPr="00FB33EE">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42272884"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(LAMOTTE (1976),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61B73BC6" w:rsidR="003A7E8C" w:rsidRPr="003A7E8C" w:rsidRDefault="003A7E8C" w:rsidP="003A7E8C">
      <w:pPr>
        <w:pStyle w:val="FootnoteText"/>
        <w:rPr>
          <w:lang w:eastAsia="en-GB"/>
        </w:rPr>
      </w:pPr>
      <w:r>
        <w:rPr>
          <w:rStyle w:val="FootnoteReference"/>
        </w:rPr>
        <w:footnoteRef/>
      </w:r>
      <w:r>
        <w:t xml:space="preserve"> </w:t>
      </w:r>
      <w:r w:rsidRPr="00513F3B">
        <w:rPr>
          <w:lang w:eastAsia="en-GB"/>
        </w:rPr>
        <w:t>T № 676. I use KEENAN,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 L</w:t>
      </w:r>
      <w:r w:rsidRPr="00513F3B">
        <w:rPr>
          <w:rFonts w:cs="Source Serif Pro"/>
          <w:i/>
          <w:iCs/>
          <w:lang w:eastAsia="en-GB"/>
        </w:rPr>
        <w:t>’</w:t>
      </w:r>
      <w:r w:rsidRPr="00513F3B">
        <w:rPr>
          <w:i/>
          <w:iCs/>
          <w:lang w:eastAsia="en-GB"/>
        </w:rPr>
        <w:t>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513F3B">
        <w:rPr>
          <w:i/>
          <w:iCs/>
          <w:lang w:eastAsia="en-GB"/>
        </w:rPr>
        <w:t>padhāna</w:t>
      </w:r>
      <w:r w:rsidR="00C16309">
        <w:rPr>
          <w:lang w:eastAsia="en-GB"/>
        </w:rPr>
        <w:t xml:space="preserve"> </w:t>
      </w:r>
      <w:r w:rsidRPr="00513F3B">
        <w:rPr>
          <w:lang w:eastAsia="en-GB"/>
        </w:rPr>
        <w:t>(‘effort’) is often misread in Sanskrit as</w:t>
      </w:r>
      <w:r w:rsidR="00C16309">
        <w:rPr>
          <w:lang w:eastAsia="en-GB"/>
        </w:rPr>
        <w:t xml:space="preserve"> </w:t>
      </w:r>
      <w:r w:rsidRPr="00513F3B">
        <w:rPr>
          <w:i/>
          <w:iCs/>
          <w:lang w:eastAsia="en-GB"/>
        </w:rPr>
        <w:t>pahāna</w:t>
      </w:r>
      <w:r w:rsidR="00C16309">
        <w:rPr>
          <w:lang w:eastAsia="en-GB"/>
        </w:rPr>
        <w:t xml:space="preserve"> </w:t>
      </w:r>
      <w:r w:rsidRPr="00513F3B">
        <w:rPr>
          <w:lang w:eastAsia="en-GB"/>
        </w:rPr>
        <w:t>(‘abandoning’).</w:t>
      </w:r>
    </w:p>
  </w:footnote>
  <w:footnote w:id="43">
    <w:p w14:paraId="04A3CA31" w14:textId="6681175F"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22–23.</w:t>
      </w:r>
    </w:p>
  </w:footnote>
  <w:footnote w:id="44">
    <w:p w14:paraId="185CB901" w14:textId="3D140C82"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35.</w:t>
      </w:r>
    </w:p>
  </w:footnote>
  <w:footnote w:id="45">
    <w:p w14:paraId="2F83C2FB" w14:textId="1ED26885"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46–47.</w:t>
      </w:r>
    </w:p>
  </w:footnote>
  <w:footnote w:id="46">
    <w:p w14:paraId="6733166C" w14:textId="661C7BC3"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23.</w:t>
      </w:r>
    </w:p>
  </w:footnote>
  <w:footnote w:id="47">
    <w:p w14:paraId="3F6D5B10" w14:textId="019FDD7D" w:rsidR="008B707B" w:rsidRPr="008B707B" w:rsidRDefault="008B707B" w:rsidP="008B707B">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97.</w:t>
      </w:r>
    </w:p>
  </w:footnote>
  <w:footnote w:id="48">
    <w:p w14:paraId="5FA8E158" w14:textId="1F0EB2AF"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Source Serif Pro"/>
          <w:color w:val="382500"/>
          <w:kern w:val="0"/>
          <w:szCs w:val="24"/>
          <w:lang w:eastAsia="en-GB"/>
          <w14:ligatures w14:val="none"/>
        </w:rPr>
        <w: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0C03F95B" w:rsidR="00097CEC" w:rsidRPr="00097CEC" w:rsidRDefault="00097CEC" w:rsidP="00097CEC">
      <w:pPr>
        <w:pStyle w:val="FootnoteText"/>
        <w:rPr>
          <w:lang w:eastAsia="en-GB"/>
        </w:rPr>
      </w:pPr>
      <w:r>
        <w:rPr>
          <w:rStyle w:val="FootnoteReference"/>
        </w:rPr>
        <w:footnoteRef/>
      </w:r>
      <w:r>
        <w:t xml:space="preserve"> </w:t>
      </w:r>
      <w:r w:rsidRPr="00513F3B">
        <w:rPr>
          <w:lang w:eastAsia="en-GB"/>
        </w:rPr>
        <w:t>LAMOTTE (1976), pg.</w:t>
      </w:r>
      <w:r w:rsidRPr="00513F3B">
        <w:rPr>
          <w:rFonts w:ascii="Times New Roman" w:hAnsi="Times New Roman"/>
          <w:lang w:eastAsia="en-GB"/>
        </w:rPr>
        <w:t> </w:t>
      </w:r>
      <w:r w:rsidRPr="00513F3B">
        <w:rPr>
          <w:lang w:eastAsia="en-GB"/>
        </w:rPr>
        <w:t>144.</w:t>
      </w:r>
    </w:p>
  </w:footnote>
  <w:footnote w:id="50">
    <w:p w14:paraId="2E1AA8E3" w14:textId="0042B7FF" w:rsidR="00097CEC" w:rsidRPr="00483AC8" w:rsidRDefault="00097CEC">
      <w:pPr>
        <w:pStyle w:val="FootnoteText"/>
      </w:pPr>
      <w:r>
        <w:rPr>
          <w:rStyle w:val="FootnoteReference"/>
        </w:rPr>
        <w:footnoteRef/>
      </w:r>
      <w:r>
        <w:t xml:space="preserve"> </w:t>
      </w:r>
      <w:r w:rsidRPr="00483AC8">
        <w:t>Some references in LAMOTTE (1976), pp. 161, 162.</w:t>
      </w:r>
    </w:p>
  </w:footnote>
  <w:footnote w:id="51">
    <w:p w14:paraId="439B3861" w14:textId="51CEC111" w:rsidR="00097CEC" w:rsidRDefault="00097CEC">
      <w:pPr>
        <w:pStyle w:val="FootnoteText"/>
      </w:pPr>
      <w:r>
        <w:rPr>
          <w:rStyle w:val="FootnoteReference"/>
        </w:rPr>
        <w:footnoteRef/>
      </w:r>
      <w:r>
        <w:t xml:space="preserve"> </w:t>
      </w:r>
      <w:r w:rsidRPr="00483AC8">
        <w:t>DN 27/DA 5/T № 10/MA 154/EA 40.1/Skt.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4C5C7B47" w:rsidR="00097CEC" w:rsidRDefault="00097CEC">
      <w:pPr>
        <w:pStyle w:val="FootnoteText"/>
      </w:pPr>
      <w:r>
        <w:rPr>
          <w:rStyle w:val="FootnoteReference"/>
        </w:rPr>
        <w:footnoteRef/>
      </w:r>
      <w:r>
        <w:t xml:space="preserve"> </w:t>
      </w:r>
      <w:r w:rsidRPr="00483AC8">
        <w:t>DN 26/DA 6/MA 70.</w:t>
      </w:r>
    </w:p>
  </w:footnote>
  <w:footnote w:id="53">
    <w:p w14:paraId="71491E4D" w14:textId="12599395" w:rsidR="009127F9" w:rsidRPr="00483AC8" w:rsidRDefault="009127F9">
      <w:pPr>
        <w:pStyle w:val="FootnoteText"/>
      </w:pPr>
      <w:r>
        <w:rPr>
          <w:rStyle w:val="FootnoteReference"/>
        </w:rPr>
        <w:footnoteRef/>
      </w:r>
      <w:r>
        <w:t xml:space="preserve"> </w:t>
      </w:r>
      <w:r w:rsidRPr="00483AC8">
        <w:t>BOIN-WEBB, pg. 179.</w:t>
      </w:r>
    </w:p>
  </w:footnote>
  <w:footnote w:id="54">
    <w:p w14:paraId="092DA194" w14:textId="1AEFC67F" w:rsidR="009127F9" w:rsidRPr="00483AC8" w:rsidRDefault="009127F9">
      <w:pPr>
        <w:pStyle w:val="FootnoteText"/>
      </w:pPr>
      <w:r>
        <w:rPr>
          <w:rStyle w:val="FootnoteReference"/>
        </w:rPr>
        <w:footnoteRef/>
      </w:r>
      <w:r>
        <w:t xml:space="preserve"> </w:t>
      </w:r>
      <w:r w:rsidRPr="00483AC8">
        <w:t>Śrāvakabhūmi, pg. 230.</w:t>
      </w:r>
    </w:p>
  </w:footnote>
  <w:footnote w:id="55">
    <w:p w14:paraId="35A6BA0C" w14:textId="51AA08BA" w:rsidR="009127F9" w:rsidRDefault="009127F9">
      <w:pPr>
        <w:pStyle w:val="FootnoteText"/>
      </w:pPr>
      <w:r>
        <w:rPr>
          <w:rStyle w:val="FootnoteReference"/>
        </w:rPr>
        <w:footnoteRef/>
      </w:r>
      <w:r>
        <w:t xml:space="preserve"> </w:t>
      </w:r>
      <w:r w:rsidRPr="00483AC8">
        <w:t>MN 83.21/MA 67/EA 1/EA 50.4/T № 152.87/T № 211, DN 19.61/DA 3/T № 8/Skt.</w:t>
      </w:r>
    </w:p>
  </w:footnote>
  <w:footnote w:id="56">
    <w:p w14:paraId="277F4C4F" w14:textId="3534B4EF" w:rsidR="009127F9" w:rsidRDefault="009127F9">
      <w:pPr>
        <w:pStyle w:val="FootnoteText"/>
      </w:pPr>
      <w:r>
        <w:rPr>
          <w:rStyle w:val="FootnoteReference"/>
        </w:rPr>
        <w:footnoteRef/>
      </w:r>
      <w:r>
        <w:t xml:space="preserve"> </w:t>
      </w:r>
      <w:r w:rsidRPr="00483AC8">
        <w:t>DN 14.1.17/DA 1/T № 2/T № 3/T № 4/EA 48.4/Skt.</w:t>
      </w:r>
    </w:p>
  </w:footnote>
  <w:footnote w:id="57">
    <w:p w14:paraId="5DE1B8ED" w14:textId="4B5A7CA2" w:rsidR="00483AC8" w:rsidRDefault="00483AC8">
      <w:pPr>
        <w:pStyle w:val="FootnoteText"/>
      </w:pPr>
      <w:r>
        <w:rPr>
          <w:rStyle w:val="FootnoteReference"/>
        </w:rPr>
        <w:footnoteRef/>
      </w:r>
      <w:r>
        <w:t xml:space="preserve"> </w:t>
      </w:r>
      <w:r w:rsidRPr="00483AC8">
        <w:t>AN 4.127/MA 32*/EA 25.3*.</w:t>
      </w:r>
    </w:p>
  </w:footnote>
  <w:footnote w:id="58">
    <w:p w14:paraId="0C2B4BE1" w14:textId="74C3A7D3" w:rsidR="00483AC8" w:rsidRDefault="00483AC8">
      <w:pPr>
        <w:pStyle w:val="FootnoteText"/>
      </w:pPr>
      <w:r>
        <w:rPr>
          <w:rStyle w:val="FootnoteReference"/>
        </w:rPr>
        <w:footnoteRef/>
      </w:r>
      <w:r>
        <w:t xml:space="preserve"> </w:t>
      </w:r>
      <w:r w:rsidRPr="0008324F">
        <w:t>MN 123.3</w:t>
      </w:r>
      <w:r>
        <w:t>.</w:t>
      </w:r>
    </w:p>
  </w:footnote>
  <w:footnote w:id="59">
    <w:p w14:paraId="77ED8611" w14:textId="24E810B2" w:rsidR="00483AC8" w:rsidRDefault="00483AC8">
      <w:pPr>
        <w:pStyle w:val="FootnoteText"/>
      </w:pPr>
      <w:r>
        <w:rPr>
          <w:rStyle w:val="FootnoteReference"/>
        </w:rPr>
        <w:footnoteRef/>
      </w:r>
      <w:r>
        <w:t xml:space="preserve"> </w:t>
      </w:r>
      <w:r w:rsidRPr="0008324F">
        <w:t>MA 32.</w:t>
      </w:r>
    </w:p>
  </w:footnote>
  <w:footnote w:id="60">
    <w:p w14:paraId="4EDAB51B" w14:textId="2B6CD1A2" w:rsidR="00483AC8" w:rsidRDefault="00483AC8">
      <w:pPr>
        <w:pStyle w:val="FootnoteText"/>
      </w:pPr>
      <w:r>
        <w:rPr>
          <w:rStyle w:val="FootnoteReference"/>
        </w:rPr>
        <w:footnoteRef/>
      </w:r>
      <w:r>
        <w:t xml:space="preserve"> </w:t>
      </w:r>
      <w:r w:rsidRPr="0008324F">
        <w:t>MN 43/MA 211, MN 44/MA 44; the versions differ in some questions and details, but there is no obvious sectarian divergence.</w:t>
      </w:r>
    </w:p>
  </w:footnote>
  <w:footnote w:id="61">
    <w:p w14:paraId="167E56C1" w14:textId="72368CF7" w:rsidR="000F4345" w:rsidRDefault="000F4345">
      <w:pPr>
        <w:pStyle w:val="FootnoteText"/>
      </w:pPr>
      <w:r>
        <w:rPr>
          <w:rStyle w:val="FootnoteReference"/>
        </w:rPr>
        <w:footnoteRef/>
      </w:r>
      <w:r>
        <w:t xml:space="preserve"> </w:t>
      </w:r>
      <w:r w:rsidRPr="0008324F">
        <w:t>Immediately preceding the two Vedallas is a group of three discourses that occur together and in the same sequence in both Majjhimas: MN 77/MA 207 Mahāsakaludāyin; MN 79/MA 208 Cūḷsakaludāyin; and MN 80/MA 209 Vekhanassa. (MN 78/MA 179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6F6DB94E" w:rsidR="000F4345" w:rsidRDefault="000F4345">
      <w:pPr>
        <w:pStyle w:val="FootnoteText"/>
      </w:pPr>
      <w:r>
        <w:rPr>
          <w:rStyle w:val="FootnoteReference"/>
        </w:rPr>
        <w:footnoteRef/>
      </w:r>
      <w:r>
        <w:t xml:space="preserve"> </w:t>
      </w:r>
      <w:r w:rsidRPr="0008324F">
        <w:t>BOIN-WEBB, pg. 180.</w:t>
      </w:r>
    </w:p>
  </w:footnote>
  <w:footnote w:id="63">
    <w:p w14:paraId="339BCE24" w14:textId="6ECB1674" w:rsidR="000F4345" w:rsidRDefault="000F4345">
      <w:pPr>
        <w:pStyle w:val="FootnoteText"/>
      </w:pPr>
      <w:r>
        <w:rPr>
          <w:rStyle w:val="FootnoteReference"/>
        </w:rPr>
        <w:footnoteRef/>
      </w:r>
      <w:r>
        <w:t xml:space="preserve"> </w:t>
      </w:r>
      <w:r w:rsidRPr="0008324F">
        <w:t>GNOLI, Pt. 1, pg. xix.</w:t>
      </w:r>
    </w:p>
  </w:footnote>
  <w:footnote w:id="64">
    <w:p w14:paraId="618C9339" w14:textId="6EC99E7B" w:rsidR="000F4345" w:rsidRDefault="000F4345">
      <w:pPr>
        <w:pStyle w:val="FootnoteText"/>
      </w:pPr>
      <w:r>
        <w:rPr>
          <w:rStyle w:val="FootnoteReference"/>
        </w:rPr>
        <w:footnoteRef/>
      </w:r>
      <w:r>
        <w:t xml:space="preserve"> </w:t>
      </w:r>
      <w:r w:rsidRPr="0008324F">
        <w:t>BOIN-WEBB, pg. 180.</w:t>
      </w:r>
    </w:p>
  </w:footnote>
  <w:footnote w:id="65">
    <w:p w14:paraId="5D8271A9" w14:textId="4CB0415D" w:rsidR="000F4345" w:rsidRDefault="000F4345">
      <w:pPr>
        <w:pStyle w:val="FootnoteText"/>
      </w:pPr>
      <w:r>
        <w:rPr>
          <w:rStyle w:val="FootnoteReference"/>
        </w:rPr>
        <w:footnoteRef/>
      </w:r>
      <w:r>
        <w:t xml:space="preserve"> </w:t>
      </w:r>
      <w:r w:rsidRPr="0008324F">
        <w:t>BOIN-WEBB, pg. 179.</w:t>
      </w:r>
    </w:p>
  </w:footnote>
  <w:footnote w:id="66">
    <w:p w14:paraId="232B89C7" w14:textId="74FCC6BD" w:rsidR="000F4345" w:rsidRDefault="000F4345">
      <w:pPr>
        <w:pStyle w:val="FootnoteText"/>
      </w:pPr>
      <w:r>
        <w:rPr>
          <w:rStyle w:val="FootnoteReference"/>
        </w:rPr>
        <w:footnoteRef/>
      </w:r>
      <w:r>
        <w:t xml:space="preserve"> </w:t>
      </w:r>
      <w:r w:rsidRPr="0008324F">
        <w:t>Discussed in MATSUMURA.</w:t>
      </w:r>
    </w:p>
  </w:footnote>
  <w:footnote w:id="67">
    <w:p w14:paraId="161EDA47" w14:textId="7A5D119A" w:rsidR="000F4345" w:rsidRDefault="000F4345">
      <w:pPr>
        <w:pStyle w:val="FootnoteText"/>
      </w:pPr>
      <w:r>
        <w:rPr>
          <w:rStyle w:val="FootnoteReference"/>
        </w:rPr>
        <w:footnoteRef/>
      </w:r>
      <w:r>
        <w:t xml:space="preserve"> </w:t>
      </w:r>
      <w:r w:rsidRPr="0008324F">
        <w:t>BEAL (1985), pg. 386–7; translation corrected following LAMOTTE, pg. 177.</w:t>
      </w:r>
    </w:p>
  </w:footnote>
  <w:footnote w:id="68">
    <w:p w14:paraId="08B18DC2" w14:textId="54DD1AA0" w:rsidR="000F4345" w:rsidRDefault="000F4345">
      <w:pPr>
        <w:pStyle w:val="FootnoteText"/>
      </w:pPr>
      <w:r>
        <w:rPr>
          <w:rStyle w:val="FootnoteReference"/>
        </w:rPr>
        <w:footnoteRef/>
      </w:r>
      <w:r>
        <w:t xml:space="preserve"> </w:t>
      </w:r>
      <w:r w:rsidRPr="0008324F">
        <w:t>BEAL (1985), pg. 140.</w:t>
      </w:r>
    </w:p>
  </w:footnote>
  <w:footnote w:id="69">
    <w:p w14:paraId="41268F5C" w14:textId="08480E20" w:rsidR="000F4345" w:rsidRDefault="000F4345">
      <w:pPr>
        <w:pStyle w:val="FootnoteText"/>
      </w:pPr>
      <w:r>
        <w:rPr>
          <w:rStyle w:val="FootnoteReference"/>
        </w:rPr>
        <w:footnoteRef/>
      </w:r>
      <w:r>
        <w:t xml:space="preserve"> </w:t>
      </w:r>
      <w:r w:rsidRPr="0008324F">
        <w:t>MN 122.20/MA 191.</w:t>
      </w:r>
    </w:p>
  </w:footnote>
  <w:footnote w:id="70">
    <w:p w14:paraId="3668FDF4" w14:textId="5F5C35C6" w:rsidR="000F4345" w:rsidRDefault="000F4345">
      <w:pPr>
        <w:pStyle w:val="FootnoteText"/>
      </w:pPr>
      <w:r>
        <w:rPr>
          <w:rStyle w:val="FootnoteReference"/>
        </w:rPr>
        <w:footnoteRef/>
      </w:r>
      <w:r>
        <w:t xml:space="preserve"> </w:t>
      </w:r>
      <w:r w:rsidRPr="0008324F">
        <w:t>Pg. 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 hetu</w:t>
      </w:r>
      <w:r w:rsidRPr="00513F3B">
        <w:rPr>
          <w:lang w:eastAsia="en-GB"/>
        </w:rPr>
        <w:t>; Burmese and Sinhalese have: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r w:rsidRPr="00513F3B">
        <w:rPr>
          <w:i/>
          <w:iCs/>
          <w:lang w:eastAsia="en-GB"/>
        </w:rPr>
        <w:t xml:space="preserve"> tassa hetu</w:t>
      </w:r>
      <w:r w:rsidRPr="00513F3B">
        <w:rPr>
          <w:lang w:eastAsia="en-GB"/>
        </w:rPr>
        <w:t>; the Siamese has: </w:t>
      </w:r>
      <w:r w:rsidRPr="00513F3B">
        <w:rPr>
          <w:i/>
          <w:iCs/>
          <w:lang w:eastAsia="en-GB"/>
        </w:rPr>
        <w:t>suttageyyaveyyākaraṇassa sotu</w:t>
      </w:r>
      <w:r w:rsidRPr="00513F3B">
        <w:rPr>
          <w:rFonts w:ascii="Cambria" w:hAnsi="Cambria" w:cs="Cambria"/>
          <w:i/>
          <w:iCs/>
          <w:lang w:eastAsia="en-GB"/>
        </w:rPr>
        <w:t>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 xml:space="preserve">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513F3B">
        <w:rPr>
          <w:i/>
          <w:iCs/>
          <w:lang w:eastAsia="en-GB"/>
        </w:rPr>
        <w:t>hetuḥ</w:t>
      </w:r>
      <w:r w:rsidRPr="00513F3B">
        <w:rPr>
          <w:lang w:eastAsia="en-GB"/>
        </w:rPr>
        <w:t>, not </w:t>
      </w:r>
      <w:r w:rsidRPr="00513F3B">
        <w:rPr>
          <w:i/>
          <w:iCs/>
          <w:lang w:eastAsia="en-GB"/>
        </w:rPr>
        <w:t>sotu</w:t>
      </w:r>
      <w:r w:rsidRPr="00513F3B">
        <w:rPr>
          <w:rFonts w:ascii="Cambria" w:hAnsi="Cambria" w:cs="Cambria"/>
          <w:i/>
          <w:iCs/>
          <w:lang w:eastAsia="en-GB"/>
        </w:rPr>
        <w:t>ṁ</w:t>
      </w:r>
      <w:r w:rsidRPr="00513F3B">
        <w:rPr>
          <w:lang w:eastAsia="en-GB"/>
        </w:rPr>
        <w:t> as proposed by the Siamese edition. </w:t>
      </w:r>
      <w:r w:rsidRPr="00513F3B">
        <w:rPr>
          <w:i/>
          <w:iCs/>
          <w:lang w:eastAsia="en-GB"/>
        </w:rPr>
        <w:t>Sotu</w:t>
      </w:r>
      <w:r w:rsidRPr="00513F3B">
        <w:rPr>
          <w:rFonts w:ascii="Cambria" w:hAnsi="Cambria" w:cs="Cambria"/>
          <w:i/>
          <w:iCs/>
          <w:lang w:eastAsia="en-GB"/>
        </w:rPr>
        <w:t>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CDF8949" w:rsidR="00DC40A3" w:rsidRDefault="00DC40A3">
      <w:pPr>
        <w:pStyle w:val="FootnoteText"/>
      </w:pPr>
      <w:r>
        <w:rPr>
          <w:rStyle w:val="FootnoteReference"/>
        </w:rPr>
        <w:footnoteRef/>
      </w:r>
      <w:r>
        <w:t xml:space="preserve"> </w:t>
      </w:r>
      <w:r w:rsidRPr="00513F3B">
        <w:rPr>
          <w:lang w:eastAsia="en-GB"/>
        </w:rPr>
        <w:t>"See the timeline in ÑĀṆAMOLI’S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6CB0DF76" w:rsidR="00DC40A3" w:rsidRDefault="00DC40A3">
      <w:pPr>
        <w:pStyle w:val="FootnoteText"/>
      </w:pPr>
      <w:r>
        <w:rPr>
          <w:rStyle w:val="FootnoteReference"/>
        </w:rPr>
        <w:footnoteRef/>
      </w:r>
      <w:r>
        <w:t xml:space="preserve"> </w:t>
      </w:r>
      <w:r w:rsidRPr="00513F3B">
        <w:rPr>
          <w:lang w:eastAsia="en-GB"/>
        </w:rPr>
        <w:t>"WALDSCHMIDT (1950, 1951) 40.62; WALDSCHMIDT (1968).</w:t>
      </w:r>
    </w:p>
  </w:footnote>
  <w:footnote w:id="74">
    <w:p w14:paraId="3F7DC4DB" w14:textId="45B2202B" w:rsidR="00DC40A3" w:rsidRDefault="00DC40A3">
      <w:pPr>
        <w:pStyle w:val="FootnoteText"/>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154, 232.</w:t>
      </w:r>
    </w:p>
  </w:footnote>
  <w:footnote w:id="75">
    <w:p w14:paraId="07A75024" w14:textId="141E7BE2" w:rsidR="00DC40A3" w:rsidRDefault="00DC40A3">
      <w:pPr>
        <w:pStyle w:val="FootnoteText"/>
        <w:rPr>
          <w:lang w:eastAsia="en-GB"/>
        </w:rPr>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154, 184, 220, 226.</w:t>
      </w:r>
    </w:p>
  </w:footnote>
  <w:footnote w:id="76">
    <w:p w14:paraId="6CFCE27F" w14:textId="06995E99" w:rsidR="00DC40A3" w:rsidRDefault="00DC40A3">
      <w:pPr>
        <w:pStyle w:val="FootnoteText"/>
      </w:pPr>
      <w:r>
        <w:rPr>
          <w:rStyle w:val="FootnoteReference"/>
        </w:rPr>
        <w:footnoteRef/>
      </w:r>
      <w:r>
        <w:t xml:space="preserve"> </w:t>
      </w:r>
      <w:r w:rsidR="00833605" w:rsidRPr="00513F3B">
        <w:rPr>
          <w:i/>
          <w:iCs/>
          <w:lang w:eastAsia="en-GB"/>
        </w:rPr>
        <w:t>Neyyattha</w:t>
      </w:r>
      <w:r w:rsidR="00833605" w:rsidRPr="00513F3B">
        <w:rPr>
          <w:lang w:eastAsia="en-GB"/>
        </w:rPr>
        <w:t> and </w:t>
      </w:r>
      <w:r w:rsidR="00833605" w:rsidRPr="00513F3B">
        <w:rPr>
          <w:i/>
          <w:iCs/>
          <w:lang w:eastAsia="en-GB"/>
        </w:rPr>
        <w:t>nītattha</w:t>
      </w:r>
      <w:r w:rsidR="00833605" w:rsidRPr="00513F3B">
        <w:rPr>
          <w:lang w:eastAsia="en-GB"/>
        </w:rPr>
        <w:t>; Śrāvakabhūmi pg.</w:t>
      </w:r>
      <w:r w:rsidR="00833605" w:rsidRPr="00513F3B">
        <w:rPr>
          <w:rFonts w:ascii="Times New Roman" w:hAnsi="Times New Roman"/>
          <w:lang w:eastAsia="en-GB"/>
        </w:rPr>
        <w:t> </w:t>
      </w:r>
      <w:r w:rsidR="00833605" w:rsidRPr="00513F3B">
        <w:rPr>
          <w:lang w:eastAsia="en-GB"/>
        </w:rPr>
        <w:t>228; Abhidharmasamuccaya pg.</w:t>
      </w:r>
      <w:r w:rsidR="00833605" w:rsidRPr="00513F3B">
        <w:rPr>
          <w:rFonts w:ascii="Times New Roman" w:hAnsi="Times New Roman"/>
          <w:lang w:eastAsia="en-GB"/>
        </w:rPr>
        <w:t> </w:t>
      </w:r>
      <w:r w:rsidR="00833605" w:rsidRPr="00513F3B">
        <w:rPr>
          <w:lang w:eastAsia="en-GB"/>
        </w:rPr>
        <w:t>179, but see DE JONG</w:t>
      </w:r>
      <w:r w:rsidR="00833605" w:rsidRPr="00513F3B">
        <w:rPr>
          <w:rFonts w:cs="Source Serif Pro"/>
          <w:lang w:eastAsia="en-GB"/>
        </w:rPr>
        <w:t>’</w:t>
      </w:r>
      <w:r w:rsidR="00833605" w:rsidRPr="00513F3B">
        <w:rPr>
          <w:lang w:eastAsia="en-GB"/>
        </w:rPr>
        <w:t>S comment, pg.</w:t>
      </w:r>
      <w:r w:rsidR="00833605" w:rsidRPr="00513F3B">
        <w:rPr>
          <w:rFonts w:ascii="Times New Roman" w:hAnsi="Times New Roman"/>
          <w:lang w:eastAsia="en-GB"/>
        </w:rPr>
        <w:t>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513F3B">
        <w:rPr>
          <w:i/>
          <w:iCs/>
          <w:lang w:eastAsia="en-GB"/>
        </w:rPr>
        <w:t>ālokapañcaka</w:t>
      </w:r>
      <w:r w:rsidR="00833605" w:rsidRPr="00513F3B">
        <w:rPr>
          <w:rFonts w:ascii="Cambria" w:hAnsi="Cambria" w:cs="Cambria"/>
          <w:i/>
          <w:iCs/>
          <w:lang w:eastAsia="en-GB"/>
        </w:rPr>
        <w:t>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2D449082" w:rsidR="00495C55" w:rsidRDefault="00495C55">
      <w:pPr>
        <w:pStyle w:val="FootnoteText"/>
      </w:pPr>
      <w:r>
        <w:rPr>
          <w:rStyle w:val="FootnoteReference"/>
        </w:rPr>
        <w:footnoteRef/>
      </w:r>
      <w:r>
        <w:t xml:space="preserve"> </w:t>
      </w:r>
      <w:r w:rsidR="00833605" w:rsidRPr="00513F3B">
        <w:rPr>
          <w:lang w:eastAsia="en-GB"/>
        </w:rPr>
        <w:t>ÑĀṆAMOLI (1964), pg.</w:t>
      </w:r>
      <w:r w:rsidR="00833605" w:rsidRPr="00513F3B">
        <w:rPr>
          <w:rFonts w:ascii="Times New Roman" w:hAnsi="Times New Roman"/>
          <w:lang w:eastAsia="en-GB"/>
        </w:rPr>
        <w:t>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513F3B">
        <w:rPr>
          <w:i/>
          <w:iCs/>
          <w:lang w:eastAsia="en-GB"/>
        </w:rPr>
        <w:t>sūtra</w:t>
      </w:r>
      <w:r w:rsidR="00833605" w:rsidRPr="00513F3B">
        <w:rPr>
          <w:lang w:eastAsia="en-GB"/>
        </w:rPr>
        <w:t>, </w:t>
      </w:r>
      <w:r w:rsidR="00833605" w:rsidRPr="00513F3B">
        <w:rPr>
          <w:i/>
          <w:iCs/>
          <w:lang w:eastAsia="en-GB"/>
        </w:rPr>
        <w:t>gāthā</w:t>
      </w:r>
      <w:r w:rsidR="00833605" w:rsidRPr="00513F3B">
        <w:rPr>
          <w:lang w:eastAsia="en-GB"/>
        </w:rPr>
        <w:t>, </w:t>
      </w:r>
      <w:r w:rsidR="00833605" w:rsidRPr="00513F3B">
        <w:rPr>
          <w:i/>
          <w:iCs/>
          <w:lang w:eastAsia="en-GB"/>
        </w:rPr>
        <w:t>itivuttaka</w:t>
      </w:r>
      <w:r w:rsidR="00833605" w:rsidRPr="00513F3B">
        <w:rPr>
          <w:lang w:eastAsia="en-GB"/>
        </w:rPr>
        <w:t>, </w:t>
      </w:r>
      <w:r w:rsidR="00833605" w:rsidRPr="00513F3B">
        <w:rPr>
          <w:i/>
          <w:iCs/>
          <w:lang w:eastAsia="en-GB"/>
        </w:rPr>
        <w:t>jātaka</w:t>
      </w:r>
      <w:r w:rsidR="00833605" w:rsidRPr="00513F3B">
        <w:rPr>
          <w:lang w:eastAsia="en-GB"/>
        </w:rPr>
        <w:t>, </w:t>
      </w:r>
      <w:r w:rsidR="00833605" w:rsidRPr="00513F3B">
        <w:rPr>
          <w:i/>
          <w:iCs/>
          <w:lang w:eastAsia="en-GB"/>
        </w:rPr>
        <w:t>abbhūtadhamma</w:t>
      </w:r>
      <w:r w:rsidR="00833605" w:rsidRPr="00513F3B">
        <w:rPr>
          <w:lang w:eastAsia="en-GB"/>
        </w:rPr>
        <w:t>, </w:t>
      </w:r>
      <w:r w:rsidR="00833605" w:rsidRPr="00513F3B">
        <w:rPr>
          <w:i/>
          <w:iCs/>
          <w:lang w:eastAsia="en-GB"/>
        </w:rPr>
        <w:t>nidāna</w:t>
      </w:r>
      <w:r w:rsidR="00833605" w:rsidRPr="00513F3B">
        <w:rPr>
          <w:lang w:eastAsia="en-GB"/>
        </w:rPr>
        <w:t>, </w:t>
      </w:r>
      <w:r w:rsidR="00833605" w:rsidRPr="00513F3B">
        <w:rPr>
          <w:i/>
          <w:iCs/>
          <w:lang w:eastAsia="en-GB"/>
        </w:rPr>
        <w:t>aupamya</w:t>
      </w:r>
      <w:r w:rsidR="00833605" w:rsidRPr="00513F3B">
        <w:rPr>
          <w:lang w:eastAsia="en-GB"/>
        </w:rPr>
        <w:t>, </w:t>
      </w:r>
      <w:r w:rsidR="00833605" w:rsidRPr="00513F3B">
        <w:rPr>
          <w:i/>
          <w:iCs/>
          <w:lang w:eastAsia="en-GB"/>
        </w:rPr>
        <w:t>geya</w:t>
      </w:r>
      <w:r w:rsidR="00833605" w:rsidRPr="00513F3B">
        <w:rPr>
          <w:lang w:eastAsia="en-GB"/>
        </w:rPr>
        <w:t>, </w:t>
      </w:r>
      <w:r w:rsidR="00833605" w:rsidRPr="00513F3B">
        <w:rPr>
          <w:i/>
          <w:iCs/>
          <w:lang w:eastAsia="en-GB"/>
        </w:rPr>
        <w:t>upadeśa</w:t>
      </w:r>
      <w:r w:rsidR="00833605" w:rsidRPr="00513F3B">
        <w:rPr>
          <w:lang w:eastAsia="en-GB"/>
        </w:rPr>
        <w:t>.</w:t>
      </w:r>
    </w:p>
  </w:footnote>
  <w:footnote w:id="85">
    <w:p w14:paraId="22490319" w14:textId="5F4E3F7B" w:rsidR="00495C55" w:rsidRDefault="00495C55">
      <w:pPr>
        <w:pStyle w:val="FootnoteText"/>
      </w:pPr>
      <w:r>
        <w:rPr>
          <w:rStyle w:val="FootnoteReference"/>
        </w:rPr>
        <w:footnoteRef/>
      </w:r>
      <w:r>
        <w:t xml:space="preserve"> </w:t>
      </w:r>
      <w:r w:rsidR="00833605" w:rsidRPr="00513F3B">
        <w:rPr>
          <w:lang w:eastAsia="en-GB"/>
        </w:rPr>
        <w:t>DN 16.4.7</w:t>
      </w:r>
      <w:r w:rsidR="00833605" w:rsidRPr="00513F3B">
        <w:rPr>
          <w:i/>
          <w:iCs/>
          <w:lang w:eastAsia="en-GB"/>
        </w:rPr>
        <w:t>ff.</w:t>
      </w:r>
      <w:r w:rsidR="00833605" w:rsidRPr="00513F3B">
        <w:rPr>
          <w:lang w:eastAsia="en-GB"/>
        </w:rPr>
        <w:t>/DA 2/T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513F3B">
        <w:rPr>
          <w:i/>
          <w:iCs/>
          <w:lang w:eastAsia="en-GB"/>
        </w:rPr>
        <w:t>veyyākaraṇa</w:t>
      </w:r>
      <w:r w:rsidR="00833605" w:rsidRPr="00513F3B">
        <w:rPr>
          <w:lang w:eastAsia="en-GB"/>
        </w:rPr>
        <w:t> or </w:t>
      </w:r>
      <w:r w:rsidR="00833605" w:rsidRPr="00513F3B">
        <w:rPr>
          <w:i/>
          <w:iCs/>
          <w:lang w:eastAsia="en-GB"/>
        </w:rPr>
        <w:t>byākaraṇa</w:t>
      </w:r>
      <w:r w:rsidR="00833605" w:rsidRPr="00513F3B">
        <w:rPr>
          <w:lang w:eastAsia="en-GB"/>
        </w:rPr>
        <w:t>.</w:t>
      </w:r>
    </w:p>
  </w:footnote>
  <w:footnote w:id="88">
    <w:p w14:paraId="10208BB1" w14:textId="18AD3B6B" w:rsidR="00495C55" w:rsidRDefault="00495C55">
      <w:pPr>
        <w:pStyle w:val="FootnoteText"/>
      </w:pPr>
      <w:r>
        <w:rPr>
          <w:rStyle w:val="FootnoteReference"/>
        </w:rPr>
        <w:footnoteRef/>
      </w:r>
      <w:r>
        <w:t xml:space="preserve"> </w:t>
      </w:r>
      <w:r w:rsidR="00833605" w:rsidRPr="00513F3B">
        <w:rPr>
          <w:lang w:eastAsia="en-GB"/>
        </w:rPr>
        <w:t>E.g. DN</w:t>
      </w:r>
      <w:r w:rsidR="00833605" w:rsidRPr="00513F3B">
        <w:rPr>
          <w:rFonts w:ascii="Times New Roman" w:hAnsi="Times New Roman"/>
          <w:lang w:eastAsia="en-GB"/>
        </w:rPr>
        <w:t> </w:t>
      </w:r>
      <w:r w:rsidR="00833605" w:rsidRPr="00513F3B">
        <w:rPr>
          <w:lang w:eastAsia="en-GB"/>
        </w:rPr>
        <w:t>11.85/DA</w:t>
      </w:r>
      <w:r w:rsidR="00833605" w:rsidRPr="00513F3B">
        <w:rPr>
          <w:rFonts w:ascii="Times New Roman" w:hAnsi="Times New Roman"/>
          <w:lang w:eastAsia="en-GB"/>
        </w:rPr>
        <w:t> </w:t>
      </w:r>
      <w:r w:rsidR="00833605" w:rsidRPr="00513F3B">
        <w:rPr>
          <w:lang w:eastAsia="en-GB"/>
        </w:rPr>
        <w:t>24/P</w:t>
      </w:r>
      <w:r w:rsidR="00833605" w:rsidRPr="00513F3B">
        <w:rPr>
          <w:rFonts w:ascii="Times New Roman" w:hAnsi="Times New Roman"/>
          <w:lang w:eastAsia="en-GB"/>
        </w:rPr>
        <w:t> </w:t>
      </w:r>
      <w:r w:rsidR="00833605" w:rsidRPr="00513F3B">
        <w:rPr>
          <w:lang w:eastAsia="en-GB"/>
        </w:rPr>
        <w:t>5595, SN</w:t>
      </w:r>
      <w:r w:rsidR="00833605" w:rsidRPr="00513F3B">
        <w:rPr>
          <w:rFonts w:ascii="Times New Roman" w:hAnsi="Times New Roman"/>
          <w:lang w:eastAsia="en-GB"/>
        </w:rPr>
        <w:t> </w:t>
      </w:r>
      <w:r w:rsidR="00833605" w:rsidRPr="00513F3B">
        <w:rPr>
          <w:lang w:eastAsia="en-GB"/>
        </w:rPr>
        <w:t>12.12/SA</w:t>
      </w:r>
      <w:r w:rsidR="00833605" w:rsidRPr="00513F3B">
        <w:rPr>
          <w:rFonts w:ascii="Times New Roman" w:hAnsi="Times New Roman"/>
          <w:lang w:eastAsia="en-GB"/>
        </w:rPr>
        <w:t> </w:t>
      </w:r>
      <w:r w:rsidR="00833605" w:rsidRPr="00513F3B">
        <w:rPr>
          <w:lang w:eastAsia="en-GB"/>
        </w:rPr>
        <w:t>372, SN</w:t>
      </w:r>
      <w:r w:rsidR="00833605" w:rsidRPr="00513F3B">
        <w:rPr>
          <w:rFonts w:ascii="Times New Roman" w:hAnsi="Times New Roman"/>
          <w:lang w:eastAsia="en-GB"/>
        </w:rPr>
        <w:t> </w:t>
      </w:r>
      <w:r w:rsidR="00833605" w:rsidRPr="00513F3B">
        <w:rPr>
          <w:lang w:eastAsia="en-GB"/>
        </w:rPr>
        <w:t>12.32/MA</w:t>
      </w:r>
      <w:r w:rsidR="00833605" w:rsidRPr="00513F3B">
        <w:rPr>
          <w:rFonts w:ascii="Times New Roman" w:hAnsi="Times New Roman"/>
          <w:lang w:eastAsia="en-GB"/>
        </w:rPr>
        <w:t> </w:t>
      </w:r>
      <w:r w:rsidR="00833605" w:rsidRPr="00513F3B">
        <w:rPr>
          <w:lang w:eastAsia="en-GB"/>
        </w:rPr>
        <w:t>23/SA</w:t>
      </w:r>
      <w:r w:rsidR="00833605" w:rsidRPr="00513F3B">
        <w:rPr>
          <w:rFonts w:ascii="Times New Roman" w:hAnsi="Times New Roman"/>
          <w:lang w:eastAsia="en-GB"/>
        </w:rPr>
        <w:t> </w:t>
      </w:r>
      <w:r w:rsidR="00833605" w:rsidRPr="00513F3B">
        <w:rPr>
          <w:lang w:eastAsia="en-GB"/>
        </w:rPr>
        <w:t>345/Skt, SN</w:t>
      </w:r>
      <w:r w:rsidR="00833605" w:rsidRPr="00513F3B">
        <w:rPr>
          <w:rFonts w:ascii="Times New Roman" w:hAnsi="Times New Roman"/>
          <w:lang w:eastAsia="en-GB"/>
        </w:rPr>
        <w:t> </w:t>
      </w:r>
      <w:r w:rsidR="00833605" w:rsidRPr="00513F3B">
        <w:rPr>
          <w:lang w:eastAsia="en-GB"/>
        </w:rPr>
        <w:t>12.70/ SA</w:t>
      </w:r>
      <w:r w:rsidR="00833605" w:rsidRPr="00513F3B">
        <w:rPr>
          <w:rFonts w:ascii="Times New Roman" w:hAnsi="Times New Roman"/>
          <w:lang w:eastAsia="en-GB"/>
        </w:rPr>
        <w:t> </w:t>
      </w:r>
      <w:r w:rsidR="00833605" w:rsidRPr="00513F3B">
        <w:rPr>
          <w:lang w:eastAsia="en-GB"/>
        </w:rPr>
        <w:t>347, SN</w:t>
      </w:r>
      <w:r w:rsidR="00833605" w:rsidRPr="00513F3B">
        <w:rPr>
          <w:rFonts w:ascii="Times New Roman" w:hAnsi="Times New Roman"/>
          <w:lang w:eastAsia="en-GB"/>
        </w:rPr>
        <w:t> </w:t>
      </w:r>
      <w:r w:rsidR="00833605" w:rsidRPr="00513F3B">
        <w:rPr>
          <w:lang w:eastAsia="en-GB"/>
        </w:rPr>
        <w:t>35.116/SA</w:t>
      </w:r>
      <w:r w:rsidR="00833605" w:rsidRPr="00513F3B">
        <w:rPr>
          <w:rFonts w:ascii="Times New Roman" w:hAnsi="Times New Roman"/>
          <w:lang w:eastAsia="en-GB"/>
        </w:rPr>
        <w:t> </w:t>
      </w:r>
      <w:r w:rsidR="00833605" w:rsidRPr="00513F3B">
        <w:rPr>
          <w:lang w:eastAsia="en-GB"/>
        </w:rPr>
        <w:t>234, SN</w:t>
      </w:r>
      <w:r w:rsidR="00833605" w:rsidRPr="00513F3B">
        <w:rPr>
          <w:rFonts w:ascii="Times New Roman" w:hAnsi="Times New Roman"/>
          <w:lang w:eastAsia="en-GB"/>
        </w:rPr>
        <w:t> </w:t>
      </w:r>
      <w:r w:rsidR="00833605" w:rsidRPr="00513F3B">
        <w:rPr>
          <w:lang w:eastAsia="en-GB"/>
        </w:rPr>
        <w:t>35.204/SA</w:t>
      </w:r>
      <w:r w:rsidR="00833605" w:rsidRPr="00513F3B">
        <w:rPr>
          <w:rFonts w:ascii="Times New Roman" w:hAnsi="Times New Roman"/>
          <w:lang w:eastAsia="en-GB"/>
        </w:rPr>
        <w:t> </w:t>
      </w:r>
      <w:r w:rsidR="00833605" w:rsidRPr="00513F3B">
        <w:rPr>
          <w:lang w:eastAsia="en-GB"/>
        </w:rPr>
        <w:t>1175, SN</w:t>
      </w:r>
      <w:r w:rsidR="00833605" w:rsidRPr="00513F3B">
        <w:rPr>
          <w:rFonts w:ascii="Times New Roman" w:hAnsi="Times New Roman"/>
          <w:lang w:eastAsia="en-GB"/>
        </w:rPr>
        <w:t> </w:t>
      </w:r>
      <w:r w:rsidR="00833605" w:rsidRPr="00513F3B">
        <w:rPr>
          <w:lang w:eastAsia="en-GB"/>
        </w:rPr>
        <w:t>41.1/SA</w:t>
      </w:r>
      <w:r w:rsidR="00833605" w:rsidRPr="00513F3B">
        <w:rPr>
          <w:rFonts w:ascii="Times New Roman" w:hAnsi="Times New Roman"/>
          <w:lang w:eastAsia="en-GB"/>
        </w:rPr>
        <w:t> </w:t>
      </w:r>
      <w:r w:rsidR="00833605" w:rsidRPr="00513F3B">
        <w:rPr>
          <w:lang w:eastAsia="en-GB"/>
        </w:rPr>
        <w:t>572, MN</w:t>
      </w:r>
      <w:r w:rsidR="00833605" w:rsidRPr="00513F3B">
        <w:rPr>
          <w:rFonts w:ascii="Times New Roman" w:hAnsi="Times New Roman"/>
          <w:lang w:eastAsia="en-GB"/>
        </w:rPr>
        <w:t> </w:t>
      </w:r>
      <w:r w:rsidR="00833605" w:rsidRPr="00513F3B">
        <w:rPr>
          <w:lang w:eastAsia="en-GB"/>
        </w:rPr>
        <w:t>32/MA 184/EA</w:t>
      </w:r>
      <w:r w:rsidR="00833605" w:rsidRPr="00513F3B">
        <w:rPr>
          <w:rFonts w:ascii="Times New Roman" w:hAnsi="Times New Roman"/>
          <w:lang w:eastAsia="en-GB"/>
        </w:rPr>
        <w:t> </w:t>
      </w:r>
      <w:r w:rsidR="00833605" w:rsidRPr="00513F3B">
        <w:rPr>
          <w:lang w:eastAsia="en-GB"/>
        </w:rPr>
        <w:t xml:space="preserve">37.3/ T </w:t>
      </w:r>
      <w:r w:rsidR="00833605" w:rsidRPr="00513F3B">
        <w:rPr>
          <w:rFonts w:cs="Source Serif Pro"/>
          <w:lang w:eastAsia="en-GB"/>
        </w:rPr>
        <w:t>№</w:t>
      </w:r>
      <w:r w:rsidR="00833605" w:rsidRPr="00513F3B">
        <w:rPr>
          <w:lang w:eastAsia="en-GB"/>
        </w:rPr>
        <w:t xml:space="preserve"> 154.16, MN 44/MA 210, MN 56.6/MA</w:t>
      </w:r>
      <w:r w:rsidR="00833605" w:rsidRPr="00513F3B">
        <w:rPr>
          <w:rFonts w:ascii="Times New Roman" w:hAnsi="Times New Roman"/>
          <w:lang w:eastAsia="en-GB"/>
        </w:rPr>
        <w:t> </w:t>
      </w:r>
      <w:r w:rsidR="00833605" w:rsidRPr="00513F3B">
        <w:rPr>
          <w:lang w:eastAsia="en-GB"/>
        </w:rPr>
        <w:t>133/Skt, MN</w:t>
      </w:r>
      <w:r w:rsidR="00833605" w:rsidRPr="00513F3B">
        <w:rPr>
          <w:rFonts w:ascii="Times New Roman" w:hAnsi="Times New Roman"/>
          <w:lang w:eastAsia="en-GB"/>
        </w:rPr>
        <w:t> </w:t>
      </w:r>
      <w:r w:rsidR="00833605" w:rsidRPr="00513F3B">
        <w:rPr>
          <w:lang w:eastAsia="en-GB"/>
        </w:rPr>
        <w:t>133.21/MA</w:t>
      </w:r>
      <w:r w:rsidR="00833605" w:rsidRPr="00513F3B">
        <w:rPr>
          <w:rFonts w:ascii="Times New Roman" w:hAnsi="Times New Roman"/>
          <w:lang w:eastAsia="en-GB"/>
        </w:rPr>
        <w:t> </w:t>
      </w:r>
      <w:r w:rsidR="00833605" w:rsidRPr="00513F3B">
        <w:rPr>
          <w:lang w:eastAsia="en-GB"/>
        </w:rPr>
        <w:t>165, AN</w:t>
      </w:r>
      <w:r w:rsidR="00833605" w:rsidRPr="00513F3B">
        <w:rPr>
          <w:rFonts w:ascii="Times New Roman" w:hAnsi="Times New Roman"/>
          <w:lang w:eastAsia="en-GB"/>
        </w:rPr>
        <w:t> </w:t>
      </w:r>
      <w:r w:rsidR="00833605" w:rsidRPr="00513F3B">
        <w:rPr>
          <w:lang w:eastAsia="en-GB"/>
        </w:rPr>
        <w:t>3.21, AN</w:t>
      </w:r>
      <w:r w:rsidR="00833605" w:rsidRPr="00513F3B">
        <w:rPr>
          <w:rFonts w:ascii="Times New Roman" w:hAnsi="Times New Roman"/>
          <w:lang w:eastAsia="en-GB"/>
        </w:rPr>
        <w:t> </w:t>
      </w:r>
      <w:r w:rsidR="00833605" w:rsidRPr="00513F3B">
        <w:rPr>
          <w:lang w:eastAsia="en-GB"/>
        </w:rPr>
        <w:t>6.61/ SA</w:t>
      </w:r>
      <w:r w:rsidR="00833605" w:rsidRPr="00513F3B">
        <w:rPr>
          <w:rFonts w:ascii="Times New Roman" w:hAnsi="Times New Roman"/>
          <w:lang w:eastAsia="en-GB"/>
        </w:rPr>
        <w:t> </w:t>
      </w:r>
      <w:r w:rsidR="00833605" w:rsidRPr="00513F3B">
        <w:rPr>
          <w:lang w:eastAsia="en-GB"/>
        </w:rPr>
        <w:t>1164.</w:t>
      </w:r>
    </w:p>
  </w:footnote>
  <w:footnote w:id="89">
    <w:p w14:paraId="75661468" w14:textId="370F4F4F" w:rsidR="00495C55" w:rsidRDefault="00495C55">
      <w:pPr>
        <w:pStyle w:val="FootnoteText"/>
      </w:pPr>
      <w:r>
        <w:rPr>
          <w:rStyle w:val="FootnoteReference"/>
        </w:rPr>
        <w:footnoteRef/>
      </w:r>
      <w:r>
        <w:t xml:space="preserve"> </w:t>
      </w:r>
      <w:r w:rsidR="00833605" w:rsidRPr="00513F3B">
        <w:rPr>
          <w:lang w:eastAsia="en-GB"/>
        </w:rPr>
        <w:t>DN 9.29/DA 28, DN 29.32/DA 17, MN 63.9/MA 221/T № 94, SN 16.12/SA 905/SA 121.</w:t>
      </w:r>
    </w:p>
  </w:footnote>
  <w:footnote w:id="90">
    <w:p w14:paraId="1546E1EB" w14:textId="4AC3A8A0" w:rsidR="00692851" w:rsidRDefault="00692851">
      <w:pPr>
        <w:pStyle w:val="FootnoteText"/>
      </w:pPr>
      <w:r>
        <w:rPr>
          <w:rStyle w:val="FootnoteReference"/>
        </w:rPr>
        <w:footnoteRef/>
      </w:r>
      <w:r>
        <w:t xml:space="preserve"> </w:t>
      </w:r>
      <w:r w:rsidR="00833605" w:rsidRPr="00513F3B">
        <w:rPr>
          <w:lang w:eastAsia="en-GB"/>
        </w:rPr>
        <w:t>SN 41.8/SA 574, AN 10.27/EA 46.8/SA 486–489*, AN 10.28.</w:t>
      </w:r>
    </w:p>
  </w:footnote>
  <w:footnote w:id="91">
    <w:p w14:paraId="55717793" w14:textId="78AD2DC4" w:rsidR="00692851" w:rsidRDefault="00692851">
      <w:pPr>
        <w:pStyle w:val="FootnoteText"/>
      </w:pPr>
      <w:r>
        <w:rPr>
          <w:rStyle w:val="FootnoteReference"/>
        </w:rPr>
        <w:footnoteRef/>
      </w:r>
      <w:r>
        <w:t xml:space="preserve"> </w:t>
      </w:r>
      <w:r w:rsidR="00833605" w:rsidRPr="00513F3B">
        <w:rPr>
          <w:lang w:eastAsia="en-GB"/>
        </w:rPr>
        <w:t>E.g. DN 18.4/DA 4/T № 9, AN 5.93, AN 6.62/MA 112/T № 58.</w:t>
      </w:r>
    </w:p>
  </w:footnote>
  <w:footnote w:id="92">
    <w:p w14:paraId="23F59306" w14:textId="077308E4" w:rsidR="00692851" w:rsidRDefault="00692851">
      <w:pPr>
        <w:pStyle w:val="FootnoteText"/>
      </w:pPr>
      <w:r>
        <w:rPr>
          <w:rStyle w:val="FootnoteReference"/>
        </w:rPr>
        <w:footnoteRef/>
      </w:r>
      <w:r>
        <w:t xml:space="preserve"> </w:t>
      </w:r>
      <w:r w:rsidR="00833605" w:rsidRPr="00513F3B">
        <w:rPr>
          <w:lang w:eastAsia="en-GB"/>
        </w:rPr>
        <w:t>AN 4.42/T № 1536.8.</w:t>
      </w:r>
    </w:p>
  </w:footnote>
  <w:footnote w:id="93">
    <w:p w14:paraId="560F61D5" w14:textId="51F5E098" w:rsidR="00692851" w:rsidRDefault="00692851">
      <w:pPr>
        <w:pStyle w:val="FootnoteText"/>
      </w:pPr>
      <w:r>
        <w:rPr>
          <w:rStyle w:val="FootnoteReference"/>
        </w:rPr>
        <w:footnoteRef/>
      </w:r>
      <w:r>
        <w:t xml:space="preserve"> </w:t>
      </w:r>
      <w:r w:rsidR="00833605" w:rsidRPr="00513F3B">
        <w:rPr>
          <w:lang w:eastAsia="en-GB"/>
        </w:rPr>
        <w:t>DUTT, pg.</w:t>
      </w:r>
      <w:r w:rsidR="00833605" w:rsidRPr="00513F3B">
        <w:rPr>
          <w:rFonts w:ascii="Times New Roman" w:hAnsi="Times New Roman"/>
          <w:lang w:eastAsia="en-GB"/>
        </w:rPr>
        <w:t> </w:t>
      </w:r>
      <w:r w:rsidR="00833605" w:rsidRPr="00513F3B">
        <w:rPr>
          <w:lang w:eastAsia="en-GB"/>
        </w:rPr>
        <w:t>225.</w:t>
      </w:r>
    </w:p>
  </w:footnote>
  <w:footnote w:id="94">
    <w:p w14:paraId="02D3B5AA" w14:textId="36DD4906" w:rsidR="00692851" w:rsidRDefault="00692851">
      <w:pPr>
        <w:pStyle w:val="FootnoteText"/>
      </w:pPr>
      <w:r>
        <w:rPr>
          <w:rStyle w:val="FootnoteReference"/>
        </w:rPr>
        <w:footnoteRef/>
      </w:r>
      <w:r>
        <w:t xml:space="preserve"> </w:t>
      </w:r>
      <w:r w:rsidR="00833605" w:rsidRPr="00513F3B">
        <w:rPr>
          <w:lang w:eastAsia="en-GB"/>
        </w:rPr>
        <w:t>BOIN-WEBB, pg.</w:t>
      </w:r>
      <w:r w:rsidR="00833605" w:rsidRPr="00513F3B">
        <w:rPr>
          <w:rFonts w:ascii="Times New Roman" w:hAnsi="Times New Roman"/>
          <w:lang w:eastAsia="en-GB"/>
        </w:rPr>
        <w:t> </w:t>
      </w:r>
      <w:r w:rsidR="00833605" w:rsidRPr="00513F3B">
        <w:rPr>
          <w:lang w:eastAsia="en-GB"/>
        </w:rPr>
        <w:t>179 (adapted following DE JONG</w:t>
      </w:r>
      <w:r w:rsidR="00833605" w:rsidRPr="00513F3B">
        <w:rPr>
          <w:rFonts w:cs="Source Serif Pro"/>
          <w:lang w:eastAsia="en-GB"/>
        </w:rPr>
        <w:t>’</w:t>
      </w:r>
      <w:r w:rsidR="00833605" w:rsidRPr="00513F3B">
        <w:rPr>
          <w:lang w:eastAsia="en-GB"/>
        </w:rPr>
        <w:t>S note, pg.</w:t>
      </w:r>
      <w:r w:rsidR="00833605" w:rsidRPr="00513F3B">
        <w:rPr>
          <w:rFonts w:ascii="Times New Roman" w:hAnsi="Times New Roman"/>
          <w:lang w:eastAsia="en-GB"/>
        </w:rPr>
        <w:t> </w:t>
      </w:r>
      <w:r w:rsidR="00833605" w:rsidRPr="00513F3B">
        <w:rPr>
          <w:lang w:eastAsia="en-GB"/>
        </w:rPr>
        <w:t xml:space="preserve">295); the </w:t>
      </w:r>
      <w:r w:rsidR="00833605" w:rsidRPr="00513F3B">
        <w:rPr>
          <w:rFonts w:cs="Source Serif Pro"/>
          <w:lang w:eastAsia="en-GB"/>
        </w:rPr>
        <w:t>Ś</w:t>
      </w:r>
      <w:r w:rsidR="00833605" w:rsidRPr="00513F3B">
        <w:rPr>
          <w:lang w:eastAsia="en-GB"/>
        </w:rPr>
        <w:t>r</w:t>
      </w:r>
      <w:r w:rsidR="00833605" w:rsidRPr="00513F3B">
        <w:rPr>
          <w:rFonts w:cs="Source Serif Pro"/>
          <w:lang w:eastAsia="en-GB"/>
        </w:rPr>
        <w:t>ā</w:t>
      </w:r>
      <w:r w:rsidR="00833605" w:rsidRPr="00513F3B">
        <w:rPr>
          <w:lang w:eastAsia="en-GB"/>
        </w:rPr>
        <w:t>vakabh</w:t>
      </w:r>
      <w:r w:rsidR="00833605" w:rsidRPr="00513F3B">
        <w:rPr>
          <w:rFonts w:cs="Source Serif Pro"/>
          <w:lang w:eastAsia="en-GB"/>
        </w:rPr>
        <w:t>ū</w:t>
      </w:r>
      <w:r w:rsidR="00833605" w:rsidRPr="00513F3B">
        <w:rPr>
          <w:lang w:eastAsia="en-GB"/>
        </w:rPr>
        <w:t>mi pg.</w:t>
      </w:r>
      <w:r w:rsidR="00833605" w:rsidRPr="00513F3B">
        <w:rPr>
          <w:rFonts w:ascii="Times New Roman" w:hAnsi="Times New Roman"/>
          <w:lang w:eastAsia="en-GB"/>
        </w:rPr>
        <w:t> </w:t>
      </w:r>
      <w:r w:rsidR="00833605" w:rsidRPr="00513F3B">
        <w:rPr>
          <w:lang w:eastAsia="en-GB"/>
        </w:rPr>
        <w:t>228 is similar, lacking only the final phrase.</w:t>
      </w:r>
    </w:p>
  </w:footnote>
  <w:footnote w:id="95">
    <w:p w14:paraId="6DAB1BA7" w14:textId="400E978D" w:rsidR="008F6FA1" w:rsidRDefault="008F6FA1">
      <w:pPr>
        <w:pStyle w:val="FootnoteText"/>
      </w:pPr>
      <w:r>
        <w:rPr>
          <w:rStyle w:val="FootnoteReference"/>
        </w:rPr>
        <w:footnoteRef/>
      </w:r>
      <w:r>
        <w:t xml:space="preserve"> </w:t>
      </w:r>
      <w:r w:rsidR="00833605" w:rsidRPr="00513F3B">
        <w:rPr>
          <w:lang w:eastAsia="en-GB"/>
        </w:rPr>
        <w:t>SN 41.1/SA 572.</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4CD0602F" w:rsidR="008F6FA1" w:rsidRDefault="008F6FA1">
      <w:pPr>
        <w:pStyle w:val="FootnoteText"/>
      </w:pPr>
      <w:r>
        <w:rPr>
          <w:rStyle w:val="FootnoteReference"/>
        </w:rPr>
        <w:footnoteRef/>
      </w:r>
      <w:r>
        <w:t xml:space="preserve"> </w:t>
      </w:r>
      <w:r w:rsidR="00833605" w:rsidRPr="00513F3B">
        <w:rPr>
          <w:lang w:eastAsia="en-GB"/>
        </w:rPr>
        <w:t>See DIETZ e.g. pg.</w:t>
      </w:r>
      <w:r w:rsidR="00833605" w:rsidRPr="00513F3B">
        <w:rPr>
          <w:rFonts w:ascii="Times New Roman" w:hAnsi="Times New Roman"/>
          <w:lang w:eastAsia="en-GB"/>
        </w:rPr>
        <w:t> </w:t>
      </w:r>
      <w:r w:rsidR="00833605" w:rsidRPr="00513F3B">
        <w:rPr>
          <w:lang w:eastAsia="en-GB"/>
        </w:rPr>
        <w:t xml:space="preserve">26 </w:t>
      </w:r>
      <w:r w:rsidR="00833605" w:rsidRPr="00513F3B">
        <w:rPr>
          <w:rFonts w:cs="Source Serif Pro"/>
          <w:lang w:eastAsia="en-GB"/>
        </w:rPr>
        <w:t>‘</w:t>
      </w:r>
      <w:r w:rsidR="00833605" w:rsidRPr="00513F3B">
        <w:rPr>
          <w:i/>
          <w:iCs/>
          <w:lang w:eastAsia="en-GB"/>
        </w:rPr>
        <w:t>kumbhopame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 xml:space="preserve">SN 12.51/SA 292/Skt; the Pali title is </w:t>
      </w:r>
      <w:r w:rsidR="00833605" w:rsidRPr="00513F3B">
        <w:rPr>
          <w:rFonts w:cs="Source Serif Pro"/>
          <w:lang w:eastAsia="en-GB"/>
        </w:rPr>
        <w:t>‘</w:t>
      </w:r>
      <w:r w:rsidR="00833605" w:rsidRPr="00513F3B">
        <w:rPr>
          <w:i/>
          <w:iCs/>
          <w:lang w:eastAsia="en-GB"/>
        </w:rPr>
        <w:t>parivīma</w:t>
      </w:r>
      <w:r w:rsidR="00833605" w:rsidRPr="00513F3B">
        <w:rPr>
          <w:rFonts w:ascii="Cambria" w:hAnsi="Cambria" w:cs="Cambria"/>
          <w:i/>
          <w:iCs/>
          <w:lang w:eastAsia="en-GB"/>
        </w:rPr>
        <w:t>ṁ</w:t>
      </w:r>
      <w:r w:rsidR="00833605" w:rsidRPr="00513F3B">
        <w:rPr>
          <w:i/>
          <w:iCs/>
          <w:lang w:eastAsia="en-GB"/>
        </w:rPr>
        <w:t>sana</w:t>
      </w:r>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33 </w:t>
      </w:r>
      <w:r w:rsidR="00833605" w:rsidRPr="00513F3B">
        <w:rPr>
          <w:rFonts w:cs="Source Serif Pro"/>
          <w:lang w:eastAsia="en-GB"/>
        </w:rPr>
        <w:t>‘</w:t>
      </w:r>
      <w:r w:rsidR="00833605" w:rsidRPr="00513F3B">
        <w:rPr>
          <w:i/>
          <w:iCs/>
          <w:lang w:eastAsia="en-GB"/>
        </w:rPr>
        <w:t>phalguṇavavāde vyākaraṇe</w:t>
      </w:r>
      <w:r w:rsidR="00833605" w:rsidRPr="00513F3B">
        <w:rPr>
          <w:lang w:eastAsia="en-GB"/>
        </w:rPr>
        <w:t>’ (=</w:t>
      </w:r>
      <w:r w:rsidR="00833605" w:rsidRPr="00513F3B">
        <w:rPr>
          <w:rFonts w:ascii="Times New Roman" w:hAnsi="Times New Roman"/>
          <w:lang w:eastAsia="en-GB"/>
        </w:rPr>
        <w:t> </w:t>
      </w:r>
      <w:r w:rsidR="00833605" w:rsidRPr="00513F3B">
        <w:rPr>
          <w:lang w:eastAsia="en-GB"/>
        </w:rPr>
        <w:t xml:space="preserve">SN 12.12/SA 372; the Pali title is </w:t>
      </w:r>
      <w:r w:rsidR="00833605" w:rsidRPr="00513F3B">
        <w:rPr>
          <w:rFonts w:cs="Source Serif Pro"/>
          <w:lang w:eastAsia="en-GB"/>
        </w:rPr>
        <w:t>‘</w:t>
      </w:r>
      <w:r w:rsidR="00833605" w:rsidRPr="00513F3B">
        <w:rPr>
          <w:i/>
          <w:iCs/>
          <w:lang w:eastAsia="en-GB"/>
        </w:rPr>
        <w:t>moḷiyaphagguna</w:t>
      </w:r>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52 </w:t>
      </w:r>
      <w:r w:rsidR="00833605" w:rsidRPr="00513F3B">
        <w:rPr>
          <w:rFonts w:cs="Source Serif Pro"/>
          <w:lang w:eastAsia="en-GB"/>
        </w:rPr>
        <w:t>‘</w:t>
      </w:r>
      <w:r w:rsidR="00833605" w:rsidRPr="00513F3B">
        <w:rPr>
          <w:i/>
          <w:iCs/>
          <w:lang w:eastAsia="en-GB"/>
        </w:rPr>
        <w:t>pataleyavyakarane</w:t>
      </w:r>
      <w:r w:rsidR="00833605" w:rsidRPr="00513F3B">
        <w:rPr>
          <w:lang w:eastAsia="en-GB"/>
        </w:rPr>
        <w:t>’ (=</w:t>
      </w:r>
      <w:r w:rsidR="00833605" w:rsidRPr="00513F3B">
        <w:rPr>
          <w:rFonts w:ascii="Times New Roman" w:hAnsi="Times New Roman"/>
          <w:lang w:eastAsia="en-GB"/>
        </w:rPr>
        <w:t> </w:t>
      </w:r>
      <w:r w:rsidR="00833605" w:rsidRPr="00513F3B">
        <w:rPr>
          <w:lang w:eastAsia="en-GB"/>
        </w:rPr>
        <w:t>SN 22.81/SA 57).</w:t>
      </w:r>
    </w:p>
  </w:footnote>
  <w:footnote w:id="98">
    <w:p w14:paraId="4CB77A8C" w14:textId="7E3334F4" w:rsidR="008F6FA1" w:rsidRDefault="008F6FA1">
      <w:pPr>
        <w:pStyle w:val="FootnoteText"/>
      </w:pPr>
      <w:r>
        <w:rPr>
          <w:rStyle w:val="FootnoteReference"/>
        </w:rPr>
        <w:footnoteRef/>
      </w:r>
      <w:r>
        <w:t xml:space="preserve"> </w:t>
      </w:r>
      <w:r w:rsidR="00833605" w:rsidRPr="00513F3B">
        <w:rPr>
          <w:lang w:eastAsia="en-GB"/>
        </w:rPr>
        <w:t>PRZYLYSKI, pp. 45, 334; cp. ROCKHILL, pg.</w:t>
      </w:r>
      <w:r w:rsidR="00833605" w:rsidRPr="00513F3B">
        <w:rPr>
          <w:rFonts w:ascii="Times New Roman" w:hAnsi="Times New Roman"/>
          <w:lang w:eastAsia="en-GB"/>
        </w:rPr>
        <w:t> </w:t>
      </w:r>
      <w:r w:rsidR="00833605" w:rsidRPr="00513F3B">
        <w:rPr>
          <w:lang w:eastAsia="en-GB"/>
        </w:rPr>
        <w:t>160.</w:t>
      </w:r>
    </w:p>
  </w:footnote>
  <w:footnote w:id="99">
    <w:p w14:paraId="2B92C4E0" w14:textId="31F8886B" w:rsidR="008F6FA1" w:rsidRDefault="008F6FA1">
      <w:pPr>
        <w:pStyle w:val="FootnoteText"/>
      </w:pPr>
      <w:r>
        <w:rPr>
          <w:rStyle w:val="FootnoteReference"/>
        </w:rPr>
        <w:footnoteRef/>
      </w:r>
      <w:r>
        <w:t xml:space="preserve"> </w:t>
      </w:r>
      <w:r w:rsidR="00833605" w:rsidRPr="00513F3B">
        <w:rPr>
          <w:lang w:eastAsia="en-GB"/>
        </w:rPr>
        <w:t>MN 32/MA 184/EA 37.3/T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3563301B" w:rsidR="008F6FA1" w:rsidRDefault="008F6FA1">
      <w:pPr>
        <w:pStyle w:val="FootnoteText"/>
      </w:pPr>
      <w:r>
        <w:rPr>
          <w:rStyle w:val="FootnoteReference"/>
        </w:rPr>
        <w:footnoteRef/>
      </w:r>
      <w:r>
        <w:t xml:space="preserve"> </w:t>
      </w:r>
      <w:r w:rsidR="00833605" w:rsidRPr="00513F3B">
        <w:rPr>
          <w:lang w:eastAsia="en-GB"/>
        </w:rPr>
        <w:t>AN 1.197.</w:t>
      </w:r>
    </w:p>
  </w:footnote>
  <w:footnote w:id="102">
    <w:p w14:paraId="381DAB7E" w14:textId="17A48848" w:rsidR="008F6FA1" w:rsidRDefault="008F6FA1">
      <w:pPr>
        <w:pStyle w:val="FootnoteText"/>
      </w:pPr>
      <w:r>
        <w:rPr>
          <w:rStyle w:val="FootnoteReference"/>
        </w:rPr>
        <w:footnoteRef/>
      </w:r>
      <w:r>
        <w:t xml:space="preserve"> </w:t>
      </w:r>
      <w:r w:rsidR="00833605" w:rsidRPr="00513F3B">
        <w:rPr>
          <w:lang w:eastAsia="en-GB"/>
        </w:rPr>
        <w:t>EA 4.2. See ANĀLAYO (unpublished essay on M 32), MINH CHÂU,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5A42B04F" w:rsidR="008F6FA1" w:rsidRDefault="008F6FA1">
      <w:pPr>
        <w:pStyle w:val="FootnoteText"/>
      </w:pPr>
      <w:r>
        <w:rPr>
          <w:rStyle w:val="FootnoteReference"/>
        </w:rPr>
        <w:footnoteRef/>
      </w:r>
      <w:r>
        <w:t xml:space="preserve"> </w:t>
      </w:r>
      <w:r w:rsidR="00833605" w:rsidRPr="00513F3B">
        <w:rPr>
          <w:lang w:eastAsia="en-GB"/>
        </w:rPr>
        <w:t>In fact texts 33–52, which are represented by one text in the Sarvāstivāda, SA 196,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4BA370E2" w:rsidR="001921B9" w:rsidRDefault="001921B9">
      <w:pPr>
        <w:pStyle w:val="FootnoteText"/>
      </w:pPr>
      <w:r>
        <w:rPr>
          <w:rStyle w:val="FootnoteReference"/>
        </w:rPr>
        <w:footnoteRef/>
      </w:r>
      <w:r>
        <w:t xml:space="preserve"> </w:t>
      </w:r>
      <w:r w:rsidR="00833605" w:rsidRPr="00513F3B">
        <w:rPr>
          <w:lang w:eastAsia="en-GB"/>
        </w:rPr>
        <w:t>T24, p. 35 a3 &amp; 57 a26–7; YIN Shun (1971), pp. 720–725. In the Chinese, the second nipāta is mistakenly called the ‘Sixty-three-Nipāta’.</w:t>
      </w:r>
    </w:p>
  </w:footnote>
  <w:footnote w:id="110">
    <w:p w14:paraId="19ED7307" w14:textId="3CB6262B" w:rsidR="001921B9" w:rsidRDefault="001921B9">
      <w:pPr>
        <w:pStyle w:val="FootnoteText"/>
      </w:pPr>
      <w:r>
        <w:rPr>
          <w:rStyle w:val="FootnoteReference"/>
        </w:rPr>
        <w:footnoteRef/>
      </w:r>
      <w:r>
        <w:t xml:space="preserve"> </w:t>
      </w:r>
      <w:r w:rsidR="00833605" w:rsidRPr="00513F3B">
        <w:rPr>
          <w:lang w:eastAsia="en-GB"/>
        </w:rPr>
        <w:t>DN 14/DA 1/EA 48.4.</w:t>
      </w:r>
    </w:p>
  </w:footnote>
  <w:footnote w:id="111">
    <w:p w14:paraId="252F9E42" w14:textId="6840535B" w:rsidR="001921B9" w:rsidRDefault="001921B9">
      <w:pPr>
        <w:pStyle w:val="FootnoteText"/>
      </w:pPr>
      <w:r>
        <w:rPr>
          <w:rStyle w:val="FootnoteReference"/>
        </w:rPr>
        <w:footnoteRef/>
      </w:r>
      <w:r>
        <w:t xml:space="preserve"> </w:t>
      </w:r>
      <w:r w:rsidR="00A73AA1" w:rsidRPr="00513F3B">
        <w:rPr>
          <w:lang w:eastAsia="en-GB"/>
        </w:rPr>
        <w:t>HEIRMANN, pg.</w:t>
      </w:r>
      <w:r w:rsidR="00A73AA1" w:rsidRPr="00513F3B">
        <w:rPr>
          <w:rFonts w:ascii="Times New Roman" w:hAnsi="Times New Roman"/>
          <w:lang w:eastAsia="en-GB"/>
        </w:rPr>
        <w:t> </w:t>
      </w:r>
      <w:r w:rsidR="00A73AA1" w:rsidRPr="00513F3B">
        <w:rPr>
          <w:lang w:eastAsia="en-GB"/>
        </w:rPr>
        <w:t>27.</w:t>
      </w:r>
    </w:p>
  </w:footnote>
  <w:footnote w:id="112">
    <w:p w14:paraId="783E4469" w14:textId="4665DD17" w:rsidR="001921B9" w:rsidRDefault="001921B9">
      <w:pPr>
        <w:pStyle w:val="FootnoteText"/>
      </w:pPr>
      <w:r>
        <w:rPr>
          <w:rStyle w:val="FootnoteReference"/>
        </w:rPr>
        <w:footnoteRef/>
      </w:r>
      <w:r>
        <w:t xml:space="preserve"> </w:t>
      </w:r>
      <w:r w:rsidR="00A73AA1" w:rsidRPr="00513F3B">
        <w:rPr>
          <w:lang w:eastAsia="en-GB"/>
        </w:rPr>
        <w:t>AN 10.27/EA 46.8/SA 486–489*.</w:t>
      </w:r>
    </w:p>
  </w:footnote>
  <w:footnote w:id="113">
    <w:p w14:paraId="5B5D2EA3" w14:textId="3A1E5BF2" w:rsidR="001921B9" w:rsidRDefault="001921B9">
      <w:pPr>
        <w:pStyle w:val="FootnoteText"/>
      </w:pPr>
      <w:r>
        <w:rPr>
          <w:rStyle w:val="FootnoteReference"/>
        </w:rPr>
        <w:footnoteRef/>
      </w:r>
      <w:r>
        <w:t xml:space="preserve"> </w:t>
      </w:r>
      <w:r w:rsidR="00A73AA1" w:rsidRPr="00513F3B">
        <w:rPr>
          <w:lang w:eastAsia="en-GB"/>
        </w:rPr>
        <w:t>DN 33/DA 9/T № 12/Skt.</w:t>
      </w:r>
    </w:p>
  </w:footnote>
  <w:footnote w:id="114">
    <w:p w14:paraId="6F2FF204" w14:textId="4D815BA5" w:rsidR="001921B9" w:rsidRDefault="001921B9">
      <w:pPr>
        <w:pStyle w:val="FootnoteText"/>
      </w:pPr>
      <w:r>
        <w:rPr>
          <w:rStyle w:val="FootnoteReference"/>
        </w:rPr>
        <w:footnoteRef/>
      </w:r>
      <w:r>
        <w:t xml:space="preserve"> </w:t>
      </w:r>
      <w:r w:rsidR="00A73AA1" w:rsidRPr="00513F3B">
        <w:rPr>
          <w:lang w:eastAsia="en-GB"/>
        </w:rPr>
        <w:t>AN 10.28.</w:t>
      </w:r>
    </w:p>
  </w:footnote>
  <w:footnote w:id="115">
    <w:p w14:paraId="68379855" w14:textId="6D586234" w:rsidR="001921B9" w:rsidRDefault="001921B9">
      <w:pPr>
        <w:pStyle w:val="FootnoteText"/>
      </w:pPr>
      <w:r>
        <w:rPr>
          <w:rStyle w:val="FootnoteReference"/>
        </w:rPr>
        <w:footnoteRef/>
      </w:r>
      <w:r>
        <w:t xml:space="preserve"> </w:t>
      </w:r>
      <w:r w:rsidR="00A73AA1" w:rsidRPr="00513F3B">
        <w:rPr>
          <w:lang w:eastAsia="en-GB"/>
        </w:rPr>
        <w:t>GETHIN,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643557C8" w:rsidR="001921B9" w:rsidRDefault="001921B9">
      <w:pPr>
        <w:pStyle w:val="FootnoteText"/>
      </w:pPr>
      <w:r>
        <w:rPr>
          <w:rStyle w:val="FootnoteReference"/>
        </w:rPr>
        <w:footnoteRef/>
      </w:r>
      <w:r>
        <w:t xml:space="preserve"> </w:t>
      </w:r>
      <w:r w:rsidR="00A73AA1" w:rsidRPr="00513F3B">
        <w:rPr>
          <w:lang w:eastAsia="en-GB"/>
        </w:rPr>
        <w:t>AN 1.1–10/EA 9.7–8.</w:t>
      </w:r>
    </w:p>
  </w:footnote>
  <w:footnote w:id="118">
    <w:p w14:paraId="6C877AF9" w14:textId="50550E2A" w:rsidR="00607752" w:rsidRDefault="00607752">
      <w:pPr>
        <w:pStyle w:val="FootnoteText"/>
      </w:pPr>
      <w:r>
        <w:rPr>
          <w:rStyle w:val="FootnoteReference"/>
        </w:rPr>
        <w:footnoteRef/>
      </w:r>
      <w:r>
        <w:t xml:space="preserve"> </w:t>
      </w:r>
      <w:r w:rsidR="00A73AA1" w:rsidRPr="00513F3B">
        <w:rPr>
          <w:lang w:eastAsia="en-GB"/>
        </w:rPr>
        <w:t>AN 5.55.</w:t>
      </w:r>
    </w:p>
  </w:footnote>
  <w:footnote w:id="119">
    <w:p w14:paraId="5A68B0CF" w14:textId="3E714002" w:rsidR="00607752" w:rsidRDefault="00607752">
      <w:pPr>
        <w:pStyle w:val="FootnoteText"/>
      </w:pPr>
      <w:r>
        <w:rPr>
          <w:rStyle w:val="FootnoteReference"/>
        </w:rPr>
        <w:footnoteRef/>
      </w:r>
      <w:r>
        <w:t xml:space="preserve"> </w:t>
      </w:r>
      <w:r w:rsidR="00A73AA1" w:rsidRPr="00513F3B">
        <w:rPr>
          <w:lang w:eastAsia="en-GB"/>
        </w:rPr>
        <w:t>BUCKNELL, unpublished essay.</w:t>
      </w:r>
    </w:p>
  </w:footnote>
  <w:footnote w:id="120">
    <w:p w14:paraId="2A6BBB84" w14:textId="3CB99259" w:rsidR="00607752" w:rsidRDefault="00607752">
      <w:pPr>
        <w:pStyle w:val="FootnoteText"/>
        <w:rPr>
          <w:lang w:eastAsia="en-GB"/>
        </w:rPr>
      </w:pPr>
      <w:r>
        <w:rPr>
          <w:rStyle w:val="FootnoteReference"/>
        </w:rPr>
        <w:footnoteRef/>
      </w:r>
      <w:r>
        <w:t xml:space="preserve"> </w:t>
      </w:r>
      <w:r w:rsidR="00A73AA1" w:rsidRPr="00513F3B">
        <w:rPr>
          <w:lang w:eastAsia="en-GB"/>
        </w:rPr>
        <w:t>Different editions vary the numbering of discourses by one at this point. SuttaCentral lists AN 3.81 Samaṇa to AN 3.91 Paṅkadha as having SA counterparts at 816–21, 824, 827–32.</w:t>
      </w:r>
    </w:p>
  </w:footnote>
  <w:footnote w:id="121">
    <w:p w14:paraId="45BC725D" w14:textId="60A9ADBE"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513F3B">
        <w:rPr>
          <w:i/>
          <w:iCs/>
          <w:lang w:eastAsia="en-GB"/>
        </w:rPr>
        <w:t>Life of the Buddha</w:t>
      </w:r>
      <w:r w:rsidR="00A73AA1" w:rsidRPr="00513F3B">
        <w:rPr>
          <w:lang w:eastAsia="en-GB"/>
        </w:rPr>
        <w:t> by Bhikkhu Ñāṇamoli.</w:t>
      </w:r>
    </w:p>
  </w:footnote>
  <w:footnote w:id="122">
    <w:p w14:paraId="2C1CB81B" w14:textId="1F388EB6" w:rsidR="00607752" w:rsidRDefault="00607752">
      <w:pPr>
        <w:pStyle w:val="FootnoteText"/>
      </w:pPr>
      <w:r>
        <w:rPr>
          <w:rStyle w:val="FootnoteReference"/>
        </w:rPr>
        <w:footnoteRef/>
      </w:r>
      <w:r>
        <w:t xml:space="preserve"> </w:t>
      </w:r>
      <w:r w:rsidR="00D128C7" w:rsidRPr="00513F3B">
        <w:rPr>
          <w:lang w:eastAsia="en-GB"/>
        </w:rPr>
        <w:t>MN 28.2–6/MA 30.</w:t>
      </w:r>
    </w:p>
  </w:footnote>
  <w:footnote w:id="123">
    <w:p w14:paraId="0CDAF676" w14:textId="0F3378A0" w:rsidR="00607752" w:rsidRDefault="00607752">
      <w:pPr>
        <w:pStyle w:val="FootnoteText"/>
      </w:pPr>
      <w:r>
        <w:rPr>
          <w:rStyle w:val="FootnoteReference"/>
        </w:rPr>
        <w:footnoteRef/>
      </w:r>
      <w:r>
        <w:t xml:space="preserve"> </w:t>
      </w:r>
      <w:r w:rsidR="00D128C7" w:rsidRPr="00513F3B">
        <w:rPr>
          <w:lang w:eastAsia="en-GB"/>
        </w:rPr>
        <w:t>MN 141/MA 31/T № 32/EA 27.1/T № 1435.60.</w:t>
      </w:r>
    </w:p>
  </w:footnote>
  <w:footnote w:id="124">
    <w:p w14:paraId="292CCCC9" w14:textId="2F3CBB1D" w:rsidR="00607752" w:rsidRDefault="00607752">
      <w:pPr>
        <w:pStyle w:val="FootnoteText"/>
      </w:pPr>
      <w:r>
        <w:rPr>
          <w:rStyle w:val="FootnoteReference"/>
        </w:rPr>
        <w:footnoteRef/>
      </w:r>
      <w:r>
        <w:t xml:space="preserve"> </w:t>
      </w:r>
      <w:r w:rsidR="000539D7" w:rsidRPr="00513F3B">
        <w:rPr>
          <w:lang w:eastAsia="en-GB"/>
        </w:rPr>
        <w:t>DN 29.17/DA 17.</w:t>
      </w:r>
    </w:p>
  </w:footnote>
  <w:footnote w:id="125">
    <w:p w14:paraId="593689B4" w14:textId="4E1C0C88" w:rsidR="00607752" w:rsidRDefault="00607752">
      <w:pPr>
        <w:pStyle w:val="FootnoteText"/>
        <w:rPr>
          <w:lang w:eastAsia="en-GB"/>
        </w:rPr>
      </w:pPr>
      <w:r>
        <w:rPr>
          <w:rStyle w:val="FootnoteReference"/>
        </w:rPr>
        <w:footnoteRef/>
      </w:r>
      <w:r>
        <w:t xml:space="preserve"> </w:t>
      </w:r>
      <w:r w:rsidR="000539D7" w:rsidRPr="00513F3B">
        <w:rPr>
          <w:lang w:eastAsia="en-GB"/>
        </w:rPr>
        <w:t>According to BUCKNELL, unpublished essay.</w:t>
      </w:r>
    </w:p>
  </w:footnote>
  <w:footnote w:id="126">
    <w:p w14:paraId="37B1031D" w14:textId="7E50C8A1" w:rsidR="00607752" w:rsidRDefault="00607752">
      <w:pPr>
        <w:pStyle w:val="FootnoteText"/>
      </w:pPr>
      <w:r>
        <w:rPr>
          <w:rStyle w:val="FootnoteReference"/>
        </w:rPr>
        <w:footnoteRef/>
      </w:r>
      <w:r>
        <w:t xml:space="preserve"> </w:t>
      </w:r>
      <w:r w:rsidR="000539D7" w:rsidRPr="00513F3B">
        <w:rPr>
          <w:lang w:eastAsia="en-GB"/>
        </w:rPr>
        <w:t>DN 16.3.50.</w:t>
      </w:r>
    </w:p>
  </w:footnote>
  <w:footnote w:id="127">
    <w:p w14:paraId="6D07438F" w14:textId="768B2300" w:rsidR="00607752" w:rsidRDefault="00607752">
      <w:pPr>
        <w:pStyle w:val="FootnoteText"/>
      </w:pPr>
      <w:r>
        <w:rPr>
          <w:rStyle w:val="FootnoteReference"/>
        </w:rPr>
        <w:footnoteRef/>
      </w:r>
      <w:r>
        <w:t xml:space="preserve"> </w:t>
      </w:r>
      <w:r w:rsidR="000539D7" w:rsidRPr="00513F3B">
        <w:rPr>
          <w:lang w:eastAsia="en-GB"/>
        </w:rPr>
        <w:t>WALDSCHMIDT (1950–1951), 19.7–10.</w:t>
      </w:r>
    </w:p>
  </w:footnote>
  <w:footnote w:id="128">
    <w:p w14:paraId="2C673811" w14:textId="6089F17F" w:rsidR="00607752" w:rsidRDefault="00607752">
      <w:pPr>
        <w:pStyle w:val="FootnoteText"/>
      </w:pPr>
      <w:r>
        <w:rPr>
          <w:rStyle w:val="FootnoteReference"/>
        </w:rPr>
        <w:footnoteRef/>
      </w:r>
      <w:r>
        <w:t xml:space="preserve"> </w:t>
      </w:r>
      <w:r w:rsidR="000539D7" w:rsidRPr="00513F3B">
        <w:rPr>
          <w:lang w:eastAsia="en-GB"/>
        </w:rPr>
        <w:t>WALDSCHMIDT (1968).</w:t>
      </w:r>
    </w:p>
  </w:footnote>
  <w:footnote w:id="129">
    <w:p w14:paraId="2AADD674" w14:textId="7B1948D6"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513F3B">
        <w:rPr>
          <w:i/>
          <w:iCs/>
          <w:lang w:eastAsia="en-GB"/>
        </w:rPr>
        <w:t>dhammatā</w:t>
      </w:r>
      <w:r w:rsidR="000539D7" w:rsidRPr="00513F3B">
        <w:rPr>
          <w:lang w:eastAsia="en-GB"/>
        </w:rPr>
        <w:t> (the ‘way of things’) to </w:t>
      </w:r>
      <w:r w:rsidR="000539D7" w:rsidRPr="00513F3B">
        <w:rPr>
          <w:i/>
          <w:iCs/>
          <w:lang w:eastAsia="en-GB"/>
        </w:rPr>
        <w:t>sutta</w:t>
      </w:r>
      <w:r w:rsidR="000539D7" w:rsidRPr="00513F3B">
        <w:rPr>
          <w:lang w:eastAsia="en-GB"/>
        </w:rPr>
        <w:t> and </w:t>
      </w:r>
      <w:r w:rsidR="000539D7" w:rsidRPr="00513F3B">
        <w:rPr>
          <w:i/>
          <w:iCs/>
          <w:lang w:eastAsia="en-GB"/>
        </w:rPr>
        <w:t>vinaya</w:t>
      </w:r>
      <w:r w:rsidR="000539D7" w:rsidRPr="00513F3B">
        <w:rPr>
          <w:lang w:eastAsia="en-GB"/>
        </w:rPr>
        <w:t>, although there is one Chinese Sutta that just has the two. Remarkably, the Theravādin Netti also has </w:t>
      </w:r>
      <w:r w:rsidR="000539D7" w:rsidRPr="00513F3B">
        <w:rPr>
          <w:i/>
          <w:iCs/>
          <w:lang w:eastAsia="en-GB"/>
        </w:rPr>
        <w:t>dhammatā</w:t>
      </w:r>
      <w:r w:rsidR="000539D7" w:rsidRPr="00513F3B">
        <w:rPr>
          <w:lang w:eastAsia="en-GB"/>
        </w:rPr>
        <w:t>. See LAMOTTE, 1983–4, pg.4.</w:t>
      </w:r>
    </w:p>
  </w:footnote>
  <w:footnote w:id="130">
    <w:p w14:paraId="306DB58B" w14:textId="07204D72" w:rsidR="00607752" w:rsidRDefault="00607752">
      <w:pPr>
        <w:pStyle w:val="FootnoteText"/>
      </w:pPr>
      <w:r>
        <w:rPr>
          <w:rStyle w:val="FootnoteReference"/>
        </w:rPr>
        <w:footnoteRef/>
      </w:r>
      <w:r>
        <w:t xml:space="preserve"> </w:t>
      </w:r>
      <w:r w:rsidR="000539D7" w:rsidRPr="00513F3B">
        <w:rPr>
          <w:lang w:eastAsia="en-GB"/>
        </w:rPr>
        <w:t>WALDSCHMIDT (1950–1951), 24.2.</w:t>
      </w:r>
    </w:p>
  </w:footnote>
  <w:footnote w:id="131">
    <w:p w14:paraId="35482163" w14:textId="2FDCD75D" w:rsidR="00607752" w:rsidRDefault="00607752">
      <w:pPr>
        <w:pStyle w:val="FootnoteText"/>
      </w:pPr>
      <w:r>
        <w:rPr>
          <w:rStyle w:val="FootnoteReference"/>
        </w:rPr>
        <w:footnoteRef/>
      </w:r>
      <w:r>
        <w:t xml:space="preserve"> </w:t>
      </w:r>
      <w:r w:rsidR="000539D7" w:rsidRPr="00513F3B">
        <w:rPr>
          <w:lang w:eastAsia="en-GB"/>
        </w:rPr>
        <w:t>WALDSCHMIDT (1950–1951), 40.62.</w:t>
      </w:r>
    </w:p>
  </w:footnote>
  <w:footnote w:id="132">
    <w:p w14:paraId="44C28C74" w14:textId="61EDA781" w:rsidR="00607752" w:rsidRDefault="00607752">
      <w:pPr>
        <w:pStyle w:val="FootnoteText"/>
      </w:pPr>
      <w:r>
        <w:rPr>
          <w:rStyle w:val="FootnoteReference"/>
        </w:rPr>
        <w:footnoteRef/>
      </w:r>
      <w:r>
        <w:t xml:space="preserve"> </w:t>
      </w:r>
      <w:r w:rsidR="000539D7" w:rsidRPr="00513F3B">
        <w:rPr>
          <w:lang w:eastAsia="en-GB"/>
        </w:rPr>
        <w:t>ROCKHILL, pg.</w:t>
      </w:r>
      <w:r w:rsidR="000539D7" w:rsidRPr="00513F3B">
        <w:rPr>
          <w:rFonts w:ascii="Times New Roman" w:hAnsi="Times New Roman"/>
          <w:lang w:eastAsia="en-GB"/>
        </w:rPr>
        <w:t> </w:t>
      </w:r>
      <w:r w:rsidR="000539D7" w:rsidRPr="00513F3B">
        <w:rPr>
          <w:lang w:eastAsia="en-GB"/>
        </w:rPr>
        <w:t>132, 140.</w:t>
      </w:r>
    </w:p>
  </w:footnote>
  <w:footnote w:id="133">
    <w:p w14:paraId="30C2DCCB" w14:textId="77A16DDC" w:rsidR="00607752" w:rsidRDefault="00607752">
      <w:pPr>
        <w:pStyle w:val="FootnoteText"/>
      </w:pPr>
      <w:r>
        <w:rPr>
          <w:rStyle w:val="FootnoteReference"/>
        </w:rPr>
        <w:footnoteRef/>
      </w:r>
      <w:r>
        <w:t xml:space="preserve"> </w:t>
      </w:r>
      <w:r w:rsidR="000539D7" w:rsidRPr="00513F3B">
        <w:rPr>
          <w:lang w:eastAsia="en-GB"/>
        </w:rPr>
        <w:t>COUSINS (1983), pg.</w:t>
      </w:r>
      <w:r w:rsidR="000539D7" w:rsidRPr="00513F3B">
        <w:rPr>
          <w:rFonts w:ascii="Times New Roman" w:hAnsi="Times New Roman"/>
          <w:lang w:eastAsia="en-GB"/>
        </w:rPr>
        <w:t>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74FF23C9" w:rsidR="00607752" w:rsidRDefault="00607752">
      <w:pPr>
        <w:pStyle w:val="FootnoteText"/>
      </w:pPr>
      <w:r>
        <w:rPr>
          <w:rStyle w:val="FootnoteReference"/>
        </w:rPr>
        <w:footnoteRef/>
      </w:r>
      <w:r>
        <w:t xml:space="preserve"> </w:t>
      </w:r>
      <w:r w:rsidR="000539D7" w:rsidRPr="00513F3B">
        <w:rPr>
          <w:lang w:eastAsia="en-GB"/>
        </w:rPr>
        <w:t>DN 16.3.18/Skt MPS 17.17.</w:t>
      </w:r>
    </w:p>
  </w:footnote>
  <w:footnote w:id="136">
    <w:p w14:paraId="2839548A" w14:textId="2AA4B23C" w:rsidR="00607752" w:rsidRDefault="00607752">
      <w:pPr>
        <w:pStyle w:val="FootnoteText"/>
      </w:pPr>
      <w:r>
        <w:rPr>
          <w:rStyle w:val="FootnoteReference"/>
        </w:rPr>
        <w:footnoteRef/>
      </w:r>
      <w:r>
        <w:t xml:space="preserve"> </w:t>
      </w:r>
      <w:r w:rsidR="000539D7" w:rsidRPr="00513F3B">
        <w:rPr>
          <w:lang w:eastAsia="en-GB"/>
        </w:rPr>
        <w:t>Skt MPS 16.1–12. The Pali has the Māra episode (DN 16.3.7),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268A5EF1" w:rsidR="00607752" w:rsidRDefault="00607752">
      <w:pPr>
        <w:pStyle w:val="FootnoteText"/>
      </w:pPr>
      <w:r>
        <w:rPr>
          <w:rStyle w:val="FootnoteReference"/>
        </w:rPr>
        <w:footnoteRef/>
      </w:r>
      <w:r>
        <w:t xml:space="preserve"> </w:t>
      </w:r>
      <w:r w:rsidR="000539D7" w:rsidRPr="00513F3B">
        <w:rPr>
          <w:lang w:eastAsia="en-GB"/>
        </w:rPr>
        <w:t>DN 16.4.42/Skt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23A273F3" w:rsidR="00607752" w:rsidRDefault="00607752">
      <w:pPr>
        <w:pStyle w:val="FootnoteText"/>
      </w:pPr>
      <w:r>
        <w:rPr>
          <w:rStyle w:val="FootnoteReference"/>
        </w:rPr>
        <w:footnoteRef/>
      </w:r>
      <w:r>
        <w:t xml:space="preserve"> </w:t>
      </w:r>
      <w:r w:rsidR="000539D7" w:rsidRPr="00513F3B">
        <w:rPr>
          <w:lang w:eastAsia="en-GB"/>
        </w:rPr>
        <w:t>SN 46.53</w:t>
      </w:r>
    </w:p>
  </w:footnote>
  <w:footnote w:id="141">
    <w:p w14:paraId="64521D0E" w14:textId="6F05DD35" w:rsidR="00607752" w:rsidRDefault="00607752">
      <w:pPr>
        <w:pStyle w:val="FootnoteText"/>
      </w:pPr>
      <w:r>
        <w:rPr>
          <w:rStyle w:val="FootnoteReference"/>
        </w:rPr>
        <w:footnoteRef/>
      </w:r>
      <w:r>
        <w:t xml:space="preserve"> </w:t>
      </w:r>
      <w:r w:rsidR="000539D7" w:rsidRPr="00513F3B">
        <w:rPr>
          <w:lang w:eastAsia="en-GB"/>
        </w:rPr>
        <w:t>NYANAPONIKA, pg.</w:t>
      </w:r>
      <w:r w:rsidR="000539D7" w:rsidRPr="00513F3B">
        <w:rPr>
          <w:rFonts w:ascii="Times New Roman" w:hAnsi="Times New Roman"/>
          <w:lang w:eastAsia="en-GB"/>
        </w:rPr>
        <w:t> </w:t>
      </w:r>
      <w:r w:rsidR="000539D7" w:rsidRPr="00513F3B">
        <w:rPr>
          <w:lang w:eastAsia="en-GB"/>
        </w:rPr>
        <w:t>11.</w:t>
      </w:r>
    </w:p>
  </w:footnote>
  <w:footnote w:id="142">
    <w:p w14:paraId="2F2B5283" w14:textId="2267CA90" w:rsidR="00607752" w:rsidRDefault="00607752">
      <w:pPr>
        <w:pStyle w:val="FootnoteText"/>
      </w:pPr>
      <w:r>
        <w:rPr>
          <w:rStyle w:val="FootnoteReference"/>
        </w:rPr>
        <w:footnoteRef/>
      </w:r>
      <w:r>
        <w:t xml:space="preserve"> </w:t>
      </w:r>
      <w:r w:rsidR="000539D7" w:rsidRPr="00513F3B">
        <w:rPr>
          <w:lang w:eastAsia="en-GB"/>
        </w:rPr>
        <w:t>Inserted passage from AN 10.54.</w:t>
      </w:r>
    </w:p>
  </w:footnote>
  <w:footnote w:id="143">
    <w:p w14:paraId="1AFDA3F3" w14:textId="6B6CDD99" w:rsidR="00607752" w:rsidRDefault="00607752">
      <w:pPr>
        <w:pStyle w:val="FootnoteText"/>
      </w:pPr>
      <w:r>
        <w:rPr>
          <w:rStyle w:val="FootnoteReference"/>
        </w:rPr>
        <w:footnoteRef/>
      </w:r>
      <w:r>
        <w:t xml:space="preserve"> </w:t>
      </w:r>
      <w:r w:rsidR="000539D7" w:rsidRPr="00513F3B">
        <w:rPr>
          <w:lang w:eastAsia="en-GB"/>
        </w:rPr>
        <w:t>AN 4.94.</w:t>
      </w:r>
    </w:p>
  </w:footnote>
  <w:footnote w:id="144">
    <w:p w14:paraId="40387A06" w14:textId="2D594D79" w:rsidR="00607752" w:rsidRDefault="00607752">
      <w:pPr>
        <w:pStyle w:val="FootnoteText"/>
      </w:pPr>
      <w:r>
        <w:rPr>
          <w:rStyle w:val="FootnoteReference"/>
        </w:rPr>
        <w:footnoteRef/>
      </w:r>
      <w:r>
        <w:t xml:space="preserve"> </w:t>
      </w:r>
      <w:r w:rsidR="000539D7" w:rsidRPr="00513F3B">
        <w:rPr>
          <w:lang w:eastAsia="en-GB"/>
        </w:rPr>
        <w:t>AN 9.4.</w:t>
      </w:r>
    </w:p>
  </w:footnote>
  <w:footnote w:id="145">
    <w:p w14:paraId="469D697A" w14:textId="33FAF2D5" w:rsidR="00607752" w:rsidRDefault="00607752" w:rsidP="000539D7">
      <w:pPr>
        <w:pStyle w:val="FootnoteText"/>
        <w:tabs>
          <w:tab w:val="left" w:pos="2160"/>
        </w:tabs>
      </w:pPr>
      <w:r>
        <w:rPr>
          <w:rStyle w:val="FootnoteReference"/>
        </w:rPr>
        <w:footnoteRef/>
      </w:r>
      <w:r>
        <w:t xml:space="preserve"> </w:t>
      </w:r>
      <w:r w:rsidR="000539D7" w:rsidRPr="00513F3B">
        <w:rPr>
          <w:lang w:eastAsia="en-GB"/>
        </w:rPr>
        <w:t>MN 122.7–8; cp. MN 19.8–10, MN 4.22–26, SN 40.1.</w:t>
      </w:r>
    </w:p>
  </w:footnote>
  <w:footnote w:id="146">
    <w:p w14:paraId="3FAABD48" w14:textId="76EBB545" w:rsidR="00607752" w:rsidRDefault="00607752">
      <w:pPr>
        <w:pStyle w:val="FootnoteText"/>
      </w:pPr>
      <w:r>
        <w:rPr>
          <w:rStyle w:val="FootnoteReference"/>
        </w:rPr>
        <w:footnoteRef/>
      </w:r>
      <w:r>
        <w:t xml:space="preserve"> </w:t>
      </w:r>
      <w:r w:rsidR="000539D7" w:rsidRPr="00513F3B">
        <w:rPr>
          <w:lang w:eastAsia="en-GB"/>
        </w:rPr>
        <w:t>AN 2:3.10.</w:t>
      </w:r>
    </w:p>
  </w:footnote>
  <w:footnote w:id="147">
    <w:p w14:paraId="0FE6418B" w14:textId="545E02E0" w:rsidR="00607752" w:rsidRDefault="00607752">
      <w:pPr>
        <w:pStyle w:val="FootnoteText"/>
      </w:pPr>
      <w:r>
        <w:rPr>
          <w:rStyle w:val="FootnoteReference"/>
        </w:rPr>
        <w:footnoteRef/>
      </w:r>
      <w:r>
        <w:t xml:space="preserve"> </w:t>
      </w:r>
      <w:r w:rsidR="000539D7" w:rsidRPr="00513F3B">
        <w:rPr>
          <w:lang w:eastAsia="en-GB"/>
        </w:rPr>
        <w:t>VON HINÜBER, pg</w:t>
      </w:r>
      <w:r w:rsidR="000539D7">
        <w:rPr>
          <w:lang w:eastAsia="en-GB"/>
        </w:rPr>
        <w:t>.</w:t>
      </w:r>
      <w:r w:rsidR="000539D7" w:rsidRPr="00513F3B">
        <w:rPr>
          <w:lang w:eastAsia="en-GB"/>
        </w:rPr>
        <w:t xml:space="preserve"> 37.</w:t>
      </w:r>
    </w:p>
  </w:footnote>
  <w:footnote w:id="148">
    <w:p w14:paraId="126E3BCE" w14:textId="34934A71" w:rsidR="00607752" w:rsidRDefault="00607752">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4EE54F17" w:rsidR="006F441E" w:rsidRDefault="006F441E">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121.</w:t>
      </w:r>
    </w:p>
  </w:footnote>
  <w:footnote w:id="151">
    <w:p w14:paraId="556C49AD" w14:textId="33574F85" w:rsidR="006F441E" w:rsidRDefault="006F441E">
      <w:pPr>
        <w:pStyle w:val="FootnoteText"/>
      </w:pPr>
      <w:r>
        <w:rPr>
          <w:rStyle w:val="FootnoteReference"/>
        </w:rPr>
        <w:footnoteRef/>
      </w:r>
      <w:r>
        <w:t xml:space="preserve"> </w:t>
      </w:r>
      <w:r w:rsidR="000539D7" w:rsidRPr="00513F3B">
        <w:rPr>
          <w:lang w:eastAsia="en-GB"/>
        </w:rPr>
        <w:t>AN 5.28.</w:t>
      </w:r>
    </w:p>
  </w:footnote>
  <w:footnote w:id="152">
    <w:p w14:paraId="7F310BEF" w14:textId="2664A148" w:rsidR="006F441E" w:rsidRDefault="006F441E">
      <w:pPr>
        <w:pStyle w:val="FootnoteText"/>
      </w:pPr>
      <w:r>
        <w:rPr>
          <w:rStyle w:val="FootnoteReference"/>
        </w:rPr>
        <w:footnoteRef/>
      </w:r>
      <w:r>
        <w:t xml:space="preserve"> </w:t>
      </w:r>
      <w:r w:rsidR="000539D7" w:rsidRPr="00513F3B">
        <w:rPr>
          <w:lang w:eastAsia="en-GB"/>
        </w:rPr>
        <w:t>GETHIN, pg.</w:t>
      </w:r>
      <w:r w:rsidR="000539D7" w:rsidRPr="00513F3B">
        <w:rPr>
          <w:rFonts w:ascii="Times New Roman" w:hAnsi="Times New Roman"/>
          <w:lang w:eastAsia="en-GB"/>
        </w:rPr>
        <w:t> </w:t>
      </w:r>
      <w:r w:rsidR="000539D7" w:rsidRPr="00513F3B">
        <w:rPr>
          <w:lang w:eastAsia="en-GB"/>
        </w:rPr>
        <w:t>59. Gethin cites SCHMITHAUSEN (1976) pp. 241</w:t>
      </w:r>
      <w:r w:rsidR="000539D7" w:rsidRPr="00513F3B">
        <w:rPr>
          <w:rFonts w:cs="Source Serif Pro"/>
          <w:lang w:eastAsia="en-GB"/>
        </w:rPr>
        <w:t>–</w:t>
      </w:r>
      <w:r w:rsidR="000539D7" w:rsidRPr="00513F3B">
        <w:rPr>
          <w:lang w:eastAsia="en-GB"/>
        </w:rPr>
        <w:t>66 and BRONKHORST (1985) pp. 309</w:t>
      </w:r>
      <w:r w:rsidR="000539D7" w:rsidRPr="00513F3B">
        <w:rPr>
          <w:rFonts w:cs="Source Serif Pro"/>
          <w:lang w:eastAsia="en-GB"/>
        </w:rPr>
        <w:t>–</w:t>
      </w:r>
      <w:r w:rsidR="000539D7" w:rsidRPr="00513F3B">
        <w:rPr>
          <w:lang w:eastAsia="en-GB"/>
        </w:rPr>
        <w:t>12.</w:t>
      </w:r>
    </w:p>
  </w:footnote>
  <w:footnote w:id="153">
    <w:p w14:paraId="2404106F" w14:textId="251A59C5" w:rsidR="006F441E" w:rsidRDefault="006F441E">
      <w:pPr>
        <w:pStyle w:val="FootnoteText"/>
      </w:pPr>
      <w:r>
        <w:rPr>
          <w:rStyle w:val="FootnoteReference"/>
        </w:rPr>
        <w:footnoteRef/>
      </w:r>
      <w:r>
        <w:t xml:space="preserve"> </w:t>
      </w:r>
      <w:r w:rsidR="000539D7" w:rsidRPr="00513F3B">
        <w:rPr>
          <w:lang w:eastAsia="en-GB"/>
        </w:rPr>
        <w:t>AN 10.60/Tibetan (Peking edition, Otani reprint, Tokyo 1956) 754.</w:t>
      </w:r>
    </w:p>
  </w:footnote>
  <w:footnote w:id="154">
    <w:p w14:paraId="76996944" w14:textId="53A2017F" w:rsidR="006F441E" w:rsidRDefault="006F441E">
      <w:pPr>
        <w:pStyle w:val="FootnoteText"/>
      </w:pPr>
      <w:r>
        <w:rPr>
          <w:rStyle w:val="FootnoteReference"/>
        </w:rPr>
        <w:footnoteRef/>
      </w:r>
      <w:r>
        <w:t xml:space="preserve"> </w:t>
      </w:r>
      <w:r w:rsidR="000539D7" w:rsidRPr="00513F3B">
        <w:rPr>
          <w:lang w:eastAsia="en-GB"/>
        </w:rPr>
        <w:t>SN 47.10.</w:t>
      </w:r>
    </w:p>
  </w:footnote>
  <w:footnote w:id="155">
    <w:p w14:paraId="71B0997B" w14:textId="1E28DC34" w:rsidR="006F441E" w:rsidRDefault="006F441E">
      <w:pPr>
        <w:pStyle w:val="FootnoteText"/>
      </w:pPr>
      <w:r>
        <w:rPr>
          <w:rStyle w:val="FootnoteReference"/>
        </w:rPr>
        <w:footnoteRef/>
      </w:r>
      <w:r>
        <w:t xml:space="preserve"> </w:t>
      </w:r>
      <w:r w:rsidR="000539D7" w:rsidRPr="00513F3B">
        <w:rPr>
          <w:lang w:eastAsia="en-GB"/>
        </w:rPr>
        <w:t>E.g. AN 10.60, Iti 80, 81, Dhp 7, 8.</w:t>
      </w:r>
    </w:p>
  </w:footnote>
  <w:footnote w:id="156">
    <w:p w14:paraId="63F2B967" w14:textId="6D223304" w:rsidR="006F441E" w:rsidRDefault="006F441E">
      <w:pPr>
        <w:pStyle w:val="FootnoteText"/>
      </w:pPr>
      <w:r>
        <w:rPr>
          <w:rStyle w:val="FootnoteReference"/>
        </w:rPr>
        <w:footnoteRef/>
      </w:r>
      <w:r>
        <w:t xml:space="preserve"> </w:t>
      </w:r>
      <w:r w:rsidR="000539D7" w:rsidRPr="00513F3B">
        <w:rPr>
          <w:lang w:eastAsia="en-GB"/>
        </w:rPr>
        <w:t>FRAUWALLNER (1995), pg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13A92D33" w:rsidR="006F441E" w:rsidRDefault="006F441E">
      <w:pPr>
        <w:pStyle w:val="FootnoteText"/>
      </w:pPr>
      <w:r>
        <w:rPr>
          <w:rStyle w:val="FootnoteReference"/>
        </w:rPr>
        <w:footnoteRef/>
      </w:r>
      <w:r>
        <w:t xml:space="preserve"> </w:t>
      </w:r>
      <w:r w:rsidR="000539D7" w:rsidRPr="00513F3B">
        <w:rPr>
          <w:lang w:eastAsia="en-GB"/>
        </w:rPr>
        <w:t>DN 2.65, etc. Here I substitute my translation for Bronkhorst’s for consistency.</w:t>
      </w:r>
    </w:p>
  </w:footnote>
  <w:footnote w:id="159">
    <w:p w14:paraId="639EA387" w14:textId="22463031" w:rsidR="006F441E" w:rsidRDefault="006F441E">
      <w:pPr>
        <w:pStyle w:val="FootnoteText"/>
      </w:pPr>
      <w:r>
        <w:rPr>
          <w:rStyle w:val="FootnoteReference"/>
        </w:rPr>
        <w:footnoteRef/>
      </w:r>
      <w:r>
        <w:t xml:space="preserve"> </w:t>
      </w:r>
      <w:r w:rsidR="000539D7" w:rsidRPr="00513F3B">
        <w:rPr>
          <w:lang w:eastAsia="en-GB"/>
        </w:rPr>
        <w:t>SN 47.2, SN 36.7, 8.</w:t>
      </w:r>
    </w:p>
  </w:footnote>
  <w:footnote w:id="160">
    <w:p w14:paraId="02711DBF" w14:textId="2D544C1D" w:rsidR="006F441E" w:rsidRDefault="006F441E">
      <w:pPr>
        <w:pStyle w:val="FootnoteText"/>
      </w:pPr>
      <w:r>
        <w:rPr>
          <w:rStyle w:val="FootnoteReference"/>
        </w:rPr>
        <w:footnoteRef/>
      </w:r>
      <w:r>
        <w:t xml:space="preserve"> </w:t>
      </w:r>
      <w:r w:rsidR="00626D18" w:rsidRPr="00513F3B">
        <w:rPr>
          <w:lang w:eastAsia="en-GB"/>
        </w:rPr>
        <w:t>MA 144</w:t>
      </w:r>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r w:rsidR="00626D18" w:rsidRPr="00513F3B">
        <w:rPr>
          <w:lang w:eastAsia="en-GB"/>
        </w:rPr>
        <w:t>MN 107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0A3DF846" w:rsidR="006F441E" w:rsidRDefault="006F441E">
      <w:pPr>
        <w:pStyle w:val="FootnoteText"/>
      </w:pPr>
      <w:r>
        <w:rPr>
          <w:rStyle w:val="FootnoteReference"/>
        </w:rPr>
        <w:footnoteRef/>
      </w:r>
      <w:r>
        <w:t xml:space="preserve"> </w:t>
      </w:r>
      <w:r w:rsidR="00626D18" w:rsidRPr="00513F3B">
        <w:rPr>
          <w:lang w:eastAsia="en-GB"/>
        </w:rPr>
        <w:t>MN 125/MA 198.</w:t>
      </w:r>
    </w:p>
  </w:footnote>
  <w:footnote w:id="162">
    <w:p w14:paraId="7DC318E3" w14:textId="4F1BA595" w:rsidR="006F441E" w:rsidRDefault="006F441E">
      <w:pPr>
        <w:pStyle w:val="FootnoteText"/>
      </w:pPr>
      <w:r>
        <w:rPr>
          <w:rStyle w:val="FootnoteReference"/>
        </w:rPr>
        <w:footnoteRef/>
      </w:r>
      <w:r>
        <w:t xml:space="preserve"> </w:t>
      </w:r>
      <w:r w:rsidR="00626D18" w:rsidRPr="00513F3B">
        <w:rPr>
          <w:lang w:eastAsia="en-GB"/>
        </w:rPr>
        <w:t>MEISIG, pg.</w:t>
      </w:r>
      <w:r w:rsidR="00626D18" w:rsidRPr="00513F3B">
        <w:rPr>
          <w:rFonts w:ascii="Times New Roman" w:hAnsi="Times New Roman"/>
          <w:lang w:eastAsia="en-GB"/>
        </w:rPr>
        <w:t> </w:t>
      </w:r>
      <w:r w:rsidR="00626D18" w:rsidRPr="00513F3B">
        <w:rPr>
          <w:lang w:eastAsia="en-GB"/>
        </w:rPr>
        <w:t>273.</w:t>
      </w:r>
    </w:p>
  </w:footnote>
  <w:footnote w:id="163">
    <w:p w14:paraId="055EC452" w14:textId="1235C757" w:rsidR="006F441E" w:rsidRDefault="006F441E">
      <w:pPr>
        <w:pStyle w:val="FootnoteText"/>
      </w:pPr>
      <w:r>
        <w:rPr>
          <w:rStyle w:val="FootnoteReference"/>
        </w:rPr>
        <w:footnoteRef/>
      </w:r>
      <w:r>
        <w:t xml:space="preserve"> </w:t>
      </w:r>
      <w:r w:rsidR="00626D18" w:rsidRPr="00513F3B">
        <w:rPr>
          <w:lang w:eastAsia="en-GB"/>
        </w:rPr>
        <w:t>AN 10.62/MA 51–53.</w:t>
      </w:r>
    </w:p>
  </w:footnote>
  <w:footnote w:id="164">
    <w:p w14:paraId="0630CDD2" w14:textId="22E0553B" w:rsidR="006F441E" w:rsidRDefault="006F441E">
      <w:pPr>
        <w:pStyle w:val="FootnoteText"/>
      </w:pPr>
      <w:r>
        <w:rPr>
          <w:rStyle w:val="FootnoteReference"/>
        </w:rPr>
        <w:footnoteRef/>
      </w:r>
      <w:r>
        <w:t xml:space="preserve"> </w:t>
      </w:r>
      <w:r w:rsidR="00626D18" w:rsidRPr="00513F3B">
        <w:rPr>
          <w:lang w:eastAsia="en-GB"/>
        </w:rPr>
        <w:t>MN 67.16.</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32A929F1" w:rsidR="009537AA" w:rsidRDefault="009537AA">
      <w:pPr>
        <w:pStyle w:val="FootnoteText"/>
      </w:pPr>
      <w:r>
        <w:rPr>
          <w:rStyle w:val="FootnoteReference"/>
        </w:rPr>
        <w:footnoteRef/>
      </w:r>
      <w:r>
        <w:t xml:space="preserve"> </w:t>
      </w:r>
      <w:r w:rsidR="00626D18" w:rsidRPr="00513F3B">
        <w:rPr>
          <w:lang w:eastAsia="en-GB"/>
        </w:rPr>
        <w:t>AN 5.193, SN 46.55.</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055B6C08"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71.</w:t>
      </w:r>
    </w:p>
  </w:footnote>
  <w:footnote w:id="171">
    <w:p w14:paraId="796DBA71" w14:textId="64220B86"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448FA70B"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198.</w:t>
      </w:r>
    </w:p>
  </w:footnote>
  <w:footnote w:id="174">
    <w:p w14:paraId="75AA42C3" w14:textId="657C5101" w:rsidR="009537AA" w:rsidRDefault="009537AA">
      <w:pPr>
        <w:pStyle w:val="FootnoteText"/>
      </w:pPr>
      <w:r>
        <w:rPr>
          <w:rStyle w:val="FootnoteReference"/>
        </w:rPr>
        <w:footnoteRef/>
      </w:r>
      <w:r>
        <w:t xml:space="preserve"> </w:t>
      </w:r>
      <w:r w:rsidR="00470E9F" w:rsidRPr="00513F3B">
        <w:rPr>
          <w:lang w:eastAsia="en-GB"/>
        </w:rPr>
        <w:t xml:space="preserve">DN 13.10. The cognate DA 26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06BCE168" w:rsidR="001855BD" w:rsidRDefault="001855BD">
      <w:pPr>
        <w:pStyle w:val="FootnoteText"/>
      </w:pPr>
      <w:r>
        <w:rPr>
          <w:rStyle w:val="FootnoteReference"/>
        </w:rPr>
        <w:footnoteRef/>
      </w:r>
      <w:r>
        <w:t xml:space="preserve"> </w:t>
      </w:r>
      <w:r w:rsidR="00470E9F" w:rsidRPr="00513F3B">
        <w:rPr>
          <w:lang w:eastAsia="en-GB"/>
        </w:rPr>
        <w:t>See ‘A Pali Reference to Brahmaṇa-Caraṇas’, included in WIJESEKERA.</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7BABE6C9" w:rsidR="006E5436" w:rsidRDefault="006E5436">
      <w:pPr>
        <w:pStyle w:val="FootnoteText"/>
      </w:pPr>
      <w:r>
        <w:rPr>
          <w:rStyle w:val="FootnoteReference"/>
        </w:rPr>
        <w:footnoteRef/>
      </w:r>
      <w:r>
        <w:t xml:space="preserve"> </w:t>
      </w:r>
      <w:r w:rsidR="00470E9F" w:rsidRPr="00513F3B">
        <w:rPr>
          <w:lang w:eastAsia="en-GB"/>
        </w:rPr>
        <w:t>E.g. MN 36.17</w:t>
      </w:r>
      <w:r w:rsidR="00470E9F" w:rsidRPr="00513F3B">
        <w:rPr>
          <w:i/>
          <w:iCs/>
          <w:lang w:eastAsia="en-GB"/>
        </w:rPr>
        <w:t>ff</w:t>
      </w:r>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2A5F0650" w:rsidR="006E5436" w:rsidRDefault="006E5436">
      <w:pPr>
        <w:pStyle w:val="FootnoteText"/>
      </w:pPr>
      <w:r>
        <w:rPr>
          <w:rStyle w:val="FootnoteReference"/>
        </w:rPr>
        <w:footnoteRef/>
      </w:r>
      <w:r>
        <w:t xml:space="preserve"> </w:t>
      </w:r>
      <w:r w:rsidR="002A4DDC" w:rsidRPr="00513F3B">
        <w:rPr>
          <w:lang w:eastAsia="en-GB"/>
        </w:rPr>
        <w:t>MN 26/MA 204.</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17474C57" w:rsidR="006E5436" w:rsidRDefault="006E5436">
      <w:pPr>
        <w:pStyle w:val="FootnoteText"/>
      </w:pPr>
      <w:r>
        <w:rPr>
          <w:rStyle w:val="FootnoteReference"/>
        </w:rPr>
        <w:footnoteRef/>
      </w:r>
      <w:r>
        <w:t xml:space="preserve"> </w:t>
      </w:r>
      <w:r w:rsidR="002A4DDC" w:rsidRPr="00513F3B">
        <w:rPr>
          <w:lang w:eastAsia="en-GB"/>
        </w:rPr>
        <w:t>SN 35.103.</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278A6187" w:rsidR="006E5436" w:rsidRDefault="006E5436">
      <w:pPr>
        <w:pStyle w:val="FootnoteText"/>
      </w:pPr>
      <w:r>
        <w:rPr>
          <w:rStyle w:val="FootnoteReference"/>
        </w:rPr>
        <w:footnoteRef/>
      </w:r>
      <w:r>
        <w:t xml:space="preserve"> </w:t>
      </w:r>
      <w:r w:rsidR="002A4DDC" w:rsidRPr="00513F3B">
        <w:rPr>
          <w:lang w:eastAsia="en-GB"/>
        </w:rPr>
        <w:t>The Sarvāstivādin version (MA 204) mentions only faith, energy, and wisdom here, but includes mindfulness just below. The Sanghabhedavastu (GNOLI pg.</w:t>
      </w:r>
      <w:r w:rsidR="002A4DDC" w:rsidRPr="00513F3B">
        <w:rPr>
          <w:rFonts w:ascii="Times New Roman" w:hAnsi="Times New Roman"/>
          <w:lang w:eastAsia="en-GB"/>
        </w:rPr>
        <w:t> </w:t>
      </w:r>
      <w:r w:rsidR="002A4DDC" w:rsidRPr="00513F3B">
        <w:rPr>
          <w:lang w:eastAsia="en-GB"/>
        </w:rPr>
        <w:t>97) and the Lalitavistara (239.2) mention all five spiritual faculties.</w:t>
      </w:r>
    </w:p>
  </w:footnote>
  <w:footnote w:id="195">
    <w:p w14:paraId="365E3E2C" w14:textId="563D95E1" w:rsidR="006E5436" w:rsidRDefault="006E5436">
      <w:pPr>
        <w:pStyle w:val="FootnoteText"/>
      </w:pPr>
      <w:r>
        <w:rPr>
          <w:rStyle w:val="FootnoteReference"/>
        </w:rPr>
        <w:footnoteRef/>
      </w:r>
      <w:r>
        <w:t xml:space="preserve"> </w:t>
      </w:r>
      <w:r w:rsidR="002A4DDC" w:rsidRPr="00513F3B">
        <w:rPr>
          <w:lang w:eastAsia="en-GB"/>
        </w:rPr>
        <w:t>E.g. SN 48.9.</w:t>
      </w:r>
    </w:p>
  </w:footnote>
  <w:footnote w:id="196">
    <w:p w14:paraId="6D1514D2" w14:textId="6F50BC85" w:rsidR="006E5436" w:rsidRDefault="006E5436">
      <w:pPr>
        <w:pStyle w:val="FootnoteText"/>
      </w:pPr>
      <w:r>
        <w:rPr>
          <w:rStyle w:val="FootnoteReference"/>
        </w:rPr>
        <w:footnoteRef/>
      </w:r>
      <w:r>
        <w:t xml:space="preserve"> </w:t>
      </w:r>
      <w:r w:rsidR="00E015A3" w:rsidRPr="00513F3B">
        <w:rPr>
          <w:lang w:eastAsia="en-GB"/>
        </w:rPr>
        <w:t>AN 4.123.</w:t>
      </w:r>
    </w:p>
  </w:footnote>
  <w:footnote w:id="197">
    <w:p w14:paraId="4E6714E9" w14:textId="768E1805" w:rsidR="006E5436" w:rsidRDefault="006E5436">
      <w:pPr>
        <w:pStyle w:val="FootnoteText"/>
      </w:pPr>
      <w:r>
        <w:rPr>
          <w:rStyle w:val="FootnoteReference"/>
        </w:rPr>
        <w:footnoteRef/>
      </w:r>
      <w:r>
        <w:t xml:space="preserve"> </w:t>
      </w:r>
      <w:r w:rsidR="00E015A3" w:rsidRPr="00513F3B">
        <w:rPr>
          <w:lang w:eastAsia="en-GB"/>
        </w:rPr>
        <w:t>AN 4.125.</w:t>
      </w:r>
    </w:p>
  </w:footnote>
  <w:footnote w:id="198">
    <w:p w14:paraId="45378C2B" w14:textId="33ECDABA" w:rsidR="006E5436" w:rsidRDefault="006E5436">
      <w:pPr>
        <w:pStyle w:val="FootnoteText"/>
      </w:pPr>
      <w:r>
        <w:rPr>
          <w:rStyle w:val="FootnoteReference"/>
        </w:rPr>
        <w:footnoteRef/>
      </w:r>
      <w:r>
        <w:t xml:space="preserve"> </w:t>
      </w:r>
      <w:r w:rsidR="00E015A3" w:rsidRPr="00513F3B">
        <w:rPr>
          <w:lang w:eastAsia="en-GB"/>
        </w:rPr>
        <w:t>Compare the following verses. Muṇḍaka Upaniṣad 3.2.8: </w:t>
      </w:r>
      <w:r w:rsidR="00E015A3" w:rsidRPr="00513F3B">
        <w:rPr>
          <w:i/>
          <w:iCs/>
          <w:lang w:eastAsia="en-GB"/>
        </w:rPr>
        <w:t>Yathā nadyas syandamānās samudre/Astam gacchanti nāmarūpe vihāya</w:t>
      </w:r>
      <w:r w:rsidR="00E015A3" w:rsidRPr="00513F3B">
        <w:rPr>
          <w:lang w:eastAsia="en-GB"/>
        </w:rPr>
        <w:t> (Just as rivers flowing into the ocean/Go to their end, having dropped name &amp; form);</w:t>
      </w:r>
      <w:r w:rsidR="00E015A3" w:rsidRPr="00513F3B">
        <w:rPr>
          <w:rFonts w:cs="Source Serif Pro"/>
          <w:lang w:eastAsia="en-GB"/>
        </w:rPr>
        <w:t> </w:t>
      </w:r>
      <w:r w:rsidR="00E015A3" w:rsidRPr="00513F3B">
        <w:rPr>
          <w:i/>
          <w:iCs/>
          <w:lang w:eastAsia="en-GB"/>
        </w:rPr>
        <w:t>Tathā vidvān nāmarūpād vimuktaḥ/Parāt-param puruṣam upaiti divyam.</w:t>
      </w:r>
      <w:r w:rsidR="00E015A3" w:rsidRPr="00513F3B">
        <w:rPr>
          <w:lang w:eastAsia="en-GB"/>
        </w:rPr>
        <w:t> (Thus the realized [sage], freed from name &amp; form/Beyond the beyond is that Man he enters, divine). Sutta Nipāta 1080: </w:t>
      </w:r>
      <w:r w:rsidR="00E015A3" w:rsidRPr="00513F3B">
        <w:rPr>
          <w:i/>
          <w:iCs/>
          <w:lang w:eastAsia="en-GB"/>
        </w:rPr>
        <w:t>Acci yathā vātavegena khitta</w:t>
      </w:r>
      <w:r w:rsidR="00E015A3" w:rsidRPr="00513F3B">
        <w:rPr>
          <w:rFonts w:ascii="Cambria" w:hAnsi="Cambria" w:cs="Cambria"/>
          <w:i/>
          <w:iCs/>
          <w:lang w:eastAsia="en-GB"/>
        </w:rPr>
        <w:t>ṁ</w:t>
      </w:r>
      <w:r w:rsidR="00E015A3" w:rsidRPr="00513F3B">
        <w:rPr>
          <w:i/>
          <w:iCs/>
          <w:lang w:eastAsia="en-GB"/>
        </w:rPr>
        <w:t>/Attha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(Just as a flame tossed by a strong wind/Goes to the end, and does not enter reckoning);</w:t>
      </w:r>
      <w:r w:rsidR="00E015A3" w:rsidRPr="00513F3B">
        <w:rPr>
          <w:rFonts w:cs="Source Serif Pro"/>
          <w:lang w:eastAsia="en-GB"/>
        </w:rPr>
        <w:t> </w:t>
      </w:r>
      <w:r w:rsidR="00E015A3" w:rsidRPr="00513F3B">
        <w:rPr>
          <w:i/>
          <w:iCs/>
          <w:lang w:eastAsia="en-GB"/>
        </w:rPr>
        <w:t>Eva</w:t>
      </w:r>
      <w:r w:rsidR="00E015A3" w:rsidRPr="00513F3B">
        <w:rPr>
          <w:rFonts w:ascii="Cambria" w:hAnsi="Cambria" w:cs="Cambria"/>
          <w:i/>
          <w:iCs/>
          <w:lang w:eastAsia="en-GB"/>
        </w:rPr>
        <w:t>ṁ</w:t>
      </w:r>
      <w:r w:rsidR="00E015A3" w:rsidRPr="00513F3B">
        <w:rPr>
          <w:i/>
          <w:iCs/>
          <w:lang w:eastAsia="en-GB"/>
        </w:rPr>
        <w:t xml:space="preserve"> muni n</w:t>
      </w:r>
      <w:r w:rsidR="00E015A3" w:rsidRPr="00513F3B">
        <w:rPr>
          <w:rFonts w:cs="Source Serif Pro"/>
          <w:i/>
          <w:iCs/>
          <w:lang w:eastAsia="en-GB"/>
        </w:rPr>
        <w:t>ā</w:t>
      </w:r>
      <w:r w:rsidR="00E015A3" w:rsidRPr="00513F3B">
        <w:rPr>
          <w:i/>
          <w:iCs/>
          <w:lang w:eastAsia="en-GB"/>
        </w:rPr>
        <w:t>mak</w:t>
      </w:r>
      <w:r w:rsidR="00E015A3" w:rsidRPr="00513F3B">
        <w:rPr>
          <w:rFonts w:cs="Source Serif Pro"/>
          <w:i/>
          <w:iCs/>
          <w:lang w:eastAsia="en-GB"/>
        </w:rPr>
        <w:t>ā</w:t>
      </w:r>
      <w:r w:rsidR="00E015A3" w:rsidRPr="00513F3B">
        <w:rPr>
          <w:i/>
          <w:iCs/>
          <w:lang w:eastAsia="en-GB"/>
        </w:rPr>
        <w:t>y</w:t>
      </w:r>
      <w:r w:rsidR="00E015A3" w:rsidRPr="00513F3B">
        <w:rPr>
          <w:rFonts w:cs="Source Serif Pro"/>
          <w:i/>
          <w:iCs/>
          <w:lang w:eastAsia="en-GB"/>
        </w:rPr>
        <w:t>ā</w:t>
      </w:r>
      <w:r w:rsidR="00E015A3" w:rsidRPr="00513F3B">
        <w:rPr>
          <w:i/>
          <w:iCs/>
          <w:lang w:eastAsia="en-GB"/>
        </w:rPr>
        <w:t xml:space="preserve"> vimutto/Attha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182C60D7" w:rsidR="006E5436" w:rsidRDefault="006E5436">
      <w:pPr>
        <w:pStyle w:val="FootnoteText"/>
      </w:pPr>
      <w:r>
        <w:rPr>
          <w:rStyle w:val="FootnoteReference"/>
        </w:rPr>
        <w:footnoteRef/>
      </w:r>
      <w:r>
        <w:t xml:space="preserve"> </w:t>
      </w:r>
      <w:r w:rsidR="00092759" w:rsidRPr="00513F3B">
        <w:rPr>
          <w:lang w:eastAsia="en-GB"/>
        </w:rPr>
        <w:t>Sn 1026.</w:t>
      </w:r>
    </w:p>
  </w:footnote>
  <w:footnote w:id="201">
    <w:p w14:paraId="2ABA322C" w14:textId="31229BDF" w:rsidR="006E5436" w:rsidRDefault="006E5436">
      <w:pPr>
        <w:pStyle w:val="FootnoteText"/>
      </w:pPr>
      <w:r>
        <w:rPr>
          <w:rStyle w:val="FootnoteReference"/>
        </w:rPr>
        <w:footnoteRef/>
      </w:r>
      <w:r>
        <w:t xml:space="preserve"> </w:t>
      </w:r>
      <w:r w:rsidR="00092759" w:rsidRPr="00513F3B">
        <w:rPr>
          <w:lang w:eastAsia="en-GB"/>
        </w:rPr>
        <w:t>Sn 1009.</w:t>
      </w:r>
    </w:p>
  </w:footnote>
  <w:footnote w:id="202">
    <w:p w14:paraId="24FB7D6A" w14:textId="08BE4174" w:rsidR="006E5436" w:rsidRDefault="006E5436">
      <w:pPr>
        <w:pStyle w:val="FootnoteText"/>
      </w:pPr>
      <w:r>
        <w:rPr>
          <w:rStyle w:val="FootnoteReference"/>
        </w:rPr>
        <w:footnoteRef/>
      </w:r>
      <w:r>
        <w:t xml:space="preserve"> </w:t>
      </w:r>
      <w:r w:rsidR="00092759" w:rsidRPr="00513F3B">
        <w:rPr>
          <w:lang w:eastAsia="en-GB"/>
        </w:rPr>
        <w:t>Sn 1107.</w:t>
      </w:r>
    </w:p>
  </w:footnote>
  <w:footnote w:id="203">
    <w:p w14:paraId="0EE4348E" w14:textId="67AD8436" w:rsidR="006E5436" w:rsidRDefault="006E5436">
      <w:pPr>
        <w:pStyle w:val="FootnoteText"/>
      </w:pPr>
      <w:r>
        <w:rPr>
          <w:rStyle w:val="FootnoteReference"/>
        </w:rPr>
        <w:footnoteRef/>
      </w:r>
      <w:r>
        <w:t xml:space="preserve"> </w:t>
      </w:r>
      <w:r w:rsidR="00092759" w:rsidRPr="00513F3B">
        <w:rPr>
          <w:lang w:eastAsia="en-GB"/>
        </w:rPr>
        <w:t>Sn 1070, Sn 1113</w:t>
      </w:r>
      <w:r w:rsidR="00092759" w:rsidRPr="00513F3B">
        <w:rPr>
          <w:i/>
          <w:iCs/>
          <w:lang w:eastAsia="en-GB"/>
        </w:rPr>
        <w:t>ff.</w:t>
      </w:r>
      <w:r w:rsidR="00092759" w:rsidRPr="00513F3B">
        <w:rPr>
          <w:lang w:eastAsia="en-GB"/>
        </w:rPr>
        <w:t> The sphere of nothingness is described in Sn 1070 as a ‘support’ (</w:t>
      </w:r>
      <w:r w:rsidR="00092759" w:rsidRPr="00513F3B">
        <w:rPr>
          <w:i/>
          <w:iCs/>
          <w:lang w:eastAsia="en-GB"/>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35391E15" w:rsidR="006E5436" w:rsidRDefault="006E5436">
      <w:pPr>
        <w:pStyle w:val="FootnoteText"/>
      </w:pPr>
      <w:r>
        <w:rPr>
          <w:rStyle w:val="FootnoteReference"/>
        </w:rPr>
        <w:footnoteRef/>
      </w:r>
      <w:r>
        <w:t xml:space="preserve"> </w:t>
      </w:r>
      <w:r w:rsidR="00092759" w:rsidRPr="00513F3B">
        <w:rPr>
          <w:lang w:eastAsia="en-GB"/>
        </w:rPr>
        <w:t>SN 46.52, SN 46.53.</w:t>
      </w:r>
    </w:p>
  </w:footnote>
  <w:footnote w:id="205">
    <w:p w14:paraId="0F37A65A" w14:textId="3C52698C" w:rsidR="006E5436" w:rsidRDefault="006E5436">
      <w:pPr>
        <w:pStyle w:val="FootnoteText"/>
      </w:pPr>
      <w:r>
        <w:rPr>
          <w:rStyle w:val="FootnoteReference"/>
        </w:rPr>
        <w:footnoteRef/>
      </w:r>
      <w:r>
        <w:t xml:space="preserve"> </w:t>
      </w:r>
      <w:r w:rsidR="00092759" w:rsidRPr="00513F3B">
        <w:rPr>
          <w:lang w:eastAsia="en-GB"/>
        </w:rPr>
        <w:t>SN 46.54.</w:t>
      </w:r>
    </w:p>
  </w:footnote>
  <w:footnote w:id="206">
    <w:p w14:paraId="5C2A7CCB" w14:textId="63CA8253" w:rsidR="006E5436" w:rsidRDefault="006E5436">
      <w:pPr>
        <w:pStyle w:val="FootnoteText"/>
      </w:pPr>
      <w:r>
        <w:rPr>
          <w:rStyle w:val="FootnoteReference"/>
        </w:rPr>
        <w:footnoteRef/>
      </w:r>
      <w:r>
        <w:t xml:space="preserve"> </w:t>
      </w:r>
      <w:r w:rsidR="00092759" w:rsidRPr="00513F3B">
        <w:rPr>
          <w:lang w:eastAsia="en-GB"/>
        </w:rPr>
        <w:t>E.g. MN 83/MA 67/EA 1/EA 50.4/T № 152.87/T № 211 Makhādeva; DN 19 Mahāgovinda also has the divine abidings, but not DA 3, T № 8, pp. 207c–210b, and Mv 3.197–224.</w:t>
      </w:r>
    </w:p>
  </w:footnote>
  <w:footnote w:id="207">
    <w:p w14:paraId="1C5340B6" w14:textId="221F4E4F" w:rsidR="006E5436" w:rsidRDefault="006E5436">
      <w:pPr>
        <w:pStyle w:val="FootnoteText"/>
      </w:pPr>
      <w:r>
        <w:rPr>
          <w:rStyle w:val="FootnoteReference"/>
        </w:rPr>
        <w:footnoteRef/>
      </w:r>
      <w:r>
        <w:t xml:space="preserve"> </w:t>
      </w:r>
      <w:r w:rsidR="00092759" w:rsidRPr="00513F3B">
        <w:rPr>
          <w:lang w:eastAsia="en-GB"/>
        </w:rPr>
        <w:t>SN Sagāthāvagga verse 269, AN (4)449–51. This phrase was somewhat misleadingly rendered by Bhikkhu BODHI in CDB as ‘discovered jhāna’. Perhaps the accusative here could be read as instrumental (‘awakened by means of jhāna’).</w:t>
      </w:r>
    </w:p>
  </w:footnote>
  <w:footnote w:id="208">
    <w:p w14:paraId="09CF7A69" w14:textId="570B9193" w:rsidR="006E5436" w:rsidRDefault="006E5436">
      <w:pPr>
        <w:pStyle w:val="FootnoteText"/>
      </w:pPr>
      <w:r>
        <w:rPr>
          <w:rStyle w:val="FootnoteReference"/>
        </w:rPr>
        <w:footnoteRef/>
      </w:r>
      <w:r>
        <w:t xml:space="preserve"> </w:t>
      </w:r>
      <w:r w:rsidR="00092759" w:rsidRPr="00513F3B">
        <w:rPr>
          <w:lang w:eastAsia="en-GB"/>
        </w:rPr>
        <w:t>SN 35.132.</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1234F2CE" w:rsidR="006E5436" w:rsidRDefault="006E5436">
      <w:pPr>
        <w:pStyle w:val="FootnoteText"/>
      </w:pPr>
      <w:r>
        <w:rPr>
          <w:rStyle w:val="FootnoteReference"/>
        </w:rPr>
        <w:footnoteRef/>
      </w:r>
      <w:r>
        <w:t xml:space="preserve"> </w:t>
      </w:r>
      <w:r w:rsidR="00092759" w:rsidRPr="00513F3B">
        <w:rPr>
          <w:lang w:eastAsia="en-GB"/>
        </w:rPr>
        <w:t>MBh 12.188.15. BRONKHORST (2000) pg.</w:t>
      </w:r>
      <w:r w:rsidR="00092759" w:rsidRPr="00513F3B">
        <w:rPr>
          <w:rFonts w:ascii="Times New Roman" w:hAnsi="Times New Roman"/>
          <w:lang w:eastAsia="en-GB"/>
        </w:rPr>
        <w:t>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513F3B">
        <w:rPr>
          <w:i/>
          <w:iCs/>
          <w:lang w:eastAsia="en-GB"/>
        </w:rPr>
        <w:t>vitakka</w:t>
      </w:r>
      <w:r w:rsidR="00092759" w:rsidRPr="00513F3B">
        <w:rPr>
          <w:lang w:eastAsia="en-GB"/>
        </w:rPr>
        <w:t> and </w:t>
      </w:r>
      <w:r w:rsidR="00092759" w:rsidRPr="00513F3B">
        <w:rPr>
          <w:i/>
          <w:iCs/>
          <w:lang w:eastAsia="en-GB"/>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513F3B">
        <w:rPr>
          <w:i/>
          <w:iCs/>
          <w:lang w:eastAsia="en-GB"/>
        </w:rPr>
        <w:t>rūpa</w:t>
      </w:r>
      <w:r w:rsidR="00092759" w:rsidRPr="00513F3B">
        <w:rPr>
          <w:lang w:eastAsia="en-GB"/>
        </w:rPr>
        <w:t>, does not occur in all texts.</w:t>
      </w:r>
    </w:p>
  </w:footnote>
  <w:footnote w:id="214">
    <w:p w14:paraId="0434AFD4" w14:textId="2D57519E" w:rsidR="00AF1CA1" w:rsidRDefault="00AF1CA1">
      <w:pPr>
        <w:pStyle w:val="FootnoteText"/>
      </w:pPr>
      <w:r>
        <w:rPr>
          <w:rStyle w:val="FootnoteReference"/>
        </w:rPr>
        <w:footnoteRef/>
      </w:r>
      <w:r>
        <w:t xml:space="preserve"> </w:t>
      </w:r>
      <w:r w:rsidR="00092759" w:rsidRPr="00513F3B">
        <w:rPr>
          <w:lang w:eastAsia="en-GB"/>
        </w:rPr>
        <w:t>DN 1/DA 19.</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72F6542C" w:rsidR="00AF1CA1" w:rsidRDefault="00AF1CA1">
      <w:pPr>
        <w:pStyle w:val="FootnoteText"/>
      </w:pPr>
      <w:r>
        <w:rPr>
          <w:rStyle w:val="FootnoteReference"/>
        </w:rPr>
        <w:footnoteRef/>
      </w:r>
      <w:r>
        <w:t xml:space="preserve"> </w:t>
      </w:r>
      <w:r w:rsidR="00F75D20" w:rsidRPr="00513F3B">
        <w:rPr>
          <w:lang w:eastAsia="en-GB"/>
        </w:rPr>
        <w:t>BRONKHORST (2000), pp. 72</w:t>
      </w:r>
      <w:r w:rsidR="00F75D20" w:rsidRPr="00513F3B">
        <w:rPr>
          <w:i/>
          <w:iCs/>
          <w:lang w:eastAsia="en-GB"/>
        </w:rPr>
        <w:t>ff.</w:t>
      </w:r>
    </w:p>
  </w:footnote>
  <w:footnote w:id="218">
    <w:p w14:paraId="638F7761" w14:textId="26B1C1CF" w:rsidR="00AF1CA1" w:rsidRDefault="00AF1CA1">
      <w:pPr>
        <w:pStyle w:val="FootnoteText"/>
      </w:pPr>
      <w:r>
        <w:rPr>
          <w:rStyle w:val="FootnoteReference"/>
        </w:rPr>
        <w:footnoteRef/>
      </w:r>
      <w:r>
        <w:t xml:space="preserve"> </w:t>
      </w:r>
      <w:r w:rsidR="00F75D20" w:rsidRPr="00513F3B">
        <w:rPr>
          <w:lang w:eastAsia="en-GB"/>
        </w:rPr>
        <w:t>SN 14.11.</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A12992D" w:rsidR="00E56C99" w:rsidRDefault="00E56C99">
      <w:pPr>
        <w:pStyle w:val="FootnoteText"/>
      </w:pPr>
      <w:r>
        <w:rPr>
          <w:rStyle w:val="FootnoteReference"/>
        </w:rPr>
        <w:footnoteRef/>
      </w:r>
      <w:r>
        <w:t xml:space="preserve"> </w:t>
      </w:r>
      <w:r w:rsidR="00F75D20" w:rsidRPr="00513F3B">
        <w:rPr>
          <w:lang w:eastAsia="en-GB"/>
        </w:rPr>
        <w:t>CRANGLE pp. 117–119 discusses the similarity between Buddhist </w:t>
      </w:r>
      <w:r w:rsidR="00F75D20" w:rsidRPr="00513F3B">
        <w:rPr>
          <w:i/>
          <w:iCs/>
          <w:lang w:eastAsia="en-GB"/>
        </w:rPr>
        <w:t>sati</w:t>
      </w:r>
      <w:r w:rsidR="00F75D20" w:rsidRPr="00513F3B">
        <w:rPr>
          <w:lang w:eastAsia="en-GB"/>
        </w:rPr>
        <w:t> and yogic </w:t>
      </w:r>
      <w:r w:rsidR="00F75D20" w:rsidRPr="00513F3B">
        <w:rPr>
          <w:i/>
          <w:iCs/>
          <w:lang w:eastAsia="en-GB"/>
        </w:rPr>
        <w:t>dhāraṇa</w:t>
      </w:r>
      <w:r w:rsidR="00F75D20" w:rsidRPr="00513F3B">
        <w:rPr>
          <w:lang w:eastAsia="en-GB"/>
        </w:rPr>
        <w:t>, and their role as support for jhāna.</w:t>
      </w:r>
    </w:p>
  </w:footnote>
  <w:footnote w:id="223">
    <w:p w14:paraId="04A1D584" w14:textId="2699C6EA" w:rsidR="00E56C99" w:rsidRDefault="00E56C99">
      <w:pPr>
        <w:pStyle w:val="FootnoteText"/>
      </w:pPr>
      <w:r>
        <w:rPr>
          <w:rStyle w:val="FootnoteReference"/>
        </w:rPr>
        <w:footnoteRef/>
      </w:r>
      <w:r>
        <w:t xml:space="preserve"> </w:t>
      </w:r>
      <w:r w:rsidR="00F75D20" w:rsidRPr="00513F3B">
        <w:rPr>
          <w:lang w:eastAsia="en-GB"/>
        </w:rPr>
        <w:t>MN 36.20, etc.</w:t>
      </w:r>
    </w:p>
  </w:footnote>
  <w:footnote w:id="224">
    <w:p w14:paraId="145B4104" w14:textId="48495AFB" w:rsidR="00E56C99" w:rsidRDefault="00E56C99" w:rsidP="00F75D20">
      <w:pPr>
        <w:pStyle w:val="FootnoteText"/>
        <w:tabs>
          <w:tab w:val="left" w:pos="796"/>
        </w:tabs>
      </w:pPr>
      <w:r>
        <w:rPr>
          <w:rStyle w:val="FootnoteReference"/>
        </w:rPr>
        <w:footnoteRef/>
      </w:r>
      <w:r>
        <w:t xml:space="preserve"> </w:t>
      </w:r>
      <w:r w:rsidR="00F75D20" w:rsidRPr="00513F3B">
        <w:rPr>
          <w:lang w:eastAsia="en-GB"/>
        </w:rPr>
        <w:t>GNOLI, pg.</w:t>
      </w:r>
      <w:r w:rsidR="00F75D20" w:rsidRPr="00513F3B">
        <w:rPr>
          <w:rFonts w:ascii="Times New Roman" w:hAnsi="Times New Roman"/>
          <w:lang w:eastAsia="en-GB"/>
        </w:rPr>
        <w:t> </w:t>
      </w:r>
      <w:r w:rsidR="00F75D20" w:rsidRPr="00513F3B">
        <w:rPr>
          <w:lang w:eastAsia="en-GB"/>
        </w:rPr>
        <w:t>103.</w:t>
      </w:r>
      <w:r w:rsidR="00F75D20">
        <w:tab/>
      </w:r>
    </w:p>
  </w:footnote>
  <w:footnote w:id="225">
    <w:p w14:paraId="2BB7CBD0" w14:textId="0890C00A" w:rsidR="00E56C99" w:rsidRDefault="00E56C99">
      <w:pPr>
        <w:pStyle w:val="FootnoteText"/>
      </w:pPr>
      <w:r>
        <w:rPr>
          <w:rStyle w:val="FootnoteReference"/>
        </w:rPr>
        <w:footnoteRef/>
      </w:r>
      <w:r>
        <w:t xml:space="preserve"> </w:t>
      </w:r>
      <w:r w:rsidR="00F75D20" w:rsidRPr="00513F3B">
        <w:rPr>
          <w:lang w:eastAsia="en-GB"/>
        </w:rPr>
        <w:t>MN 12.47.</w:t>
      </w:r>
    </w:p>
  </w:footnote>
  <w:footnote w:id="226">
    <w:p w14:paraId="6FBCB89D" w14:textId="30241FB9" w:rsidR="00E56C99" w:rsidRDefault="00E56C99">
      <w:pPr>
        <w:pStyle w:val="FootnoteText"/>
      </w:pPr>
      <w:r>
        <w:rPr>
          <w:rStyle w:val="FootnoteReference"/>
        </w:rPr>
        <w:footnoteRef/>
      </w:r>
      <w:r>
        <w:t xml:space="preserve"> </w:t>
      </w:r>
      <w:r w:rsidR="00F75D20" w:rsidRPr="00513F3B">
        <w:rPr>
          <w:lang w:eastAsia="en-GB"/>
        </w:rPr>
        <w:t>MN 85.10/DA2 21/T № 1421.10.</w:t>
      </w:r>
    </w:p>
  </w:footnote>
  <w:footnote w:id="227">
    <w:p w14:paraId="6FF2469D" w14:textId="5891E748" w:rsidR="00E56C99" w:rsidRDefault="00E56C99">
      <w:pPr>
        <w:pStyle w:val="FootnoteText"/>
      </w:pPr>
      <w:r>
        <w:rPr>
          <w:rStyle w:val="FootnoteReference"/>
        </w:rPr>
        <w:footnoteRef/>
      </w:r>
      <w:r>
        <w:t xml:space="preserve"> </w:t>
      </w:r>
      <w:r w:rsidR="00F75D20" w:rsidRPr="00513F3B">
        <w:rPr>
          <w:lang w:eastAsia="en-GB"/>
        </w:rPr>
        <w:t>MN 14.20.</w:t>
      </w:r>
    </w:p>
  </w:footnote>
  <w:footnote w:id="228">
    <w:p w14:paraId="03C22CAA" w14:textId="3BEE0356" w:rsidR="00E56C99" w:rsidRDefault="00E56C99">
      <w:pPr>
        <w:pStyle w:val="FootnoteText"/>
      </w:pPr>
      <w:r>
        <w:rPr>
          <w:rStyle w:val="FootnoteReference"/>
        </w:rPr>
        <w:footnoteRef/>
      </w:r>
      <w:r>
        <w:t xml:space="preserve"> </w:t>
      </w:r>
      <w:r w:rsidR="00F75D20" w:rsidRPr="00513F3B">
        <w:rPr>
          <w:lang w:eastAsia="en-GB"/>
        </w:rPr>
        <w:t>MN 36.30–2, MN 85, MN 100.</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759D46C7" w:rsidR="00E56C99" w:rsidRDefault="00E56C99">
      <w:pPr>
        <w:pStyle w:val="FootnoteText"/>
      </w:pPr>
      <w:r>
        <w:rPr>
          <w:rStyle w:val="FootnoteReference"/>
        </w:rPr>
        <w:footnoteRef/>
      </w:r>
      <w:r>
        <w:t xml:space="preserve"> </w:t>
      </w:r>
      <w:r w:rsidR="00C64CC2" w:rsidRPr="00513F3B">
        <w:rPr>
          <w:lang w:eastAsia="en-GB"/>
        </w:rPr>
        <w:t>SN 41.8.</w:t>
      </w:r>
    </w:p>
  </w:footnote>
  <w:footnote w:id="231">
    <w:p w14:paraId="1453CCF1" w14:textId="019C31C6" w:rsidR="00E56C99" w:rsidRDefault="00E56C99">
      <w:pPr>
        <w:pStyle w:val="FootnoteText"/>
      </w:pPr>
      <w:r>
        <w:rPr>
          <w:rStyle w:val="FootnoteReference"/>
        </w:rPr>
        <w:footnoteRef/>
      </w:r>
      <w:r>
        <w:t xml:space="preserve"> </w:t>
      </w:r>
      <w:r w:rsidR="00C64CC2" w:rsidRPr="00513F3B">
        <w:rPr>
          <w:i/>
          <w:iCs/>
          <w:lang w:eastAsia="en-GB"/>
        </w:rPr>
        <w:t>Sukkajjhāna</w:t>
      </w:r>
      <w:r w:rsidR="00C64CC2" w:rsidRPr="00513F3B">
        <w:rPr>
          <w:lang w:eastAsia="en-GB"/>
        </w:rPr>
        <w:t>. Compare the commentarial notion of </w:t>
      </w:r>
      <w:r w:rsidR="00C64CC2" w:rsidRPr="00513F3B">
        <w:rPr>
          <w:i/>
          <w:iCs/>
          <w:lang w:eastAsia="en-GB"/>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1975539" w:rsidR="00E56C99" w:rsidRDefault="00E56C99">
      <w:pPr>
        <w:pStyle w:val="FootnoteText"/>
      </w:pPr>
      <w:r>
        <w:rPr>
          <w:rStyle w:val="FootnoteReference"/>
        </w:rPr>
        <w:footnoteRef/>
      </w:r>
      <w:r>
        <w:t xml:space="preserve"> </w:t>
      </w:r>
      <w:r w:rsidR="00C64CC2" w:rsidRPr="00513F3B">
        <w:rPr>
          <w:lang w:eastAsia="en-GB"/>
        </w:rPr>
        <w:t>E.g. Ṭhānaṅga Sutta. See BRONKHORST (2000), pg.</w:t>
      </w:r>
      <w:r w:rsidR="00C64CC2" w:rsidRPr="00513F3B">
        <w:rPr>
          <w:rFonts w:ascii="Times New Roman" w:hAnsi="Times New Roman"/>
          <w:lang w:eastAsia="en-GB"/>
        </w:rPr>
        <w:t> </w:t>
      </w:r>
      <w:r w:rsidR="00C64CC2" w:rsidRPr="00513F3B">
        <w:rPr>
          <w:lang w:eastAsia="en-GB"/>
        </w:rPr>
        <w:t>38</w:t>
      </w:r>
      <w:r w:rsidR="00C64CC2" w:rsidRPr="00513F3B">
        <w:rPr>
          <w:i/>
          <w:iCs/>
          <w:lang w:eastAsia="en-GB"/>
        </w:rPr>
        <w:t>ff.</w:t>
      </w:r>
    </w:p>
  </w:footnote>
  <w:footnote w:id="234">
    <w:p w14:paraId="4A1FA70B" w14:textId="56AB28D1" w:rsidR="00E56C99" w:rsidRDefault="00E56C99">
      <w:pPr>
        <w:pStyle w:val="FootnoteText"/>
      </w:pPr>
      <w:r>
        <w:rPr>
          <w:rStyle w:val="FootnoteReference"/>
        </w:rPr>
        <w:footnoteRef/>
      </w:r>
      <w:r>
        <w:t xml:space="preserve"> </w:t>
      </w:r>
      <w:r w:rsidR="00C64CC2" w:rsidRPr="00513F3B">
        <w:rPr>
          <w:lang w:eastAsia="en-GB"/>
        </w:rPr>
        <w:t>DAYAL, pg.</w:t>
      </w:r>
      <w:r w:rsidR="00C64CC2" w:rsidRPr="00513F3B">
        <w:rPr>
          <w:rFonts w:ascii="Times New Roman" w:hAnsi="Times New Roman"/>
          <w:lang w:eastAsia="en-GB"/>
        </w:rPr>
        <w:t> </w:t>
      </w:r>
      <w:r w:rsidR="00C64CC2" w:rsidRPr="00513F3B">
        <w:rPr>
          <w:lang w:eastAsia="en-GB"/>
        </w:rPr>
        <w:t>95.</w:t>
      </w:r>
    </w:p>
  </w:footnote>
  <w:footnote w:id="235">
    <w:p w14:paraId="505652D5" w14:textId="63894ED2" w:rsidR="00E56C99" w:rsidRDefault="00E56C99">
      <w:pPr>
        <w:pStyle w:val="FootnoteText"/>
      </w:pPr>
      <w:r>
        <w:rPr>
          <w:rStyle w:val="FootnoteReference"/>
        </w:rPr>
        <w:footnoteRef/>
      </w:r>
      <w:r>
        <w:t xml:space="preserve"> </w:t>
      </w:r>
      <w:r w:rsidR="00787BDA" w:rsidRPr="00513F3B">
        <w:rPr>
          <w:lang w:eastAsia="en-GB"/>
        </w:rPr>
        <w:t>PRASAD, pp. 167–168.</w:t>
      </w:r>
    </w:p>
  </w:footnote>
  <w:footnote w:id="236">
    <w:p w14:paraId="695ED56D" w14:textId="5632CC89" w:rsidR="00E56C99" w:rsidRDefault="00E56C99">
      <w:pPr>
        <w:pStyle w:val="FootnoteText"/>
      </w:pPr>
      <w:r>
        <w:rPr>
          <w:rStyle w:val="FootnoteReference"/>
        </w:rPr>
        <w:footnoteRef/>
      </w:r>
      <w:r>
        <w:t xml:space="preserve"> </w:t>
      </w:r>
      <w:r w:rsidR="00787BDA" w:rsidRPr="00513F3B">
        <w:rPr>
          <w:lang w:eastAsia="en-GB"/>
        </w:rPr>
        <w:t>DN 18.27, MN 117.3, SN 45.28, AN 7.42. The term </w:t>
      </w:r>
      <w:r w:rsidR="00787BDA" w:rsidRPr="00513F3B">
        <w:rPr>
          <w:i/>
          <w:iCs/>
          <w:lang w:eastAsia="en-GB"/>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513F3B">
        <w:rPr>
          <w:i/>
          <w:iCs/>
          <w:lang w:eastAsia="en-GB"/>
        </w:rPr>
        <w:t>parikamma</w:t>
      </w:r>
      <w:r w:rsidR="00787BDA" w:rsidRPr="00513F3B">
        <w:rPr>
          <w:lang w:eastAsia="en-GB"/>
        </w:rPr>
        <w:t>, usually rendered something like ‘preparatory work’.</w:t>
      </w:r>
    </w:p>
  </w:footnote>
  <w:footnote w:id="237">
    <w:p w14:paraId="499BECF1" w14:textId="5FE27788" w:rsidR="00E56C99" w:rsidRDefault="00E56C99">
      <w:pPr>
        <w:pStyle w:val="FootnoteText"/>
      </w:pPr>
      <w:r>
        <w:rPr>
          <w:rStyle w:val="FootnoteReference"/>
        </w:rPr>
        <w:footnoteRef/>
      </w:r>
      <w:r>
        <w:t xml:space="preserve"> </w:t>
      </w:r>
      <w:r w:rsidR="00787BDA" w:rsidRPr="00513F3B">
        <w:rPr>
          <w:lang w:eastAsia="en-GB"/>
        </w:rPr>
        <w:t>MN 44.12.</w:t>
      </w:r>
    </w:p>
  </w:footnote>
  <w:footnote w:id="238">
    <w:p w14:paraId="5EF639F8" w14:textId="1EE0BD66" w:rsidR="00E56C99" w:rsidRDefault="00E56C99">
      <w:pPr>
        <w:pStyle w:val="FootnoteText"/>
      </w:pPr>
      <w:r>
        <w:rPr>
          <w:rStyle w:val="FootnoteReference"/>
        </w:rPr>
        <w:footnoteRef/>
      </w:r>
      <w:r>
        <w:t xml:space="preserve"> </w:t>
      </w:r>
      <w:r w:rsidR="00787BDA" w:rsidRPr="00513F3B">
        <w:rPr>
          <w:lang w:eastAsia="en-GB"/>
        </w:rPr>
        <w:t>SN 48.50.</w:t>
      </w:r>
    </w:p>
  </w:footnote>
  <w:footnote w:id="239">
    <w:p w14:paraId="6DE82BEB" w14:textId="0C90DE31" w:rsidR="00E56C99" w:rsidRDefault="00E56C99">
      <w:pPr>
        <w:pStyle w:val="FootnoteText"/>
      </w:pPr>
      <w:r>
        <w:rPr>
          <w:rStyle w:val="FootnoteReference"/>
        </w:rPr>
        <w:footnoteRef/>
      </w:r>
      <w:r>
        <w:t xml:space="preserve"> </w:t>
      </w:r>
      <w:r w:rsidR="00787BDA" w:rsidRPr="00513F3B">
        <w:rPr>
          <w:lang w:eastAsia="en-GB"/>
        </w:rPr>
        <w:t>MN 44.11/MA 210.</w:t>
      </w:r>
    </w:p>
  </w:footnote>
  <w:footnote w:id="240">
    <w:p w14:paraId="02A9B505" w14:textId="36FBCC71" w:rsidR="00E56C99" w:rsidRDefault="00E56C99">
      <w:pPr>
        <w:pStyle w:val="FootnoteText"/>
      </w:pPr>
      <w:r>
        <w:rPr>
          <w:rStyle w:val="FootnoteReference"/>
        </w:rPr>
        <w:footnoteRef/>
      </w:r>
      <w:r>
        <w:t xml:space="preserve"> </w:t>
      </w:r>
      <w:r w:rsidR="00787BDA" w:rsidRPr="00513F3B">
        <w:rPr>
          <w:lang w:eastAsia="en-GB"/>
        </w:rPr>
        <w:t>SN 46.3/SA 736/SA 740/SA 724*.</w:t>
      </w:r>
    </w:p>
  </w:footnote>
  <w:footnote w:id="241">
    <w:p w14:paraId="04D269A9" w14:textId="587E68F3" w:rsidR="00E56C99" w:rsidRDefault="00E56C99">
      <w:pPr>
        <w:pStyle w:val="FootnoteText"/>
      </w:pPr>
      <w:r>
        <w:rPr>
          <w:rStyle w:val="FootnoteReference"/>
        </w:rPr>
        <w:footnoteRef/>
      </w:r>
      <w:r>
        <w:t xml:space="preserve"> </w:t>
      </w:r>
      <w:r w:rsidR="00787BDA" w:rsidRPr="00513F3B">
        <w:rPr>
          <w:lang w:eastAsia="en-GB"/>
        </w:rPr>
        <w:t>SN 46.51/SA 715.</w:t>
      </w:r>
    </w:p>
  </w:footnote>
  <w:footnote w:id="242">
    <w:p w14:paraId="5D2C7DF5" w14:textId="0ED01A84" w:rsidR="00E56C99" w:rsidRDefault="00E56C99">
      <w:pPr>
        <w:pStyle w:val="FootnoteText"/>
      </w:pPr>
      <w:r>
        <w:rPr>
          <w:rStyle w:val="FootnoteReference"/>
        </w:rPr>
        <w:footnoteRef/>
      </w:r>
      <w:r>
        <w:t xml:space="preserve"> </w:t>
      </w:r>
      <w:r w:rsidR="00787BDA" w:rsidRPr="00513F3B">
        <w:rPr>
          <w:lang w:eastAsia="en-GB"/>
        </w:rPr>
        <w:t>E.g. SN 54.13/SA 810.</w:t>
      </w:r>
    </w:p>
  </w:footnote>
  <w:footnote w:id="243">
    <w:p w14:paraId="3B219402" w14:textId="759B5224" w:rsidR="00E56C99" w:rsidRDefault="00E56C99">
      <w:pPr>
        <w:pStyle w:val="FootnoteText"/>
      </w:pPr>
      <w:r>
        <w:rPr>
          <w:rStyle w:val="FootnoteReference"/>
        </w:rPr>
        <w:footnoteRef/>
      </w:r>
      <w:r>
        <w:t xml:space="preserve"> </w:t>
      </w:r>
      <w:r w:rsidR="00787BDA" w:rsidRPr="00513F3B">
        <w:rPr>
          <w:lang w:eastAsia="en-GB"/>
        </w:rPr>
        <w:t>AN 6.102–4.</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39EBCF76" w:rsidR="00E56C99" w:rsidRDefault="00E56C99">
      <w:pPr>
        <w:pStyle w:val="FootnoteText"/>
      </w:pPr>
      <w:r>
        <w:rPr>
          <w:rStyle w:val="FootnoteReference"/>
        </w:rPr>
        <w:footnoteRef/>
      </w:r>
      <w:r>
        <w:t xml:space="preserve"> </w:t>
      </w:r>
      <w:r w:rsidR="00787BDA" w:rsidRPr="00513F3B">
        <w:rPr>
          <w:lang w:eastAsia="en-GB"/>
        </w:rPr>
        <w:t>DN 10.2.1–18/DA 42. WALSHE’s translation is faulty. He has: ‘This comes to him through concentration’. It should read: ‘This is, for him, what pertains to concentration’.</w:t>
      </w:r>
    </w:p>
  </w:footnote>
  <w:footnote w:id="246">
    <w:p w14:paraId="6719F952" w14:textId="52B7D3D3" w:rsidR="00E56C99" w:rsidRDefault="00E56C99">
      <w:pPr>
        <w:pStyle w:val="FootnoteText"/>
      </w:pPr>
      <w:r>
        <w:rPr>
          <w:rStyle w:val="FootnoteReference"/>
        </w:rPr>
        <w:footnoteRef/>
      </w:r>
      <w:r>
        <w:t xml:space="preserve"> </w:t>
      </w:r>
      <w:r w:rsidR="00787BDA" w:rsidRPr="00513F3B">
        <w:rPr>
          <w:lang w:eastAsia="en-GB"/>
        </w:rPr>
        <w:t>SN 48.9, etc.</w:t>
      </w:r>
    </w:p>
  </w:footnote>
  <w:footnote w:id="247">
    <w:p w14:paraId="66A3DCD0" w14:textId="4A2436B8" w:rsidR="000F6A24" w:rsidRDefault="000F6A24">
      <w:pPr>
        <w:pStyle w:val="FootnoteText"/>
      </w:pPr>
      <w:r>
        <w:rPr>
          <w:rStyle w:val="FootnoteReference"/>
        </w:rPr>
        <w:footnoteRef/>
      </w:r>
      <w:r>
        <w:t xml:space="preserve"> </w:t>
      </w:r>
      <w:r w:rsidR="00787BDA" w:rsidRPr="00513F3B">
        <w:rPr>
          <w:lang w:eastAsia="en-GB"/>
        </w:rPr>
        <w:t>A Swift Pair of Messengers, Appendix A.10.</w:t>
      </w:r>
    </w:p>
  </w:footnote>
  <w:footnote w:id="248">
    <w:p w14:paraId="0D1250B5" w14:textId="189BAA4A" w:rsidR="000F6A24" w:rsidRDefault="000F6A24">
      <w:pPr>
        <w:pStyle w:val="FootnoteText"/>
      </w:pPr>
      <w:r>
        <w:rPr>
          <w:rStyle w:val="FootnoteReference"/>
        </w:rPr>
        <w:footnoteRef/>
      </w:r>
      <w:r>
        <w:t xml:space="preserve"> </w:t>
      </w:r>
      <w:r w:rsidR="00787BDA" w:rsidRPr="00513F3B">
        <w:rPr>
          <w:lang w:eastAsia="en-GB"/>
        </w:rPr>
        <w:t>MA 189,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35FA66D7" w:rsidR="000F6A24" w:rsidRDefault="000F6A24">
      <w:pPr>
        <w:pStyle w:val="FootnoteText"/>
      </w:pPr>
      <w:r>
        <w:rPr>
          <w:rStyle w:val="FootnoteReference"/>
        </w:rPr>
        <w:footnoteRef/>
      </w:r>
      <w:r>
        <w:t xml:space="preserve"> </w:t>
      </w:r>
      <w:r w:rsidR="00787BDA" w:rsidRPr="00513F3B">
        <w:rPr>
          <w:lang w:eastAsia="en-GB"/>
        </w:rPr>
        <w:t>SA 610/SN 47.39.</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78039211" w:rsidR="002563C3" w:rsidRDefault="002563C3">
      <w:pPr>
        <w:pStyle w:val="FootnoteText"/>
      </w:pPr>
      <w:r>
        <w:rPr>
          <w:rStyle w:val="FootnoteReference"/>
        </w:rPr>
        <w:footnoteRef/>
      </w:r>
      <w:r>
        <w:t xml:space="preserve"> </w:t>
      </w:r>
      <w:r w:rsidR="00EB144E" w:rsidRPr="00513F3B">
        <w:rPr>
          <w:lang w:eastAsia="en-GB"/>
        </w:rPr>
        <w:t>SN 48.9/SA 647.</w:t>
      </w:r>
    </w:p>
  </w:footnote>
  <w:footnote w:id="254">
    <w:p w14:paraId="0359911C" w14:textId="3F9EACB7" w:rsidR="002563C3" w:rsidRDefault="002563C3">
      <w:pPr>
        <w:pStyle w:val="FootnoteText"/>
      </w:pPr>
      <w:r>
        <w:rPr>
          <w:rStyle w:val="FootnoteReference"/>
        </w:rPr>
        <w:footnoteRef/>
      </w:r>
      <w:r>
        <w:t xml:space="preserve"> </w:t>
      </w:r>
      <w:r w:rsidR="00EB144E" w:rsidRPr="00513F3B">
        <w:rPr>
          <w:lang w:eastAsia="en-GB"/>
        </w:rPr>
        <w:t>WALDSCHMIDT (1950, 1951) 10.8.</w:t>
      </w:r>
    </w:p>
  </w:footnote>
  <w:footnote w:id="255">
    <w:p w14:paraId="6964BAB5" w14:textId="636441CE" w:rsidR="002563C3" w:rsidRDefault="002563C3">
      <w:pPr>
        <w:pStyle w:val="FootnoteText"/>
      </w:pPr>
      <w:r>
        <w:rPr>
          <w:rStyle w:val="FootnoteReference"/>
        </w:rPr>
        <w:footnoteRef/>
      </w:r>
      <w:r>
        <w:t xml:space="preserve"> </w:t>
      </w:r>
      <w:r w:rsidR="00EB144E" w:rsidRPr="00513F3B">
        <w:rPr>
          <w:lang w:eastAsia="en-GB"/>
        </w:rPr>
        <w:t>DN 2.64/DA 27/T № 22/EA 42.7/SA 154–163*, etc.</w:t>
      </w:r>
    </w:p>
  </w:footnote>
  <w:footnote w:id="256">
    <w:p w14:paraId="0F03824D" w14:textId="5CE7BEDA" w:rsidR="002563C3" w:rsidRDefault="002563C3">
      <w:pPr>
        <w:pStyle w:val="FootnoteText"/>
      </w:pPr>
      <w:r>
        <w:rPr>
          <w:rStyle w:val="FootnoteReference"/>
        </w:rPr>
        <w:footnoteRef/>
      </w:r>
      <w:r>
        <w:t xml:space="preserve"> </w:t>
      </w:r>
      <w:r w:rsidR="00EB144E" w:rsidRPr="00513F3B">
        <w:rPr>
          <w:lang w:eastAsia="en-GB"/>
        </w:rPr>
        <w:t>MEISIG, pg.</w:t>
      </w:r>
      <w:r w:rsidR="00EB144E" w:rsidRPr="00513F3B">
        <w:rPr>
          <w:rFonts w:ascii="Times New Roman" w:hAnsi="Times New Roman"/>
          <w:lang w:eastAsia="en-GB"/>
        </w:rPr>
        <w:t> </w:t>
      </w:r>
      <w:r w:rsidR="00EB144E" w:rsidRPr="00513F3B">
        <w:rPr>
          <w:lang w:eastAsia="en-GB"/>
        </w:rPr>
        <w:t>268.</w:t>
      </w:r>
    </w:p>
  </w:footnote>
  <w:footnote w:id="257">
    <w:p w14:paraId="428244FF" w14:textId="0DABE232" w:rsidR="002563C3" w:rsidRDefault="002563C3">
      <w:pPr>
        <w:pStyle w:val="FootnoteText"/>
      </w:pPr>
      <w:r>
        <w:rPr>
          <w:rStyle w:val="FootnoteReference"/>
        </w:rPr>
        <w:footnoteRef/>
      </w:r>
      <w:r>
        <w:t xml:space="preserve"> </w:t>
      </w:r>
      <w:r w:rsidR="00EB144E" w:rsidRPr="00513F3B">
        <w:rPr>
          <w:lang w:eastAsia="en-GB"/>
        </w:rPr>
        <w:t>AN 10.176.</w:t>
      </w:r>
    </w:p>
  </w:footnote>
  <w:footnote w:id="258">
    <w:p w14:paraId="70043BF4" w14:textId="0A306BB3" w:rsidR="002563C3" w:rsidRDefault="002563C3">
      <w:pPr>
        <w:pStyle w:val="FootnoteText"/>
      </w:pPr>
      <w:r>
        <w:rPr>
          <w:rStyle w:val="FootnoteReference"/>
        </w:rPr>
        <w:footnoteRef/>
      </w:r>
      <w:r>
        <w:t xml:space="preserve"> </w:t>
      </w:r>
      <w:r w:rsidR="00EB144E" w:rsidRPr="00513F3B">
        <w:rPr>
          <w:lang w:eastAsia="en-GB"/>
        </w:rPr>
        <w:t>Sn 1112.</w:t>
      </w:r>
    </w:p>
  </w:footnote>
  <w:footnote w:id="259">
    <w:p w14:paraId="2FE5BAAA" w14:textId="387B371C" w:rsidR="002563C3" w:rsidRDefault="002563C3">
      <w:pPr>
        <w:pStyle w:val="FootnoteText"/>
      </w:pPr>
      <w:r>
        <w:rPr>
          <w:rStyle w:val="FootnoteReference"/>
        </w:rPr>
        <w:footnoteRef/>
      </w:r>
      <w:r>
        <w:t xml:space="preserve"> </w:t>
      </w:r>
      <w:r w:rsidR="00EB144E" w:rsidRPr="00513F3B">
        <w:rPr>
          <w:lang w:eastAsia="en-GB"/>
        </w:rPr>
        <w:t>SN 42.8/SA 916/SA2 131, AN 10.219.</w:t>
      </w:r>
    </w:p>
  </w:footnote>
  <w:footnote w:id="260">
    <w:p w14:paraId="2BB0E8D3" w14:textId="6A70BD5B" w:rsidR="002563C3" w:rsidRDefault="002563C3">
      <w:pPr>
        <w:pStyle w:val="FootnoteText"/>
      </w:pPr>
      <w:r>
        <w:rPr>
          <w:rStyle w:val="FootnoteReference"/>
        </w:rPr>
        <w:footnoteRef/>
      </w:r>
      <w:r>
        <w:t xml:space="preserve"> </w:t>
      </w:r>
      <w:r w:rsidR="00EB144E" w:rsidRPr="00513F3B">
        <w:rPr>
          <w:lang w:eastAsia="en-GB"/>
        </w:rPr>
        <w:t>Bhikkhu BODHI has changed his rendering here from ‘connected with the body’ to ‘connected with sensual desire’. According to his note 1177 in the revised 2001 edition of MLDB, the PTS edition has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(connected with the body), abbreviates the next two, then has </w:t>
      </w:r>
      <w:r w:rsidR="00EB144E" w:rsidRPr="00513F3B">
        <w:rPr>
          <w:i/>
          <w:iCs/>
          <w:lang w:eastAsia="en-GB"/>
        </w:rPr>
        <w:t>dhammūpasa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The Burmese editions, supported by a 1937 Sinhalese edition, have </w:t>
      </w:r>
      <w:r w:rsidR="00EB144E" w:rsidRPr="00513F3B">
        <w:rPr>
          <w:i/>
          <w:iCs/>
          <w:lang w:eastAsia="en-GB"/>
        </w:rPr>
        <w:t>kāmūpasa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He also cites the Chinese translation in support. The Sanskrit version quoted just below, however, supports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w:t>
      </w:r>
    </w:p>
  </w:footnote>
  <w:footnote w:id="261">
    <w:p w14:paraId="7F6C7BCA" w14:textId="64E859B5" w:rsidR="002563C3" w:rsidRDefault="002563C3">
      <w:pPr>
        <w:pStyle w:val="FootnoteText"/>
      </w:pPr>
      <w:r>
        <w:rPr>
          <w:rStyle w:val="FootnoteReference"/>
        </w:rPr>
        <w:footnoteRef/>
      </w:r>
      <w:r>
        <w:t xml:space="preserve"> </w:t>
      </w:r>
      <w:r w:rsidR="00594FB9" w:rsidRPr="00513F3B">
        <w:rPr>
          <w:lang w:eastAsia="en-GB"/>
        </w:rPr>
        <w:t>HARRISON. The Sanskrit has been tentatively reconstructed by the translator.</w:t>
      </w:r>
    </w:p>
  </w:footnote>
  <w:footnote w:id="262">
    <w:p w14:paraId="06DB8DB8" w14:textId="4D278FC7" w:rsidR="00860BDC" w:rsidRDefault="00860BDC">
      <w:pPr>
        <w:pStyle w:val="FootnoteText"/>
      </w:pPr>
      <w:r>
        <w:rPr>
          <w:rStyle w:val="FootnoteReference"/>
        </w:rPr>
        <w:footnoteRef/>
      </w:r>
      <w:r>
        <w:t xml:space="preserve"> </w:t>
      </w:r>
      <w:r w:rsidR="00594FB9" w:rsidRPr="00513F3B">
        <w:rPr>
          <w:lang w:eastAsia="en-GB"/>
        </w:rPr>
        <w:t>SN 54.10/SA 813, SN 54.13/SA 810, MN 118.23</w:t>
      </w:r>
      <w:r w:rsidR="00594FB9" w:rsidRPr="00513F3B">
        <w:rPr>
          <w:i/>
          <w:iCs/>
          <w:lang w:eastAsia="en-GB"/>
        </w:rPr>
        <w:t>ff</w:t>
      </w:r>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13F3B">
        <w:rPr>
          <w:i/>
          <w:iCs/>
          <w:lang w:eastAsia="en-GB"/>
        </w:rPr>
        <w:t>appamāda</w:t>
      </w:r>
      <w:r w:rsidR="00594FB9" w:rsidRPr="00513F3B">
        <w:rPr>
          <w:lang w:eastAsia="en-GB"/>
        </w:rPr>
        <w:t>) in a negative sense is very unusual; normally, of course, diligence is closely connected with mindfulness.</w:t>
      </w:r>
    </w:p>
  </w:footnote>
  <w:footnote w:id="265">
    <w:p w14:paraId="45DA523C" w14:textId="5A2C8389" w:rsidR="00860BDC" w:rsidRDefault="00860BDC">
      <w:pPr>
        <w:pStyle w:val="FootnoteText"/>
      </w:pPr>
      <w:r>
        <w:rPr>
          <w:rStyle w:val="FootnoteReference"/>
        </w:rPr>
        <w:footnoteRef/>
      </w:r>
      <w:r>
        <w:t xml:space="preserve"> </w:t>
      </w:r>
      <w:r w:rsidR="00594FB9" w:rsidRPr="00513F3B">
        <w:rPr>
          <w:lang w:eastAsia="en-GB"/>
        </w:rPr>
        <w:t>Sn 255.</w:t>
      </w:r>
    </w:p>
  </w:footnote>
  <w:footnote w:id="266">
    <w:p w14:paraId="02E725DF" w14:textId="132D3501" w:rsidR="00860BDC" w:rsidRDefault="00860BDC">
      <w:pPr>
        <w:pStyle w:val="FootnoteText"/>
      </w:pPr>
      <w:r>
        <w:rPr>
          <w:rStyle w:val="FootnoteReference"/>
        </w:rPr>
        <w:footnoteRef/>
      </w:r>
      <w:r>
        <w:t xml:space="preserve"> </w:t>
      </w:r>
      <w:r w:rsidR="00594FB9" w:rsidRPr="00513F3B">
        <w:rPr>
          <w:lang w:eastAsia="en-GB"/>
        </w:rPr>
        <w:t>Dhp 253.</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0857C6A7" w:rsidR="00860BDC" w:rsidRDefault="00860BDC">
      <w:pPr>
        <w:pStyle w:val="FootnoteText"/>
      </w:pPr>
      <w:r>
        <w:rPr>
          <w:rStyle w:val="FootnoteReference"/>
        </w:rPr>
        <w:footnoteRef/>
      </w:r>
      <w:r>
        <w:t xml:space="preserve"> </w:t>
      </w:r>
      <w:r w:rsidR="00594FB9" w:rsidRPr="00513F3B">
        <w:rPr>
          <w:lang w:eastAsia="en-GB"/>
        </w:rPr>
        <w:t>Sn 3.12.</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1ED454A5" w:rsidR="00860BDC" w:rsidRDefault="00860BDC">
      <w:pPr>
        <w:pStyle w:val="FootnoteText"/>
      </w:pPr>
      <w:r>
        <w:rPr>
          <w:rStyle w:val="FootnoteReference"/>
        </w:rPr>
        <w:footnoteRef/>
      </w:r>
      <w:r>
        <w:t xml:space="preserve"> </w:t>
      </w:r>
      <w:r w:rsidR="00594FB9" w:rsidRPr="00513F3B">
        <w:rPr>
          <w:lang w:eastAsia="en-GB"/>
        </w:rPr>
        <w:t>Dhp 7, 8.</w:t>
      </w:r>
    </w:p>
  </w:footnote>
  <w:footnote w:id="272">
    <w:p w14:paraId="4C55CE7D" w14:textId="6B2E09D9" w:rsidR="00532B0A" w:rsidRDefault="00532B0A">
      <w:pPr>
        <w:pStyle w:val="FootnoteText"/>
      </w:pPr>
      <w:r>
        <w:rPr>
          <w:rStyle w:val="FootnoteReference"/>
        </w:rPr>
        <w:footnoteRef/>
      </w:r>
      <w:r>
        <w:t xml:space="preserve"> </w:t>
      </w:r>
      <w:r w:rsidR="00594FB9" w:rsidRPr="00513F3B">
        <w:rPr>
          <w:lang w:eastAsia="en-GB"/>
        </w:rPr>
        <w:t>SN 22.39–42/SA 27, SN 22.147/SA 48.</w:t>
      </w:r>
    </w:p>
  </w:footnote>
  <w:footnote w:id="273">
    <w:p w14:paraId="47DAE673" w14:textId="58B58E4E" w:rsidR="00532B0A" w:rsidRDefault="00532B0A">
      <w:pPr>
        <w:pStyle w:val="FootnoteText"/>
      </w:pPr>
      <w:r>
        <w:rPr>
          <w:rStyle w:val="FootnoteReference"/>
        </w:rPr>
        <w:footnoteRef/>
      </w:r>
      <w:r>
        <w:t xml:space="preserve"> </w:t>
      </w:r>
      <w:r w:rsidR="00594FB9" w:rsidRPr="00513F3B">
        <w:rPr>
          <w:lang w:eastAsia="en-GB"/>
        </w:rPr>
        <w:t>SN 36.7/SA 1028, SN 36.8/SA 1029, MN 37/SA 505/EA 19.3.</w:t>
      </w:r>
    </w:p>
  </w:footnote>
  <w:footnote w:id="274">
    <w:p w14:paraId="347BC7CF" w14:textId="78D805B5" w:rsidR="00532B0A" w:rsidRDefault="00532B0A">
      <w:pPr>
        <w:pStyle w:val="FootnoteText"/>
      </w:pPr>
      <w:r>
        <w:rPr>
          <w:rStyle w:val="FootnoteReference"/>
        </w:rPr>
        <w:footnoteRef/>
      </w:r>
      <w:r>
        <w:t xml:space="preserve"> </w:t>
      </w:r>
      <w:r w:rsidR="00594FB9" w:rsidRPr="00513F3B">
        <w:rPr>
          <w:lang w:eastAsia="en-GB"/>
        </w:rPr>
        <w:t>See Vsm trans. (ÑĀṆAMOLI), pg.</w:t>
      </w:r>
      <w:r w:rsidR="00594FB9" w:rsidRPr="00513F3B">
        <w:rPr>
          <w:rFonts w:ascii="Times New Roman" w:hAnsi="Times New Roman"/>
          <w:lang w:eastAsia="en-GB"/>
        </w:rPr>
        <w:t> </w:t>
      </w:r>
      <w:r w:rsidR="00594FB9" w:rsidRPr="00513F3B">
        <w:rPr>
          <w:lang w:eastAsia="en-GB"/>
        </w:rPr>
        <w:t>168 note 47.</w:t>
      </w:r>
    </w:p>
  </w:footnote>
  <w:footnote w:id="275">
    <w:p w14:paraId="5107C499" w14:textId="05BCC4FF" w:rsidR="00532B0A" w:rsidRDefault="00532B0A">
      <w:pPr>
        <w:pStyle w:val="FootnoteText"/>
      </w:pPr>
      <w:r>
        <w:rPr>
          <w:rStyle w:val="FootnoteReference"/>
        </w:rPr>
        <w:footnoteRef/>
      </w:r>
      <w:r>
        <w:t xml:space="preserve"> </w:t>
      </w:r>
      <w:r w:rsidR="00594FB9" w:rsidRPr="00513F3B">
        <w:rPr>
          <w:lang w:eastAsia="en-GB"/>
        </w:rPr>
        <w:t>SA 610, but not its cognate SN 47.2.</w:t>
      </w:r>
    </w:p>
  </w:footnote>
  <w:footnote w:id="276">
    <w:p w14:paraId="0502DCFD" w14:textId="1AE83318" w:rsidR="00532B0A" w:rsidRDefault="00532B0A">
      <w:pPr>
        <w:pStyle w:val="FootnoteText"/>
      </w:pPr>
      <w:r>
        <w:rPr>
          <w:rStyle w:val="FootnoteReference"/>
        </w:rPr>
        <w:footnoteRef/>
      </w:r>
      <w:r>
        <w:t xml:space="preserve"> </w:t>
      </w:r>
      <w:r w:rsidR="00594FB9" w:rsidRPr="00513F3B">
        <w:rPr>
          <w:lang w:eastAsia="en-GB"/>
        </w:rPr>
        <w:t>Iti 3.36. This includes the unusual phrase ‘</w:t>
      </w:r>
      <w:r w:rsidR="00594FB9" w:rsidRPr="00513F3B">
        <w:rPr>
          <w:i/>
          <w:iCs/>
          <w:lang w:eastAsia="en-GB"/>
        </w:rPr>
        <w:t>ajjhatta</w:t>
      </w:r>
      <w:r w:rsidR="00594FB9" w:rsidRPr="00513F3B">
        <w:rPr>
          <w:rFonts w:ascii="Cambria" w:hAnsi="Cambria" w:cs="Cambria"/>
          <w:i/>
          <w:iCs/>
          <w:lang w:eastAsia="en-GB"/>
        </w:rPr>
        <w:t>ṁ</w:t>
      </w:r>
      <w:r w:rsidR="00594FB9" w:rsidRPr="00513F3B">
        <w:rPr>
          <w:i/>
          <w:iCs/>
          <w:lang w:eastAsia="en-GB"/>
        </w:rPr>
        <w:t xml:space="preserve"> parimukha</w:t>
      </w:r>
      <w:r w:rsidR="00594FB9" w:rsidRPr="00513F3B">
        <w:rPr>
          <w:rFonts w:ascii="Cambria" w:hAnsi="Cambria" w:cs="Cambria"/>
          <w:i/>
          <w:iCs/>
          <w:lang w:eastAsia="en-GB"/>
        </w:rPr>
        <w:t>ṁ</w:t>
      </w:r>
      <w:r w:rsidR="00594FB9" w:rsidRPr="00513F3B">
        <w:rPr>
          <w:lang w:eastAsia="en-GB"/>
        </w:rPr>
        <w:t>’.</w:t>
      </w:r>
    </w:p>
  </w:footnote>
  <w:footnote w:id="277">
    <w:p w14:paraId="79821942" w14:textId="05FBCDDD" w:rsidR="00532B0A" w:rsidRDefault="00532B0A">
      <w:pPr>
        <w:pStyle w:val="FootnoteText"/>
      </w:pPr>
      <w:r>
        <w:rPr>
          <w:rStyle w:val="FootnoteReference"/>
        </w:rPr>
        <w:footnoteRef/>
      </w:r>
      <w:r>
        <w:t xml:space="preserve"> </w:t>
      </w:r>
      <w:r w:rsidR="00594FB9" w:rsidRPr="00513F3B">
        <w:rPr>
          <w:lang w:eastAsia="en-GB"/>
        </w:rPr>
        <w:t>MN 77.23.</w:t>
      </w:r>
    </w:p>
  </w:footnote>
  <w:footnote w:id="278">
    <w:p w14:paraId="29D3D7C6" w14:textId="7F1676D4" w:rsidR="00532B0A" w:rsidRDefault="00532B0A">
      <w:pPr>
        <w:pStyle w:val="FootnoteText"/>
      </w:pPr>
      <w:r>
        <w:rPr>
          <w:rStyle w:val="FootnoteReference"/>
        </w:rPr>
        <w:footnoteRef/>
      </w:r>
      <w:r>
        <w:t xml:space="preserve"> </w:t>
      </w:r>
      <w:r w:rsidR="00594FB9" w:rsidRPr="00513F3B">
        <w:rPr>
          <w:lang w:eastAsia="en-GB"/>
        </w:rPr>
        <w:t>DN 18.26.</w:t>
      </w:r>
    </w:p>
  </w:footnote>
  <w:footnote w:id="279">
    <w:p w14:paraId="70AF724D" w14:textId="636EDA2E" w:rsidR="00532B0A" w:rsidRDefault="00532B0A">
      <w:pPr>
        <w:pStyle w:val="FootnoteText"/>
      </w:pPr>
      <w:r>
        <w:rPr>
          <w:rStyle w:val="FootnoteReference"/>
        </w:rPr>
        <w:footnoteRef/>
      </w:r>
      <w:r>
        <w:t xml:space="preserve"> </w:t>
      </w:r>
      <w:r w:rsidR="00594FB9" w:rsidRPr="00513F3B">
        <w:rPr>
          <w:lang w:eastAsia="en-GB"/>
        </w:rPr>
        <w:t>MN 10.14.</w:t>
      </w:r>
    </w:p>
  </w:footnote>
  <w:footnote w:id="280">
    <w:p w14:paraId="4E82A592" w14:textId="7A8051D0" w:rsidR="00532B0A" w:rsidRDefault="00532B0A">
      <w:pPr>
        <w:pStyle w:val="FootnoteText"/>
      </w:pPr>
      <w:r>
        <w:rPr>
          <w:rStyle w:val="FootnoteReference"/>
        </w:rPr>
        <w:footnoteRef/>
      </w:r>
      <w:r>
        <w:t xml:space="preserve"> </w:t>
      </w:r>
      <w:r w:rsidR="00594FB9" w:rsidRPr="00513F3B">
        <w:rPr>
          <w:lang w:eastAsia="en-GB"/>
        </w:rPr>
        <w:t>Sn 205.</w:t>
      </w:r>
    </w:p>
  </w:footnote>
  <w:footnote w:id="281">
    <w:p w14:paraId="42C24DF2" w14:textId="4660C638" w:rsidR="00532B0A" w:rsidRDefault="00532B0A">
      <w:pPr>
        <w:pStyle w:val="FootnoteText"/>
      </w:pPr>
      <w:r>
        <w:rPr>
          <w:rStyle w:val="FootnoteReference"/>
        </w:rPr>
        <w:footnoteRef/>
      </w:r>
      <w:r>
        <w:t xml:space="preserve"> </w:t>
      </w:r>
      <w:r w:rsidR="00594FB9" w:rsidRPr="00513F3B">
        <w:rPr>
          <w:lang w:eastAsia="en-GB"/>
        </w:rPr>
        <w:t>SN 47.39/SA 610.</w:t>
      </w:r>
    </w:p>
  </w:footnote>
  <w:footnote w:id="282">
    <w:p w14:paraId="75A7EB99" w14:textId="1611F191" w:rsidR="00532B0A" w:rsidRDefault="00532B0A">
      <w:pPr>
        <w:pStyle w:val="FootnoteText"/>
      </w:pPr>
      <w:r>
        <w:rPr>
          <w:rStyle w:val="FootnoteReference"/>
        </w:rPr>
        <w:footnoteRef/>
      </w:r>
      <w:r>
        <w:t xml:space="preserve"> </w:t>
      </w:r>
      <w:r w:rsidR="00594FB9" w:rsidRPr="00513F3B">
        <w:rPr>
          <w:lang w:eastAsia="en-GB"/>
        </w:rPr>
        <w:t>MN 127.16.</w:t>
      </w:r>
    </w:p>
  </w:footnote>
  <w:footnote w:id="283">
    <w:p w14:paraId="4079DDF8" w14:textId="311BC461" w:rsidR="00532B0A" w:rsidRDefault="00532B0A">
      <w:pPr>
        <w:pStyle w:val="FootnoteText"/>
      </w:pPr>
      <w:r>
        <w:rPr>
          <w:rStyle w:val="FootnoteReference"/>
        </w:rPr>
        <w:footnoteRef/>
      </w:r>
      <w:r>
        <w:t xml:space="preserve"> </w:t>
      </w:r>
      <w:r w:rsidR="00594FB9" w:rsidRPr="00513F3B">
        <w:rPr>
          <w:lang w:eastAsia="en-GB"/>
        </w:rPr>
        <w:t>MASEFIELD. My thanks to the author for supplying me with a copy of this article.</w:t>
      </w:r>
    </w:p>
  </w:footnote>
  <w:footnote w:id="284">
    <w:p w14:paraId="7E67310A" w14:textId="30D240F2"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513F3B">
        <w:rPr>
          <w:rFonts w:cs="Source Serif Pro"/>
          <w:lang w:eastAsia="en-GB"/>
        </w:rPr>
        <w:t>‘</w:t>
      </w:r>
      <w:r w:rsidR="00594FB9" w:rsidRPr="00513F3B">
        <w:rPr>
          <w:rFonts w:ascii="Times New Roman" w:hAnsi="Times New Roman"/>
          <w:lang w:eastAsia="en-GB"/>
        </w:rPr>
        <w:t> </w:t>
      </w:r>
      <w:r w:rsidR="00594FB9" w:rsidRPr="00513F3B">
        <w:rPr>
          <w:rFonts w:cs="Source Serif Pro"/>
          <w:lang w:eastAsia="en-GB"/>
        </w:rPr>
        <w:t>“</w:t>
      </w:r>
      <w:r w:rsidR="00594FB9" w:rsidRPr="00513F3B">
        <w:rPr>
          <w:i/>
          <w:iCs/>
          <w:lang w:eastAsia="en-GB"/>
        </w:rPr>
        <w:t>Ekāyañvayan”ti ekāyano aya</w:t>
      </w:r>
      <w:r w:rsidR="00594FB9" w:rsidRPr="00513F3B">
        <w:rPr>
          <w:rFonts w:ascii="Cambria" w:hAnsi="Cambria" w:cs="Cambria"/>
          <w:i/>
          <w:iCs/>
          <w:lang w:eastAsia="en-GB"/>
        </w:rPr>
        <w:t>ṁ</w:t>
      </w:r>
      <w:r w:rsidR="00594FB9" w:rsidRPr="00513F3B">
        <w:rPr>
          <w:i/>
          <w:iCs/>
          <w:lang w:eastAsia="en-GB"/>
        </w:rPr>
        <w:t>.</w:t>
      </w:r>
      <w:r w:rsidR="00594FB9" w:rsidRPr="00513F3B">
        <w:rPr>
          <w:lang w:eastAsia="en-GB"/>
        </w:rPr>
        <w:t>’ This is simply a resolution of the compound; but the interesting thing is that the reading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differs from the Majjhima and other versions, which have </w:t>
      </w:r>
      <w:r w:rsidR="00594FB9" w:rsidRPr="00513F3B">
        <w:rPr>
          <w:i/>
          <w:iCs/>
          <w:lang w:eastAsia="en-GB"/>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513F3B">
        <w:rPr>
          <w:i/>
          <w:iCs/>
          <w:lang w:eastAsia="en-GB"/>
        </w:rPr>
        <w:t>ekāyano aya</w:t>
      </w:r>
      <w:r w:rsidR="00594FB9" w:rsidRPr="00513F3B">
        <w:rPr>
          <w:rFonts w:ascii="Cambria" w:hAnsi="Cambria" w:cs="Cambria"/>
          <w:i/>
          <w:iCs/>
          <w:lang w:eastAsia="en-GB"/>
        </w:rPr>
        <w:t>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is preserved in some other editions.</w:t>
      </w:r>
    </w:p>
  </w:footnote>
  <w:footnote w:id="285">
    <w:p w14:paraId="614B8642" w14:textId="2F568E62" w:rsidR="00532B0A" w:rsidRDefault="00532B0A">
      <w:pPr>
        <w:pStyle w:val="FootnoteText"/>
      </w:pPr>
      <w:r>
        <w:rPr>
          <w:rStyle w:val="FootnoteReference"/>
        </w:rPr>
        <w:footnoteRef/>
      </w:r>
      <w:r>
        <w:t xml:space="preserve"> </w:t>
      </w:r>
      <w:r w:rsidR="00594FB9" w:rsidRPr="00513F3B">
        <w:rPr>
          <w:lang w:eastAsia="en-GB"/>
        </w:rPr>
        <w:t>E.g. MLDB, pg.</w:t>
      </w:r>
      <w:r w:rsidR="00594FB9" w:rsidRPr="00513F3B">
        <w:rPr>
          <w:rFonts w:ascii="Times New Roman" w:hAnsi="Times New Roman"/>
          <w:lang w:eastAsia="en-GB"/>
        </w:rPr>
        <w:t> </w:t>
      </w:r>
      <w:r w:rsidR="00594FB9" w:rsidRPr="00513F3B">
        <w:rPr>
          <w:lang w:eastAsia="en-GB"/>
        </w:rPr>
        <w:t>1188, note 135; GETHIN (2001), pg.</w:t>
      </w:r>
      <w:r w:rsidR="00594FB9" w:rsidRPr="00513F3B">
        <w:rPr>
          <w:rFonts w:ascii="Times New Roman" w:hAnsi="Times New Roman"/>
          <w:lang w:eastAsia="en-GB"/>
        </w:rPr>
        <w:t> </w:t>
      </w:r>
      <w:r w:rsidR="00594FB9" w:rsidRPr="00513F3B">
        <w:rPr>
          <w:lang w:eastAsia="en-GB"/>
        </w:rPr>
        <w:t>60.</w:t>
      </w:r>
    </w:p>
  </w:footnote>
  <w:footnote w:id="286">
    <w:p w14:paraId="083EEF1D" w14:textId="4A143BDA" w:rsidR="00532B0A" w:rsidRDefault="00532B0A">
      <w:pPr>
        <w:pStyle w:val="FootnoteText"/>
      </w:pPr>
      <w:r>
        <w:rPr>
          <w:rStyle w:val="FootnoteReference"/>
        </w:rPr>
        <w:footnoteRef/>
      </w:r>
      <w:r>
        <w:t xml:space="preserve"> </w:t>
      </w:r>
      <w:r w:rsidR="00594FB9" w:rsidRPr="00513F3B">
        <w:rPr>
          <w:lang w:eastAsia="en-GB"/>
        </w:rPr>
        <w:t>GETHIN (2001), pp. 59–66.</w:t>
      </w:r>
    </w:p>
  </w:footnote>
  <w:footnote w:id="287">
    <w:p w14:paraId="7B6D63DA" w14:textId="6E96EABF" w:rsidR="00532B0A" w:rsidRDefault="00532B0A">
      <w:pPr>
        <w:pStyle w:val="FootnoteText"/>
      </w:pPr>
      <w:r>
        <w:rPr>
          <w:rStyle w:val="FootnoteReference"/>
        </w:rPr>
        <w:footnoteRef/>
      </w:r>
      <w:r>
        <w:t xml:space="preserve"> </w:t>
      </w:r>
      <w:r w:rsidR="00594FB9" w:rsidRPr="00513F3B">
        <w:rPr>
          <w:lang w:eastAsia="en-GB"/>
        </w:rPr>
        <w:t>MN 12.37/T № 757/SA 612*/SA 684*/SA 701*/EA 27.6*/EA 31.8*/EA 46.4*/EA 50.6*/ T</w:t>
      </w:r>
      <w:r w:rsidR="00594FB9" w:rsidRPr="00513F3B">
        <w:rPr>
          <w:rFonts w:ascii="Times New Roman" w:hAnsi="Times New Roman"/>
          <w:lang w:eastAsia="en-GB"/>
        </w:rPr>
        <w:t> </w:t>
      </w:r>
      <w:r w:rsidR="00594FB9" w:rsidRPr="00513F3B">
        <w:rPr>
          <w:rFonts w:cs="Source Serif Pro"/>
          <w:lang w:eastAsia="en-GB"/>
        </w:rPr>
        <w:t>№</w:t>
      </w:r>
      <w:r w:rsidR="00594FB9" w:rsidRPr="00513F3B">
        <w:rPr>
          <w:rFonts w:ascii="Times New Roman" w:hAnsi="Times New Roman"/>
          <w:lang w:eastAsia="en-GB"/>
        </w:rPr>
        <w:t>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26EC74B1" w:rsidR="00532B0A" w:rsidRDefault="00532B0A">
      <w:pPr>
        <w:pStyle w:val="FootnoteText"/>
      </w:pPr>
      <w:r>
        <w:rPr>
          <w:rStyle w:val="FootnoteReference"/>
        </w:rPr>
        <w:footnoteRef/>
      </w:r>
      <w:r>
        <w:t xml:space="preserve"> </w:t>
      </w:r>
      <w:r w:rsidR="00BC41C7" w:rsidRPr="00513F3B">
        <w:rPr>
          <w:lang w:eastAsia="en-GB"/>
        </w:rPr>
        <w:t>SN 47.18/SA 607/SA 1189/SA 102/SA 4.</w:t>
      </w:r>
    </w:p>
  </w:footnote>
  <w:footnote w:id="289">
    <w:p w14:paraId="348EA67C" w14:textId="135EDC8B" w:rsidR="00532B0A" w:rsidRDefault="00532B0A" w:rsidP="00BC41C7">
      <w:pPr>
        <w:pStyle w:val="FootnoteText"/>
        <w:tabs>
          <w:tab w:val="left" w:pos="924"/>
        </w:tabs>
      </w:pPr>
      <w:r>
        <w:rPr>
          <w:rStyle w:val="FootnoteReference"/>
        </w:rPr>
        <w:footnoteRef/>
      </w:r>
      <w:r>
        <w:t xml:space="preserve"> </w:t>
      </w:r>
      <w:r w:rsidR="00BC41C7" w:rsidRPr="00513F3B">
        <w:rPr>
          <w:lang w:eastAsia="en-GB"/>
        </w:rPr>
        <w:t>SA 1189/SA 102/SA 4.</w:t>
      </w:r>
      <w:r w:rsidR="00BC41C7">
        <w:tab/>
      </w:r>
    </w:p>
  </w:footnote>
  <w:footnote w:id="290">
    <w:p w14:paraId="1E673579" w14:textId="32E1A55A" w:rsidR="00532B0A" w:rsidRDefault="00532B0A">
      <w:pPr>
        <w:pStyle w:val="FootnoteText"/>
      </w:pPr>
      <w:r>
        <w:rPr>
          <w:rStyle w:val="FootnoteReference"/>
        </w:rPr>
        <w:footnoteRef/>
      </w:r>
      <w:r>
        <w:t xml:space="preserve"> </w:t>
      </w:r>
      <w:r w:rsidR="00BC41C7" w:rsidRPr="00513F3B">
        <w:rPr>
          <w:lang w:eastAsia="en-GB"/>
        </w:rPr>
        <w:t>SA 1189, SA 102.</w:t>
      </w:r>
    </w:p>
  </w:footnote>
  <w:footnote w:id="291">
    <w:p w14:paraId="6A46D069" w14:textId="6613B9B5" w:rsidR="00532B0A" w:rsidRDefault="00532B0A">
      <w:pPr>
        <w:pStyle w:val="FootnoteText"/>
      </w:pPr>
      <w:r>
        <w:rPr>
          <w:rStyle w:val="FootnoteReference"/>
        </w:rPr>
        <w:footnoteRef/>
      </w:r>
      <w:r>
        <w:t xml:space="preserve"> </w:t>
      </w:r>
      <w:r w:rsidR="005F4535" w:rsidRPr="00513F3B">
        <w:rPr>
          <w:lang w:eastAsia="en-GB"/>
        </w:rPr>
        <w:t>SN 47.18, SN 47.43.</w:t>
      </w:r>
    </w:p>
  </w:footnote>
  <w:footnote w:id="292">
    <w:p w14:paraId="0B9A9A73" w14:textId="11F05988" w:rsidR="00532B0A" w:rsidRDefault="00532B0A">
      <w:pPr>
        <w:pStyle w:val="FootnoteText"/>
      </w:pPr>
      <w:r>
        <w:rPr>
          <w:rStyle w:val="FootnoteReference"/>
        </w:rPr>
        <w:footnoteRef/>
      </w:r>
      <w:r>
        <w:t xml:space="preserve"> </w:t>
      </w:r>
      <w:r w:rsidR="005F4535" w:rsidRPr="00513F3B">
        <w:rPr>
          <w:lang w:eastAsia="en-GB"/>
        </w:rPr>
        <w:t>The Chinese partly overlaps SN 47.8/SA 616.</w:t>
      </w:r>
    </w:p>
  </w:footnote>
  <w:footnote w:id="293">
    <w:p w14:paraId="4CDEF052" w14:textId="7F4BE043" w:rsidR="00532B0A" w:rsidRDefault="00532B0A">
      <w:pPr>
        <w:pStyle w:val="FootnoteText"/>
      </w:pPr>
      <w:r>
        <w:rPr>
          <w:rStyle w:val="FootnoteReference"/>
        </w:rPr>
        <w:footnoteRef/>
      </w:r>
      <w:r>
        <w:t xml:space="preserve"> </w:t>
      </w:r>
      <w:r w:rsidR="005F4535" w:rsidRPr="00513F3B">
        <w:rPr>
          <w:lang w:eastAsia="en-GB"/>
        </w:rPr>
        <w:t>GETHIN (2001), pg.</w:t>
      </w:r>
      <w:r w:rsidR="005F4535" w:rsidRPr="00513F3B">
        <w:rPr>
          <w:rFonts w:ascii="Times New Roman" w:hAnsi="Times New Roman"/>
          <w:lang w:eastAsia="en-GB"/>
        </w:rPr>
        <w:t>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4C56498E" w:rsidR="00532B0A" w:rsidRDefault="00532B0A">
      <w:pPr>
        <w:pStyle w:val="FootnoteText"/>
      </w:pPr>
      <w:r>
        <w:rPr>
          <w:rStyle w:val="FootnoteReference"/>
        </w:rPr>
        <w:footnoteRef/>
      </w:r>
      <w:r>
        <w:t xml:space="preserve"> </w:t>
      </w:r>
      <w:r w:rsidR="005F4535" w:rsidRPr="00513F3B">
        <w:rPr>
          <w:lang w:eastAsia="en-GB"/>
        </w:rPr>
        <w:t>WIJESEKERA, pg.</w:t>
      </w:r>
      <w:r w:rsidR="005F4535" w:rsidRPr="00513F3B">
        <w:rPr>
          <w:rFonts w:ascii="Times New Roman" w:hAnsi="Times New Roman"/>
          <w:lang w:eastAsia="en-GB"/>
        </w:rPr>
        <w:t> </w:t>
      </w:r>
      <w:r w:rsidR="005F4535" w:rsidRPr="00513F3B">
        <w:rPr>
          <w:lang w:eastAsia="en-GB"/>
        </w:rPr>
        <w:t>282.</w:t>
      </w:r>
    </w:p>
  </w:footnote>
  <w:footnote w:id="297">
    <w:p w14:paraId="407ADBCB" w14:textId="31466B93" w:rsidR="00973E96" w:rsidRDefault="00973E96" w:rsidP="005F4535">
      <w:pPr>
        <w:pStyle w:val="FootnoteText"/>
        <w:tabs>
          <w:tab w:val="left" w:pos="816"/>
        </w:tabs>
      </w:pPr>
      <w:r>
        <w:rPr>
          <w:rStyle w:val="FootnoteReference"/>
        </w:rPr>
        <w:footnoteRef/>
      </w:r>
      <w:r>
        <w:t xml:space="preserve"> </w:t>
      </w:r>
      <w:r w:rsidR="005F4535" w:rsidRPr="00513F3B">
        <w:rPr>
          <w:lang w:eastAsia="en-GB"/>
        </w:rPr>
        <w:t>SN 3.1.8, as pointed out by Bhikkhu BODHI.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513F3B">
        <w:rPr>
          <w:i/>
          <w:iCs/>
          <w:lang w:eastAsia="en-GB"/>
        </w:rPr>
        <w:t>muta</w:t>
      </w:r>
      <w:r w:rsidR="005F4535" w:rsidRPr="00513F3B">
        <w:rPr>
          <w:lang w:eastAsia="en-GB"/>
        </w:rPr>
        <w:t> here means cognized by the nose, tongue, or body; that is, they correlate this list with the six senses; thus some contemporary translators render it as ‘sensed’. But </w:t>
      </w:r>
      <w:r w:rsidR="005F4535" w:rsidRPr="00513F3B">
        <w:rPr>
          <w:i/>
          <w:iCs/>
          <w:lang w:eastAsia="en-GB"/>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77C8BA72" w:rsidR="00973E96" w:rsidRDefault="00973E96">
      <w:pPr>
        <w:pStyle w:val="FootnoteText"/>
      </w:pPr>
      <w:r>
        <w:rPr>
          <w:rStyle w:val="FootnoteReference"/>
        </w:rPr>
        <w:footnoteRef/>
      </w:r>
      <w:r>
        <w:t xml:space="preserve"> </w:t>
      </w:r>
      <w:r w:rsidR="005F4535" w:rsidRPr="00513F3B">
        <w:rPr>
          <w:lang w:eastAsia="en-GB"/>
        </w:rPr>
        <w:t>MN 1/MA 106/T № 56.</w:t>
      </w:r>
    </w:p>
  </w:footnote>
  <w:footnote w:id="300">
    <w:p w14:paraId="517E98A8" w14:textId="6DE57692" w:rsidR="00973E96" w:rsidRDefault="00973E96">
      <w:pPr>
        <w:pStyle w:val="FootnoteText"/>
      </w:pPr>
      <w:r>
        <w:rPr>
          <w:rStyle w:val="FootnoteReference"/>
        </w:rPr>
        <w:footnoteRef/>
      </w:r>
      <w:r>
        <w:t xml:space="preserve"> </w:t>
      </w:r>
      <w:r w:rsidR="005F4535" w:rsidRPr="00513F3B">
        <w:rPr>
          <w:lang w:eastAsia="en-GB"/>
        </w:rPr>
        <w:t>DN 23.19/DA 7/MA 71/ T № 45.</w:t>
      </w:r>
    </w:p>
  </w:footnote>
  <w:footnote w:id="301">
    <w:p w14:paraId="234088FB" w14:textId="6EEB2F2B" w:rsidR="00973E96" w:rsidRDefault="00973E96">
      <w:pPr>
        <w:pStyle w:val="FootnoteText"/>
      </w:pPr>
      <w:r>
        <w:rPr>
          <w:rStyle w:val="FootnoteReference"/>
        </w:rPr>
        <w:footnoteRef/>
      </w:r>
      <w:r>
        <w:t xml:space="preserve"> </w:t>
      </w:r>
      <w:r w:rsidR="005F4535" w:rsidRPr="00513F3B">
        <w:rPr>
          <w:lang w:eastAsia="en-GB"/>
        </w:rPr>
        <w:t>SN 35.246/SA 1169.</w:t>
      </w:r>
    </w:p>
  </w:footnote>
  <w:footnote w:id="302">
    <w:p w14:paraId="2B97C2EC" w14:textId="401C7DB5" w:rsidR="00973E96" w:rsidRDefault="00973E96">
      <w:pPr>
        <w:pStyle w:val="FootnoteText"/>
      </w:pPr>
      <w:r>
        <w:rPr>
          <w:rStyle w:val="FootnoteReference"/>
        </w:rPr>
        <w:footnoteRef/>
      </w:r>
      <w:r>
        <w:t xml:space="preserve"> </w:t>
      </w:r>
      <w:r w:rsidR="005F4535" w:rsidRPr="00513F3B">
        <w:rPr>
          <w:lang w:eastAsia="en-GB"/>
        </w:rPr>
        <w:t>AN 8.157.</w:t>
      </w:r>
    </w:p>
  </w:footnote>
  <w:footnote w:id="303">
    <w:p w14:paraId="5E9FD001" w14:textId="52BF2BC7" w:rsidR="00973E96" w:rsidRDefault="00973E96">
      <w:pPr>
        <w:pStyle w:val="FootnoteText"/>
      </w:pPr>
      <w:r>
        <w:rPr>
          <w:rStyle w:val="FootnoteReference"/>
        </w:rPr>
        <w:footnoteRef/>
      </w:r>
      <w:r>
        <w:t xml:space="preserve"> </w:t>
      </w:r>
      <w:r w:rsidR="005F4535" w:rsidRPr="00513F3B">
        <w:rPr>
          <w:lang w:eastAsia="en-GB"/>
        </w:rPr>
        <w:t>MN 72.17/SA 962/SA 196.</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4195D7F2" w:rsidR="00973E96" w:rsidRDefault="00973E96">
      <w:pPr>
        <w:pStyle w:val="FootnoteText"/>
      </w:pPr>
      <w:r>
        <w:rPr>
          <w:rStyle w:val="FootnoteReference"/>
        </w:rPr>
        <w:footnoteRef/>
      </w:r>
      <w:r>
        <w:t xml:space="preserve"> </w:t>
      </w:r>
      <w:r w:rsidR="005F4535" w:rsidRPr="00513F3B">
        <w:rPr>
          <w:lang w:eastAsia="en-GB"/>
        </w:rPr>
        <w:t>See GETHIN (2001), pg.</w:t>
      </w:r>
      <w:r w:rsidR="005F4535" w:rsidRPr="00513F3B">
        <w:rPr>
          <w:rFonts w:ascii="Times New Roman" w:hAnsi="Times New Roman"/>
          <w:lang w:eastAsia="en-GB"/>
        </w:rPr>
        <w:t>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021B3579" w:rsidR="00973E96" w:rsidRDefault="00973E96">
      <w:pPr>
        <w:pStyle w:val="FootnoteText"/>
      </w:pPr>
      <w:r>
        <w:rPr>
          <w:rStyle w:val="FootnoteReference"/>
        </w:rPr>
        <w:footnoteRef/>
      </w:r>
      <w:r>
        <w:t xml:space="preserve"> </w:t>
      </w:r>
      <w:r w:rsidR="009620CC" w:rsidRPr="00513F3B">
        <w:rPr>
          <w:lang w:eastAsia="en-GB"/>
        </w:rPr>
        <w:t>AN 3.75/EA 21.4, AN 4.35, AN 4.194/SA 565, AN 6.26/SA 550, AN 6.30/T № 1536.16, AN</w:t>
      </w:r>
      <w:r w:rsidR="009620CC" w:rsidRPr="00513F3B">
        <w:rPr>
          <w:rFonts w:ascii="Times New Roman" w:hAnsi="Times New Roman"/>
          <w:lang w:eastAsia="en-GB"/>
        </w:rPr>
        <w:t> </w:t>
      </w:r>
      <w:r w:rsidR="009620CC" w:rsidRPr="00513F3B">
        <w:rPr>
          <w:lang w:eastAsia="en-GB"/>
        </w:rPr>
        <w:t>9.37/SA</w:t>
      </w:r>
      <w:r w:rsidR="009620CC" w:rsidRPr="00513F3B">
        <w:rPr>
          <w:rFonts w:ascii="Times New Roman" w:hAnsi="Times New Roman"/>
          <w:lang w:eastAsia="en-GB"/>
        </w:rPr>
        <w:t> </w:t>
      </w:r>
      <w:r w:rsidR="009620CC" w:rsidRPr="00513F3B">
        <w:rPr>
          <w:lang w:eastAsia="en-GB"/>
        </w:rPr>
        <w:t>557.</w:t>
      </w:r>
    </w:p>
  </w:footnote>
  <w:footnote w:id="309">
    <w:p w14:paraId="0E268293" w14:textId="60769F01" w:rsidR="000B55EC" w:rsidRDefault="000B55EC">
      <w:pPr>
        <w:pStyle w:val="FootnoteText"/>
      </w:pPr>
      <w:r>
        <w:rPr>
          <w:rStyle w:val="FootnoteReference"/>
        </w:rPr>
        <w:footnoteRef/>
      </w:r>
      <w:r>
        <w:t xml:space="preserve"> </w:t>
      </w:r>
      <w:r w:rsidR="009620CC" w:rsidRPr="00513F3B">
        <w:rPr>
          <w:lang w:eastAsia="en-GB"/>
        </w:rPr>
        <w:t>MN 76.43/SA 973*/SA 207*.</w:t>
      </w:r>
    </w:p>
  </w:footnote>
  <w:footnote w:id="310">
    <w:p w14:paraId="72D5AD35" w14:textId="3FD8D1C3" w:rsidR="000B55EC" w:rsidRDefault="000B55EC">
      <w:pPr>
        <w:pStyle w:val="FootnoteText"/>
      </w:pPr>
      <w:r>
        <w:rPr>
          <w:rStyle w:val="FootnoteReference"/>
        </w:rPr>
        <w:footnoteRef/>
      </w:r>
      <w:r>
        <w:t xml:space="preserve"> </w:t>
      </w:r>
      <w:r w:rsidR="009620CC" w:rsidRPr="00513F3B">
        <w:rPr>
          <w:lang w:eastAsia="en-GB"/>
        </w:rPr>
        <w:t>DN 18.28/DA 4/T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577D70AA" w:rsidR="000B55EC" w:rsidRDefault="000B55EC">
      <w:pPr>
        <w:pStyle w:val="FootnoteText"/>
      </w:pPr>
      <w:r>
        <w:rPr>
          <w:rStyle w:val="FootnoteReference"/>
        </w:rPr>
        <w:footnoteRef/>
      </w:r>
      <w:r>
        <w:t xml:space="preserve"> </w:t>
      </w:r>
      <w:r w:rsidR="009620CC" w:rsidRPr="00513F3B">
        <w:rPr>
          <w:lang w:eastAsia="en-GB"/>
        </w:rPr>
        <w:t>AN 6.117</w:t>
      </w:r>
      <w:r w:rsidR="009620CC" w:rsidRPr="00513F3B">
        <w:rPr>
          <w:i/>
          <w:iCs/>
          <w:lang w:eastAsia="en-GB"/>
        </w:rPr>
        <w:t>ff</w:t>
      </w:r>
      <w:r w:rsidR="009620CC" w:rsidRPr="00513F3B">
        <w:rPr>
          <w:lang w:eastAsia="en-GB"/>
        </w:rPr>
        <w:t>.</w:t>
      </w:r>
    </w:p>
  </w:footnote>
  <w:footnote w:id="313">
    <w:p w14:paraId="25B5528B" w14:textId="4BF5D277" w:rsidR="000B55EC" w:rsidRDefault="000B55EC">
      <w:pPr>
        <w:pStyle w:val="FootnoteText"/>
      </w:pPr>
      <w:r>
        <w:rPr>
          <w:rStyle w:val="FootnoteReference"/>
        </w:rPr>
        <w:footnoteRef/>
      </w:r>
      <w:r>
        <w:t xml:space="preserve"> </w:t>
      </w:r>
      <w:r w:rsidR="009620CC" w:rsidRPr="00513F3B">
        <w:rPr>
          <w:lang w:eastAsia="en-GB"/>
        </w:rPr>
        <w:t>AN 8.63.</w:t>
      </w:r>
    </w:p>
  </w:footnote>
  <w:footnote w:id="314">
    <w:p w14:paraId="09FA5152" w14:textId="3CE0CCD5" w:rsidR="000B55EC" w:rsidRDefault="000B55EC">
      <w:pPr>
        <w:pStyle w:val="FootnoteText"/>
      </w:pPr>
      <w:r>
        <w:rPr>
          <w:rStyle w:val="FootnoteReference"/>
        </w:rPr>
        <w:footnoteRef/>
      </w:r>
      <w:r>
        <w:t xml:space="preserve"> </w:t>
      </w:r>
      <w:r w:rsidR="009620CC" w:rsidRPr="00513F3B">
        <w:rPr>
          <w:lang w:eastAsia="en-GB"/>
        </w:rPr>
        <w:t>AN 6.29.</w:t>
      </w:r>
    </w:p>
  </w:footnote>
  <w:footnote w:id="315">
    <w:p w14:paraId="12889360" w14:textId="5AD77295" w:rsidR="000B55EC" w:rsidRDefault="000B55EC">
      <w:pPr>
        <w:pStyle w:val="FootnoteText"/>
      </w:pPr>
      <w:r>
        <w:rPr>
          <w:rStyle w:val="FootnoteReference"/>
        </w:rPr>
        <w:footnoteRef/>
      </w:r>
      <w:r>
        <w:t xml:space="preserve"> </w:t>
      </w:r>
      <w:r w:rsidR="009620CC" w:rsidRPr="00513F3B">
        <w:rPr>
          <w:lang w:eastAsia="en-GB"/>
        </w:rPr>
        <w:t>Cp. MN 32/MA 184, MN 123/MA 78.</w:t>
      </w:r>
    </w:p>
  </w:footnote>
  <w:footnote w:id="316">
    <w:p w14:paraId="3C6C605E" w14:textId="2371B5CF" w:rsidR="000B55EC" w:rsidRDefault="000B55EC">
      <w:pPr>
        <w:pStyle w:val="FootnoteText"/>
      </w:pPr>
      <w:r>
        <w:rPr>
          <w:rStyle w:val="FootnoteReference"/>
        </w:rPr>
        <w:footnoteRef/>
      </w:r>
      <w:r>
        <w:t xml:space="preserve"> </w:t>
      </w:r>
      <w:r w:rsidR="009620CC" w:rsidRPr="00513F3B">
        <w:rPr>
          <w:lang w:eastAsia="en-GB"/>
        </w:rPr>
        <w:t>AN 5.122.</w:t>
      </w:r>
    </w:p>
  </w:footnote>
  <w:footnote w:id="317">
    <w:p w14:paraId="49C1A018" w14:textId="12557BDB" w:rsidR="000B55EC" w:rsidRDefault="000B55EC">
      <w:pPr>
        <w:pStyle w:val="FootnoteText"/>
      </w:pPr>
      <w:r>
        <w:rPr>
          <w:rStyle w:val="FootnoteReference"/>
        </w:rPr>
        <w:footnoteRef/>
      </w:r>
      <w:r>
        <w:t xml:space="preserve"> </w:t>
      </w:r>
      <w:r w:rsidR="00807E88" w:rsidRPr="00513F3B">
        <w:rPr>
          <w:lang w:eastAsia="en-GB"/>
        </w:rPr>
        <w:t>SN 47.18/SA 607/SA 1189/SA 102/SA 4; SN 47.43.</w:t>
      </w:r>
    </w:p>
  </w:footnote>
  <w:footnote w:id="318">
    <w:p w14:paraId="3BD2D478" w14:textId="1E9FCC96" w:rsidR="000B55EC" w:rsidRDefault="000B55EC">
      <w:pPr>
        <w:pStyle w:val="FootnoteText"/>
      </w:pPr>
      <w:r>
        <w:rPr>
          <w:rStyle w:val="FootnoteReference"/>
        </w:rPr>
        <w:footnoteRef/>
      </w:r>
      <w:r>
        <w:t xml:space="preserve"> </w:t>
      </w:r>
      <w:r w:rsidR="00807E88" w:rsidRPr="00513F3B">
        <w:rPr>
          <w:lang w:eastAsia="en-GB"/>
        </w:rPr>
        <w:t>SN 47.31.</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414C49DB" w:rsidR="000B55EC" w:rsidRDefault="000B55EC">
      <w:pPr>
        <w:pStyle w:val="FootnoteText"/>
      </w:pPr>
      <w:r>
        <w:rPr>
          <w:rStyle w:val="FootnoteReference"/>
        </w:rPr>
        <w:footnoteRef/>
      </w:r>
      <w:r>
        <w:t xml:space="preserve"> </w:t>
      </w:r>
      <w:r w:rsidR="00807E88" w:rsidRPr="00513F3B">
        <w:rPr>
          <w:lang w:eastAsia="en-GB"/>
        </w:rPr>
        <w:t>SN 47.12.</w:t>
      </w:r>
    </w:p>
  </w:footnote>
  <w:footnote w:id="321">
    <w:p w14:paraId="39BBFE1F" w14:textId="3A04622E" w:rsidR="000B55EC" w:rsidRDefault="000B55EC">
      <w:pPr>
        <w:pStyle w:val="FootnoteText"/>
      </w:pPr>
      <w:r>
        <w:rPr>
          <w:rStyle w:val="FootnoteReference"/>
        </w:rPr>
        <w:footnoteRef/>
      </w:r>
      <w:r>
        <w:t xml:space="preserve"> </w:t>
      </w:r>
      <w:r w:rsidR="00B60931" w:rsidRPr="00513F3B">
        <w:rPr>
          <w:lang w:eastAsia="en-GB"/>
        </w:rPr>
        <w:t>DN 16.1.16–17.</w:t>
      </w:r>
    </w:p>
  </w:footnote>
  <w:footnote w:id="322">
    <w:p w14:paraId="42DD6047" w14:textId="2CAA7350" w:rsidR="000B55EC" w:rsidRDefault="000B55EC">
      <w:pPr>
        <w:pStyle w:val="FootnoteText"/>
      </w:pPr>
      <w:r>
        <w:rPr>
          <w:rStyle w:val="FootnoteReference"/>
        </w:rPr>
        <w:footnoteRef/>
      </w:r>
      <w:r>
        <w:t xml:space="preserve"> </w:t>
      </w:r>
      <w:r w:rsidR="00B60931" w:rsidRPr="00513F3B">
        <w:rPr>
          <w:lang w:eastAsia="en-GB"/>
        </w:rPr>
        <w:t>DN 28/DA 18/T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D200C5E" w:rsidR="000B55EC" w:rsidRDefault="000B55EC">
      <w:pPr>
        <w:pStyle w:val="FootnoteText"/>
      </w:pPr>
      <w:r>
        <w:rPr>
          <w:rStyle w:val="FootnoteReference"/>
        </w:rPr>
        <w:footnoteRef/>
      </w:r>
      <w:r>
        <w:t xml:space="preserve"> </w:t>
      </w:r>
      <w:r w:rsidR="00834F3B" w:rsidRPr="00513F3B">
        <w:rPr>
          <w:lang w:eastAsia="en-GB"/>
        </w:rPr>
        <w:t>SN 47.21*/SA 628; SN 47.22; SN 47.23.</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yutta, and was therefore not in our concordance. The previous, almost identical, text in SN 47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549DE88F" w:rsidR="000B55EC" w:rsidRDefault="000B55EC">
      <w:pPr>
        <w:pStyle w:val="FootnoteText"/>
      </w:pPr>
      <w:r>
        <w:rPr>
          <w:rStyle w:val="FootnoteReference"/>
        </w:rPr>
        <w:footnoteRef/>
      </w:r>
      <w:r>
        <w:t xml:space="preserve"> </w:t>
      </w:r>
      <w:r w:rsidR="00834F3B" w:rsidRPr="00513F3B">
        <w:rPr>
          <w:lang w:eastAsia="en-GB"/>
        </w:rPr>
        <w:t>SN 47.2/SA 610.</w:t>
      </w:r>
    </w:p>
  </w:footnote>
  <w:footnote w:id="327">
    <w:p w14:paraId="551B2BFF" w14:textId="31A18FA2" w:rsidR="000B55EC" w:rsidRDefault="000B55EC">
      <w:pPr>
        <w:pStyle w:val="FootnoteText"/>
      </w:pPr>
      <w:r>
        <w:rPr>
          <w:rStyle w:val="FootnoteReference"/>
        </w:rPr>
        <w:footnoteRef/>
      </w:r>
      <w:r>
        <w:t xml:space="preserve"> </w:t>
      </w:r>
      <w:r w:rsidR="00834F3B" w:rsidRPr="00513F3B">
        <w:rPr>
          <w:lang w:eastAsia="en-GB"/>
        </w:rPr>
        <w:t>AN 4.41/T № 1536.7.</w:t>
      </w:r>
    </w:p>
  </w:footnote>
  <w:footnote w:id="328">
    <w:p w14:paraId="3E4E4747" w14:textId="6C6E3858" w:rsidR="000B55EC" w:rsidRDefault="000B55EC">
      <w:pPr>
        <w:pStyle w:val="FootnoteText"/>
      </w:pPr>
      <w:r>
        <w:rPr>
          <w:rStyle w:val="FootnoteReference"/>
        </w:rPr>
        <w:footnoteRef/>
      </w:r>
      <w:r>
        <w:t xml:space="preserve"> </w:t>
      </w:r>
      <w:r w:rsidR="00834F3B" w:rsidRPr="00513F3B">
        <w:rPr>
          <w:lang w:eastAsia="en-GB"/>
        </w:rPr>
        <w:t>SN 12.33/SA 356, SN 12.34/SA 357.</w:t>
      </w:r>
    </w:p>
  </w:footnote>
  <w:footnote w:id="329">
    <w:p w14:paraId="14B075FE" w14:textId="516A6049" w:rsidR="000B55EC" w:rsidRDefault="000B55EC">
      <w:pPr>
        <w:pStyle w:val="FootnoteText"/>
      </w:pPr>
      <w:r>
        <w:rPr>
          <w:rStyle w:val="FootnoteReference"/>
        </w:rPr>
        <w:footnoteRef/>
      </w:r>
      <w:r>
        <w:t xml:space="preserve"> </w:t>
      </w:r>
      <w:r w:rsidR="00834F3B" w:rsidRPr="00A73B7C">
        <w:rPr>
          <w:rStyle w:val="FootnoteTextChar"/>
        </w:rPr>
        <w:t>SN 51.19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72BD2B09" w:rsidR="000B55EC" w:rsidRDefault="000B55EC">
      <w:pPr>
        <w:pStyle w:val="FootnoteText"/>
      </w:pPr>
      <w:r>
        <w:rPr>
          <w:rStyle w:val="FootnoteReference"/>
        </w:rPr>
        <w:footnoteRef/>
      </w:r>
      <w:r>
        <w:t xml:space="preserve"> </w:t>
      </w:r>
      <w:r w:rsidR="00834F3B" w:rsidRPr="00513F3B">
        <w:rPr>
          <w:lang w:eastAsia="en-GB"/>
        </w:rPr>
        <w:t>SN 51.20.</w:t>
      </w:r>
    </w:p>
  </w:footnote>
  <w:footnote w:id="331">
    <w:p w14:paraId="6BC1A39F" w14:textId="5C86ADF2" w:rsidR="000B55EC" w:rsidRDefault="000B55EC">
      <w:pPr>
        <w:pStyle w:val="FootnoteText"/>
      </w:pPr>
      <w:r>
        <w:rPr>
          <w:rStyle w:val="FootnoteReference"/>
        </w:rPr>
        <w:footnoteRef/>
      </w:r>
      <w:r>
        <w:t xml:space="preserve"> </w:t>
      </w:r>
      <w:r w:rsidR="00834F3B" w:rsidRPr="00513F3B">
        <w:rPr>
          <w:lang w:eastAsia="en-GB"/>
        </w:rPr>
        <w:t>MA 98; cp. SN 51.20.</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00A733E8" w:rsidR="00302E1E" w:rsidRDefault="00302E1E">
      <w:pPr>
        <w:pStyle w:val="FootnoteText"/>
      </w:pPr>
      <w:r>
        <w:rPr>
          <w:rStyle w:val="FootnoteReference"/>
        </w:rPr>
        <w:footnoteRef/>
      </w:r>
      <w:r>
        <w:t xml:space="preserve"> </w:t>
      </w:r>
      <w:r w:rsidR="00623719" w:rsidRPr="00513F3B">
        <w:rPr>
          <w:lang w:eastAsia="en-GB"/>
        </w:rPr>
        <w:t>SN 47.34/SA 634.</w:t>
      </w:r>
    </w:p>
  </w:footnote>
  <w:footnote w:id="334">
    <w:p w14:paraId="7C4FD4B9" w14:textId="3CC499E4" w:rsidR="00302E1E" w:rsidRDefault="00302E1E">
      <w:pPr>
        <w:pStyle w:val="FootnoteText"/>
      </w:pPr>
      <w:r>
        <w:rPr>
          <w:rStyle w:val="FootnoteReference"/>
        </w:rPr>
        <w:footnoteRef/>
      </w:r>
      <w:r>
        <w:t xml:space="preserve"> </w:t>
      </w:r>
      <w:r w:rsidR="00623719" w:rsidRPr="00513F3B">
        <w:rPr>
          <w:lang w:eastAsia="en-GB"/>
        </w:rPr>
        <w:t>SN 47.39/SA 610.</w:t>
      </w:r>
    </w:p>
  </w:footnote>
  <w:footnote w:id="335">
    <w:p w14:paraId="21A115CF" w14:textId="1308E5A5" w:rsidR="00302E1E" w:rsidRDefault="00302E1E">
      <w:pPr>
        <w:pStyle w:val="FootnoteText"/>
      </w:pPr>
      <w:r>
        <w:rPr>
          <w:rStyle w:val="FootnoteReference"/>
        </w:rPr>
        <w:footnoteRef/>
      </w:r>
      <w:r>
        <w:t xml:space="preserve"> </w:t>
      </w:r>
      <w:r w:rsidR="00623719" w:rsidRPr="00513F3B">
        <w:rPr>
          <w:lang w:eastAsia="en-GB"/>
        </w:rPr>
        <w:t>BOIN-WEBB, pg.</w:t>
      </w:r>
      <w:r w:rsidR="00623719" w:rsidRPr="00513F3B">
        <w:rPr>
          <w:rFonts w:ascii="Times New Roman" w:hAnsi="Times New Roman"/>
          <w:lang w:eastAsia="en-GB"/>
        </w:rPr>
        <w:t> </w:t>
      </w:r>
      <w:r w:rsidR="00623719" w:rsidRPr="00513F3B">
        <w:rPr>
          <w:lang w:eastAsia="en-GB"/>
        </w:rPr>
        <w:t>160.</w:t>
      </w:r>
    </w:p>
  </w:footnote>
  <w:footnote w:id="336">
    <w:p w14:paraId="7380CF18" w14:textId="36CFF91A" w:rsidR="00302E1E" w:rsidRDefault="00302E1E">
      <w:pPr>
        <w:pStyle w:val="FootnoteText"/>
      </w:pPr>
      <w:r>
        <w:rPr>
          <w:rStyle w:val="FootnoteReference"/>
        </w:rPr>
        <w:footnoteRef/>
      </w:r>
      <w:r>
        <w:t xml:space="preserve"> </w:t>
      </w:r>
      <w:r w:rsidR="00623719" w:rsidRPr="00513F3B">
        <w:rPr>
          <w:lang w:eastAsia="en-GB"/>
        </w:rPr>
        <w:t>CDB mistakenly has the singular ‘feeling’.</w:t>
      </w:r>
    </w:p>
  </w:footnote>
  <w:footnote w:id="337">
    <w:p w14:paraId="63FD44E3" w14:textId="2F080283" w:rsidR="00302E1E" w:rsidRDefault="00302E1E">
      <w:pPr>
        <w:pStyle w:val="FootnoteText"/>
      </w:pPr>
      <w:r>
        <w:rPr>
          <w:rStyle w:val="FootnoteReference"/>
        </w:rPr>
        <w:footnoteRef/>
      </w:r>
      <w:r>
        <w:t xml:space="preserve"> </w:t>
      </w:r>
      <w:r w:rsidR="00623719" w:rsidRPr="00513F3B">
        <w:rPr>
          <w:lang w:eastAsia="en-GB"/>
        </w:rPr>
        <w:t>SN 126–128/SA 256.</w:t>
      </w:r>
    </w:p>
  </w:footnote>
  <w:footnote w:id="338">
    <w:p w14:paraId="3DA49B75" w14:textId="02BD98E3" w:rsidR="00302E1E" w:rsidRDefault="00302E1E">
      <w:pPr>
        <w:pStyle w:val="FootnoteText"/>
      </w:pPr>
      <w:r>
        <w:rPr>
          <w:rStyle w:val="FootnoteReference"/>
        </w:rPr>
        <w:footnoteRef/>
      </w:r>
      <w:r>
        <w:t xml:space="preserve"> </w:t>
      </w:r>
      <w:r w:rsidR="00623719" w:rsidRPr="00513F3B">
        <w:rPr>
          <w:lang w:eastAsia="en-GB"/>
        </w:rPr>
        <w:t>SN 22.57/SA 42/EA 41.3. Also in the partial ‘Other translation’ of SA, and forms the basis of a long independent Seven Cases Sutta in the Chinese, which appears to be a Saṅgīti Sutta style compilation.</w:t>
      </w:r>
    </w:p>
  </w:footnote>
  <w:footnote w:id="339">
    <w:p w14:paraId="6CCF8363" w14:textId="5D7BC3CC" w:rsidR="00302E1E" w:rsidRDefault="00302E1E">
      <w:pPr>
        <w:pStyle w:val="FootnoteText"/>
      </w:pPr>
      <w:r>
        <w:rPr>
          <w:rStyle w:val="FootnoteReference"/>
        </w:rPr>
        <w:footnoteRef/>
      </w:r>
      <w:r>
        <w:t xml:space="preserve"> </w:t>
      </w:r>
      <w:r w:rsidR="00623719" w:rsidRPr="00513F3B">
        <w:rPr>
          <w:lang w:eastAsia="en-GB"/>
        </w:rPr>
        <w:t>SN 12.1/SA 298/T № 124/Skt etc. The Chinese sometimes has ‘the four immaterial aggregates’, which is almost certainly a later corruption; however, this does not affect the current argument.</w:t>
      </w:r>
    </w:p>
  </w:footnote>
  <w:footnote w:id="340">
    <w:p w14:paraId="5AC78CB9" w14:textId="3651EE65" w:rsidR="00302E1E" w:rsidRDefault="00302E1E">
      <w:pPr>
        <w:pStyle w:val="FootnoteText"/>
      </w:pPr>
      <w:r>
        <w:rPr>
          <w:rStyle w:val="FootnoteReference"/>
        </w:rPr>
        <w:footnoteRef/>
      </w:r>
      <w:r>
        <w:t xml:space="preserve"> </w:t>
      </w:r>
      <w:r w:rsidR="00623719" w:rsidRPr="00513F3B">
        <w:rPr>
          <w:lang w:eastAsia="en-GB"/>
        </w:rPr>
        <w:t>DN 15.20/DA 13/T № 14/MA 97/T № 52/Skt.</w:t>
      </w:r>
    </w:p>
  </w:footnote>
  <w:footnote w:id="341">
    <w:p w14:paraId="6DF45981" w14:textId="24C77685"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513F3B">
        <w:rPr>
          <w:i/>
          <w:iCs/>
          <w:lang w:eastAsia="en-GB"/>
        </w:rPr>
        <w:t>citta</w:t>
      </w:r>
      <w:r w:rsidR="00623719" w:rsidRPr="00513F3B">
        <w:rPr>
          <w:lang w:eastAsia="en-GB"/>
        </w:rPr>
        <w:t> and </w:t>
      </w:r>
      <w:r w:rsidR="00623719" w:rsidRPr="00513F3B">
        <w:rPr>
          <w:i/>
          <w:iCs/>
          <w:lang w:eastAsia="en-GB"/>
        </w:rPr>
        <w:t>viññāṇa</w:t>
      </w:r>
      <w:r w:rsidR="00623719" w:rsidRPr="00513F3B">
        <w:rPr>
          <w:lang w:eastAsia="en-GB"/>
        </w:rPr>
        <w:t> occurs in other contexts where samatha and vipassanā overlap, e.g. MN 138/MA 164 Uddesavibhaṅga.</w:t>
      </w:r>
    </w:p>
  </w:footnote>
  <w:footnote w:id="342">
    <w:p w14:paraId="2D495306" w14:textId="19EC1405" w:rsidR="00302E1E" w:rsidRDefault="00302E1E">
      <w:pPr>
        <w:pStyle w:val="FootnoteText"/>
      </w:pPr>
      <w:r>
        <w:rPr>
          <w:rStyle w:val="FootnoteReference"/>
        </w:rPr>
        <w:footnoteRef/>
      </w:r>
      <w:r>
        <w:t xml:space="preserve"> </w:t>
      </w:r>
      <w:r w:rsidR="00623719" w:rsidRPr="00513F3B">
        <w:rPr>
          <w:lang w:eastAsia="en-GB"/>
        </w:rPr>
        <w:t>SN 52.1.</w:t>
      </w:r>
    </w:p>
  </w:footnote>
  <w:footnote w:id="343">
    <w:p w14:paraId="5E8BE5D9" w14:textId="53C8D45F" w:rsidR="00302E1E" w:rsidRDefault="00302E1E">
      <w:pPr>
        <w:pStyle w:val="FootnoteText"/>
      </w:pPr>
      <w:r>
        <w:rPr>
          <w:rStyle w:val="FootnoteReference"/>
        </w:rPr>
        <w:footnoteRef/>
      </w:r>
      <w:r>
        <w:t xml:space="preserve"> </w:t>
      </w:r>
      <w:r w:rsidR="00623719" w:rsidRPr="00513F3B">
        <w:rPr>
          <w:lang w:eastAsia="en-GB"/>
        </w:rPr>
        <w:t>SA 536.</w:t>
      </w:r>
    </w:p>
  </w:footnote>
  <w:footnote w:id="344">
    <w:p w14:paraId="540C3E46" w14:textId="0C38E680" w:rsidR="00302E1E" w:rsidRDefault="00302E1E">
      <w:pPr>
        <w:pStyle w:val="FootnoteText"/>
      </w:pPr>
      <w:r>
        <w:rPr>
          <w:rStyle w:val="FootnoteReference"/>
        </w:rPr>
        <w:footnoteRef/>
      </w:r>
      <w:r>
        <w:t xml:space="preserve"> </w:t>
      </w:r>
      <w:r w:rsidR="00623719" w:rsidRPr="00513F3B">
        <w:rPr>
          <w:lang w:eastAsia="en-GB"/>
        </w:rPr>
        <w:t>SA 535.</w:t>
      </w:r>
    </w:p>
  </w:footnote>
  <w:footnote w:id="345">
    <w:p w14:paraId="38DF50AD" w14:textId="463159F3" w:rsidR="00302E1E" w:rsidRDefault="00302E1E">
      <w:pPr>
        <w:pStyle w:val="FootnoteText"/>
      </w:pPr>
      <w:r>
        <w:rPr>
          <w:rStyle w:val="FootnoteReference"/>
        </w:rPr>
        <w:footnoteRef/>
      </w:r>
      <w:r>
        <w:t xml:space="preserve"> </w:t>
      </w:r>
      <w:r w:rsidR="00623719" w:rsidRPr="00513F3B">
        <w:rPr>
          <w:lang w:eastAsia="en-GB"/>
        </w:rPr>
        <w:t>SN 36.11, 36.15–20.</w:t>
      </w:r>
    </w:p>
  </w:footnote>
  <w:footnote w:id="346">
    <w:p w14:paraId="14B40F25" w14:textId="243D3DD8" w:rsidR="00302E1E" w:rsidRDefault="00302E1E">
      <w:pPr>
        <w:pStyle w:val="FootnoteText"/>
      </w:pPr>
      <w:r>
        <w:rPr>
          <w:rStyle w:val="FootnoteReference"/>
        </w:rPr>
        <w:footnoteRef/>
      </w:r>
      <w:r>
        <w:t xml:space="preserve"> </w:t>
      </w:r>
      <w:r w:rsidR="00623719" w:rsidRPr="00513F3B">
        <w:rPr>
          <w:lang w:eastAsia="en-GB"/>
        </w:rPr>
        <w:t>SN 36.2, 36.7–10, 36.22.</w:t>
      </w:r>
    </w:p>
  </w:footnote>
  <w:footnote w:id="347">
    <w:p w14:paraId="089DB272" w14:textId="145E6235" w:rsidR="00302E1E" w:rsidRDefault="00302E1E">
      <w:pPr>
        <w:pStyle w:val="FootnoteText"/>
      </w:pPr>
      <w:r>
        <w:rPr>
          <w:rStyle w:val="FootnoteReference"/>
        </w:rPr>
        <w:footnoteRef/>
      </w:r>
      <w:r>
        <w:t xml:space="preserve"> </w:t>
      </w:r>
      <w:r w:rsidR="00623719" w:rsidRPr="00513F3B">
        <w:rPr>
          <w:lang w:eastAsia="en-GB"/>
        </w:rPr>
        <w:t>SN 36.7, 36.8.</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52027744" w:rsidR="00302E1E" w:rsidRDefault="00302E1E">
      <w:pPr>
        <w:pStyle w:val="FootnoteText"/>
      </w:pPr>
      <w:r>
        <w:rPr>
          <w:rStyle w:val="FootnoteReference"/>
        </w:rPr>
        <w:footnoteRef/>
      </w:r>
      <w:r>
        <w:t xml:space="preserve"> </w:t>
      </w:r>
      <w:r w:rsidR="00517DF3" w:rsidRPr="00513F3B">
        <w:rPr>
          <w:lang w:eastAsia="en-GB"/>
        </w:rPr>
        <w:t>SN 22.80.</w:t>
      </w:r>
    </w:p>
  </w:footnote>
  <w:footnote w:id="350">
    <w:p w14:paraId="7DC85A83" w14:textId="3C96CE29" w:rsidR="00302E1E" w:rsidRDefault="00302E1E" w:rsidP="00517DF3">
      <w:pPr>
        <w:pStyle w:val="FootnoteText"/>
        <w:tabs>
          <w:tab w:val="left" w:pos="1060"/>
        </w:tabs>
      </w:pPr>
      <w:r>
        <w:rPr>
          <w:rStyle w:val="FootnoteReference"/>
        </w:rPr>
        <w:footnoteRef/>
      </w:r>
      <w:r>
        <w:t xml:space="preserve"> </w:t>
      </w:r>
      <w:r w:rsidR="00517DF3" w:rsidRPr="00513F3B">
        <w:rPr>
          <w:lang w:eastAsia="en-GB"/>
        </w:rPr>
        <w:t>MN 78/MA 179 Samaṇamaṇḍikā.</w:t>
      </w:r>
      <w:r w:rsidR="00517DF3">
        <w:tab/>
      </w:r>
    </w:p>
  </w:footnote>
  <w:footnote w:id="351">
    <w:p w14:paraId="1C73CEA7" w14:textId="692FB313" w:rsidR="00302E1E" w:rsidRDefault="00302E1E">
      <w:pPr>
        <w:pStyle w:val="FootnoteText"/>
      </w:pPr>
      <w:r>
        <w:rPr>
          <w:rStyle w:val="FootnoteReference"/>
        </w:rPr>
        <w:footnoteRef/>
      </w:r>
      <w:r>
        <w:t xml:space="preserve"> </w:t>
      </w:r>
      <w:r w:rsidR="00517DF3" w:rsidRPr="00513F3B">
        <w:rPr>
          <w:lang w:eastAsia="en-GB"/>
        </w:rPr>
        <w:t>SN 35.132, etc.</w:t>
      </w:r>
    </w:p>
  </w:footnote>
  <w:footnote w:id="352">
    <w:p w14:paraId="52FF659F" w14:textId="15D25B78" w:rsidR="00903212" w:rsidRDefault="00903212">
      <w:pPr>
        <w:pStyle w:val="FootnoteText"/>
      </w:pPr>
      <w:r>
        <w:rPr>
          <w:rStyle w:val="FootnoteReference"/>
        </w:rPr>
        <w:footnoteRef/>
      </w:r>
      <w:r>
        <w:t xml:space="preserve"> </w:t>
      </w:r>
      <w:r w:rsidR="00517DF3" w:rsidRPr="00513F3B">
        <w:rPr>
          <w:lang w:eastAsia="en-GB"/>
        </w:rPr>
        <w:t>SN 35.134.</w:t>
      </w:r>
    </w:p>
  </w:footnote>
  <w:footnote w:id="353">
    <w:p w14:paraId="58B926D1" w14:textId="1937C27A" w:rsidR="00541B60" w:rsidRDefault="00541B60">
      <w:pPr>
        <w:pStyle w:val="FootnoteText"/>
      </w:pPr>
      <w:r>
        <w:rPr>
          <w:rStyle w:val="FootnoteReference"/>
        </w:rPr>
        <w:footnoteRef/>
      </w:r>
      <w:r>
        <w:t xml:space="preserve"> </w:t>
      </w:r>
      <w:r w:rsidR="00517DF3" w:rsidRPr="00513F3B">
        <w:rPr>
          <w:lang w:eastAsia="en-GB"/>
        </w:rPr>
        <w:t>MN 118.</w:t>
      </w:r>
    </w:p>
  </w:footnote>
  <w:footnote w:id="354">
    <w:p w14:paraId="52451CD1" w14:textId="4454D0C1" w:rsidR="00541B60" w:rsidRDefault="00541B60">
      <w:pPr>
        <w:pStyle w:val="FootnoteText"/>
      </w:pPr>
      <w:r>
        <w:rPr>
          <w:rStyle w:val="FootnoteReference"/>
        </w:rPr>
        <w:footnoteRef/>
      </w:r>
      <w:r>
        <w:t xml:space="preserve"> </w:t>
      </w:r>
      <w:r w:rsidR="00517DF3" w:rsidRPr="00513F3B">
        <w:rPr>
          <w:lang w:eastAsia="en-GB"/>
        </w:rPr>
        <w:t>Chih-ching, according to MINH CHÂU, pg.</w:t>
      </w:r>
      <w:r w:rsidR="00517DF3" w:rsidRPr="00513F3B">
        <w:rPr>
          <w:rFonts w:ascii="Times New Roman" w:hAnsi="Times New Roman"/>
          <w:lang w:eastAsia="en-GB"/>
        </w:rPr>
        <w:t>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2C236625" w:rsidR="00541B60" w:rsidRPr="00517DF3" w:rsidRDefault="00541B60">
      <w:pPr>
        <w:pStyle w:val="FootnoteText"/>
      </w:pPr>
      <w:r>
        <w:rPr>
          <w:rStyle w:val="FootnoteReference"/>
        </w:rPr>
        <w:footnoteRef/>
      </w:r>
      <w:r>
        <w:t xml:space="preserve"> </w:t>
      </w:r>
      <w:r w:rsidR="00517DF3" w:rsidRPr="00513F3B">
        <w:rPr>
          <w:lang w:eastAsia="en-GB"/>
        </w:rPr>
        <w:t>SN 54.10/SA 813, SN 54.13/SA 810, MN 118.23</w:t>
      </w:r>
      <w:r w:rsidR="00517DF3" w:rsidRPr="00517DF3">
        <w:rPr>
          <w:lang w:eastAsia="en-GB"/>
        </w:rPr>
        <w:t>ff.</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58B7DC72" w:rsidR="00541B60" w:rsidRDefault="00541B60">
      <w:pPr>
        <w:pStyle w:val="FootnoteText"/>
      </w:pPr>
      <w:r>
        <w:rPr>
          <w:rStyle w:val="FootnoteReference"/>
        </w:rPr>
        <w:footnoteRef/>
      </w:r>
      <w:r>
        <w:t xml:space="preserve"> </w:t>
      </w:r>
      <w:r w:rsidR="00517DF3" w:rsidRPr="00A73B7C">
        <w:rPr>
          <w:rStyle w:val="FootnoteTextChar"/>
        </w:rPr>
        <w:t>T № 1548. FRAUWALLNER (1995)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BAE4D01" w:rsidR="00541B60" w:rsidRDefault="00541B60">
      <w:pPr>
        <w:pStyle w:val="FootnoteText"/>
      </w:pPr>
      <w:r>
        <w:rPr>
          <w:rStyle w:val="FootnoteReference"/>
        </w:rPr>
        <w:footnoteRef/>
      </w:r>
      <w:r>
        <w:t xml:space="preserve"> </w:t>
      </w:r>
      <w:r w:rsidR="00517DF3" w:rsidRPr="00513F3B">
        <w:rPr>
          <w:lang w:eastAsia="en-GB"/>
        </w:rPr>
        <w:t>SN 36.31/SA 483.</w:t>
      </w:r>
    </w:p>
  </w:footnote>
  <w:footnote w:id="360">
    <w:p w14:paraId="133825CF" w14:textId="28A561FE" w:rsidR="00541B60" w:rsidRDefault="00541B60">
      <w:pPr>
        <w:pStyle w:val="FootnoteText"/>
      </w:pPr>
      <w:r>
        <w:rPr>
          <w:rStyle w:val="FootnoteReference"/>
        </w:rPr>
        <w:footnoteRef/>
      </w:r>
      <w:r>
        <w:t xml:space="preserve"> </w:t>
      </w:r>
      <w:r w:rsidR="00517DF3" w:rsidRPr="00513F3B">
        <w:rPr>
          <w:lang w:eastAsia="en-GB"/>
        </w:rPr>
        <w:t>AN 6.26/SA 550.</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69E3F37A" w:rsidR="00541B60" w:rsidRDefault="00541B60">
      <w:pPr>
        <w:pStyle w:val="FootnoteText"/>
      </w:pPr>
      <w:r>
        <w:rPr>
          <w:rStyle w:val="FootnoteReference"/>
        </w:rPr>
        <w:footnoteRef/>
      </w:r>
      <w:r>
        <w:t xml:space="preserve"> </w:t>
      </w:r>
      <w:r w:rsidR="00517DF3" w:rsidRPr="00513F3B">
        <w:rPr>
          <w:lang w:eastAsia="en-GB"/>
        </w:rPr>
        <w:t>SN 22.122/SA 259.</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513F3B">
        <w:rPr>
          <w:i/>
          <w:iCs/>
          <w:lang w:eastAsia="en-GB"/>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513F3B">
        <w:rPr>
          <w:i/>
          <w:iCs/>
          <w:lang w:eastAsia="en-GB"/>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139A051E" w:rsidR="00541B60" w:rsidRDefault="00541B60">
      <w:pPr>
        <w:pStyle w:val="FootnoteText"/>
      </w:pPr>
      <w:r>
        <w:rPr>
          <w:rStyle w:val="FootnoteReference"/>
        </w:rPr>
        <w:footnoteRef/>
      </w:r>
      <w:r>
        <w:t xml:space="preserve"> </w:t>
      </w:r>
      <w:r w:rsidR="008A7C0A" w:rsidRPr="00513F3B">
        <w:rPr>
          <w:lang w:eastAsia="en-GB"/>
        </w:rPr>
        <w:t>SN 48.2–7.</w:t>
      </w:r>
    </w:p>
  </w:footnote>
  <w:footnote w:id="366">
    <w:p w14:paraId="097FF06C" w14:textId="00C48BAF" w:rsidR="00541B60" w:rsidRDefault="00541B60">
      <w:pPr>
        <w:pStyle w:val="FootnoteText"/>
      </w:pPr>
      <w:r>
        <w:rPr>
          <w:rStyle w:val="FootnoteReference"/>
        </w:rPr>
        <w:footnoteRef/>
      </w:r>
      <w:r>
        <w:t xml:space="preserve"> </w:t>
      </w:r>
      <w:r w:rsidR="008A7C0A" w:rsidRPr="00513F3B">
        <w:rPr>
          <w:lang w:eastAsia="en-GB"/>
        </w:rPr>
        <w:t>SN 54.6/SA 805.</w:t>
      </w:r>
    </w:p>
  </w:footnote>
  <w:footnote w:id="367">
    <w:p w14:paraId="231652DA" w14:textId="3C920698" w:rsidR="00541B60" w:rsidRDefault="00541B60">
      <w:pPr>
        <w:pStyle w:val="FootnoteText"/>
      </w:pPr>
      <w:r>
        <w:rPr>
          <w:rStyle w:val="FootnoteReference"/>
        </w:rPr>
        <w:footnoteRef/>
      </w:r>
      <w:r>
        <w:t xml:space="preserve"> </w:t>
      </w:r>
      <w:r w:rsidR="008A7C0A" w:rsidRPr="00513F3B">
        <w:rPr>
          <w:lang w:eastAsia="en-GB"/>
        </w:rPr>
        <w:t>Compare Sutta passages that describe the internal space element as the spaces where food is eaten, digested, and passed out. MN 140.18/MA 162; MN 62.12/EA 17.1.</w:t>
      </w:r>
    </w:p>
  </w:footnote>
  <w:footnote w:id="368">
    <w:p w14:paraId="197E92DF" w14:textId="5716234A" w:rsidR="00541B60" w:rsidRDefault="00541B60">
      <w:pPr>
        <w:pStyle w:val="FootnoteText"/>
      </w:pPr>
      <w:r>
        <w:rPr>
          <w:rStyle w:val="FootnoteReference"/>
        </w:rPr>
        <w:footnoteRef/>
      </w:r>
      <w:r>
        <w:t xml:space="preserve"> </w:t>
      </w:r>
      <w:r w:rsidR="008A7C0A" w:rsidRPr="00513F3B">
        <w:rPr>
          <w:lang w:eastAsia="en-GB"/>
        </w:rPr>
        <w:t>DN 28.7/DA 18.</w:t>
      </w:r>
    </w:p>
  </w:footnote>
  <w:footnote w:id="369">
    <w:p w14:paraId="11ED6055" w14:textId="703D3738" w:rsidR="00541B60" w:rsidRDefault="00541B60">
      <w:pPr>
        <w:pStyle w:val="FootnoteText"/>
      </w:pPr>
      <w:r>
        <w:rPr>
          <w:rStyle w:val="FootnoteReference"/>
        </w:rPr>
        <w:footnoteRef/>
      </w:r>
      <w:r>
        <w:t xml:space="preserve"> </w:t>
      </w:r>
      <w:r w:rsidR="008A7C0A" w:rsidRPr="00513F3B">
        <w:rPr>
          <w:lang w:eastAsia="en-GB"/>
        </w:rPr>
        <w:t>MN 28.6/MA 30.</w:t>
      </w:r>
    </w:p>
  </w:footnote>
  <w:footnote w:id="370">
    <w:p w14:paraId="246C9949" w14:textId="4DE4078C" w:rsidR="00DB1083" w:rsidRDefault="00DB1083">
      <w:pPr>
        <w:pStyle w:val="FootnoteText"/>
      </w:pPr>
      <w:r>
        <w:rPr>
          <w:rStyle w:val="FootnoteReference"/>
        </w:rPr>
        <w:footnoteRef/>
      </w:r>
      <w:r>
        <w:t xml:space="preserve"> </w:t>
      </w:r>
      <w:r w:rsidR="008A7C0A" w:rsidRPr="00513F3B">
        <w:rPr>
          <w:lang w:eastAsia="en-GB"/>
        </w:rPr>
        <w:t>E.g. DN 33.1.11.10/DA 9.</w:t>
      </w:r>
    </w:p>
  </w:footnote>
  <w:footnote w:id="371">
    <w:p w14:paraId="79E8979E" w14:textId="7FC59366" w:rsidR="00DB1083" w:rsidRDefault="00DB1083">
      <w:pPr>
        <w:pStyle w:val="FootnoteText"/>
      </w:pPr>
      <w:r>
        <w:rPr>
          <w:rStyle w:val="FootnoteReference"/>
        </w:rPr>
        <w:footnoteRef/>
      </w:r>
      <w:r>
        <w:t xml:space="preserve"> </w:t>
      </w:r>
      <w:r w:rsidR="008A7C0A" w:rsidRPr="00513F3B">
        <w:rPr>
          <w:lang w:eastAsia="en-GB"/>
        </w:rPr>
        <w:t>MN 62/EA 17.1.</w:t>
      </w:r>
    </w:p>
  </w:footnote>
  <w:footnote w:id="372">
    <w:p w14:paraId="7CAAAC21" w14:textId="2BD618EB" w:rsidR="00DB1083" w:rsidRDefault="00DB1083">
      <w:pPr>
        <w:pStyle w:val="FootnoteText"/>
      </w:pPr>
      <w:r>
        <w:rPr>
          <w:rStyle w:val="FootnoteReference"/>
        </w:rPr>
        <w:footnoteRef/>
      </w:r>
      <w:r>
        <w:t xml:space="preserve"> </w:t>
      </w:r>
      <w:r w:rsidR="008A7C0A" w:rsidRPr="00513F3B">
        <w:rPr>
          <w:lang w:eastAsia="en-GB"/>
        </w:rPr>
        <w:t>Ud 4.1.</w:t>
      </w:r>
    </w:p>
  </w:footnote>
  <w:footnote w:id="373">
    <w:p w14:paraId="5C4D1AAB" w14:textId="55B8FB3E" w:rsidR="00DB1083" w:rsidRDefault="00DB1083">
      <w:pPr>
        <w:pStyle w:val="FootnoteText"/>
      </w:pPr>
      <w:r>
        <w:rPr>
          <w:rStyle w:val="FootnoteReference"/>
        </w:rPr>
        <w:footnoteRef/>
      </w:r>
      <w:r>
        <w:t xml:space="preserve"> </w:t>
      </w:r>
      <w:r w:rsidR="008A7C0A" w:rsidRPr="00513F3B">
        <w:rPr>
          <w:lang w:eastAsia="en-GB"/>
        </w:rPr>
        <w:t>Iti 3.36.</w:t>
      </w:r>
    </w:p>
  </w:footnote>
  <w:footnote w:id="374">
    <w:p w14:paraId="47555158" w14:textId="50559E9B" w:rsidR="00DB1083" w:rsidRDefault="00DB1083">
      <w:pPr>
        <w:pStyle w:val="FootnoteText"/>
      </w:pPr>
      <w:r>
        <w:rPr>
          <w:rStyle w:val="FootnoteReference"/>
        </w:rPr>
        <w:footnoteRef/>
      </w:r>
      <w:r>
        <w:t xml:space="preserve"> </w:t>
      </w:r>
      <w:r w:rsidR="001B5F92" w:rsidRPr="00513F3B">
        <w:rPr>
          <w:lang w:eastAsia="en-GB"/>
        </w:rPr>
        <w:t>DUTT, pg.</w:t>
      </w:r>
      <w:r w:rsidR="001B5F92" w:rsidRPr="00513F3B">
        <w:rPr>
          <w:rFonts w:ascii="Times New Roman" w:hAnsi="Times New Roman"/>
          <w:lang w:eastAsia="en-GB"/>
        </w:rPr>
        <w:t> </w:t>
      </w:r>
      <w:r w:rsidR="001B5F92" w:rsidRPr="00513F3B">
        <w:rPr>
          <w:lang w:eastAsia="en-GB"/>
        </w:rPr>
        <w:t>254.</w:t>
      </w:r>
    </w:p>
  </w:footnote>
  <w:footnote w:id="375">
    <w:p w14:paraId="16DDA469" w14:textId="0971552E" w:rsidR="00DB1083" w:rsidRDefault="00DB1083">
      <w:pPr>
        <w:pStyle w:val="FootnoteText"/>
      </w:pPr>
      <w:r>
        <w:rPr>
          <w:rStyle w:val="FootnoteReference"/>
        </w:rPr>
        <w:footnoteRef/>
      </w:r>
      <w:r>
        <w:t xml:space="preserve"> </w:t>
      </w:r>
      <w:r w:rsidR="001B5F92" w:rsidRPr="00513F3B">
        <w:rPr>
          <w:lang w:eastAsia="en-GB"/>
        </w:rPr>
        <w:t>CONZE , pp.</w:t>
      </w:r>
      <w:r w:rsidR="001B5F92" w:rsidRPr="00513F3B">
        <w:rPr>
          <w:rFonts w:ascii="Times New Roman" w:hAnsi="Times New Roman"/>
          <w:lang w:eastAsia="en-GB"/>
        </w:rPr>
        <w:t>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AB2478C" w:rsidR="00A210E7" w:rsidRDefault="00A210E7">
      <w:pPr>
        <w:pStyle w:val="FootnoteText"/>
      </w:pPr>
      <w:r>
        <w:rPr>
          <w:rStyle w:val="FootnoteReference"/>
        </w:rPr>
        <w:footnoteRef/>
      </w:r>
      <w:r>
        <w:t xml:space="preserve"> </w:t>
      </w:r>
      <w:r w:rsidR="001B5F92" w:rsidRPr="00513F3B">
        <w:rPr>
          <w:lang w:eastAsia="en-GB"/>
        </w:rPr>
        <w:t>DAYAL, pg.</w:t>
      </w:r>
      <w:r w:rsidR="001B5F92" w:rsidRPr="00513F3B">
        <w:rPr>
          <w:rFonts w:ascii="Times New Roman" w:hAnsi="Times New Roman"/>
          <w:lang w:eastAsia="en-GB"/>
        </w:rPr>
        <w:t> </w:t>
      </w:r>
      <w:r w:rsidR="001B5F92" w:rsidRPr="00513F3B">
        <w:rPr>
          <w:lang w:eastAsia="en-GB"/>
        </w:rPr>
        <w:t>90.</w:t>
      </w:r>
    </w:p>
  </w:footnote>
  <w:footnote w:id="377">
    <w:p w14:paraId="232C0E88" w14:textId="0C4A49B7" w:rsidR="00A210E7" w:rsidRDefault="00A210E7">
      <w:pPr>
        <w:pStyle w:val="FootnoteText"/>
      </w:pPr>
      <w:r>
        <w:rPr>
          <w:rStyle w:val="FootnoteReference"/>
        </w:rPr>
        <w:footnoteRef/>
      </w:r>
      <w:r>
        <w:t xml:space="preserve"> </w:t>
      </w:r>
      <w:r w:rsidR="001B5F92" w:rsidRPr="00513F3B">
        <w:rPr>
          <w:lang w:eastAsia="en-GB"/>
        </w:rPr>
        <w:t>CONZE, pg.</w:t>
      </w:r>
      <w:r w:rsidR="001B5F92" w:rsidRPr="00513F3B">
        <w:rPr>
          <w:rFonts w:ascii="Times New Roman" w:hAnsi="Times New Roman"/>
          <w:lang w:eastAsia="en-GB"/>
        </w:rPr>
        <w:t> </w:t>
      </w:r>
      <w:r w:rsidR="001B5F92" w:rsidRPr="00513F3B">
        <w:rPr>
          <w:lang w:eastAsia="en-GB"/>
        </w:rPr>
        <w:t>580.</w:t>
      </w:r>
    </w:p>
  </w:footnote>
  <w:footnote w:id="378">
    <w:p w14:paraId="0C7B164C" w14:textId="035C3A12" w:rsidR="00A210E7" w:rsidRDefault="00A210E7">
      <w:pPr>
        <w:pStyle w:val="FootnoteText"/>
      </w:pPr>
      <w:r>
        <w:rPr>
          <w:rStyle w:val="FootnoteReference"/>
        </w:rPr>
        <w:footnoteRef/>
      </w:r>
      <w:r>
        <w:t xml:space="preserve"> </w:t>
      </w:r>
      <w:r w:rsidR="001B5F92" w:rsidRPr="00513F3B">
        <w:rPr>
          <w:lang w:eastAsia="en-GB"/>
        </w:rPr>
        <w:t>MA 98.</w:t>
      </w:r>
    </w:p>
  </w:footnote>
  <w:footnote w:id="379">
    <w:p w14:paraId="33472D4F" w14:textId="6DFFF044" w:rsidR="00A210E7" w:rsidRDefault="00A210E7">
      <w:pPr>
        <w:pStyle w:val="FootnoteText"/>
      </w:pPr>
      <w:r>
        <w:rPr>
          <w:rStyle w:val="FootnoteReference"/>
        </w:rPr>
        <w:footnoteRef/>
      </w:r>
      <w:r>
        <w:t xml:space="preserve"> </w:t>
      </w:r>
      <w:r w:rsidR="001B5F92" w:rsidRPr="00513F3B">
        <w:rPr>
          <w:lang w:eastAsia="en-GB"/>
        </w:rPr>
        <w:t>Thích NHẤT HẠNH’s translation refers in the plural to ‘all Tathāgatas of the present (including myself</w:t>
      </w:r>
      <w:r w:rsidR="001B5F92" w:rsidRPr="00513F3B">
        <w:rPr>
          <w:rFonts w:ascii="Times New Roman" w:hAnsi="Times New Roman"/>
          <w:lang w:eastAsia="en-GB"/>
        </w:rPr>
        <w:t> </w:t>
      </w:r>
      <w:r w:rsidR="001B5F92" w:rsidRPr="00513F3B">
        <w:rPr>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CB57C0D" w:rsidR="00A210E7" w:rsidRDefault="00A210E7">
      <w:pPr>
        <w:pStyle w:val="FootnoteText"/>
      </w:pPr>
      <w:r>
        <w:rPr>
          <w:rStyle w:val="FootnoteReference"/>
        </w:rPr>
        <w:footnoteRef/>
      </w:r>
      <w:r>
        <w:t xml:space="preserve"> </w:t>
      </w:r>
      <w:r w:rsidR="00F23E08" w:rsidRPr="00513F3B">
        <w:rPr>
          <w:lang w:eastAsia="en-GB"/>
        </w:rPr>
        <w:t>MN 119/MA 81.</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DDA8F3A" w:rsidR="00A210E7" w:rsidRDefault="00A210E7">
      <w:pPr>
        <w:pStyle w:val="FootnoteText"/>
      </w:pPr>
      <w:r>
        <w:rPr>
          <w:rStyle w:val="FootnoteReference"/>
        </w:rPr>
        <w:footnoteRef/>
      </w:r>
      <w:r>
        <w:t xml:space="preserve"> </w:t>
      </w:r>
      <w:r w:rsidR="00F23E08" w:rsidRPr="00513F3B">
        <w:rPr>
          <w:lang w:eastAsia="en-GB"/>
        </w:rPr>
        <w:t>ANĀLAYO, pg.</w:t>
      </w:r>
      <w:r w:rsidR="00F23E08" w:rsidRPr="00513F3B">
        <w:rPr>
          <w:rFonts w:ascii="Times New Roman" w:hAnsi="Times New Roman"/>
          <w:lang w:eastAsia="en-GB"/>
        </w:rPr>
        <w:t> </w:t>
      </w:r>
      <w:r w:rsidR="00F23E08" w:rsidRPr="00513F3B">
        <w:rPr>
          <w:lang w:eastAsia="en-GB"/>
        </w:rPr>
        <w:t>53</w:t>
      </w:r>
      <w:r w:rsidR="00F23E08" w:rsidRPr="00513F3B">
        <w:rPr>
          <w:i/>
          <w:iCs/>
          <w:lang w:eastAsia="en-GB"/>
        </w:rPr>
        <w:t>ff.</w:t>
      </w:r>
      <w:r w:rsidR="00F23E08" w:rsidRPr="00513F3B">
        <w:rPr>
          <w:lang w:eastAsia="en-GB"/>
        </w:rPr>
        <w:t>, discusses the various satipaṭṭhāna similes in more detail.</w:t>
      </w:r>
    </w:p>
  </w:footnote>
  <w:footnote w:id="383">
    <w:p w14:paraId="4E0AA95E" w14:textId="245BAE37" w:rsidR="00A210E7" w:rsidRDefault="00A210E7">
      <w:pPr>
        <w:pStyle w:val="FootnoteText"/>
      </w:pPr>
      <w:r>
        <w:rPr>
          <w:rStyle w:val="FootnoteReference"/>
        </w:rPr>
        <w:footnoteRef/>
      </w:r>
      <w:r>
        <w:t xml:space="preserve"> </w:t>
      </w:r>
      <w:r w:rsidR="00F23E08" w:rsidRPr="00513F3B">
        <w:rPr>
          <w:lang w:eastAsia="en-GB"/>
        </w:rPr>
        <w:t>DN 2.76–82,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See SUJATO, </w:t>
      </w:r>
      <w:r w:rsidR="00F23E08" w:rsidRPr="00513F3B">
        <w:rPr>
          <w:i/>
          <w:iCs/>
          <w:lang w:eastAsia="en-GB"/>
        </w:rPr>
        <w:t>Swift Pair</w:t>
      </w:r>
      <w:r w:rsidR="00F23E08" w:rsidRPr="00513F3B">
        <w:rPr>
          <w:lang w:eastAsia="en-GB"/>
        </w:rPr>
        <w:t>, Appendix A.7.</w:t>
      </w:r>
    </w:p>
  </w:footnote>
  <w:footnote w:id="385">
    <w:p w14:paraId="51FBBC3C" w14:textId="47F6CF70" w:rsidR="00A210E7" w:rsidRDefault="00A210E7">
      <w:pPr>
        <w:pStyle w:val="FootnoteText"/>
      </w:pPr>
      <w:r>
        <w:rPr>
          <w:rStyle w:val="FootnoteReference"/>
        </w:rPr>
        <w:footnoteRef/>
      </w:r>
      <w:r>
        <w:t xml:space="preserve"> </w:t>
      </w:r>
      <w:r w:rsidR="00F23E08" w:rsidRPr="00513F3B">
        <w:rPr>
          <w:lang w:eastAsia="en-GB"/>
        </w:rPr>
        <w:t>MN 36.20.</w:t>
      </w:r>
    </w:p>
  </w:footnote>
  <w:footnote w:id="386">
    <w:p w14:paraId="055EB65C" w14:textId="19FBE88D" w:rsidR="00A210E7" w:rsidRDefault="00A210E7">
      <w:pPr>
        <w:pStyle w:val="FootnoteText"/>
      </w:pPr>
      <w:r>
        <w:rPr>
          <w:rStyle w:val="FootnoteReference"/>
        </w:rPr>
        <w:footnoteRef/>
      </w:r>
      <w:r>
        <w:t xml:space="preserve"> </w:t>
      </w:r>
      <w:r w:rsidR="00F23E08" w:rsidRPr="00513F3B">
        <w:rPr>
          <w:i/>
          <w:iCs/>
          <w:lang w:eastAsia="en-GB"/>
        </w:rPr>
        <w:t>Paccavekkhana nimitta</w:t>
      </w:r>
      <w:r w:rsidR="00F23E08" w:rsidRPr="00513F3B">
        <w:rPr>
          <w:lang w:eastAsia="en-GB"/>
        </w:rPr>
        <w:t>. Minh Châu has ‘contemplating image’, suggesting that the Chinese translation was influenced by the later meaning of </w:t>
      </w:r>
      <w:r w:rsidR="00F23E08" w:rsidRPr="00513F3B">
        <w:rPr>
          <w:i/>
          <w:iCs/>
          <w:lang w:eastAsia="en-GB"/>
        </w:rPr>
        <w:t>nimitta</w:t>
      </w:r>
      <w:r w:rsidR="00F23E08" w:rsidRPr="00513F3B">
        <w:rPr>
          <w:lang w:eastAsia="en-GB"/>
        </w:rPr>
        <w:t>. See discussion in SUJATO, </w:t>
      </w:r>
      <w:r w:rsidR="00F23E08" w:rsidRPr="00513F3B">
        <w:rPr>
          <w:i/>
          <w:iCs/>
          <w:lang w:eastAsia="en-GB"/>
        </w:rPr>
        <w:t>Swift Pair</w:t>
      </w:r>
      <w:r w:rsidR="00F23E08" w:rsidRPr="00513F3B">
        <w:rPr>
          <w:lang w:eastAsia="en-GB"/>
        </w:rPr>
        <w:t>, Appendix A.14–16.</w:t>
      </w:r>
    </w:p>
  </w:footnote>
  <w:footnote w:id="387">
    <w:p w14:paraId="1C39B3B3" w14:textId="7AA94CD7" w:rsidR="00A210E7" w:rsidRDefault="00A210E7">
      <w:pPr>
        <w:pStyle w:val="FootnoteText"/>
      </w:pPr>
      <w:r>
        <w:rPr>
          <w:rStyle w:val="FootnoteReference"/>
        </w:rPr>
        <w:footnoteRef/>
      </w:r>
      <w:r>
        <w:t xml:space="preserve"> </w:t>
      </w:r>
      <w:r w:rsidR="00F23E08" w:rsidRPr="00513F3B">
        <w:rPr>
          <w:lang w:eastAsia="en-GB"/>
        </w:rPr>
        <w:t>Cp. AN 5.28, DN 34.1.6/DA 10.</w:t>
      </w:r>
    </w:p>
    <w:p w14:paraId="4771C69A" w14:textId="77777777" w:rsidR="00A210E7" w:rsidRDefault="00A210E7">
      <w:pPr>
        <w:pStyle w:val="FootnoteText"/>
      </w:pP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10472A29" w:rsidR="004202BB" w:rsidRDefault="004202BB">
      <w:pPr>
        <w:pStyle w:val="FootnoteText"/>
      </w:pPr>
      <w:r>
        <w:rPr>
          <w:rStyle w:val="FootnoteReference"/>
        </w:rPr>
        <w:footnoteRef/>
      </w:r>
      <w:r>
        <w:t xml:space="preserve"> </w:t>
      </w:r>
      <w:r w:rsidR="00F23E08" w:rsidRPr="00513F3B">
        <w:rPr>
          <w:lang w:eastAsia="en-GB"/>
        </w:rPr>
        <w:t>SN 46.29.</w:t>
      </w:r>
    </w:p>
  </w:footnote>
  <w:footnote w:id="390">
    <w:p w14:paraId="6B6B945C" w14:textId="6678442B" w:rsidR="004202BB" w:rsidRDefault="004202BB">
      <w:pPr>
        <w:pStyle w:val="FootnoteText"/>
      </w:pPr>
      <w:r>
        <w:rPr>
          <w:rStyle w:val="FootnoteReference"/>
        </w:rPr>
        <w:footnoteRef/>
      </w:r>
      <w:r>
        <w:t xml:space="preserve"> </w:t>
      </w:r>
      <w:r w:rsidR="00C93C1F" w:rsidRPr="00513F3B">
        <w:rPr>
          <w:lang w:eastAsia="en-GB"/>
        </w:rPr>
        <w:t>SCHOPEN 2004, pp. 39</w:t>
      </w:r>
      <w:r w:rsidR="00C93C1F" w:rsidRPr="00C93C1F">
        <w:rPr>
          <w:lang w:eastAsia="en-GB"/>
        </w:rPr>
        <w:t>5ff.</w:t>
      </w:r>
    </w:p>
  </w:footnote>
  <w:footnote w:id="391">
    <w:p w14:paraId="4FF48866" w14:textId="09D5B6E3" w:rsidR="004202BB" w:rsidRDefault="004202BB">
      <w:pPr>
        <w:pStyle w:val="FootnoteText"/>
      </w:pPr>
      <w:r>
        <w:rPr>
          <w:rStyle w:val="FootnoteReference"/>
        </w:rPr>
        <w:footnoteRef/>
      </w:r>
      <w:r>
        <w:t xml:space="preserve"> </w:t>
      </w:r>
      <w:r w:rsidR="00C93C1F" w:rsidRPr="00513F3B">
        <w:rPr>
          <w:lang w:eastAsia="en-GB"/>
        </w:rPr>
        <w:t>SCHOPEN 2004, pg.</w:t>
      </w:r>
      <w:r w:rsidR="00C93C1F" w:rsidRPr="00513F3B">
        <w:rPr>
          <w:rFonts w:ascii="Times New Roman" w:hAnsi="Times New Roman"/>
          <w:lang w:eastAsia="en-GB"/>
        </w:rPr>
        <w:t>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3B0CC4E2" w:rsidR="004202BB" w:rsidRDefault="004202BB">
      <w:pPr>
        <w:pStyle w:val="FootnoteText"/>
      </w:pPr>
      <w:r>
        <w:rPr>
          <w:rStyle w:val="FootnoteReference"/>
        </w:rPr>
        <w:footnoteRef/>
      </w:r>
      <w:r>
        <w:t xml:space="preserve"> </w:t>
      </w:r>
      <w:r w:rsidR="00C93C1F" w:rsidRPr="00513F3B">
        <w:rPr>
          <w:lang w:eastAsia="en-GB"/>
        </w:rPr>
        <w:t>The Theravāda Satipaṭṭhāna Suttas have a small spelling mistake in the refrain in the contemplation of dhammas section. The phrase is ‘</w:t>
      </w:r>
      <w:r w:rsidR="00C93C1F" w:rsidRPr="00513F3B">
        <w:rPr>
          <w:rFonts w:ascii="Times New Roman" w:hAnsi="Times New Roman"/>
          <w:lang w:eastAsia="en-GB"/>
        </w:rPr>
        <w:t> </w:t>
      </w:r>
      <w:r w:rsidR="00C93C1F" w:rsidRPr="00513F3B">
        <w:rPr>
          <w:rFonts w:cs="Source Serif Pro"/>
          <w:lang w:eastAsia="en-GB"/>
        </w:rPr>
        <w:t>“</w:t>
      </w:r>
      <w:r w:rsidR="00C93C1F" w:rsidRPr="00513F3B">
        <w:rPr>
          <w:i/>
          <w:iCs/>
          <w:lang w:eastAsia="en-GB"/>
        </w:rPr>
        <w:t>Atthi dhammā”ti</w:t>
      </w:r>
      <w:r w:rsidR="00C93C1F" w:rsidRPr="00513F3B">
        <w:rPr>
          <w:lang w:eastAsia="en-GB"/>
        </w:rPr>
        <w:t>’ (‘there is dhammas’), where </w:t>
      </w:r>
      <w:r w:rsidR="00C93C1F" w:rsidRPr="00513F3B">
        <w:rPr>
          <w:i/>
          <w:iCs/>
          <w:lang w:eastAsia="en-GB"/>
        </w:rPr>
        <w:t>atthi</w:t>
      </w:r>
      <w:r w:rsidR="00C93C1F" w:rsidRPr="00513F3B">
        <w:rPr>
          <w:lang w:eastAsia="en-GB"/>
        </w:rPr>
        <w:t> is singular and </w:t>
      </w:r>
      <w:r w:rsidR="00C93C1F" w:rsidRPr="00513F3B">
        <w:rPr>
          <w:i/>
          <w:iCs/>
          <w:lang w:eastAsia="en-GB"/>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535E7B74" w:rsidR="004202BB" w:rsidRDefault="004202BB">
      <w:pPr>
        <w:pStyle w:val="FootnoteText"/>
      </w:pPr>
      <w:r>
        <w:rPr>
          <w:rStyle w:val="FootnoteReference"/>
        </w:rPr>
        <w:footnoteRef/>
      </w:r>
      <w:r>
        <w:t xml:space="preserve"> </w:t>
      </w:r>
      <w:r w:rsidR="00C93C1F" w:rsidRPr="00513F3B">
        <w:rPr>
          <w:lang w:eastAsia="en-GB"/>
        </w:rPr>
        <w:t>SN 46.35.</w:t>
      </w:r>
    </w:p>
  </w:footnote>
  <w:footnote w:id="395">
    <w:p w14:paraId="26E32560" w14:textId="681403AD" w:rsidR="004202BB" w:rsidRDefault="004202BB">
      <w:pPr>
        <w:pStyle w:val="FootnoteText"/>
      </w:pPr>
      <w:r>
        <w:rPr>
          <w:rStyle w:val="FootnoteReference"/>
        </w:rPr>
        <w:footnoteRef/>
      </w:r>
      <w:r>
        <w:t xml:space="preserve"> </w:t>
      </w:r>
      <w:r w:rsidR="00C93C1F" w:rsidRPr="00513F3B">
        <w:rPr>
          <w:lang w:eastAsia="en-GB"/>
        </w:rPr>
        <w:t>SN 46.2, 5, 7, 23, 24, 33, 34, 37, 39, 40, 49, 51, 52, 53, 55, 56.</w:t>
      </w:r>
    </w:p>
  </w:footnote>
  <w:footnote w:id="396">
    <w:p w14:paraId="32F91B62" w14:textId="266AF515" w:rsidR="004202BB" w:rsidRDefault="004202BB">
      <w:pPr>
        <w:pStyle w:val="FootnoteText"/>
      </w:pPr>
      <w:r>
        <w:rPr>
          <w:rStyle w:val="FootnoteReference"/>
        </w:rPr>
        <w:footnoteRef/>
      </w:r>
      <w:r>
        <w:t xml:space="preserve"> </w:t>
      </w:r>
      <w:r w:rsidR="00C93C1F" w:rsidRPr="00513F3B">
        <w:rPr>
          <w:lang w:eastAsia="en-GB"/>
        </w:rPr>
        <w:t>DN 22.</w:t>
      </w:r>
    </w:p>
  </w:footnote>
  <w:footnote w:id="397">
    <w:p w14:paraId="7BC8FB55" w14:textId="2A0E8FDD" w:rsidR="004202BB" w:rsidRDefault="004202BB">
      <w:pPr>
        <w:pStyle w:val="FootnoteText"/>
      </w:pPr>
      <w:r>
        <w:rPr>
          <w:rStyle w:val="FootnoteReference"/>
        </w:rPr>
        <w:footnoteRef/>
      </w:r>
      <w:r>
        <w:t xml:space="preserve"> </w:t>
      </w:r>
      <w:r w:rsidR="00C93C1F" w:rsidRPr="00513F3B">
        <w:rPr>
          <w:lang w:eastAsia="en-GB"/>
        </w:rPr>
        <w:t>Majjhima Nikāya, Vol. 1, PTS, pg.</w:t>
      </w:r>
      <w:r w:rsidR="00C93C1F" w:rsidRPr="00513F3B">
        <w:rPr>
          <w:rFonts w:ascii="Times New Roman" w:hAnsi="Times New Roman"/>
          <w:lang w:eastAsia="en-GB"/>
        </w:rPr>
        <w:t>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00F1A2E9" w:rsidR="004202BB" w:rsidRDefault="004202BB">
      <w:pPr>
        <w:pStyle w:val="FootnoteText"/>
      </w:pPr>
      <w:r>
        <w:rPr>
          <w:rStyle w:val="FootnoteReference"/>
        </w:rPr>
        <w:footnoteRef/>
      </w:r>
      <w:r>
        <w:t xml:space="preserve"> </w:t>
      </w:r>
      <w:r w:rsidR="00C93C1F" w:rsidRPr="00513F3B">
        <w:rPr>
          <w:lang w:eastAsia="en-GB"/>
        </w:rPr>
        <w:t>MN 141.</w:t>
      </w:r>
    </w:p>
  </w:footnote>
  <w:footnote w:id="399">
    <w:p w14:paraId="5FED7F1A" w14:textId="5DDA1E7B" w:rsidR="004202BB" w:rsidRDefault="004202BB">
      <w:pPr>
        <w:pStyle w:val="FootnoteText"/>
      </w:pPr>
      <w:r>
        <w:rPr>
          <w:rStyle w:val="FootnoteReference"/>
        </w:rPr>
        <w:footnoteRef/>
      </w:r>
      <w:r>
        <w:t xml:space="preserve"> </w:t>
      </w:r>
      <w:r w:rsidR="00C93C1F" w:rsidRPr="00513F3B">
        <w:rPr>
          <w:lang w:eastAsia="en-GB"/>
        </w:rPr>
        <w:t>SN 18, SN 25, SN 26, SN 27.</w:t>
      </w:r>
    </w:p>
  </w:footnote>
  <w:footnote w:id="400">
    <w:p w14:paraId="6A6B7805" w14:textId="4D11888F" w:rsidR="004202BB" w:rsidRDefault="004202BB">
      <w:pPr>
        <w:pStyle w:val="FootnoteText"/>
      </w:pPr>
      <w:r>
        <w:rPr>
          <w:rStyle w:val="FootnoteReference"/>
        </w:rPr>
        <w:footnoteRef/>
      </w:r>
      <w:r>
        <w:t xml:space="preserve"> </w:t>
      </w:r>
      <w:r w:rsidR="00C93C1F" w:rsidRPr="00513F3B">
        <w:rPr>
          <w:lang w:eastAsia="en-GB"/>
        </w:rPr>
        <w:t>AN 7.8</w:t>
      </w:r>
      <w:r w:rsidR="00C93C1F" w:rsidRPr="00C93C1F">
        <w:rPr>
          <w:lang w:eastAsia="en-GB"/>
        </w:rPr>
        <w:t>0ff.</w:t>
      </w:r>
    </w:p>
  </w:footnote>
  <w:footnote w:id="401">
    <w:p w14:paraId="7E54B17D" w14:textId="623ED3F6" w:rsidR="00F32C89" w:rsidRDefault="00F32C89">
      <w:pPr>
        <w:pStyle w:val="FootnoteText"/>
      </w:pPr>
      <w:r>
        <w:rPr>
          <w:rStyle w:val="FootnoteReference"/>
        </w:rPr>
        <w:footnoteRef/>
      </w:r>
      <w:r>
        <w:t xml:space="preserve"> </w:t>
      </w:r>
      <w:r w:rsidR="00123039" w:rsidRPr="00513F3B">
        <w:rPr>
          <w:lang w:eastAsia="en-GB"/>
        </w:rPr>
        <w:t>The headquarters of the Theravāda must have been in Sri Lanka from quite early, for an inscription at Nagarjunikonda in Southern India refers to a monastery belonging to the ‘Theravādin teachers of Sri Lanka’. SCHOPEN 1997, pg.</w:t>
      </w:r>
      <w:r w:rsidR="00123039" w:rsidRPr="00513F3B">
        <w:rPr>
          <w:rFonts w:ascii="Times New Roman" w:hAnsi="Times New Roman"/>
          <w:lang w:eastAsia="en-GB"/>
        </w:rPr>
        <w:t> </w:t>
      </w:r>
      <w:r w:rsidR="00123039" w:rsidRPr="00513F3B">
        <w:rPr>
          <w:lang w:eastAsia="en-GB"/>
        </w:rPr>
        <w:t>5.</w:t>
      </w:r>
    </w:p>
  </w:footnote>
  <w:footnote w:id="402">
    <w:p w14:paraId="1EEC0BFD" w14:textId="759F8CA3" w:rsidR="00F32C89" w:rsidRDefault="00F32C89">
      <w:pPr>
        <w:pStyle w:val="FootnoteText"/>
      </w:pPr>
      <w:r>
        <w:rPr>
          <w:rStyle w:val="FootnoteReference"/>
        </w:rPr>
        <w:footnoteRef/>
      </w:r>
      <w:r>
        <w:t xml:space="preserve"> </w:t>
      </w:r>
      <w:r w:rsidR="00123039" w:rsidRPr="00513F3B">
        <w:rPr>
          <w:lang w:eastAsia="en-GB"/>
        </w:rPr>
        <w:t>ABEYNAYAKE, pp.163–183.</w:t>
      </w:r>
    </w:p>
  </w:footnote>
  <w:footnote w:id="403">
    <w:p w14:paraId="10D43436" w14:textId="1FAEC947" w:rsidR="00F32C89" w:rsidRDefault="00F32C89">
      <w:pPr>
        <w:pStyle w:val="FootnoteText"/>
      </w:pPr>
      <w:r>
        <w:rPr>
          <w:rStyle w:val="FootnoteReference"/>
        </w:rPr>
        <w:footnoteRef/>
      </w:r>
      <w:r>
        <w:t xml:space="preserve"> </w:t>
      </w:r>
      <w:r w:rsidR="00123039" w:rsidRPr="00513F3B">
        <w:rPr>
          <w:lang w:eastAsia="en-GB"/>
        </w:rPr>
        <w:t>DN 30/MA 59.</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513F3B">
        <w:rPr>
          <w:i/>
          <w:iCs/>
          <w:lang w:eastAsia="en-GB"/>
        </w:rPr>
        <w:t>abbhūtadhammas</w:t>
      </w:r>
      <w:r w:rsidR="00123039" w:rsidRPr="00513F3B">
        <w:rPr>
          <w:lang w:eastAsia="en-GB"/>
        </w:rPr>
        <w:t>. The Theravāda just has the Buddha giving the discourse straight off, and so the identification as </w:t>
      </w:r>
      <w:r w:rsidR="00123039" w:rsidRPr="00513F3B">
        <w:rPr>
          <w:i/>
          <w:iCs/>
          <w:lang w:eastAsia="en-GB"/>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0EA97DDD" w:rsidR="00F32C89" w:rsidRDefault="00F32C89">
      <w:pPr>
        <w:pStyle w:val="FootnoteText"/>
      </w:pPr>
      <w:r>
        <w:rPr>
          <w:rStyle w:val="FootnoteReference"/>
        </w:rPr>
        <w:footnoteRef/>
      </w:r>
      <w:r>
        <w:t xml:space="preserve"> </w:t>
      </w:r>
      <w:r w:rsidR="00123039" w:rsidRPr="00513F3B">
        <w:rPr>
          <w:lang w:eastAsia="en-GB"/>
        </w:rPr>
        <w:t>MN 111.</w:t>
      </w:r>
    </w:p>
  </w:footnote>
  <w:footnote w:id="406">
    <w:p w14:paraId="1490AE5A" w14:textId="3843E0A6" w:rsidR="00F32C89" w:rsidRDefault="00F32C89">
      <w:pPr>
        <w:pStyle w:val="FootnoteText"/>
      </w:pPr>
      <w:r>
        <w:rPr>
          <w:rStyle w:val="FootnoteReference"/>
        </w:rPr>
        <w:footnoteRef/>
      </w:r>
      <w:r>
        <w:t xml:space="preserve"> </w:t>
      </w:r>
      <w:r w:rsidR="00123039" w:rsidRPr="00513F3B">
        <w:rPr>
          <w:lang w:eastAsia="en-GB"/>
        </w:rPr>
        <w:t>MN 148/MA 86.</w:t>
      </w:r>
    </w:p>
  </w:footnote>
  <w:footnote w:id="407">
    <w:p w14:paraId="16D58D8F" w14:textId="3E1F0071" w:rsidR="00F32C89" w:rsidRDefault="00F32C89">
      <w:pPr>
        <w:pStyle w:val="FootnoteText"/>
      </w:pPr>
      <w:r>
        <w:rPr>
          <w:rStyle w:val="FootnoteReference"/>
        </w:rPr>
        <w:footnoteRef/>
      </w:r>
      <w:r>
        <w:t xml:space="preserve"> </w:t>
      </w:r>
      <w:r w:rsidR="00123039" w:rsidRPr="00513F3B">
        <w:rPr>
          <w:lang w:eastAsia="en-GB"/>
        </w:rPr>
        <w:t>WATANABE, pg.</w:t>
      </w:r>
      <w:r w:rsidR="00123039" w:rsidRPr="00513F3B">
        <w:rPr>
          <w:rFonts w:ascii="Times New Roman" w:hAnsi="Times New Roman"/>
          <w:lang w:eastAsia="en-GB"/>
        </w:rPr>
        <w:t> </w:t>
      </w:r>
      <w:r w:rsidR="00123039" w:rsidRPr="00513F3B">
        <w:rPr>
          <w:lang w:eastAsia="en-GB"/>
        </w:rPr>
        <w:t>54.</w:t>
      </w:r>
    </w:p>
  </w:footnote>
  <w:footnote w:id="408">
    <w:p w14:paraId="2D2F5BA4" w14:textId="63D2AF8F" w:rsidR="00F32C89" w:rsidRDefault="00F32C89">
      <w:pPr>
        <w:pStyle w:val="FootnoteText"/>
      </w:pPr>
      <w:r>
        <w:rPr>
          <w:rStyle w:val="FootnoteReference"/>
        </w:rPr>
        <w:footnoteRef/>
      </w:r>
      <w:r>
        <w:t xml:space="preserve"> </w:t>
      </w:r>
      <w:r w:rsidR="00123039" w:rsidRPr="00A73B7C">
        <w:rPr>
          <w:rStyle w:val="FootnoteTextChar"/>
        </w:rPr>
        <w:t>MN 28/MA 30.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3DF0633E" w:rsidR="00F32C89" w:rsidRDefault="00F32C89">
      <w:pPr>
        <w:pStyle w:val="FootnoteText"/>
      </w:pPr>
      <w:r>
        <w:rPr>
          <w:rStyle w:val="FootnoteReference"/>
        </w:rPr>
        <w:footnoteRef/>
      </w:r>
      <w:r>
        <w:t xml:space="preserve"> </w:t>
      </w:r>
      <w:r w:rsidR="00123039" w:rsidRPr="00513F3B">
        <w:rPr>
          <w:lang w:eastAsia="en-GB"/>
        </w:rPr>
        <w:t>MN 28.6.</w:t>
      </w:r>
    </w:p>
  </w:footnote>
  <w:footnote w:id="410">
    <w:p w14:paraId="4CA67D53" w14:textId="21E60AFC" w:rsidR="00F32C89" w:rsidRDefault="00F32C89">
      <w:pPr>
        <w:pStyle w:val="FootnoteText"/>
      </w:pPr>
      <w:r>
        <w:rPr>
          <w:rStyle w:val="FootnoteReference"/>
        </w:rPr>
        <w:footnoteRef/>
      </w:r>
      <w:r>
        <w:t xml:space="preserve"> </w:t>
      </w:r>
      <w:r w:rsidR="00123039" w:rsidRPr="00513F3B">
        <w:rPr>
          <w:lang w:eastAsia="en-GB"/>
        </w:rPr>
        <w:t>MN 28.9.</w:t>
      </w:r>
    </w:p>
  </w:footnote>
  <w:footnote w:id="411">
    <w:p w14:paraId="01C706F4" w14:textId="0049CE2D" w:rsidR="00F32C89" w:rsidRDefault="00F32C89">
      <w:pPr>
        <w:pStyle w:val="FootnoteText"/>
      </w:pPr>
      <w:r>
        <w:rPr>
          <w:rStyle w:val="FootnoteReference"/>
        </w:rPr>
        <w:footnoteRef/>
      </w:r>
      <w:r>
        <w:t xml:space="preserve"> </w:t>
      </w:r>
      <w:r w:rsidR="00123039" w:rsidRPr="00513F3B">
        <w:rPr>
          <w:lang w:eastAsia="en-GB"/>
        </w:rPr>
        <w:t>MN 28.27.</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513F3B">
        <w:rPr>
          <w:i/>
          <w:iCs/>
          <w:lang w:eastAsia="en-GB"/>
        </w:rPr>
        <w:t>sammā ñāṇa</w:t>
      </w:r>
      <w:r w:rsidR="00123039" w:rsidRPr="00513F3B">
        <w:rPr>
          <w:lang w:eastAsia="en-GB"/>
        </w:rPr>
        <w:t> instead of the Pali </w:t>
      </w:r>
      <w:r w:rsidR="00123039" w:rsidRPr="00513F3B">
        <w:rPr>
          <w:i/>
          <w:iCs/>
          <w:lang w:eastAsia="en-GB"/>
        </w:rPr>
        <w:t>sampajañña</w:t>
      </w:r>
      <w:r w:rsidR="00123039" w:rsidRPr="00513F3B">
        <w:rPr>
          <w:lang w:eastAsia="en-GB"/>
        </w:rPr>
        <w:t>.</w:t>
      </w:r>
    </w:p>
  </w:footnote>
  <w:footnote w:id="413">
    <w:p w14:paraId="4B2E24AF" w14:textId="49207912" w:rsidR="00F32C89" w:rsidRDefault="00F32C89">
      <w:pPr>
        <w:pStyle w:val="FootnoteText"/>
      </w:pPr>
      <w:r>
        <w:rPr>
          <w:rStyle w:val="FootnoteReference"/>
        </w:rPr>
        <w:footnoteRef/>
      </w:r>
      <w:r>
        <w:t xml:space="preserve"> </w:t>
      </w:r>
      <w:r w:rsidR="00123039" w:rsidRPr="00513F3B">
        <w:rPr>
          <w:lang w:eastAsia="en-GB"/>
        </w:rPr>
        <w:t>Cp. AN 5.24, 5.168, 6.50, 7.61, 8.81, 10.3–5, 11.3–5.</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513F3B">
        <w:rPr>
          <w:i/>
          <w:iCs/>
          <w:lang w:eastAsia="en-GB"/>
        </w:rPr>
        <w:t>nijjhānakkhanti</w:t>
      </w:r>
      <w:r w:rsidR="00123039" w:rsidRPr="00513F3B">
        <w:rPr>
          <w:lang w:eastAsia="en-GB"/>
        </w:rPr>
        <w:t>. </w:t>
      </w:r>
      <w:r w:rsidR="00123039" w:rsidRPr="00513F3B">
        <w:rPr>
          <w:i/>
          <w:iCs/>
          <w:lang w:eastAsia="en-GB"/>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513F3B">
        <w:rPr>
          <w:i/>
          <w:iCs/>
          <w:lang w:eastAsia="en-GB"/>
        </w:rPr>
        <w:t>yoniso manasikāra</w:t>
      </w:r>
      <w:r w:rsidR="00123039" w:rsidRPr="00513F3B">
        <w:rPr>
          <w:lang w:eastAsia="en-GB"/>
        </w:rPr>
        <w:t>, ‘paying attention to the root’.</w:t>
      </w:r>
    </w:p>
  </w:footnote>
  <w:footnote w:id="418">
    <w:p w14:paraId="7839349F" w14:textId="0F51106B" w:rsidR="00F32C89" w:rsidRDefault="00F32C89">
      <w:pPr>
        <w:pStyle w:val="FootnoteText"/>
      </w:pPr>
      <w:r>
        <w:rPr>
          <w:rStyle w:val="FootnoteReference"/>
        </w:rPr>
        <w:footnoteRef/>
      </w:r>
      <w:r>
        <w:t xml:space="preserve"> </w:t>
      </w:r>
      <w:r w:rsidR="00123039" w:rsidRPr="00513F3B">
        <w:rPr>
          <w:lang w:eastAsia="en-GB"/>
        </w:rPr>
        <w:t>Cp. MN 95.</w:t>
      </w:r>
    </w:p>
  </w:footnote>
  <w:footnote w:id="419">
    <w:p w14:paraId="1391B3E3" w14:textId="1550D55C" w:rsidR="00F32C89" w:rsidRDefault="00F32C89">
      <w:pPr>
        <w:pStyle w:val="FootnoteText"/>
      </w:pPr>
      <w:r>
        <w:rPr>
          <w:rStyle w:val="FootnoteReference"/>
        </w:rPr>
        <w:footnoteRef/>
      </w:r>
      <w:r>
        <w:t xml:space="preserve"> </w:t>
      </w:r>
      <w:r w:rsidR="00123039" w:rsidRPr="00513F3B">
        <w:rPr>
          <w:lang w:eastAsia="en-GB"/>
        </w:rPr>
        <w:t>Cp. SN 12.23.</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513F3B">
        <w:rPr>
          <w:i/>
          <w:iCs/>
          <w:lang w:eastAsia="en-GB"/>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513F3B">
        <w:rPr>
          <w:i/>
          <w:iCs/>
          <w:lang w:eastAsia="en-GB"/>
        </w:rPr>
        <w:t>nimitta</w:t>
      </w:r>
      <w:r w:rsidR="00123039" w:rsidRPr="00513F3B">
        <w:rPr>
          <w:rFonts w:ascii="Cambria" w:hAnsi="Cambria" w:cs="Cambria"/>
          <w:i/>
          <w:iCs/>
          <w:lang w:eastAsia="en-GB"/>
        </w:rPr>
        <w:t>ṁ</w:t>
      </w:r>
      <w:r w:rsidR="00123039" w:rsidRPr="00513F3B">
        <w:rPr>
          <w:i/>
          <w:iCs/>
          <w:lang w:eastAsia="en-GB"/>
        </w:rPr>
        <w:t xml:space="preserve">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47A5FEBC" w:rsidR="00F32C89" w:rsidRDefault="00F32C89">
      <w:pPr>
        <w:pStyle w:val="FootnoteText"/>
      </w:pPr>
      <w:r>
        <w:rPr>
          <w:rStyle w:val="FootnoteReference"/>
        </w:rPr>
        <w:footnoteRef/>
      </w:r>
      <w:r>
        <w:t xml:space="preserve"> </w:t>
      </w:r>
      <w:r w:rsidR="00123039" w:rsidRPr="00513F3B">
        <w:rPr>
          <w:lang w:eastAsia="en-GB"/>
        </w:rPr>
        <w:t>Most of these points are discussed more fully in MINH CHÂU.</w:t>
      </w:r>
    </w:p>
  </w:footnote>
  <w:footnote w:id="424">
    <w:p w14:paraId="4A22F9C5" w14:textId="5EFA8EE7" w:rsidR="002C34B5" w:rsidRDefault="002C34B5">
      <w:pPr>
        <w:pStyle w:val="FootnoteText"/>
      </w:pPr>
      <w:r>
        <w:rPr>
          <w:rStyle w:val="FootnoteReference"/>
        </w:rPr>
        <w:footnoteRef/>
      </w:r>
      <w:r>
        <w:t xml:space="preserve"> </w:t>
      </w:r>
      <w:r w:rsidR="00123039" w:rsidRPr="00513F3B">
        <w:rPr>
          <w:lang w:eastAsia="en-GB"/>
        </w:rPr>
        <w:t>MN 32.</w:t>
      </w:r>
    </w:p>
  </w:footnote>
  <w:footnote w:id="425">
    <w:p w14:paraId="41D01A5A" w14:textId="3F4DFA0E" w:rsidR="002C34B5" w:rsidRDefault="002C34B5">
      <w:pPr>
        <w:pStyle w:val="FootnoteText"/>
      </w:pPr>
      <w:r>
        <w:rPr>
          <w:rStyle w:val="FootnoteReference"/>
        </w:rPr>
        <w:footnoteRef/>
      </w:r>
      <w:r>
        <w:t xml:space="preserve"> </w:t>
      </w:r>
      <w:r w:rsidR="00123039" w:rsidRPr="00513F3B">
        <w:rPr>
          <w:lang w:eastAsia="en-GB"/>
        </w:rPr>
        <w:t>MA 184.</w:t>
      </w:r>
    </w:p>
  </w:footnote>
  <w:footnote w:id="426">
    <w:p w14:paraId="5293BDA1" w14:textId="67935F04" w:rsidR="002C34B5" w:rsidRDefault="002C34B5">
      <w:pPr>
        <w:pStyle w:val="FootnoteText"/>
      </w:pPr>
      <w:r>
        <w:rPr>
          <w:rStyle w:val="FootnoteReference"/>
        </w:rPr>
        <w:footnoteRef/>
      </w:r>
      <w:r>
        <w:t xml:space="preserve"> </w:t>
      </w:r>
      <w:r w:rsidR="00123039" w:rsidRPr="00513F3B">
        <w:rPr>
          <w:lang w:eastAsia="en-GB"/>
        </w:rPr>
        <w:t>See e.g. LI , Chapter 8.</w:t>
      </w:r>
    </w:p>
  </w:footnote>
  <w:footnote w:id="427">
    <w:p w14:paraId="38422706" w14:textId="7F81846D" w:rsidR="002C34B5" w:rsidRDefault="002C34B5">
      <w:pPr>
        <w:pStyle w:val="FootnoteText"/>
      </w:pPr>
      <w:r>
        <w:rPr>
          <w:rStyle w:val="FootnoteReference"/>
        </w:rPr>
        <w:footnoteRef/>
      </w:r>
      <w:r>
        <w:t xml:space="preserve"> </w:t>
      </w:r>
      <w:r w:rsidR="00123039" w:rsidRPr="00513F3B">
        <w:rPr>
          <w:lang w:eastAsia="en-GB"/>
        </w:rPr>
        <w:t>DN 16.3.1.</w:t>
      </w:r>
    </w:p>
  </w:footnote>
  <w:footnote w:id="428">
    <w:p w14:paraId="44860612" w14:textId="3374B46E" w:rsidR="002C34B5" w:rsidRDefault="002C34B5">
      <w:pPr>
        <w:pStyle w:val="FootnoteText"/>
      </w:pPr>
      <w:r>
        <w:rPr>
          <w:rStyle w:val="FootnoteReference"/>
        </w:rPr>
        <w:footnoteRef/>
      </w:r>
      <w:r>
        <w:t xml:space="preserve"> </w:t>
      </w:r>
      <w:r w:rsidR="00123039" w:rsidRPr="00513F3B">
        <w:rPr>
          <w:lang w:eastAsia="en-GB"/>
        </w:rPr>
        <w:t>MN 31/MA 185 Cūḷagosiṅga; MN 25/ MA 178 Nivāpa; MN 99/MA 152 Subha.</w:t>
      </w:r>
    </w:p>
  </w:footnote>
  <w:footnote w:id="429">
    <w:p w14:paraId="7699306F" w14:textId="40754110" w:rsidR="002C34B5" w:rsidRDefault="002C34B5">
      <w:pPr>
        <w:pStyle w:val="FootnoteText"/>
      </w:pPr>
      <w:r>
        <w:rPr>
          <w:rStyle w:val="FootnoteReference"/>
        </w:rPr>
        <w:footnoteRef/>
      </w:r>
      <w:r>
        <w:t xml:space="preserve"> </w:t>
      </w:r>
      <w:r w:rsidR="00123039" w:rsidRPr="00513F3B">
        <w:rPr>
          <w:lang w:eastAsia="en-GB"/>
        </w:rPr>
        <w:t>MN 82/ MA 132 Raṭṭhapāla.</w:t>
      </w:r>
    </w:p>
  </w:footnote>
  <w:footnote w:id="430">
    <w:p w14:paraId="487A2F8E" w14:textId="09F3C742" w:rsidR="002C34B5" w:rsidRDefault="002C34B5">
      <w:pPr>
        <w:pStyle w:val="FootnoteText"/>
      </w:pPr>
      <w:r>
        <w:rPr>
          <w:rStyle w:val="FootnoteReference"/>
        </w:rPr>
        <w:footnoteRef/>
      </w:r>
      <w:r>
        <w:t xml:space="preserve"> </w:t>
      </w:r>
      <w:r w:rsidR="00123039" w:rsidRPr="00513F3B">
        <w:rPr>
          <w:lang w:eastAsia="en-GB"/>
        </w:rPr>
        <w:t>MN 75/MA 153 Māgandiya, MN 99/MA 152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660F1964" w:rsidR="00625C11" w:rsidRDefault="00625C11">
      <w:pPr>
        <w:pStyle w:val="FootnoteText"/>
      </w:pPr>
      <w:r>
        <w:rPr>
          <w:rStyle w:val="FootnoteReference"/>
        </w:rPr>
        <w:footnoteRef/>
      </w:r>
      <w:r>
        <w:t xml:space="preserve"> </w:t>
      </w:r>
      <w:r w:rsidR="00123039" w:rsidRPr="00513F3B">
        <w:rPr>
          <w:lang w:eastAsia="en-GB"/>
        </w:rPr>
        <w:t>Vibhaṅga pg.</w:t>
      </w:r>
      <w:r w:rsidR="00123039" w:rsidRPr="00513F3B">
        <w:rPr>
          <w:rFonts w:ascii="Times New Roman" w:hAnsi="Times New Roman"/>
          <w:lang w:eastAsia="en-GB"/>
        </w:rPr>
        <w:t> </w:t>
      </w:r>
      <w:r w:rsidR="00123039" w:rsidRPr="00513F3B">
        <w:rPr>
          <w:lang w:eastAsia="en-GB"/>
        </w:rPr>
        <w:t>374.</w:t>
      </w:r>
    </w:p>
  </w:footnote>
  <w:footnote w:id="433">
    <w:p w14:paraId="77136A31" w14:textId="426C5F9E" w:rsidR="00625C11" w:rsidRDefault="00625C11">
      <w:pPr>
        <w:pStyle w:val="FootnoteText"/>
      </w:pPr>
      <w:r>
        <w:rPr>
          <w:rStyle w:val="FootnoteReference"/>
        </w:rPr>
        <w:footnoteRef/>
      </w:r>
      <w:r>
        <w:t xml:space="preserve"> </w:t>
      </w:r>
      <w:r w:rsidR="00123039" w:rsidRPr="00513F3B">
        <w:rPr>
          <w:lang w:eastAsia="en-GB"/>
        </w:rPr>
        <w:t>Vibhaṅga pp.</w:t>
      </w:r>
      <w:r w:rsidR="00123039" w:rsidRPr="00513F3B">
        <w:rPr>
          <w:rFonts w:ascii="Times New Roman" w:hAnsi="Times New Roman"/>
          <w:lang w:eastAsia="en-GB"/>
        </w:rPr>
        <w:t> </w:t>
      </w:r>
      <w:r w:rsidR="00123039" w:rsidRPr="00513F3B">
        <w:rPr>
          <w:lang w:eastAsia="en-GB"/>
        </w:rPr>
        <w:t>411</w:t>
      </w:r>
      <w:r w:rsidR="00123039" w:rsidRPr="00513F3B">
        <w:rPr>
          <w:i/>
          <w:iCs/>
          <w:lang w:eastAsia="en-GB"/>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20B9274F"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(SN 22.80), although it is not clear whether these things have the same meaning in the Abhidhamma; the treatment of these meditations in the Suttas is somewhat obscure and variable.</w:t>
      </w:r>
    </w:p>
  </w:footnote>
  <w:footnote w:id="437">
    <w:p w14:paraId="600288E5" w14:textId="0C9334FF" w:rsidR="00625C11" w:rsidRDefault="00625C11">
      <w:pPr>
        <w:pStyle w:val="FootnoteText"/>
      </w:pPr>
      <w:r>
        <w:rPr>
          <w:rStyle w:val="FootnoteReference"/>
        </w:rPr>
        <w:footnoteRef/>
      </w:r>
      <w:r>
        <w:t xml:space="preserve"> </w:t>
      </w:r>
      <w:r w:rsidR="00123039" w:rsidRPr="00513F3B">
        <w:rPr>
          <w:lang w:eastAsia="en-GB"/>
        </w:rPr>
        <w:t>Mūla Ṭīkā Be (1960) to Vibh-A 287; quoted at GETHIN pg.</w:t>
      </w:r>
      <w:r w:rsidR="00123039" w:rsidRPr="00513F3B">
        <w:rPr>
          <w:rFonts w:ascii="Times New Roman" w:hAnsi="Times New Roman"/>
          <w:lang w:eastAsia="en-GB"/>
        </w:rPr>
        <w:t>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66A3B691" w:rsidR="00625C11" w:rsidRDefault="00625C11">
      <w:pPr>
        <w:pStyle w:val="FootnoteText"/>
      </w:pPr>
      <w:r>
        <w:rPr>
          <w:rStyle w:val="FootnoteReference"/>
        </w:rPr>
        <w:footnoteRef/>
      </w:r>
      <w:r>
        <w:t xml:space="preserve"> </w:t>
      </w:r>
      <w:r w:rsidR="00123039" w:rsidRPr="00513F3B">
        <w:rPr>
          <w:lang w:eastAsia="en-GB"/>
        </w:rPr>
        <w:t>AN 4.94.</w:t>
      </w:r>
    </w:p>
  </w:footnote>
  <w:footnote w:id="441">
    <w:p w14:paraId="564AFBBE" w14:textId="0D454673" w:rsidR="00625C11" w:rsidRDefault="00625C11">
      <w:pPr>
        <w:pStyle w:val="FootnoteText"/>
      </w:pPr>
      <w:r>
        <w:rPr>
          <w:rStyle w:val="FootnoteReference"/>
        </w:rPr>
        <w:footnoteRef/>
      </w:r>
      <w:r>
        <w:t xml:space="preserve"> </w:t>
      </w:r>
      <w:r w:rsidR="00123039" w:rsidRPr="00513F3B">
        <w:rPr>
          <w:lang w:eastAsia="en-GB"/>
        </w:rPr>
        <w:t>AN 4.170.</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513F3B">
        <w:rPr>
          <w:i/>
          <w:iCs/>
          <w:lang w:eastAsia="en-GB"/>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741F5237" w:rsidR="00625C11" w:rsidRDefault="00625C11">
      <w:pPr>
        <w:pStyle w:val="FootnoteText"/>
      </w:pPr>
      <w:r>
        <w:rPr>
          <w:rStyle w:val="FootnoteReference"/>
        </w:rPr>
        <w:footnoteRef/>
      </w:r>
      <w:r>
        <w:t xml:space="preserve"> </w:t>
      </w:r>
      <w:r w:rsidR="006933A2" w:rsidRPr="00513F3B">
        <w:rPr>
          <w:lang w:eastAsia="en-GB"/>
        </w:rPr>
        <w:t>SN 47.40.</w:t>
      </w:r>
    </w:p>
  </w:footnote>
  <w:footnote w:id="445">
    <w:p w14:paraId="2E87CF69" w14:textId="2F4503E7" w:rsidR="00625C11" w:rsidRDefault="00625C11">
      <w:pPr>
        <w:pStyle w:val="FootnoteText"/>
      </w:pPr>
      <w:r>
        <w:rPr>
          <w:rStyle w:val="FootnoteReference"/>
        </w:rPr>
        <w:footnoteRef/>
      </w:r>
      <w:r>
        <w:t xml:space="preserve"> </w:t>
      </w:r>
      <w:r w:rsidR="006933A2" w:rsidRPr="00513F3B">
        <w:rPr>
          <w:lang w:eastAsia="en-GB"/>
        </w:rPr>
        <w:t>SN 52.2,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347A13E6" w:rsidR="00625C11" w:rsidRDefault="00625C11">
      <w:pPr>
        <w:pStyle w:val="FootnoteText"/>
      </w:pPr>
      <w:r>
        <w:rPr>
          <w:rStyle w:val="FootnoteReference"/>
        </w:rPr>
        <w:footnoteRef/>
      </w:r>
      <w:r>
        <w:t xml:space="preserve"> </w:t>
      </w:r>
      <w:r w:rsidR="006933A2" w:rsidRPr="00513F3B">
        <w:rPr>
          <w:lang w:eastAsia="en-GB"/>
        </w:rPr>
        <w:t>The discourse and commentary, together with extracts from the sub-commentary, have been published in translation by SOMA Thera under the title </w:t>
      </w:r>
      <w:r w:rsidR="006933A2" w:rsidRPr="00513F3B">
        <w:rPr>
          <w:i/>
          <w:iCs/>
          <w:lang w:eastAsia="en-GB"/>
        </w:rPr>
        <w:t>The Way of Mindfulness</w:t>
      </w:r>
      <w:r w:rsidR="006933A2" w:rsidRPr="00513F3B">
        <w:rPr>
          <w:lang w:eastAsia="en-GB"/>
        </w:rPr>
        <w:t>.</w:t>
      </w:r>
    </w:p>
  </w:footnote>
  <w:footnote w:id="448">
    <w:p w14:paraId="7BF1CCF3" w14:textId="67CF4492"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30.</w:t>
      </w:r>
    </w:p>
  </w:footnote>
  <w:footnote w:id="449">
    <w:p w14:paraId="2C048318" w14:textId="7B7B5443"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40.</w:t>
      </w:r>
    </w:p>
  </w:footnote>
  <w:footnote w:id="450">
    <w:p w14:paraId="1BDE06F4" w14:textId="456C52E7"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54.</w:t>
      </w:r>
    </w:p>
  </w:footnote>
  <w:footnote w:id="451">
    <w:p w14:paraId="55B8BF54" w14:textId="6DCEC9CE"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97.</w:t>
      </w:r>
    </w:p>
  </w:footnote>
  <w:footnote w:id="452">
    <w:p w14:paraId="73498E67" w14:textId="7AC1F240"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39.</w:t>
      </w:r>
    </w:p>
  </w:footnote>
  <w:footnote w:id="453">
    <w:p w14:paraId="6D01E68B" w14:textId="56E2DD82"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165.</w:t>
      </w:r>
    </w:p>
  </w:footnote>
  <w:footnote w:id="454">
    <w:p w14:paraId="3B26479D" w14:textId="54C2CC87" w:rsidR="00397BF4" w:rsidRDefault="00397BF4">
      <w:pPr>
        <w:pStyle w:val="FootnoteText"/>
      </w:pPr>
      <w:r>
        <w:rPr>
          <w:rStyle w:val="FootnoteReference"/>
        </w:rPr>
        <w:footnoteRef/>
      </w:r>
      <w:r>
        <w:t xml:space="preserve"> </w:t>
      </w:r>
      <w:r w:rsidR="006933A2" w:rsidRPr="00513F3B">
        <w:rPr>
          <w:lang w:eastAsia="en-GB"/>
        </w:rPr>
        <w:t>Pg.</w:t>
      </w:r>
      <w:r w:rsidR="006933A2" w:rsidRPr="00513F3B">
        <w:rPr>
          <w:rFonts w:ascii="Times New Roman" w:hAnsi="Times New Roman"/>
          <w:lang w:eastAsia="en-GB"/>
        </w:rPr>
        <w:t>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513F3B">
        <w:rPr>
          <w:i/>
          <w:iCs/>
          <w:lang w:eastAsia="en-GB"/>
        </w:rPr>
        <w:t>vicāra</w:t>
      </w:r>
      <w:r w:rsidR="006933A2" w:rsidRPr="00513F3B">
        <w:rPr>
          <w:lang w:eastAsia="en-GB"/>
        </w:rPr>
        <w:t> but without </w:t>
      </w:r>
      <w:r w:rsidR="006933A2" w:rsidRPr="00513F3B">
        <w:rPr>
          <w:i/>
          <w:iCs/>
          <w:lang w:eastAsia="en-GB"/>
        </w:rPr>
        <w:t>vitakka</w:t>
      </w:r>
      <w:r w:rsidR="006933A2" w:rsidRPr="00513F3B">
        <w:rPr>
          <w:lang w:eastAsia="en-GB"/>
        </w:rPr>
        <w:t>.</w:t>
      </w:r>
    </w:p>
  </w:footnote>
  <w:footnote w:id="457">
    <w:p w14:paraId="712DED5C" w14:textId="5983FC62" w:rsidR="00397BF4" w:rsidRDefault="00397BF4">
      <w:pPr>
        <w:pStyle w:val="FootnoteText"/>
      </w:pPr>
      <w:r>
        <w:rPr>
          <w:rStyle w:val="FootnoteReference"/>
        </w:rPr>
        <w:footnoteRef/>
      </w:r>
      <w:r>
        <w:t xml:space="preserve"> </w:t>
      </w:r>
      <w:r w:rsidR="006933A2" w:rsidRPr="00513F3B">
        <w:rPr>
          <w:lang w:eastAsia="en-GB"/>
        </w:rPr>
        <w:t>Aśokarājavadāna 1206 [ PRZYLYSKI 1923 a:363–364].</w:t>
      </w:r>
    </w:p>
  </w:footnote>
  <w:footnote w:id="458">
    <w:p w14:paraId="3B62211B" w14:textId="3EBA3378" w:rsidR="00397BF4" w:rsidRDefault="00397BF4">
      <w:pPr>
        <w:pStyle w:val="FootnoteText"/>
      </w:pPr>
      <w:r>
        <w:rPr>
          <w:rStyle w:val="FootnoteReference"/>
        </w:rPr>
        <w:footnoteRef/>
      </w:r>
      <w:r>
        <w:t xml:space="preserve"> </w:t>
      </w:r>
      <w:r w:rsidR="006933A2" w:rsidRPr="00513F3B">
        <w:rPr>
          <w:lang w:eastAsia="en-GB"/>
        </w:rPr>
        <w:t>Aśokarājavadāna pg.</w:t>
      </w:r>
      <w:r w:rsidR="006933A2" w:rsidRPr="00513F3B">
        <w:rPr>
          <w:rFonts w:ascii="Times New Roman" w:hAnsi="Times New Roman"/>
          <w:lang w:eastAsia="en-GB"/>
        </w:rPr>
        <w:t> </w:t>
      </w:r>
      <w:r w:rsidR="006933A2" w:rsidRPr="00513F3B">
        <w:rPr>
          <w:lang w:eastAsia="en-GB"/>
        </w:rPr>
        <w:t>3 [Strong 1983b:174; PRZYLYSKI 1923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54249D88" w:rsidR="00397BF4" w:rsidRDefault="00397BF4">
      <w:pPr>
        <w:pStyle w:val="FootnoteText"/>
      </w:pPr>
      <w:r>
        <w:rPr>
          <w:rStyle w:val="FootnoteReference"/>
        </w:rPr>
        <w:footnoteRef/>
      </w:r>
      <w:r>
        <w:t xml:space="preserve"> </w:t>
      </w:r>
      <w:r w:rsidR="006933A2" w:rsidRPr="00513F3B">
        <w:rPr>
          <w:lang w:eastAsia="en-GB"/>
        </w:rPr>
        <w:t>FRAUWALLNER (1995), pp. 179</w:t>
      </w:r>
      <w:r w:rsidR="006933A2" w:rsidRPr="00513F3B">
        <w:rPr>
          <w:i/>
          <w:iCs/>
          <w:lang w:eastAsia="en-GB"/>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217CF580" w:rsidR="007E12BF" w:rsidRDefault="007E12BF">
      <w:pPr>
        <w:pStyle w:val="FootnoteText"/>
      </w:pPr>
      <w:r>
        <w:rPr>
          <w:rStyle w:val="FootnoteReference"/>
        </w:rPr>
        <w:footnoteRef/>
      </w:r>
      <w:r>
        <w:t xml:space="preserve"> </w:t>
      </w:r>
      <w:r w:rsidR="006933A2" w:rsidRPr="00513F3B">
        <w:rPr>
          <w:lang w:eastAsia="en-GB"/>
        </w:rPr>
        <w:t>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006933A2" w:rsidRPr="00513F3B">
        <w:rPr>
          <w:rFonts w:ascii="Times New Roman" w:hAnsi="Times New Roman"/>
          <w:lang w:eastAsia="en-GB"/>
        </w:rPr>
        <w:t>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2FDCE9BF"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6933A2" w:rsidRPr="00513F3B">
        <w:rPr>
          <w:rFonts w:ascii="Times New Roman" w:hAnsi="Times New Roman"/>
          <w:lang w:eastAsia="en-GB"/>
        </w:rPr>
        <w:t> </w:t>
      </w:r>
      <w:r w:rsidR="006933A2" w:rsidRPr="00513F3B">
        <w:rPr>
          <w:lang w:eastAsia="en-GB"/>
        </w:rPr>
        <w:t>99).</w:t>
      </w:r>
    </w:p>
  </w:footnote>
  <w:footnote w:id="473">
    <w:p w14:paraId="3E85CFD7" w14:textId="7C5E6BD7" w:rsidR="007E12BF" w:rsidRDefault="007E12BF">
      <w:pPr>
        <w:pStyle w:val="FootnoteText"/>
      </w:pPr>
      <w:r>
        <w:rPr>
          <w:rStyle w:val="FootnoteReference"/>
        </w:rPr>
        <w:footnoteRef/>
      </w:r>
      <w:r>
        <w:t xml:space="preserve"> </w:t>
      </w:r>
      <w:r w:rsidR="006933A2" w:rsidRPr="00513F3B">
        <w:rPr>
          <w:lang w:eastAsia="en-GB"/>
        </w:rPr>
        <w:t>SAMTANI, pg.</w:t>
      </w:r>
      <w:r w:rsidR="006933A2" w:rsidRPr="00513F3B">
        <w:rPr>
          <w:rFonts w:ascii="Times New Roman" w:hAnsi="Times New Roman"/>
          <w:lang w:eastAsia="en-GB"/>
        </w:rPr>
        <w:t> </w:t>
      </w:r>
      <w:r w:rsidR="006933A2" w:rsidRPr="00513F3B">
        <w:rPr>
          <w:lang w:eastAsia="en-GB"/>
        </w:rPr>
        <w:t>48.</w:t>
      </w:r>
    </w:p>
  </w:footnote>
  <w:footnote w:id="474">
    <w:p w14:paraId="15BF764E" w14:textId="265C643D" w:rsidR="007E12BF" w:rsidRDefault="007E12BF">
      <w:pPr>
        <w:pStyle w:val="FootnoteText"/>
      </w:pPr>
      <w:r>
        <w:rPr>
          <w:rStyle w:val="FootnoteReference"/>
        </w:rPr>
        <w:footnoteRef/>
      </w:r>
      <w:r>
        <w:t xml:space="preserve"> </w:t>
      </w:r>
      <w:r w:rsidR="006933A2" w:rsidRPr="00513F3B">
        <w:rPr>
          <w:lang w:eastAsia="en-GB"/>
        </w:rPr>
        <w:t>SAMTANI, pg.</w:t>
      </w:r>
      <w:r w:rsidR="006933A2" w:rsidRPr="00513F3B">
        <w:rPr>
          <w:rFonts w:ascii="Times New Roman" w:hAnsi="Times New Roman"/>
          <w:lang w:eastAsia="en-GB"/>
        </w:rPr>
        <w:t> </w:t>
      </w:r>
      <w:r w:rsidR="006933A2" w:rsidRPr="00513F3B">
        <w:rPr>
          <w:lang w:eastAsia="en-GB"/>
        </w:rPr>
        <w:t>52.</w:t>
      </w:r>
    </w:p>
  </w:footnote>
  <w:footnote w:id="475">
    <w:p w14:paraId="18CD262D" w14:textId="2AE89B14" w:rsidR="007E12BF" w:rsidRDefault="007E12BF">
      <w:pPr>
        <w:pStyle w:val="FootnoteText"/>
      </w:pPr>
      <w:r>
        <w:rPr>
          <w:rStyle w:val="FootnoteReference"/>
        </w:rPr>
        <w:footnoteRef/>
      </w:r>
      <w:r>
        <w:t xml:space="preserve"> </w:t>
      </w:r>
      <w:r w:rsidR="006933A2" w:rsidRPr="00513F3B">
        <w:rPr>
          <w:lang w:eastAsia="en-GB"/>
        </w:rPr>
        <w:t>SAMTANI,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52BEE42" w:rsidR="007E12BF" w:rsidRDefault="007E12BF">
      <w:pPr>
        <w:pStyle w:val="FootnoteText"/>
      </w:pPr>
      <w:r>
        <w:rPr>
          <w:rStyle w:val="FootnoteReference"/>
        </w:rPr>
        <w:footnoteRef/>
      </w:r>
      <w:r>
        <w:t xml:space="preserve"> </w:t>
      </w:r>
      <w:r w:rsidR="006933A2" w:rsidRPr="00513F3B">
        <w:rPr>
          <w:lang w:eastAsia="en-GB"/>
        </w:rPr>
        <w:t>DUTT, pg.</w:t>
      </w:r>
      <w:r w:rsidR="006933A2" w:rsidRPr="00513F3B">
        <w:rPr>
          <w:rFonts w:ascii="Times New Roman" w:hAnsi="Times New Roman"/>
          <w:lang w:eastAsia="en-GB"/>
        </w:rPr>
        <w:t> </w:t>
      </w:r>
      <w:r w:rsidR="006933A2" w:rsidRPr="00513F3B">
        <w:rPr>
          <w:lang w:eastAsia="en-GB"/>
        </w:rPr>
        <w:t>187.</w:t>
      </w:r>
    </w:p>
  </w:footnote>
  <w:footnote w:id="478">
    <w:p w14:paraId="49D0316A" w14:textId="75DE02AB" w:rsidR="007E12BF" w:rsidRDefault="007E12BF">
      <w:pPr>
        <w:pStyle w:val="FootnoteText"/>
      </w:pPr>
      <w:r>
        <w:rPr>
          <w:rStyle w:val="FootnoteReference"/>
        </w:rPr>
        <w:footnoteRef/>
      </w:r>
      <w:r>
        <w:t xml:space="preserve"> </w:t>
      </w:r>
      <w:r w:rsidR="006933A2" w:rsidRPr="00513F3B">
        <w:rPr>
          <w:lang w:eastAsia="en-GB"/>
        </w:rPr>
        <w:t>ENOMOTO 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 Sarvāstivāda also has the root (</w:t>
      </w:r>
      <w:r w:rsidR="006933A2" w:rsidRPr="00513F3B">
        <w:rPr>
          <w:i/>
          <w:iCs/>
          <w:lang w:eastAsia="en-GB"/>
        </w:rPr>
        <w:t>mūla</w:t>
      </w:r>
      <w:r w:rsidR="006933A2" w:rsidRPr="00513F3B">
        <w:rPr>
          <w:lang w:eastAsia="en-GB"/>
        </w:rPr>
        <w:t>) and the branches. Of them the root is one, namely Sarvāstivāda. The branches derived from it are seven, namely Mūlasarvāstivāda, Kaśyapīya, Mahīśasaka, Dharmaguptaka, Bahūśrutīya, Ta</w:t>
      </w:r>
      <w:r w:rsidR="006933A2" w:rsidRPr="00513F3B">
        <w:rPr>
          <w:rFonts w:ascii="Cambria" w:hAnsi="Cambria" w:cs="Cambria"/>
          <w:lang w:eastAsia="en-GB"/>
        </w:rPr>
        <w:t>ṁ</w:t>
      </w:r>
      <w:r w:rsidR="006933A2" w:rsidRPr="00513F3B">
        <w:rPr>
          <w:lang w:eastAsia="en-GB"/>
        </w:rPr>
        <w:t>ra</w:t>
      </w:r>
      <w:r w:rsidR="006933A2" w:rsidRPr="00513F3B">
        <w:rPr>
          <w:rFonts w:cs="Source Serif Pro"/>
          <w:lang w:eastAsia="en-GB"/>
        </w:rPr>
        <w:t>śā</w:t>
      </w:r>
      <w:r w:rsidR="006933A2" w:rsidRPr="00513F3B">
        <w:rPr>
          <w:lang w:eastAsia="en-GB"/>
        </w:rPr>
        <w:t>tiya, and Vibhajyav</w:t>
      </w:r>
      <w:r w:rsidR="006933A2" w:rsidRPr="00513F3B">
        <w:rPr>
          <w:rFonts w:cs="Source Serif Pro"/>
          <w:lang w:eastAsia="en-GB"/>
        </w:rPr>
        <w:t>ā</w:t>
      </w:r>
      <w:r w:rsidR="006933A2" w:rsidRPr="00513F3B">
        <w:rPr>
          <w:lang w:eastAsia="en-GB"/>
        </w:rPr>
        <w:t>da.</w:t>
      </w:r>
      <w:r w:rsidR="006933A2" w:rsidRPr="00513F3B">
        <w:rPr>
          <w:rFonts w:cs="Source Serif Pro"/>
          <w:lang w:eastAsia="en-GB"/>
        </w:rPr>
        <w:t>’</w:t>
      </w:r>
      <w:r w:rsidR="006933A2" w:rsidRPr="00513F3B">
        <w:rPr>
          <w:lang w:eastAsia="en-GB"/>
        </w:rPr>
        <w:t xml:space="preserve"> This is obviously polemical, aimed at exalting one school over another, and its historical value is diminished accordingly. As it stands, the passage clearly distinguishes between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and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What it seems to be claiming is that the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the real root (</w:t>
      </w:r>
      <w:r w:rsidR="006933A2" w:rsidRPr="00513F3B">
        <w:rPr>
          <w:i/>
          <w:iCs/>
          <w:lang w:eastAsia="en-GB"/>
        </w:rPr>
        <w:t>mūla</w:t>
      </w:r>
      <w:r w:rsidR="006933A2"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006933A2" w:rsidRPr="00513F3B">
        <w:rPr>
          <w:rFonts w:ascii="Cambria" w:hAnsi="Cambria" w:cs="Cambria"/>
          <w:lang w:eastAsia="en-GB"/>
        </w:rPr>
        <w:t>ṁ</w:t>
      </w:r>
      <w:r w:rsidR="006933A2" w:rsidRPr="00513F3B">
        <w:rPr>
          <w:lang w:eastAsia="en-GB"/>
        </w:rPr>
        <w:t>yutta-m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has no specially close relation with the topics of the Dharmaskandha. Others suggest that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really the same as the Sautr</w:t>
      </w:r>
      <w:r w:rsidR="006933A2" w:rsidRPr="00513F3B">
        <w:rPr>
          <w:rFonts w:cs="Source Serif Pro"/>
          <w:lang w:eastAsia="en-GB"/>
        </w:rPr>
        <w:t>ā</w:t>
      </w:r>
      <w:r w:rsidR="006933A2" w:rsidRPr="00513F3B">
        <w:rPr>
          <w:lang w:eastAsia="en-GB"/>
        </w:rPr>
        <w:t>ntika. This, too, I find implausible, though I have not examined the arguments in detail.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Vinaya has Mah</w:t>
      </w:r>
      <w:r w:rsidR="006933A2" w:rsidRPr="00513F3B">
        <w:rPr>
          <w:rFonts w:cs="Source Serif Pro"/>
          <w:lang w:eastAsia="en-GB"/>
        </w:rPr>
        <w:t>ā</w:t>
      </w:r>
      <w:r w:rsidR="006933A2" w:rsidRPr="00513F3B">
        <w:rPr>
          <w:lang w:eastAsia="en-GB"/>
        </w:rPr>
        <w:t xml:space="preserve"> Kassapa reciting the 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4A13A20B"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13F3B">
        <w:rPr>
          <w:i/>
          <w:iCs/>
          <w:lang w:eastAsia="en-GB"/>
        </w:rPr>
        <w:t>The World’s Great Religions</w:t>
      </w:r>
      <w:r w:rsidR="006933A2" w:rsidRPr="00513F3B">
        <w:rPr>
          <w:lang w:eastAsia="en-GB"/>
        </w:rPr>
        <w:t>, pg.</w:t>
      </w:r>
      <w:r w:rsidR="006933A2" w:rsidRPr="00513F3B">
        <w:rPr>
          <w:rFonts w:ascii="Times New Roman" w:hAnsi="Times New Roman"/>
          <w:lang w:eastAsia="en-GB"/>
        </w:rPr>
        <w:t> </w:t>
      </w:r>
      <w:r w:rsidR="006933A2" w:rsidRPr="00513F3B">
        <w:rPr>
          <w:lang w:eastAsia="en-GB"/>
        </w:rPr>
        <w:t>63, published by Time Inc., 1957). French translation by LIN.</w:t>
      </w:r>
    </w:p>
  </w:footnote>
  <w:footnote w:id="482">
    <w:p w14:paraId="385DD56F" w14:textId="5FD55ABA" w:rsidR="007E12BF" w:rsidRDefault="007E12BF">
      <w:pPr>
        <w:pStyle w:val="FootnoteText"/>
      </w:pPr>
      <w:r>
        <w:rPr>
          <w:rStyle w:val="FootnoteReference"/>
        </w:rPr>
        <w:footnoteRef/>
      </w:r>
      <w:r>
        <w:t xml:space="preserve"> </w:t>
      </w:r>
      <w:r w:rsidR="006933A2" w:rsidRPr="00513F3B">
        <w:rPr>
          <w:lang w:eastAsia="en-GB"/>
        </w:rPr>
        <w:t>AN 4.170/SA 560.</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1D720C13" w:rsidR="007E12BF" w:rsidRDefault="007E12BF">
      <w:pPr>
        <w:pStyle w:val="FootnoteText"/>
      </w:pPr>
      <w:r>
        <w:rPr>
          <w:rStyle w:val="FootnoteReference"/>
        </w:rPr>
        <w:footnoteRef/>
      </w:r>
      <w:r>
        <w:t xml:space="preserve"> </w:t>
      </w:r>
      <w:r w:rsidR="006933A2" w:rsidRPr="00513F3B">
        <w:rPr>
          <w:lang w:eastAsia="en-GB"/>
        </w:rPr>
        <w:t>CHANG, pg.</w:t>
      </w:r>
      <w:r w:rsidR="006933A2" w:rsidRPr="00513F3B">
        <w:rPr>
          <w:rFonts w:ascii="Times New Roman" w:hAnsi="Times New Roman"/>
          <w:lang w:eastAsia="en-GB"/>
        </w:rPr>
        <w:t> </w:t>
      </w:r>
      <w:r w:rsidR="006933A2" w:rsidRPr="00513F3B">
        <w:rPr>
          <w:lang w:eastAsia="en-GB"/>
        </w:rPr>
        <w:t>399.</w:t>
      </w:r>
    </w:p>
  </w:footnote>
  <w:footnote w:id="485">
    <w:p w14:paraId="23DE96ED" w14:textId="3C9036A9" w:rsidR="007E12BF" w:rsidRDefault="007E12BF">
      <w:pPr>
        <w:pStyle w:val="FootnoteText"/>
      </w:pPr>
      <w:r>
        <w:rPr>
          <w:rStyle w:val="FootnoteReference"/>
        </w:rPr>
        <w:footnoteRef/>
      </w:r>
      <w:r>
        <w:t xml:space="preserve"> </w:t>
      </w:r>
      <w:r w:rsidR="006933A2" w:rsidRPr="00513F3B">
        <w:rPr>
          <w:lang w:eastAsia="en-GB"/>
        </w:rPr>
        <w:t>CLEARY, pg.</w:t>
      </w:r>
      <w:r w:rsidR="006933A2" w:rsidRPr="00513F3B">
        <w:rPr>
          <w:rFonts w:ascii="Times New Roman" w:hAnsi="Times New Roman"/>
          <w:lang w:eastAsia="en-GB"/>
        </w:rPr>
        <w:t> </w:t>
      </w:r>
      <w:r w:rsidR="006933A2" w:rsidRPr="00513F3B">
        <w:rPr>
          <w:lang w:eastAsia="en-GB"/>
        </w:rPr>
        <w:t>729 (one-volume edition), Vol. 2, pg.</w:t>
      </w:r>
      <w:r w:rsidR="006933A2" w:rsidRPr="00513F3B">
        <w:rPr>
          <w:rFonts w:ascii="Times New Roman" w:hAnsi="Times New Roman"/>
          <w:lang w:eastAsia="en-GB"/>
        </w:rPr>
        <w:t>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17C41D03" w:rsidR="007E12BF" w:rsidRDefault="007E12BF">
      <w:pPr>
        <w:pStyle w:val="FootnoteText"/>
      </w:pPr>
      <w:r>
        <w:rPr>
          <w:rStyle w:val="FootnoteReference"/>
        </w:rPr>
        <w:footnoteRef/>
      </w:r>
      <w:r>
        <w:t xml:space="preserve"> </w:t>
      </w:r>
      <w:r w:rsidR="00A620EE" w:rsidRPr="00513F3B">
        <w:rPr>
          <w:lang w:eastAsia="en-GB"/>
        </w:rPr>
        <w:t>HARRISON, pp. 144, 145.</w:t>
      </w:r>
    </w:p>
  </w:footnote>
  <w:footnote w:id="488">
    <w:p w14:paraId="1C45F7B5" w14:textId="599C3D54" w:rsidR="007E12BF" w:rsidRDefault="007E12BF">
      <w:pPr>
        <w:pStyle w:val="FootnoteText"/>
      </w:pPr>
      <w:r>
        <w:rPr>
          <w:rStyle w:val="FootnoteReference"/>
        </w:rPr>
        <w:footnoteRef/>
      </w:r>
      <w:r>
        <w:t xml:space="preserve"> </w:t>
      </w:r>
      <w:r w:rsidR="00A620EE" w:rsidRPr="00513F3B">
        <w:rPr>
          <w:lang w:eastAsia="en-GB"/>
        </w:rPr>
        <w:t>MN 125/MA 198.</w:t>
      </w:r>
    </w:p>
  </w:footnote>
  <w:footnote w:id="489">
    <w:p w14:paraId="406B4EA9" w14:textId="150B8C02" w:rsidR="007E12BF" w:rsidRDefault="007E12BF">
      <w:pPr>
        <w:pStyle w:val="FootnoteText"/>
      </w:pPr>
      <w:r>
        <w:rPr>
          <w:rStyle w:val="FootnoteReference"/>
        </w:rPr>
        <w:footnoteRef/>
      </w:r>
      <w:r>
        <w:t xml:space="preserve"> </w:t>
      </w:r>
      <w:r w:rsidR="00A620EE" w:rsidRPr="00513F3B">
        <w:rPr>
          <w:lang w:eastAsia="en-GB"/>
        </w:rPr>
        <w:t>E.g. MN 123.3/MA 32.</w:t>
      </w:r>
    </w:p>
  </w:footnote>
  <w:footnote w:id="490">
    <w:p w14:paraId="2DFEB94E" w14:textId="1B441D18" w:rsidR="007E12BF" w:rsidRDefault="007E12BF">
      <w:pPr>
        <w:pStyle w:val="FootnoteText"/>
      </w:pPr>
      <w:r>
        <w:rPr>
          <w:rStyle w:val="FootnoteReference"/>
        </w:rPr>
        <w:footnoteRef/>
      </w:r>
      <w:r>
        <w:t xml:space="preserve"> </w:t>
      </w:r>
      <w:r w:rsidR="00A620EE" w:rsidRPr="00513F3B">
        <w:rPr>
          <w:lang w:eastAsia="en-GB"/>
        </w:rPr>
        <w:t>HARRISON, pg.</w:t>
      </w:r>
      <w:r w:rsidR="00A620EE" w:rsidRPr="00513F3B">
        <w:rPr>
          <w:rFonts w:ascii="Times New Roman" w:hAnsi="Times New Roman"/>
          <w:lang w:eastAsia="en-GB"/>
        </w:rPr>
        <w:t> </w:t>
      </w:r>
      <w:r w:rsidR="00A620EE" w:rsidRPr="00513F3B">
        <w:rPr>
          <w:lang w:eastAsia="en-GB"/>
        </w:rPr>
        <w:t>41.</w:t>
      </w:r>
    </w:p>
  </w:footnote>
  <w:footnote w:id="491">
    <w:p w14:paraId="6E554495" w14:textId="6EBF900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(ANACKER pg.</w:t>
      </w:r>
      <w:r w:rsidR="00A620EE" w:rsidRPr="00513F3B">
        <w:rPr>
          <w:rFonts w:ascii="Times New Roman" w:hAnsi="Times New Roman"/>
          <w:lang w:eastAsia="en-GB"/>
        </w:rPr>
        <w:t> </w:t>
      </w:r>
      <w:r w:rsidR="00A620EE" w:rsidRPr="00513F3B">
        <w:rPr>
          <w:lang w:eastAsia="en-GB"/>
        </w:rPr>
        <w:t>166).</w:t>
      </w:r>
    </w:p>
  </w:footnote>
  <w:footnote w:id="492">
    <w:p w14:paraId="3CF4B71D" w14:textId="1F73A75B"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xvii.</w:t>
      </w:r>
    </w:p>
  </w:footnote>
  <w:footnote w:id="493">
    <w:p w14:paraId="62C41DAE" w14:textId="600F7AB0"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xviii.</w:t>
      </w:r>
    </w:p>
  </w:footnote>
  <w:footnote w:id="494">
    <w:p w14:paraId="5DCBAF83" w14:textId="3ADA1C0B" w:rsidR="00A91783" w:rsidRDefault="00A91783">
      <w:pPr>
        <w:pStyle w:val="FootnoteText"/>
      </w:pPr>
      <w:r>
        <w:rPr>
          <w:rStyle w:val="FootnoteReference"/>
        </w:rPr>
        <w:footnoteRef/>
      </w:r>
      <w:r>
        <w:t xml:space="preserve"> </w:t>
      </w:r>
      <w:r w:rsidR="008D0A98" w:rsidRPr="00513F3B">
        <w:rPr>
          <w:lang w:eastAsia="en-GB"/>
        </w:rPr>
        <w:t>BOIN-WEBB, pg.</w:t>
      </w:r>
      <w:r w:rsidR="008D0A98" w:rsidRPr="00513F3B">
        <w:rPr>
          <w:rFonts w:ascii="Times New Roman" w:hAnsi="Times New Roman"/>
          <w:lang w:eastAsia="en-GB"/>
        </w:rPr>
        <w:t> </w:t>
      </w:r>
      <w:r w:rsidR="008D0A98" w:rsidRPr="00513F3B">
        <w:rPr>
          <w:lang w:eastAsia="en-GB"/>
        </w:rPr>
        <w:t>9.</w:t>
      </w:r>
    </w:p>
  </w:footnote>
  <w:footnote w:id="495">
    <w:p w14:paraId="2A0A9506" w14:textId="456FB792" w:rsidR="00A91783" w:rsidRDefault="00A91783">
      <w:pPr>
        <w:pStyle w:val="FootnoteText"/>
      </w:pPr>
      <w:r>
        <w:rPr>
          <w:rStyle w:val="FootnoteReference"/>
        </w:rPr>
        <w:footnoteRef/>
      </w:r>
      <w:r>
        <w:t xml:space="preserve"> </w:t>
      </w:r>
      <w:r w:rsidR="00420504" w:rsidRPr="00513F3B">
        <w:rPr>
          <w:lang w:eastAsia="en-GB"/>
        </w:rPr>
        <w:t>BOIN-WEBB, pp.</w:t>
      </w:r>
      <w:r w:rsidR="00420504" w:rsidRPr="00513F3B">
        <w:rPr>
          <w:rFonts w:ascii="Times New Roman" w:hAnsi="Times New Roman"/>
          <w:lang w:eastAsia="en-GB"/>
        </w:rPr>
        <w:t>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14166587" w:rsidR="00A91783" w:rsidRDefault="00A91783">
      <w:pPr>
        <w:pStyle w:val="FootnoteText"/>
      </w:pPr>
      <w:r>
        <w:rPr>
          <w:rStyle w:val="FootnoteReference"/>
        </w:rPr>
        <w:footnoteRef/>
      </w:r>
      <w:r>
        <w:t xml:space="preserve"> </w:t>
      </w:r>
      <w:r w:rsidR="00420504" w:rsidRPr="00513F3B">
        <w:rPr>
          <w:lang w:eastAsia="en-GB"/>
        </w:rPr>
        <w:t>See CDB, note 1, pg.</w:t>
      </w:r>
      <w:r w:rsidR="00420504" w:rsidRPr="00513F3B">
        <w:rPr>
          <w:rFonts w:ascii="Times New Roman" w:hAnsi="Times New Roman"/>
          <w:lang w:eastAsia="en-GB"/>
        </w:rPr>
        <w:t> </w:t>
      </w:r>
      <w:r w:rsidR="00420504" w:rsidRPr="00513F3B">
        <w:rPr>
          <w:lang w:eastAsia="en-GB"/>
        </w:rPr>
        <w:t>1397.</w:t>
      </w:r>
    </w:p>
  </w:footnote>
  <w:footnote w:id="497">
    <w:p w14:paraId="72193D9E" w14:textId="3FFA366B"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166.</w:t>
      </w:r>
    </w:p>
  </w:footnote>
  <w:footnote w:id="498">
    <w:p w14:paraId="33C743E4" w14:textId="1B7D666F"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168.</w:t>
      </w:r>
    </w:p>
  </w:footnote>
  <w:footnote w:id="499">
    <w:p w14:paraId="0686928D" w14:textId="7962A900" w:rsidR="00A91783" w:rsidRDefault="00A91783">
      <w:pPr>
        <w:pStyle w:val="FootnoteText"/>
      </w:pPr>
      <w:r>
        <w:rPr>
          <w:rStyle w:val="FootnoteReference"/>
        </w:rPr>
        <w:footnoteRef/>
      </w:r>
      <w:r>
        <w:t xml:space="preserve"> </w:t>
      </w:r>
      <w:r w:rsidR="00420504" w:rsidRPr="00513F3B">
        <w:rPr>
          <w:lang w:eastAsia="en-GB"/>
        </w:rPr>
        <w:t>WAYMAN, pp.97–98.</w:t>
      </w:r>
    </w:p>
  </w:footnote>
  <w:footnote w:id="500">
    <w:p w14:paraId="13194A0A" w14:textId="27CF03D3" w:rsidR="00A91783" w:rsidRDefault="00A91783">
      <w:pPr>
        <w:pStyle w:val="FootnoteText"/>
      </w:pPr>
      <w:r>
        <w:rPr>
          <w:rStyle w:val="FootnoteReference"/>
        </w:rPr>
        <w:footnoteRef/>
      </w:r>
      <w:r>
        <w:t xml:space="preserve"> </w:t>
      </w:r>
      <w:r w:rsidR="00420504" w:rsidRPr="00513F3B">
        <w:rPr>
          <w:lang w:eastAsia="en-GB"/>
        </w:rPr>
        <w:t>Frauwallner’s postulation of ‘two Vasubandhus’ has been vigorously contested by ANACKER (pp.</w:t>
      </w:r>
      <w:r w:rsidR="00420504" w:rsidRPr="00513F3B">
        <w:rPr>
          <w:rFonts w:ascii="Times New Roman" w:hAnsi="Times New Roman"/>
          <w:lang w:eastAsia="en-GB"/>
        </w:rPr>
        <w:t> </w:t>
      </w:r>
      <w:r w:rsidR="00420504" w:rsidRPr="00513F3B">
        <w:rPr>
          <w:lang w:eastAsia="en-GB"/>
        </w:rPr>
        <w:t>7</w:t>
      </w:r>
      <w:r w:rsidR="00420504" w:rsidRPr="00513F3B">
        <w:rPr>
          <w:i/>
          <w:iCs/>
          <w:lang w:eastAsia="en-GB"/>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3259356A" w:rsidR="00A91783" w:rsidRDefault="00A91783">
      <w:pPr>
        <w:pStyle w:val="FootnoteText"/>
      </w:pPr>
      <w:r>
        <w:rPr>
          <w:rStyle w:val="FootnoteReference"/>
        </w:rPr>
        <w:footnoteRef/>
      </w:r>
      <w:r>
        <w:t xml:space="preserve"> </w:t>
      </w:r>
      <w:r w:rsidR="00420504" w:rsidRPr="00513F3B">
        <w:rPr>
          <w:lang w:eastAsia="en-GB"/>
        </w:rPr>
        <w:t>MVB 4.1. Anacker has published an earlier, partial translation of this work in under the title ‘The Meditational Therapy of the Madhyāntavibhāgabhāṣya’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61E10901" w:rsidR="00A91783" w:rsidRDefault="00A91783">
      <w:pPr>
        <w:pStyle w:val="FootnoteText"/>
      </w:pPr>
      <w:r>
        <w:rPr>
          <w:rStyle w:val="FootnoteReference"/>
        </w:rPr>
        <w:footnoteRef/>
      </w:r>
      <w:r>
        <w:t xml:space="preserve"> </w:t>
      </w:r>
      <w:r w:rsidR="00420504" w:rsidRPr="00513F3B">
        <w:rPr>
          <w:lang w:eastAsia="en-GB"/>
        </w:rPr>
        <w:t>ANACKER’s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2BB39938" w:rsidR="00A91783" w:rsidRDefault="00A91783">
      <w:pPr>
        <w:pStyle w:val="FootnoteText"/>
      </w:pPr>
      <w:r>
        <w:rPr>
          <w:rStyle w:val="FootnoteReference"/>
        </w:rPr>
        <w:footnoteRef/>
      </w:r>
      <w:r>
        <w:t xml:space="preserve"> </w:t>
      </w:r>
      <w:r w:rsidR="00420504" w:rsidRPr="00513F3B">
        <w:rPr>
          <w:lang w:eastAsia="en-GB"/>
        </w:rPr>
        <w:t>SN 47.19.</w:t>
      </w:r>
    </w:p>
  </w:footnote>
  <w:footnote w:id="510">
    <w:p w14:paraId="1E9C812A" w14:textId="5AE100F1" w:rsidR="00A91783" w:rsidRDefault="00A91783">
      <w:pPr>
        <w:pStyle w:val="FootnoteText"/>
      </w:pPr>
      <w:r>
        <w:rPr>
          <w:rStyle w:val="FootnoteReference"/>
        </w:rPr>
        <w:footnoteRef/>
      </w:r>
      <w:r>
        <w:t xml:space="preserve"> </w:t>
      </w:r>
      <w:r w:rsidR="00420504" w:rsidRPr="00513F3B">
        <w:rPr>
          <w:lang w:eastAsia="en-GB"/>
        </w:rPr>
        <w:t>HOPKINS, pg.</w:t>
      </w:r>
      <w:r w:rsidR="00420504" w:rsidRPr="00513F3B">
        <w:rPr>
          <w:rFonts w:ascii="Times New Roman" w:hAnsi="Times New Roman"/>
          <w:lang w:eastAsia="en-GB"/>
        </w:rPr>
        <w:t> </w:t>
      </w:r>
      <w:r w:rsidR="00420504" w:rsidRPr="00513F3B">
        <w:rPr>
          <w:lang w:eastAsia="en-GB"/>
        </w:rPr>
        <w:t>247.</w:t>
      </w:r>
    </w:p>
  </w:footnote>
  <w:footnote w:id="511">
    <w:p w14:paraId="6F497B65" w14:textId="163ABD3B" w:rsidR="00A91783" w:rsidRDefault="00A91783">
      <w:pPr>
        <w:pStyle w:val="FootnoteText"/>
      </w:pPr>
      <w:r>
        <w:rPr>
          <w:rStyle w:val="FootnoteReference"/>
        </w:rPr>
        <w:footnoteRef/>
      </w:r>
      <w:r>
        <w:t xml:space="preserve"> </w:t>
      </w:r>
      <w:r w:rsidR="00420504" w:rsidRPr="00513F3B">
        <w:rPr>
          <w:lang w:eastAsia="en-GB"/>
        </w:rPr>
        <w:t>HOPKINS, pg.</w:t>
      </w:r>
      <w:r w:rsidR="00420504" w:rsidRPr="00513F3B">
        <w:rPr>
          <w:rFonts w:ascii="Times New Roman" w:hAnsi="Times New Roman"/>
          <w:lang w:eastAsia="en-GB"/>
        </w:rPr>
        <w:t> </w:t>
      </w:r>
      <w:r w:rsidR="00420504" w:rsidRPr="00513F3B">
        <w:rPr>
          <w:lang w:eastAsia="en-GB"/>
        </w:rPr>
        <w:t>289.</w:t>
      </w:r>
    </w:p>
  </w:footnote>
  <w:footnote w:id="512">
    <w:p w14:paraId="4FB47B71" w14:textId="08FAEDDB" w:rsidR="00A91783" w:rsidRDefault="00A91783">
      <w:pPr>
        <w:pStyle w:val="FootnoteText"/>
      </w:pPr>
      <w:r>
        <w:rPr>
          <w:rStyle w:val="FootnoteReference"/>
        </w:rPr>
        <w:footnoteRef/>
      </w:r>
      <w:r>
        <w:t xml:space="preserve"> </w:t>
      </w:r>
      <w:r w:rsidR="00420504" w:rsidRPr="00513F3B">
        <w:rPr>
          <w:lang w:eastAsia="en-GB"/>
        </w:rPr>
        <w:t>HOPKINS , pg.</w:t>
      </w:r>
      <w:r w:rsidR="00420504" w:rsidRPr="00513F3B">
        <w:rPr>
          <w:rFonts w:ascii="Times New Roman" w:hAnsi="Times New Roman"/>
          <w:lang w:eastAsia="en-GB"/>
        </w:rPr>
        <w:t> </w:t>
      </w:r>
      <w:r w:rsidR="00420504" w:rsidRPr="00513F3B">
        <w:rPr>
          <w:lang w:eastAsia="en-GB"/>
        </w:rPr>
        <w:t>72, chart 2.</w:t>
      </w:r>
    </w:p>
  </w:footnote>
  <w:footnote w:id="513">
    <w:p w14:paraId="4A92F7AE" w14:textId="25F7EDE7" w:rsidR="00A91783" w:rsidRDefault="00A91783">
      <w:pPr>
        <w:pStyle w:val="FootnoteText"/>
      </w:pPr>
      <w:r>
        <w:rPr>
          <w:rStyle w:val="FootnoteReference"/>
        </w:rPr>
        <w:footnoteRef/>
      </w:r>
      <w:r>
        <w:t xml:space="preserve"> </w:t>
      </w:r>
      <w:r w:rsidR="00420504" w:rsidRPr="00513F3B">
        <w:rPr>
          <w:lang w:eastAsia="en-GB"/>
        </w:rPr>
        <w:t>HOPKINS , pg.</w:t>
      </w:r>
      <w:r w:rsidR="00420504" w:rsidRPr="00513F3B">
        <w:rPr>
          <w:rFonts w:ascii="Times New Roman" w:hAnsi="Times New Roman"/>
          <w:lang w:eastAsia="en-GB"/>
        </w:rPr>
        <w:t> </w:t>
      </w:r>
      <w:r w:rsidR="00420504" w:rsidRPr="00513F3B">
        <w:rPr>
          <w:lang w:eastAsia="en-GB"/>
        </w:rPr>
        <w:t>81, chart 3.</w:t>
      </w:r>
    </w:p>
  </w:footnote>
  <w:footnote w:id="514">
    <w:p w14:paraId="6B6C76BA" w14:textId="2E5770EF" w:rsidR="00A91783" w:rsidRDefault="00A91783">
      <w:pPr>
        <w:pStyle w:val="FootnoteText"/>
      </w:pPr>
      <w:r>
        <w:rPr>
          <w:rStyle w:val="FootnoteReference"/>
        </w:rPr>
        <w:footnoteRef/>
      </w:r>
      <w:r>
        <w:t xml:space="preserve"> </w:t>
      </w:r>
      <w:r w:rsidR="00420504" w:rsidRPr="00513F3B">
        <w:rPr>
          <w:lang w:eastAsia="en-GB"/>
        </w:rPr>
        <w:t>BOIN-WEBB, pg.</w:t>
      </w:r>
      <w:r w:rsidR="00420504" w:rsidRPr="00513F3B">
        <w:rPr>
          <w:rFonts w:ascii="Times New Roman" w:hAnsi="Times New Roman"/>
          <w:lang w:eastAsia="en-GB"/>
        </w:rPr>
        <w:t>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The Theravāda Abhidhamma definition of samatha similarly includes a series of terms derived from √</w:t>
      </w:r>
      <w:r w:rsidR="00420504" w:rsidRPr="00513F3B">
        <w:rPr>
          <w:i/>
          <w:iCs/>
          <w:lang w:eastAsia="en-GB"/>
        </w:rPr>
        <w:t>sthā</w:t>
      </w:r>
      <w:r w:rsidR="00420504" w:rsidRPr="00513F3B">
        <w:rPr>
          <w:lang w:eastAsia="en-GB"/>
        </w:rPr>
        <w:t>; this has the same prefixes in the same order (</w:t>
      </w:r>
      <w:r w:rsidR="00420504" w:rsidRPr="00513F3B">
        <w:rPr>
          <w:i/>
          <w:iCs/>
          <w:lang w:eastAsia="en-GB"/>
        </w:rPr>
        <w:t>ṭhiti</w:t>
      </w:r>
      <w:r w:rsidR="00420504" w:rsidRPr="00513F3B">
        <w:rPr>
          <w:lang w:eastAsia="en-GB"/>
        </w:rPr>
        <w:t>, </w:t>
      </w:r>
      <w:r w:rsidR="00420504" w:rsidRPr="00513F3B">
        <w:rPr>
          <w:i/>
          <w:iCs/>
          <w:lang w:eastAsia="en-GB"/>
        </w:rPr>
        <w:t>saṇṭhiti</w:t>
      </w:r>
      <w:r w:rsidR="00420504" w:rsidRPr="00513F3B">
        <w:rPr>
          <w:lang w:eastAsia="en-GB"/>
        </w:rPr>
        <w:t>, </w:t>
      </w:r>
      <w:r w:rsidR="00420504" w:rsidRPr="00513F3B">
        <w:rPr>
          <w:i/>
          <w:iCs/>
          <w:lang w:eastAsia="en-GB"/>
        </w:rPr>
        <w:t>avaṭṭhiti</w:t>
      </w:r>
      <w:r w:rsidR="00420504" w:rsidRPr="00513F3B">
        <w:rPr>
          <w:lang w:eastAsia="en-GB"/>
        </w:rPr>
        <w:t>).</w:t>
      </w:r>
    </w:p>
  </w:footnote>
  <w:footnote w:id="516">
    <w:p w14:paraId="2B05246E" w14:textId="0419750C" w:rsidR="00A91783" w:rsidRDefault="00A91783">
      <w:pPr>
        <w:pStyle w:val="FootnoteText"/>
      </w:pPr>
      <w:r>
        <w:rPr>
          <w:rStyle w:val="FootnoteReference"/>
        </w:rPr>
        <w:footnoteRef/>
      </w:r>
      <w:r>
        <w:t xml:space="preserve"> </w:t>
      </w:r>
      <w:r w:rsidR="00420504" w:rsidRPr="00513F3B">
        <w:rPr>
          <w:lang w:eastAsia="en-GB"/>
        </w:rPr>
        <w:t>AN 5.73.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10FF8"/>
    <w:rsid w:val="00012F00"/>
    <w:rsid w:val="000209BC"/>
    <w:rsid w:val="00036596"/>
    <w:rsid w:val="00036A77"/>
    <w:rsid w:val="0004151E"/>
    <w:rsid w:val="00042632"/>
    <w:rsid w:val="00042C85"/>
    <w:rsid w:val="000539D7"/>
    <w:rsid w:val="0005628A"/>
    <w:rsid w:val="00061235"/>
    <w:rsid w:val="00066C41"/>
    <w:rsid w:val="00067548"/>
    <w:rsid w:val="0007005E"/>
    <w:rsid w:val="00090D5F"/>
    <w:rsid w:val="00091989"/>
    <w:rsid w:val="0009232E"/>
    <w:rsid w:val="00092759"/>
    <w:rsid w:val="00097CEC"/>
    <w:rsid w:val="000A0E39"/>
    <w:rsid w:val="000A47A2"/>
    <w:rsid w:val="000A632A"/>
    <w:rsid w:val="000B458E"/>
    <w:rsid w:val="000B55EC"/>
    <w:rsid w:val="000B7FA1"/>
    <w:rsid w:val="000C0FB2"/>
    <w:rsid w:val="000C5780"/>
    <w:rsid w:val="000D3E48"/>
    <w:rsid w:val="000E4572"/>
    <w:rsid w:val="000E7574"/>
    <w:rsid w:val="000F386E"/>
    <w:rsid w:val="000F4345"/>
    <w:rsid w:val="000F6A24"/>
    <w:rsid w:val="000F7486"/>
    <w:rsid w:val="00104749"/>
    <w:rsid w:val="001130C2"/>
    <w:rsid w:val="00123039"/>
    <w:rsid w:val="001235FF"/>
    <w:rsid w:val="001300A5"/>
    <w:rsid w:val="00130DDF"/>
    <w:rsid w:val="00146075"/>
    <w:rsid w:val="00152A2D"/>
    <w:rsid w:val="00157603"/>
    <w:rsid w:val="00161B53"/>
    <w:rsid w:val="001665F2"/>
    <w:rsid w:val="001727C4"/>
    <w:rsid w:val="0017652C"/>
    <w:rsid w:val="00180B30"/>
    <w:rsid w:val="00181E4A"/>
    <w:rsid w:val="00182FEE"/>
    <w:rsid w:val="001855BD"/>
    <w:rsid w:val="0019135C"/>
    <w:rsid w:val="001921B9"/>
    <w:rsid w:val="001A40C2"/>
    <w:rsid w:val="001B2C14"/>
    <w:rsid w:val="001B487E"/>
    <w:rsid w:val="001B5F92"/>
    <w:rsid w:val="001D2F5D"/>
    <w:rsid w:val="001D66AB"/>
    <w:rsid w:val="001E0A4A"/>
    <w:rsid w:val="001E235C"/>
    <w:rsid w:val="001E26A6"/>
    <w:rsid w:val="001F3CD2"/>
    <w:rsid w:val="001F724D"/>
    <w:rsid w:val="001F72BC"/>
    <w:rsid w:val="00205467"/>
    <w:rsid w:val="00214FEC"/>
    <w:rsid w:val="00216B1D"/>
    <w:rsid w:val="0022231E"/>
    <w:rsid w:val="00223819"/>
    <w:rsid w:val="00237578"/>
    <w:rsid w:val="0024501F"/>
    <w:rsid w:val="00252CF9"/>
    <w:rsid w:val="00253031"/>
    <w:rsid w:val="00253BE9"/>
    <w:rsid w:val="00253D6B"/>
    <w:rsid w:val="002563C3"/>
    <w:rsid w:val="00260425"/>
    <w:rsid w:val="00260636"/>
    <w:rsid w:val="002711B2"/>
    <w:rsid w:val="00275631"/>
    <w:rsid w:val="00281218"/>
    <w:rsid w:val="002851BA"/>
    <w:rsid w:val="002A4DDC"/>
    <w:rsid w:val="002A56DB"/>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43426"/>
    <w:rsid w:val="00344D2F"/>
    <w:rsid w:val="00347749"/>
    <w:rsid w:val="003555DD"/>
    <w:rsid w:val="0035663D"/>
    <w:rsid w:val="00357728"/>
    <w:rsid w:val="003612FC"/>
    <w:rsid w:val="00363205"/>
    <w:rsid w:val="00372D35"/>
    <w:rsid w:val="00373040"/>
    <w:rsid w:val="0038200B"/>
    <w:rsid w:val="003867E1"/>
    <w:rsid w:val="00386F0B"/>
    <w:rsid w:val="00397BF4"/>
    <w:rsid w:val="003A56C7"/>
    <w:rsid w:val="003A725E"/>
    <w:rsid w:val="003A7E8C"/>
    <w:rsid w:val="003B615C"/>
    <w:rsid w:val="003D2AC2"/>
    <w:rsid w:val="003D2ACF"/>
    <w:rsid w:val="003D3714"/>
    <w:rsid w:val="003D3FFC"/>
    <w:rsid w:val="003D5406"/>
    <w:rsid w:val="003D5C0D"/>
    <w:rsid w:val="003E1865"/>
    <w:rsid w:val="003E674E"/>
    <w:rsid w:val="00401558"/>
    <w:rsid w:val="00406E13"/>
    <w:rsid w:val="004109E9"/>
    <w:rsid w:val="00412977"/>
    <w:rsid w:val="004160DB"/>
    <w:rsid w:val="004202BB"/>
    <w:rsid w:val="00420504"/>
    <w:rsid w:val="00422CB3"/>
    <w:rsid w:val="00424F7F"/>
    <w:rsid w:val="00425518"/>
    <w:rsid w:val="00427A33"/>
    <w:rsid w:val="00435F86"/>
    <w:rsid w:val="00467E65"/>
    <w:rsid w:val="00470E9F"/>
    <w:rsid w:val="0047236C"/>
    <w:rsid w:val="00483AC8"/>
    <w:rsid w:val="00492795"/>
    <w:rsid w:val="004933CA"/>
    <w:rsid w:val="0049345F"/>
    <w:rsid w:val="004936E6"/>
    <w:rsid w:val="00495C55"/>
    <w:rsid w:val="004A12BE"/>
    <w:rsid w:val="004B3273"/>
    <w:rsid w:val="004B7086"/>
    <w:rsid w:val="004B7381"/>
    <w:rsid w:val="00513203"/>
    <w:rsid w:val="005143F6"/>
    <w:rsid w:val="00517DF3"/>
    <w:rsid w:val="0052089A"/>
    <w:rsid w:val="00521AC0"/>
    <w:rsid w:val="00525867"/>
    <w:rsid w:val="005279B4"/>
    <w:rsid w:val="00527C5F"/>
    <w:rsid w:val="00532B0A"/>
    <w:rsid w:val="00536770"/>
    <w:rsid w:val="00541B60"/>
    <w:rsid w:val="00557A80"/>
    <w:rsid w:val="00561D56"/>
    <w:rsid w:val="005643F2"/>
    <w:rsid w:val="00565E55"/>
    <w:rsid w:val="005750E7"/>
    <w:rsid w:val="0059390F"/>
    <w:rsid w:val="00594FB9"/>
    <w:rsid w:val="005A4B2E"/>
    <w:rsid w:val="005B119F"/>
    <w:rsid w:val="005C3A41"/>
    <w:rsid w:val="005C3F8F"/>
    <w:rsid w:val="005E0DFC"/>
    <w:rsid w:val="005E2E6F"/>
    <w:rsid w:val="005E5BDA"/>
    <w:rsid w:val="005F4535"/>
    <w:rsid w:val="00603DF5"/>
    <w:rsid w:val="00607752"/>
    <w:rsid w:val="00612E7A"/>
    <w:rsid w:val="00616E75"/>
    <w:rsid w:val="00623719"/>
    <w:rsid w:val="00625C11"/>
    <w:rsid w:val="00626D18"/>
    <w:rsid w:val="00630CF1"/>
    <w:rsid w:val="006336C7"/>
    <w:rsid w:val="0064131A"/>
    <w:rsid w:val="00641447"/>
    <w:rsid w:val="00647C71"/>
    <w:rsid w:val="00657AD2"/>
    <w:rsid w:val="00666E51"/>
    <w:rsid w:val="00672185"/>
    <w:rsid w:val="006807A5"/>
    <w:rsid w:val="00681C85"/>
    <w:rsid w:val="00692851"/>
    <w:rsid w:val="006933A2"/>
    <w:rsid w:val="006A011D"/>
    <w:rsid w:val="006C0F4F"/>
    <w:rsid w:val="006C726D"/>
    <w:rsid w:val="006D552B"/>
    <w:rsid w:val="006E276E"/>
    <w:rsid w:val="006E5436"/>
    <w:rsid w:val="006F392A"/>
    <w:rsid w:val="006F441E"/>
    <w:rsid w:val="006F6DAD"/>
    <w:rsid w:val="006F75ED"/>
    <w:rsid w:val="00700E60"/>
    <w:rsid w:val="00703632"/>
    <w:rsid w:val="00707516"/>
    <w:rsid w:val="00713289"/>
    <w:rsid w:val="00714014"/>
    <w:rsid w:val="007330EB"/>
    <w:rsid w:val="00737955"/>
    <w:rsid w:val="00740E1C"/>
    <w:rsid w:val="00742073"/>
    <w:rsid w:val="00743802"/>
    <w:rsid w:val="0074455B"/>
    <w:rsid w:val="00746D16"/>
    <w:rsid w:val="00754251"/>
    <w:rsid w:val="00761490"/>
    <w:rsid w:val="007632AE"/>
    <w:rsid w:val="00775302"/>
    <w:rsid w:val="00787BDA"/>
    <w:rsid w:val="007A31B4"/>
    <w:rsid w:val="007A68BF"/>
    <w:rsid w:val="007E12BF"/>
    <w:rsid w:val="007E160B"/>
    <w:rsid w:val="007E2960"/>
    <w:rsid w:val="007E2CFB"/>
    <w:rsid w:val="007E555A"/>
    <w:rsid w:val="007E7EE4"/>
    <w:rsid w:val="007F3824"/>
    <w:rsid w:val="0080055E"/>
    <w:rsid w:val="00800A19"/>
    <w:rsid w:val="0080364E"/>
    <w:rsid w:val="00807E88"/>
    <w:rsid w:val="008116F6"/>
    <w:rsid w:val="00814CE2"/>
    <w:rsid w:val="00815025"/>
    <w:rsid w:val="00823C14"/>
    <w:rsid w:val="0082671E"/>
    <w:rsid w:val="00833605"/>
    <w:rsid w:val="00834F3B"/>
    <w:rsid w:val="00836237"/>
    <w:rsid w:val="00852112"/>
    <w:rsid w:val="0085328B"/>
    <w:rsid w:val="00860BDC"/>
    <w:rsid w:val="008629AD"/>
    <w:rsid w:val="008778F2"/>
    <w:rsid w:val="00895C50"/>
    <w:rsid w:val="00895F53"/>
    <w:rsid w:val="008A476E"/>
    <w:rsid w:val="008A7C0A"/>
    <w:rsid w:val="008B3318"/>
    <w:rsid w:val="008B707B"/>
    <w:rsid w:val="008D0A98"/>
    <w:rsid w:val="008E0E38"/>
    <w:rsid w:val="008E58E0"/>
    <w:rsid w:val="008F3BE8"/>
    <w:rsid w:val="008F42AF"/>
    <w:rsid w:val="008F6AAC"/>
    <w:rsid w:val="008F6F04"/>
    <w:rsid w:val="008F6FA1"/>
    <w:rsid w:val="0090225B"/>
    <w:rsid w:val="00902491"/>
    <w:rsid w:val="00903212"/>
    <w:rsid w:val="00905B38"/>
    <w:rsid w:val="00907913"/>
    <w:rsid w:val="009127F9"/>
    <w:rsid w:val="0091498D"/>
    <w:rsid w:val="00915517"/>
    <w:rsid w:val="00921F1D"/>
    <w:rsid w:val="00936531"/>
    <w:rsid w:val="009537AA"/>
    <w:rsid w:val="009620CC"/>
    <w:rsid w:val="009648C3"/>
    <w:rsid w:val="00973E96"/>
    <w:rsid w:val="009768EA"/>
    <w:rsid w:val="0098037B"/>
    <w:rsid w:val="00987F59"/>
    <w:rsid w:val="00994016"/>
    <w:rsid w:val="00996C27"/>
    <w:rsid w:val="009A3412"/>
    <w:rsid w:val="009B1951"/>
    <w:rsid w:val="00A03A44"/>
    <w:rsid w:val="00A17324"/>
    <w:rsid w:val="00A210E7"/>
    <w:rsid w:val="00A326F7"/>
    <w:rsid w:val="00A32D5F"/>
    <w:rsid w:val="00A419BC"/>
    <w:rsid w:val="00A56D66"/>
    <w:rsid w:val="00A620EE"/>
    <w:rsid w:val="00A62D79"/>
    <w:rsid w:val="00A655D1"/>
    <w:rsid w:val="00A7012D"/>
    <w:rsid w:val="00A707B1"/>
    <w:rsid w:val="00A72404"/>
    <w:rsid w:val="00A73AA1"/>
    <w:rsid w:val="00A758BF"/>
    <w:rsid w:val="00A76FA3"/>
    <w:rsid w:val="00A77BFC"/>
    <w:rsid w:val="00A83302"/>
    <w:rsid w:val="00A86EB9"/>
    <w:rsid w:val="00A91783"/>
    <w:rsid w:val="00AA6A43"/>
    <w:rsid w:val="00AA6CC6"/>
    <w:rsid w:val="00AC0706"/>
    <w:rsid w:val="00AD1A3E"/>
    <w:rsid w:val="00AD36EA"/>
    <w:rsid w:val="00AD3C3F"/>
    <w:rsid w:val="00AE3EA4"/>
    <w:rsid w:val="00AF1CA1"/>
    <w:rsid w:val="00B10F86"/>
    <w:rsid w:val="00B11B01"/>
    <w:rsid w:val="00B127E9"/>
    <w:rsid w:val="00B22F27"/>
    <w:rsid w:val="00B24726"/>
    <w:rsid w:val="00B331DD"/>
    <w:rsid w:val="00B4354B"/>
    <w:rsid w:val="00B46124"/>
    <w:rsid w:val="00B537E1"/>
    <w:rsid w:val="00B60931"/>
    <w:rsid w:val="00B738BC"/>
    <w:rsid w:val="00B82B3F"/>
    <w:rsid w:val="00B861E6"/>
    <w:rsid w:val="00B90AF4"/>
    <w:rsid w:val="00B94D54"/>
    <w:rsid w:val="00BB5235"/>
    <w:rsid w:val="00BC41C7"/>
    <w:rsid w:val="00BC7884"/>
    <w:rsid w:val="00BD6183"/>
    <w:rsid w:val="00BD668E"/>
    <w:rsid w:val="00BE4E40"/>
    <w:rsid w:val="00BE6354"/>
    <w:rsid w:val="00C16309"/>
    <w:rsid w:val="00C223AC"/>
    <w:rsid w:val="00C255A8"/>
    <w:rsid w:val="00C36F0C"/>
    <w:rsid w:val="00C37D65"/>
    <w:rsid w:val="00C43C1D"/>
    <w:rsid w:val="00C45929"/>
    <w:rsid w:val="00C517AA"/>
    <w:rsid w:val="00C63FF7"/>
    <w:rsid w:val="00C64CC2"/>
    <w:rsid w:val="00C7347C"/>
    <w:rsid w:val="00C8291A"/>
    <w:rsid w:val="00C87B8E"/>
    <w:rsid w:val="00C90461"/>
    <w:rsid w:val="00C93C1F"/>
    <w:rsid w:val="00CA07C7"/>
    <w:rsid w:val="00CA3FDE"/>
    <w:rsid w:val="00CA496E"/>
    <w:rsid w:val="00CA6488"/>
    <w:rsid w:val="00CA6636"/>
    <w:rsid w:val="00CB57BD"/>
    <w:rsid w:val="00CC3979"/>
    <w:rsid w:val="00CD7E84"/>
    <w:rsid w:val="00CF544F"/>
    <w:rsid w:val="00CF5AAF"/>
    <w:rsid w:val="00D00D83"/>
    <w:rsid w:val="00D128C7"/>
    <w:rsid w:val="00D13540"/>
    <w:rsid w:val="00D157DB"/>
    <w:rsid w:val="00D23232"/>
    <w:rsid w:val="00D302C0"/>
    <w:rsid w:val="00D31D68"/>
    <w:rsid w:val="00D4378C"/>
    <w:rsid w:val="00D45F3F"/>
    <w:rsid w:val="00D5132E"/>
    <w:rsid w:val="00D57DC6"/>
    <w:rsid w:val="00D60BEC"/>
    <w:rsid w:val="00D733EE"/>
    <w:rsid w:val="00D83901"/>
    <w:rsid w:val="00D914BB"/>
    <w:rsid w:val="00D96247"/>
    <w:rsid w:val="00DA1D2F"/>
    <w:rsid w:val="00DA4800"/>
    <w:rsid w:val="00DA693D"/>
    <w:rsid w:val="00DA6E64"/>
    <w:rsid w:val="00DB062F"/>
    <w:rsid w:val="00DB0D39"/>
    <w:rsid w:val="00DB1083"/>
    <w:rsid w:val="00DB3788"/>
    <w:rsid w:val="00DC2B7D"/>
    <w:rsid w:val="00DC40A3"/>
    <w:rsid w:val="00DF4802"/>
    <w:rsid w:val="00E015A3"/>
    <w:rsid w:val="00E02AC5"/>
    <w:rsid w:val="00E0565C"/>
    <w:rsid w:val="00E262FB"/>
    <w:rsid w:val="00E33060"/>
    <w:rsid w:val="00E40943"/>
    <w:rsid w:val="00E41F15"/>
    <w:rsid w:val="00E56C99"/>
    <w:rsid w:val="00E678D1"/>
    <w:rsid w:val="00E7468B"/>
    <w:rsid w:val="00E851A3"/>
    <w:rsid w:val="00E96321"/>
    <w:rsid w:val="00EB144E"/>
    <w:rsid w:val="00EB4111"/>
    <w:rsid w:val="00EB6212"/>
    <w:rsid w:val="00EC4678"/>
    <w:rsid w:val="00EC48D1"/>
    <w:rsid w:val="00ED6D28"/>
    <w:rsid w:val="00EF1C13"/>
    <w:rsid w:val="00EF3832"/>
    <w:rsid w:val="00F040F2"/>
    <w:rsid w:val="00F11807"/>
    <w:rsid w:val="00F15316"/>
    <w:rsid w:val="00F20E09"/>
    <w:rsid w:val="00F22FA4"/>
    <w:rsid w:val="00F23E08"/>
    <w:rsid w:val="00F31DCD"/>
    <w:rsid w:val="00F32C89"/>
    <w:rsid w:val="00F55C3E"/>
    <w:rsid w:val="00F56E7E"/>
    <w:rsid w:val="00F6672A"/>
    <w:rsid w:val="00F66CB3"/>
    <w:rsid w:val="00F67C0B"/>
    <w:rsid w:val="00F75871"/>
    <w:rsid w:val="00F75D20"/>
    <w:rsid w:val="00F8020E"/>
    <w:rsid w:val="00F91E9D"/>
    <w:rsid w:val="00FB2091"/>
    <w:rsid w:val="00FB33EE"/>
    <w:rsid w:val="00FC2C7E"/>
    <w:rsid w:val="00FC5EF0"/>
    <w:rsid w:val="00FD2AFB"/>
    <w:rsid w:val="00FD5B47"/>
    <w:rsid w:val="00FD7EA9"/>
    <w:rsid w:val="00FE62C9"/>
    <w:rsid w:val="00FE6371"/>
    <w:rsid w:val="00FE752D"/>
    <w:rsid w:val="00FE7827"/>
    <w:rsid w:val="00FE7B53"/>
    <w:rsid w:val="00FF069D"/>
    <w:rsid w:val="00FF1EC2"/>
    <w:rsid w:val="00FF2DC3"/>
    <w:rsid w:val="00FF2F90"/>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BDC"/>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F75D20"/>
    <w:pPr>
      <w:spacing w:after="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F75D20"/>
    <w:rPr>
      <w:rFonts w:ascii="Gentium Book Plus" w:hAnsi="Gentium Book Plus"/>
      <w:sz w:val="24"/>
      <w:szCs w:val="20"/>
    </w:rPr>
  </w:style>
  <w:style w:type="character" w:styleId="FootnoteReference">
    <w:name w:val="footnote reference"/>
    <w:basedOn w:val="DefaultParagraphFont"/>
    <w:uiPriority w:val="99"/>
    <w:rsid w:val="001E235C"/>
    <w:rPr>
      <w:rFonts w:ascii="Cascadia Mono" w:hAnsi="Cascadia Mono"/>
      <w:sz w:val="32"/>
      <w:bdr w:val="none" w:sz="0" w:space="0" w:color="auto"/>
      <w:shd w:val="clear" w:color="auto" w:fill="F79646" w:themeFill="accent6"/>
      <w:vertAlign w:val="superscript"/>
    </w:rPr>
  </w:style>
  <w:style w:type="character" w:customStyle="1" w:styleId="wwc-inline-reference">
    <w:name w:val="wwc-inline-reference"/>
    <w:uiPriority w:val="1"/>
    <w:qFormat/>
    <w:rsid w:val="00152A2D"/>
    <w:rPr>
      <w:bdr w:val="dotted" w:sz="4" w:space="0" w:color="auto"/>
      <w:shd w:val="clear" w:color="auto" w:fill="EEECE1" w:themeFill="background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1967</TotalTime>
  <Pages>482</Pages>
  <Words>115807</Words>
  <Characters>660102</Characters>
  <Application>Microsoft Office Word</Application>
  <DocSecurity>0</DocSecurity>
  <Lines>5500</Lines>
  <Paragraphs>1548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307</cp:revision>
  <dcterms:created xsi:type="dcterms:W3CDTF">2025-12-08T12:27:00Z</dcterms:created>
  <dcterms:modified xsi:type="dcterms:W3CDTF">2025-12-20T13:03:00Z</dcterms:modified>
</cp:coreProperties>
</file>