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rPr/>
        <w:t>AN 10.92:5.1–6.19</w:t>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saṅkhārā</w:t>
      </w:r>
      <w:r>
        <w:rPr/>
        <w:t xml:space="preserve">; </w:t>
      </w:r>
      <w:r>
        <w:rPr>
          <w:rStyle w:val="wwc-pali"/>
        </w:rPr>
        <w:t>saṅkhārapaccayā</w:t>
      </w:r>
      <w:r>
        <w:rPr/>
        <w:t xml:space="preserve"> </w:t>
      </w:r>
      <w:r>
        <w:rPr>
          <w:rStyle w:val="wwc-pali"/>
        </w:rPr>
        <w:t>viññāṇaṁ</w:t>
      </w:r>
      <w:r>
        <w:rPr/>
        <w:t xml:space="preserve">; </w:t>
      </w:r>
      <w:r>
        <w:rPr>
          <w:rStyle w:val="wwc-pali"/>
        </w:rPr>
        <w:t>viññāṇapaccayā</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phassapaccayā</w:t>
      </w:r>
      <w:r>
        <w:rPr/>
        <w:t xml:space="preserve"> </w:t>
      </w:r>
      <w:r>
        <w:rPr>
          <w:rStyle w:val="wwc-pali"/>
        </w:rPr>
        <w:t>vedanā</w:t>
      </w:r>
      <w:r>
        <w:rPr/>
        <w:t xml:space="preserve">; </w:t>
      </w:r>
      <w:r>
        <w:rPr>
          <w:rStyle w:val="wwc-pali"/>
        </w:rPr>
        <w:t>vedanāpaccayā</w:t>
      </w:r>
      <w:r>
        <w:rPr/>
        <w:t xml:space="preserve"> </w:t>
      </w:r>
      <w:r>
        <w:rPr>
          <w:rStyle w:val="wwc-pali"/>
        </w:rPr>
        <w:t>taṇhā</w:t>
      </w:r>
      <w:r>
        <w:rPr/>
        <w:t xml:space="preserve">; </w:t>
      </w:r>
      <w:r>
        <w:rPr>
          <w:rStyle w:val="wwc-pali"/>
        </w:rPr>
        <w:t>taṇhāpaccayā</w:t>
      </w:r>
      <w:r>
        <w:rPr/>
        <w:t xml:space="preserve"> </w:t>
      </w:r>
      <w:r>
        <w:rPr>
          <w:rStyle w:val="wwc-pali"/>
        </w:rPr>
        <w:t>upādānaṁ</w:t>
      </w:r>
      <w:r>
        <w:rPr/>
        <w:t xml:space="preserve">; </w:t>
      </w:r>
      <w:r>
        <w:rPr>
          <w:rStyle w:val="wwc-pali"/>
        </w:rPr>
        <w:t>upādānapaccayā</w:t>
      </w:r>
      <w:r>
        <w:rPr/>
        <w:t xml:space="preserve"> </w:t>
      </w:r>
      <w:r>
        <w:rPr>
          <w:rStyle w:val="wwc-pali"/>
        </w:rPr>
        <w:t>bhavo</w:t>
      </w:r>
      <w:r>
        <w:rPr/>
        <w:t xml:space="preserve">; </w:t>
      </w:r>
      <w:r>
        <w:rPr>
          <w:rStyle w:val="wwc-pali"/>
        </w:rPr>
        <w:t>bhavapaccayā</w:t>
      </w:r>
      <w:r>
        <w:rPr/>
        <w:t xml:space="preserve"> </w:t>
      </w:r>
      <w:r>
        <w:rPr>
          <w:rStyle w:val="wwc-pali"/>
        </w:rPr>
        <w:t>jāti</w:t>
      </w:r>
      <w:r>
        <w:rPr/>
        <w:t xml:space="preserve">; </w:t>
      </w:r>
      <w:r>
        <w:rPr>
          <w:rStyle w:val="wwc-pali"/>
        </w:rPr>
        <w:t>jātipaccayā</w:t>
      </w:r>
      <w:r>
        <w:rPr/>
        <w:t xml:space="preserve"> </w:t>
      </w:r>
      <w:r>
        <w:rPr>
          <w:rStyle w:val="wwc-pali"/>
        </w:rPr>
        <w:t>jarāmaraṇaṁ</w:t>
      </w:r>
      <w:r>
        <w:rPr/>
        <w:t xml:space="preserve"> </w:t>
      </w:r>
      <w:r>
        <w:rPr>
          <w:rStyle w:val="wwc-pali"/>
        </w:rPr>
        <w:t>sokaparidevadukkhadomanassupāyāsā</w:t>
      </w:r>
      <w:r>
        <w:rPr/>
        <w:t xml:space="preserve"> </w:t>
      </w:r>
      <w:r>
        <w:rPr>
          <w:rStyle w:val="wwc-pali"/>
        </w:rPr>
        <w:t>sambhavanti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samudayo</w:t>
      </w:r>
      <w:r>
        <w:rPr/>
        <w:t xml:space="preserve"> </w:t>
      </w:r>
      <w:r>
        <w:rPr>
          <w:rStyle w:val="wwc-pali"/>
        </w:rPr>
        <w:t>hoti</w:t>
      </w:r>
      <w:r>
        <w:rPr/>
        <w:t>.</w:t>
      </w:r>
    </w:p>
    <w:p>
      <w:pPr>
        <w:pStyle w:val="WW-blockquote"/>
        <w:rPr/>
      </w:pPr>
      <w:r>
        <w:rPr>
          <w:rStyle w:val="wwc-pali"/>
        </w:rPr>
        <w:t>Avijjāya</w:t>
      </w:r>
      <w:r>
        <w:rPr/>
        <w:t xml:space="preserve"> </w:t>
      </w:r>
      <w:r>
        <w:rPr>
          <w:rStyle w:val="wwc-pali"/>
        </w:rPr>
        <w:t>tveva</w:t>
      </w:r>
      <w:r>
        <w:rPr/>
        <w:t xml:space="preserve"> </w:t>
      </w:r>
      <w:r>
        <w:rPr>
          <w:rStyle w:val="wwc-pali"/>
        </w:rPr>
        <w:t>asesavirāganirodhā</w:t>
      </w:r>
      <w:r>
        <w:rPr/>
        <w:t xml:space="preserve"> </w:t>
      </w:r>
      <w:r>
        <w:rPr>
          <w:rStyle w:val="wwc-pali"/>
        </w:rPr>
        <w:t>saṅkhāranirodho</w:t>
      </w:r>
      <w:r>
        <w:rPr/>
        <w:t xml:space="preserve">; </w:t>
      </w:r>
      <w:r>
        <w:rPr>
          <w:rStyle w:val="wwc-pali"/>
        </w:rPr>
        <w:t>saṅkhāranirodhā</w:t>
      </w:r>
      <w:r>
        <w:rPr/>
        <w:t xml:space="preserve"> </w:t>
      </w:r>
      <w:r>
        <w:rPr>
          <w:rStyle w:val="wwc-pali"/>
        </w:rPr>
        <w:t>viññāṇanirodho</w:t>
      </w:r>
      <w:r>
        <w:rPr/>
        <w:t xml:space="preserve">; </w:t>
      </w:r>
      <w:r>
        <w:rPr>
          <w:rStyle w:val="wwc-pali"/>
        </w:rPr>
        <w:t>viññāṇanirodhā</w:t>
      </w:r>
      <w:r>
        <w:rPr/>
        <w:t xml:space="preserve"> </w:t>
      </w:r>
      <w:r>
        <w:rPr>
          <w:rStyle w:val="wwc-pali"/>
        </w:rPr>
        <w:t>nāmarūpanirodho</w:t>
      </w:r>
      <w:r>
        <w:rPr/>
        <w:t xml:space="preserve">; </w:t>
      </w:r>
      <w:r>
        <w:rPr>
          <w:rStyle w:val="wwc-pali"/>
        </w:rPr>
        <w:t>nāmarūpanirodhā</w:t>
      </w:r>
      <w:r>
        <w:rPr/>
        <w:t xml:space="preserve"> </w:t>
      </w:r>
      <w:r>
        <w:rPr>
          <w:rStyle w:val="wwc-pali"/>
        </w:rPr>
        <w:t>saḷāyatananirodho</w:t>
      </w:r>
      <w:r>
        <w:rPr/>
        <w:t xml:space="preserve">; </w:t>
      </w:r>
      <w:r>
        <w:rPr>
          <w:rStyle w:val="wwc-pali"/>
        </w:rPr>
        <w:t>saḷāyatananirodhā</w:t>
      </w:r>
      <w:r>
        <w:rPr/>
        <w:t xml:space="preserve"> </w:t>
      </w:r>
      <w:r>
        <w:rPr>
          <w:rStyle w:val="wwc-pali"/>
        </w:rPr>
        <w:t>phassanirodho</w:t>
      </w:r>
      <w:r>
        <w:rPr/>
        <w:t xml:space="preserve">; </w:t>
      </w:r>
      <w:r>
        <w:rPr>
          <w:rStyle w:val="wwc-pali"/>
        </w:rPr>
        <w:t>phassanirodhā</w:t>
      </w:r>
      <w:r>
        <w:rPr/>
        <w:t xml:space="preserve"> </w:t>
      </w:r>
      <w:r>
        <w:rPr>
          <w:rStyle w:val="wwc-pali"/>
        </w:rPr>
        <w:t>vedanānirodho</w:t>
      </w:r>
      <w:r>
        <w:rPr/>
        <w:t xml:space="preserve">; </w:t>
      </w:r>
      <w:r>
        <w:rPr>
          <w:rStyle w:val="wwc-pali"/>
        </w:rPr>
        <w:t>vedanānirodhā</w:t>
      </w:r>
      <w:r>
        <w:rPr/>
        <w:t xml:space="preserve"> </w:t>
      </w:r>
      <w:r>
        <w:rPr>
          <w:rStyle w:val="wwc-pali"/>
        </w:rPr>
        <w:t>taṇhānirodho</w:t>
      </w:r>
      <w:r>
        <w:rPr/>
        <w:t xml:space="preserve">; </w:t>
      </w:r>
      <w:r>
        <w:rPr>
          <w:rStyle w:val="wwc-pali"/>
        </w:rPr>
        <w:t>taṇhānirodhā</w:t>
      </w:r>
      <w:r>
        <w:rPr/>
        <w:t xml:space="preserve"> </w:t>
      </w:r>
      <w:r>
        <w:rPr>
          <w:rStyle w:val="wwc-pali"/>
        </w:rPr>
        <w:t>upādānanirodho</w:t>
      </w:r>
      <w:r>
        <w:rPr/>
        <w:t xml:space="preserve">; </w:t>
      </w:r>
      <w:r>
        <w:rPr>
          <w:rStyle w:val="wwc-pali"/>
        </w:rPr>
        <w:t>upādānanirodhā</w:t>
      </w:r>
      <w:r>
        <w:rPr/>
        <w:t xml:space="preserve"> </w:t>
      </w:r>
      <w:r>
        <w:rPr>
          <w:rStyle w:val="wwc-pali"/>
        </w:rPr>
        <w:t>bhavanirodho</w:t>
      </w:r>
      <w:r>
        <w:rPr/>
        <w:t xml:space="preserve">; </w:t>
      </w:r>
      <w:r>
        <w:rPr>
          <w:rStyle w:val="wwc-pali"/>
        </w:rPr>
        <w:t>bhavanirodhā</w:t>
      </w:r>
      <w:r>
        <w:rPr/>
        <w:t xml:space="preserve"> </w:t>
      </w:r>
      <w:r>
        <w:rPr>
          <w:rStyle w:val="wwc-pali"/>
        </w:rPr>
        <w:t>jātinirodho</w:t>
      </w:r>
      <w:r>
        <w:rPr/>
        <w:t xml:space="preserve">; </w:t>
      </w:r>
      <w:r>
        <w:rPr>
          <w:rStyle w:val="wwc-pali"/>
        </w:rPr>
        <w:t>jātinirodhā</w:t>
      </w:r>
      <w:r>
        <w:rPr/>
        <w:t xml:space="preserve"> </w:t>
      </w:r>
      <w:r>
        <w:rPr>
          <w:rStyle w:val="wwc-pali"/>
        </w:rPr>
        <w:t>jarāmaraṇaṁ</w:t>
      </w:r>
      <w:r>
        <w:rPr/>
        <w:t xml:space="preserve"> </w:t>
      </w:r>
      <w:r>
        <w:rPr>
          <w:rStyle w:val="wwc-pali"/>
        </w:rPr>
        <w:t>sokaparidevadukkhadomanassupāyāsā</w:t>
      </w:r>
      <w:r>
        <w:rPr/>
        <w:t xml:space="preserve"> </w:t>
      </w:r>
      <w:r>
        <w:rPr>
          <w:rStyle w:val="wwc-pali"/>
        </w:rPr>
        <w:t>nirujjhanti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nirodho</w:t>
      </w:r>
      <w:r>
        <w:rPr/>
        <w:t xml:space="preserve"> </w:t>
      </w:r>
      <w:r>
        <w:rPr>
          <w:rStyle w:val="wwc-pali"/>
        </w:rPr>
        <w:t>hotī</w:t>
      </w:r>
      <w:r>
        <w:rPr/>
        <w:t>”</w:t>
      </w:r>
      <w:r>
        <w:rPr>
          <w:rStyle w:val="wwc-pali"/>
        </w:rPr>
        <w:t>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r>
        <w:rPr/>
        <w:t>SN 12.1</w:t>
      </w:r>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(SN 12.2).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rPr/>
        <w:t>SN 12.2:3.1–3.7</w:t>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rPr/>
        <w:t>SN 12.2:4.1–4.3</w:t>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rPr/>
        <w:t>DN 15:4.1–4.4</w:t>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rPr/>
        <w:t>SN 12.2:5.1–5.4</w:t>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w:t>
      </w:r>
      <w:r>
        <w:rPr>
          <w:rStyle w:val="wwc-pali"/>
        </w:rPr>
        <w:t>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(AN 3.76),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rPr/>
        <w:t>SN 12.2:6.1–13.4</w:t>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(MN 120).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abhisaṅkharoti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rPr/>
        <w:t>SN 12.2:14.1–14.3</w:t>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rPr/>
        <w:t>SN 12.21:1.8–1.9</w:t>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rPr/>
        <w:t>SN 12.10:2.4</w:t>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(MN 13:8.1–14.5).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(SN 1.20:4.4, 5.2, SN 4.21:1.7, 1.9, and MN 70:4.10, 6.15)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(MN 12:37.1–37.11).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rPr/>
        <w:t>SN 12.21:1.9</w:t>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rPr/>
        <w:t>SN 12.21:1.8</w:t>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line-block"/>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rPr/>
        <w:t>AN 10.65:2.2</w:t>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Aṅguttara collection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(MN 101:2.4–2.8)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saḷāyatanaṁ</w:t>
      </w:r>
      <w:r>
        <w:rPr/>
        <w:t xml:space="preserve">, </w:t>
      </w:r>
      <w:r>
        <w:rPr>
          <w:rStyle w:val="wwc-pali"/>
        </w:rPr>
        <w:t>saḷāyatana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rPr/>
        <w:t>AN 3.61:13.4–13.5</w:t>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(DN 15)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mātukucchismiṁ</w:t>
      </w:r>
      <w:r>
        <w:rPr/>
        <w:t xml:space="preserve"> </w:t>
      </w:r>
      <w:r>
        <w:rPr>
          <w:rStyle w:val="wwc-pali"/>
        </w:rPr>
        <w:t>na</w:t>
      </w:r>
      <w:r>
        <w:rPr/>
        <w:t xml:space="preserve"> </w:t>
      </w:r>
      <w:r>
        <w:rPr>
          <w:rStyle w:val="wwc-pali"/>
        </w:rPr>
        <w:t>okkamissatha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nāmarūpaṁ</w:t>
      </w:r>
      <w:r>
        <w:rPr/>
        <w:t xml:space="preserve"> </w:t>
      </w:r>
      <w:r>
        <w:rPr>
          <w:rStyle w:val="wwc-pali"/>
        </w:rPr>
        <w:t>mātukucchismiṁ</w:t>
      </w:r>
      <w:r>
        <w:rPr/>
        <w:t xml:space="preserve"> </w:t>
      </w:r>
      <w:r>
        <w:rPr>
          <w:rStyle w:val="wwc-pali"/>
        </w:rPr>
        <w:t>samuccissathā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rPr/>
        <w:t>DN 15:21.1–21.3</w:t>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(DN 15).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collection</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Paraphrased from AN 3.76</w:t>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w:t>
      </w:r>
      <w:r>
        <w:rPr/>
        <w:t xml:space="preserve"> </w:t>
      </w:r>
      <w:r>
        <w:rPr>
          <w:rStyle w:val="wwc-pali"/>
        </w:rPr>
        <w:t>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(DN 15):</w:t>
      </w:r>
    </w:p>
    <w:p>
      <w:pPr>
        <w:pStyle w:val="WW-blockquote"/>
        <w:rPr/>
      </w:pPr>
      <w:r>
        <w:rPr/>
        <w:t>“</w:t>
      </w:r>
      <w:r>
        <w:rPr/>
        <w:t>This dependent origination, Ānanda, is deep and it appears deep.”</w:t>
      </w:r>
    </w:p>
    <w:p>
      <w:pPr>
        <w:pStyle w:val="WW-tight-right-cite"/>
        <w:rPr/>
      </w:pPr>
      <w:r>
        <w:rPr/>
        <w:t>DN 15:1.3–1.8</w:t>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(SN 12.15),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rPr/>
        <w:t>SN 12.15:3.7–3.9</w:t>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rPr/>
        <w:t>SN 12.15:3.4–3.6</w:t>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(MN 2:7.2–7.6)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(MN 38:24.1–24.2)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is inextricably involved with suffering. There is no perfect happiness to be found in any form of existence. As the Buddha said in the Aṅguttara collection:</w:t>
      </w:r>
    </w:p>
    <w:p>
      <w:pPr>
        <w:pStyle w:val="WW-blockquote"/>
        <w:rPr/>
      </w:pPr>
      <w:r>
        <w:rPr/>
        <w:t>“</w:t>
      </w:r>
      <w:r>
        <w:rPr/>
        <w:t>Just as a tiny bit of faeces has a bad smell, so I do not recommend even a tiny bit of existence, not even for so long as a finger-snap.”</w:t>
      </w:r>
    </w:p>
    <w:p>
      <w:pPr>
        <w:pStyle w:val="WW-tight-right-cite"/>
        <w:rPr/>
      </w:pPr>
      <w:r>
        <w:rPr/>
        <w:t>AN 1.328</w:t>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(Thag 17.2:23.1–23.4), an arahant is like a workman having completed the job and now calmly waiting for his wages. In the sutta called “The Dart” (SN 36.6)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(SN 5.10:6.1–6.4), what it feels like to be an arahant is just experiencing suffering arising and suffering passing away, and this was confirmed by the Buddha in the </w:t>
      </w:r>
      <w:r>
        <w:rPr>
          <w:rStyle w:val="wwc-sesame"/>
        </w:rPr>
        <w:t>Kaccānagotta Sutta</w:t>
      </w:r>
      <w:r>
        <w:rPr/>
        <w:t xml:space="preserve"> (SN 12.15:2.6),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r>
      <w:r>
        <w:rPr/>
        <w:br/>
        <w:t>        “</w:t>
      </w:r>
      <w:r>
        <w:rPr>
          <w:rStyle w:val="wwc-pali"/>
        </w:rPr>
        <w:t>Nibbāna</w:t>
      </w:r>
      <w:r>
        <w:rPr/>
        <w:t xml:space="preserve"> is the cessation of existence.”</w:t>
      </w:r>
    </w:p>
    <w:p>
      <w:pPr>
        <w:pStyle w:val="WW-tight-right-cite"/>
        <w:rPr/>
      </w:pPr>
      <w:r>
        <w:rPr/>
        <w:t>SN 12.68:5.2, 5.4, 12.2, 12.4, 13.2, 13.6</w:t>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(SN 12.43)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(DN 15); and in the </w:t>
      </w:r>
      <w:r>
        <w:rPr>
          <w:rStyle w:val="wwc-sesame"/>
        </w:rPr>
        <w:t>Nidāna Saṁyutta</w:t>
      </w:r>
      <w:r>
        <w:rPr/>
        <w:t xml:space="preserve">, Saṁyutta No XII of the </w:t>
      </w:r>
      <w:r>
        <w:rPr>
          <w:rStyle w:val="wwc-sesame"/>
        </w:rPr>
        <w:t>Saṁyutta Nikāya</w:t>
      </w:r>
      <w:r>
        <w:rPr/>
        <w:t xml:space="preserve"> (SN 12).</w:t>
      </w:r>
    </w:p>
    <w:p>
      <w:pPr>
        <w:pStyle w:val="WW-paragraph"/>
        <w:rPr/>
      </w:pPr>
      <w:r>
        <w:rPr/>
        <w:t xml:space="preserve">The </w:t>
      </w:r>
      <w:r>
        <w:rPr>
          <w:rStyle w:val="wwc-sesame"/>
        </w:rPr>
        <w:t>Nidāna Saṁyutta</w:t>
      </w:r>
      <w:r>
        <w:rPr/>
        <w:t xml:space="preserve"> (SN 12) begins with a simple expression of the 12 links in forward and reverse order (SN 12.1). The following Sutta, </w:t>
      </w:r>
      <w:r>
        <w:rPr>
          <w:rStyle w:val="wwc-sesame"/>
        </w:rPr>
        <w:t>Vibhaṅga</w:t>
      </w:r>
      <w:r>
        <w:rPr/>
        <w:t xml:space="preserve">, No 2 of the </w:t>
      </w:r>
      <w:r>
        <w:rPr>
          <w:rStyle w:val="wwc-sesame"/>
        </w:rPr>
        <w:t>Nidāna Saṁyutta</w:t>
      </w:r>
      <w:r>
        <w:rPr/>
        <w:t xml:space="preserve"> (SN 12.2),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rPr/>
        <w:t>SN 12.2:4.1–4.3</w:t>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AN 3.76. Look this up in Pali and you will relish its deeper meaning.</w:t>
      </w:r>
    </w:p>
    <w:p>
      <w:pPr>
        <w:pStyle w:val="WW-paragraph"/>
        <w:rPr/>
      </w:pPr>
      <w:r>
        <w:rPr/>
        <w:t xml:space="preserve">The meaning of </w:t>
      </w:r>
      <w:r>
        <w:rPr>
          <w:rStyle w:val="wwc-pali"/>
        </w:rPr>
        <w:t>viññāṇa</w:t>
      </w:r>
      <w:r>
        <w:rPr/>
        <w:t xml:space="preserve"> can not readily be discerned from SN 12.2, but if you look at DN 15,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t>DN 15:21.1–21.5</w:t>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Saṅkhārauppatti Sutta</w:t>
      </w:r>
      <w:r>
        <w:rPr/>
        <w:t xml:space="preserve">, (MN 120).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1973=border</w:t>
      </w:r>
      <w:r>
        <w:rPr/>
        <w:t xml:space="preserve"> </w:t>
        <w:br/>
      </w:r>
      <w:r>
        <w:rPr>
          <w:rStyle w:val="wwc-figure-image"/>
        </w:rPr>
        <w:t>./pg67.jpg=Page 67 of Johansson 1973=border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SN 12.2 and DN 15:4.1–4.5)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DN 15:21.2:</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AN 3.61:13.4–13.5:</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A similar formula can be seen in SN 12.39.</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 xml:space="preserve">The Meaning of the </w:t>
      </w:r>
      <w:r>
        <w:rPr>
          <w:rStyle w:val="wwc-pali"/>
        </w:rPr>
        <w:t>Paṭicca</w:t>
      </w:r>
      <w:r>
        <w:rPr/>
        <w:t xml:space="preserve"> </w:t>
      </w:r>
      <w:r>
        <w:rPr>
          <w:rStyle w:val="wwc-pali"/>
        </w:rPr>
        <w:t>Samuppāda</w:t>
      </w:r>
      <w:r>
        <w:rPr/>
        <w:t xml:space="preserve">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rPr/>
        <w:t>AN 10.65:2.2</w:t>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 xml:space="preserve"> </w:t>
      </w:r>
      <w:r>
        <w:rPr>
          <w:rStyle w:val="wwc-pali"/>
        </w:rPr>
        <w:t>maraṇaṁ</w:t>
      </w:r>
      <w:r>
        <w:rPr/>
        <w:t xml:space="preserve"> </w:t>
      </w:r>
      <w:r>
        <w:rPr>
          <w:rStyle w:val="wwc-pali"/>
        </w:rPr>
        <w:t>soka</w:t>
      </w:r>
      <w:r>
        <w:rPr/>
        <w:t xml:space="preserve"> </w:t>
      </w:r>
      <w:r>
        <w:rPr>
          <w:rStyle w:val="wwc-pali"/>
        </w:rPr>
        <w:t>parideva</w:t>
      </w:r>
      <w:r>
        <w:rPr/>
        <w:t xml:space="preserve"> </w:t>
      </w:r>
      <w:r>
        <w:rPr>
          <w:rStyle w:val="wwc-pali"/>
        </w:rPr>
        <w:t>dukkha</w:t>
      </w:r>
      <w:r>
        <w:rPr/>
        <w:t xml:space="preserve"> </w:t>
      </w:r>
      <w:r>
        <w:rPr>
          <w:rStyle w:val="wwc-pali"/>
        </w:rPr>
        <w:t>domanassa</w:t>
      </w:r>
      <w:r>
        <w:rPr/>
        <w:t xml:space="preserve"> </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AN 3.76) producing rebirth (</w:t>
      </w:r>
      <w:r>
        <w:rPr>
          <w:rStyle w:val="wwc-pali"/>
        </w:rPr>
        <w:t>jāti</w:t>
      </w:r>
      <w:r>
        <w:rPr/>
        <w:t>). The first sequence can be seen in the Suttas at AN 3.61:15.2–15.7. The second sequence can be found in DN 15:2.1–2.8, 3.1–3.2.</w:t>
      </w:r>
    </w:p>
    <w:p>
      <w:pPr>
        <w:pStyle w:val="WW-chapter-section-2"/>
        <w:rPr/>
      </w:pPr>
      <w:r>
        <w:rPr/>
        <w:t xml:space="preserve">The Arguments Given Against </w:t>
      </w:r>
      <w:r>
        <w:rPr>
          <w:rStyle w:val="wwc-pali"/>
        </w:rPr>
        <w:t>Paṭicca</w:t>
      </w:r>
      <w:r>
        <w:rPr/>
        <w:t xml:space="preserve"> </w:t>
      </w:r>
      <w:r>
        <w:rPr>
          <w:rStyle w:val="wwc-pali"/>
        </w:rPr>
        <w:t>Samuppāda</w:t>
      </w:r>
      <w:r>
        <w:rPr/>
        <w:t xml:space="preserve">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However the Incomparable Teacher, the Buddha, foresaw possible confusion by giving precise definitions of the terms he used when he used them. Thus at the beginning of SN 12.2, the Buddha explained methodically the meaning of each term. Even in DN 15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DN 15, or at SN 12.2,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(MN 43:3.1–6.5).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MN 43)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AN 10.92).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Anguttara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AN 3.61:2.1–3.3. Interestingly, those who quote this part of the Sutta fail to notice AN 3.61:13.4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(MN 101:2.4–2.8),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AN 3.61:1.4,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 xml:space="preserve"> (SN 12.25).</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rPr/>
        <w:t>SN 12.25:2.1–2.4</w:t>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rPr/>
        <w:t>SN 12.25:3.1–3.4</w:t>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w:t>
      </w:r>
      <w:r>
        <w:rPr/>
        <w:t xml:space="preserve"> </w:t>
      </w:r>
      <w:r>
        <w:rPr>
          <w:rStyle w:val="wwc-pali"/>
        </w:rPr>
        <w:t>abhisaṅkharoti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MN 117:6.1–7.3: there are 2 forms of </w:t>
      </w:r>
      <w:r>
        <w:rPr>
          <w:rStyle w:val="wwc-pali"/>
        </w:rPr>
        <w:t>sammādiṭṭhi</w:t>
      </w:r>
      <w:r>
        <w:rPr/>
        <w:t xml:space="preserve">, one for those who still have </w:t>
      </w:r>
      <w:r>
        <w:rPr>
          <w:rStyle w:val="wwc-pali"/>
        </w:rPr>
        <w:t>asava</w:t>
      </w:r>
      <w:r>
        <w:rPr/>
        <w:t xml:space="preserve"> (</w:t>
      </w:r>
      <w:r>
        <w:rPr>
          <w:rStyle w:val="wwc-pali"/>
        </w:rPr>
        <w:t>sammādiṭṭhi</w:t>
      </w:r>
      <w:r>
        <w:rPr/>
        <w:t xml:space="preserve"> </w:t>
      </w:r>
      <w:r>
        <w:rPr>
          <w:rStyle w:val="wwc-pali"/>
        </w:rPr>
        <w:t>sāsava</w:t>
      </w:r>
      <w:r>
        <w:rPr/>
        <w:t xml:space="preserve"> </w:t>
      </w:r>
      <w:r>
        <w:rPr>
          <w:rStyle w:val="wwc-pali"/>
        </w:rPr>
        <w:t>puññabhāgiyā</w:t>
      </w:r>
      <w:r>
        <w:rPr/>
        <w:t xml:space="preserve"> </w:t>
      </w:r>
      <w:r>
        <w:rPr>
          <w:rStyle w:val="wwc-pali"/>
        </w:rPr>
        <w:t>upadhi</w:t>
      </w:r>
      <w:r>
        <w:rPr/>
        <w:t>-</w:t>
      </w:r>
      <w:r>
        <w:rPr>
          <w:rStyle w:val="wwc-pali"/>
        </w:rPr>
        <w:t>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w:t>
      </w:r>
      <w:r>
        <w:rPr/>
        <w:t xml:space="preserve"> </w:t>
      </w:r>
      <w:r>
        <w:rPr>
          <w:rStyle w:val="wwc-pali"/>
        </w:rPr>
        <w:t>ariya</w:t>
      </w:r>
      <w:r>
        <w:rPr/>
        <w:t xml:space="preserve"> </w:t>
      </w:r>
      <w:r>
        <w:rPr>
          <w:rStyle w:val="wwc-pali"/>
        </w:rPr>
        <w:t>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w:t>
      </w:r>
      <w:r>
        <w:rPr>
          <w:rStyle w:val="wwc-pali"/>
        </w:rPr>
        <w:t>phala</w:t>
      </w:r>
      <w:r>
        <w:rPr/>
        <w:t xml:space="preserve">. Before one has that attainment, one doesn’t really get very far at all. That is why only after the attainment of </w:t>
      </w:r>
      <w:r>
        <w:rPr>
          <w:rStyle w:val="wwc-pali"/>
        </w:rPr>
        <w:t>sotāpanna</w:t>
      </w:r>
      <w:r>
        <w:rPr/>
        <w:t>-</w:t>
      </w:r>
      <w:r>
        <w:rPr>
          <w:rStyle w:val="wwc-pali"/>
        </w:rPr>
        <w:t>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w:t>
      </w:r>
      <w:r>
        <w:rPr/>
        <w:t xml:space="preserve"> </w:t>
      </w:r>
      <w:r>
        <w:rPr>
          <w:rStyle w:val="wwc-pali"/>
        </w:rPr>
        <w:t>sanjayati</w:t>
      </w:r>
      <w:r>
        <w:rPr/>
        <w:t xml:space="preserve"> see AN 4.170)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Mahavedella Sutta</w:t>
      </w:r>
      <w:r>
        <w:rPr/>
        <w:t xml:space="preserve"> (MN 43:13.3) show that this sort of </w:t>
      </w:r>
      <w:r>
        <w:rPr>
          <w:rStyle w:val="wwc-pali"/>
        </w:rPr>
        <w:t>sammādiṭṭhi</w:t>
      </w:r>
      <w:r>
        <w:rPr/>
        <w:t xml:space="preserve"> arises due to 2 causes: </w:t>
      </w:r>
      <w:r>
        <w:rPr>
          <w:rStyle w:val="wwc-pali"/>
        </w:rPr>
        <w:t>yoniso</w:t>
      </w:r>
      <w:r>
        <w:rPr/>
        <w:t xml:space="preserve"> </w:t>
      </w:r>
      <w:r>
        <w:rPr>
          <w:rStyle w:val="wwc-pali"/>
        </w:rPr>
        <w:t>manasikārā</w:t>
      </w:r>
      <w:r>
        <w:rPr/>
        <w:t xml:space="preserve"> and listening/understanding the words of another (</w:t>
      </w:r>
      <w:r>
        <w:rPr>
          <w:rStyle w:val="wwc-pali"/>
        </w:rPr>
        <w:t>parato</w:t>
      </w:r>
      <w:r>
        <w:rPr/>
        <w:t xml:space="preserve"> </w:t>
      </w:r>
      <w:r>
        <w:rPr>
          <w:rStyle w:val="wwc-pali"/>
        </w:rPr>
        <w:t>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one practises according to the ariya Eightfold Path which is then abundantly clear to one.</w:t>
      </w:r>
    </w:p>
    <w:p>
      <w:pPr>
        <w:pStyle w:val="WW-paragraph"/>
        <w:rPr/>
      </w:pPr>
      <w:r>
        <w:rPr/>
        <w:t xml:space="preserve">The point is, </w:t>
      </w:r>
      <w:r>
        <w:rPr>
          <w:rStyle w:val="wwc-pali"/>
        </w:rPr>
        <w:t>Paṭicca</w:t>
      </w:r>
      <w:r>
        <w:rPr/>
        <w:t xml:space="preserve"> </w:t>
      </w:r>
      <w:r>
        <w:rPr>
          <w:rStyle w:val="wwc-pali"/>
        </w:rPr>
        <w:t>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w:t>
      </w:r>
      <w:r>
        <w:rPr>
          <w:rStyle w:val="wwc-pali"/>
        </w:rPr>
        <w:t>putthujjana</w:t>
      </w:r>
      <w:r>
        <w:rPr/>
        <w:t xml:space="preserve"> practices aspiring to uncover the </w:t>
      </w:r>
      <w:r>
        <w:rPr>
          <w:rStyle w:val="wwc-pali"/>
        </w:rPr>
        <w:t>Paṭicca</w:t>
      </w:r>
      <w:r>
        <w:rPr/>
        <w:t xml:space="preserve"> </w:t>
      </w:r>
      <w:r>
        <w:rPr>
          <w:rStyle w:val="wwc-pali"/>
        </w:rPr>
        <w:t>Samuppāda</w:t>
      </w:r>
      <w:r>
        <w:rPr/>
        <w:t>, not assuming he knows it!</w:t>
      </w:r>
    </w:p>
    <w:p>
      <w:pPr>
        <w:pStyle w:val="WW-blockquote"/>
        <w:rPr/>
      </w:pPr>
      <w:r>
        <w:rPr/>
        <w:t>“</w:t>
      </w:r>
      <w:r>
        <w:rPr>
          <w:rStyle w:val="wwc-pali"/>
        </w:rPr>
        <w:t>Gambhīro</w:t>
      </w:r>
      <w:r>
        <w:rPr/>
        <w:t xml:space="preserve"> </w:t>
      </w:r>
      <w:r>
        <w:rPr>
          <w:rStyle w:val="wwc-pali"/>
        </w:rPr>
        <w:t>cāyaṁ</w:t>
      </w:r>
      <w:r>
        <w:rPr/>
        <w:t xml:space="preserve">, </w:t>
      </w:r>
      <w:r>
        <w:rPr>
          <w:rStyle w:val="wwc-pali"/>
        </w:rPr>
        <w:t>ānanda</w:t>
      </w:r>
      <w:r>
        <w:rPr/>
        <w:t xml:space="preserve">, </w:t>
      </w:r>
      <w:r>
        <w:rPr>
          <w:rStyle w:val="wwc-pali"/>
        </w:rPr>
        <w:t>paṭicca</w:t>
      </w:r>
      <w:r>
        <w:rPr/>
        <w:t>-</w:t>
      </w:r>
      <w:r>
        <w:rPr>
          <w:rStyle w:val="wwc-pali"/>
        </w:rPr>
        <w:t>samuppādo</w:t>
      </w:r>
      <w:r>
        <w:rPr/>
        <w:t xml:space="preserve"> </w:t>
      </w:r>
      <w:r>
        <w:rPr>
          <w:rStyle w:val="wwc-pali"/>
        </w:rPr>
        <w:t>gambhīrāvabhāso</w:t>
      </w:r>
      <w:r>
        <w:rPr/>
        <w:t xml:space="preserve"> </w:t>
      </w:r>
      <w:r>
        <w:rPr>
          <w:rStyle w:val="wwc-pali"/>
        </w:rPr>
        <w:t>ca</w:t>
      </w:r>
      <w:r>
        <w:rPr/>
        <w:t>!”</w:t>
      </w:r>
    </w:p>
    <w:p>
      <w:pPr>
        <w:pStyle w:val="WW-blockquote"/>
        <w:rPr/>
      </w:pPr>
      <w:r>
        <w:rPr/>
        <w:t>“</w:t>
      </w:r>
      <w:r>
        <w:rPr/>
        <w:t>This Dependent Arising, Ananda, is deep and appears deep!”</w:t>
      </w:r>
    </w:p>
    <w:p>
      <w:pPr>
        <w:pStyle w:val="WW-tight-right-cite"/>
        <w:rPr/>
      </w:pPr>
      <w:r>
        <w:rPr/>
        <w:t>DN 15:1.7</w:t>
      </w:r>
    </w:p>
    <w:p>
      <w:pPr>
        <w:pStyle w:val="WW-Chapter"/>
        <w:spacing w:before="0" w:after="567"/>
        <w:ind w:hanging="0" w:start="0"/>
        <w:rPr/>
      </w:pPr>
      <w:r>
        <w:rPr/>
      </w:r>
      <w:r>
        <w:br w:type="page"/>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5052</TotalTime>
  <Application>LibreOffice/24.8.4.2$Windows_X86_64 LibreOffice_project/bb3cfa12c7b1bf994ecc5649a80400d06cd71002</Application>
  <AppVersion>15.0000</AppVersion>
  <Pages>36</Pages>
  <Words>13529</Words>
  <Characters>67825</Characters>
  <CharactersWithSpaces>80940</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2025-02-25T12:57:35Z</dcterms:modified>
  <cp:revision>623</cp:revision>
  <dc:subject/>
  <dc:title/>
</cp:coreProperties>
</file>

<file path=docProps/custom.xml><?xml version="1.0" encoding="utf-8"?>
<Properties xmlns="http://schemas.openxmlformats.org/officeDocument/2006/custom-properties" xmlns:vt="http://schemas.openxmlformats.org/officeDocument/2006/docPropsVTypes"/>
</file>