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rStyle w:val="wwc-latin"/>
          <w:lang w:val="en-GB"/>
        </w:rPr>
        <w:t>Ficus religiosa</w:t>
      </w:r>
      <w:r>
        <w:rPr>
          <w:lang w:val="en-GB"/>
        </w:rPr>
        <w:t xml:space="preserve">, or a banyan tree, </w:t>
      </w:r>
      <w:r>
        <w:rPr>
          <w:rStyle w:val="wwc-latin"/>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 – 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Heading1"/>
        <w:ind w:hanging="0" w:left="0"/>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r>
        <w:rPr>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lang w:val="en-GB"/>
        </w:rPr>
        <w:footnoteReference w:id="349"/>
      </w:r>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r>
        <w:rPr>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lang w:val="en-GB"/>
        </w:rPr>
        <w:footnoteReference w:id="365"/>
      </w:r>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ind w:hanging="0" w:left="0"/>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ind w:hanging="0" w:left="0"/>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ind w:hanging="0" w:left="0"/>
        <w:rPr>
          <w:lang w:val="en-GB"/>
        </w:rPr>
      </w:pPr>
      <w:bookmarkStart w:id="0" w:name="Chapter10"/>
      <w:bookmarkEnd w:id="0"/>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ind w:hanging="0" w:left="0"/>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ind w:hanging="0" w:left="0"/>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ind w:hanging="0" w:left="0"/>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ind w:hanging="0" w:left="0"/>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ind w:hanging="0" w:left="0"/>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rStyle w:val="wwc-sesame-zot-reference"/>
          <w:lang w:val="en-GB"/>
        </w:rPr>
        <w:t>Dyson 2018</w:t>
      </w:r>
      <w:r>
        <w:rPr>
          <w:lang w:val="en-GB"/>
        </w:rPr>
        <w:t xml:space="preserve"> pp.16 ff.</w:t>
      </w:r>
    </w:p>
  </w:footnote>
  <w:footnote w:id="182">
    <w:p>
      <w:pPr>
        <w:pStyle w:val="BodyText"/>
        <w:bidi w:val="0"/>
        <w:spacing w:before="180" w:after="180"/>
        <w:jc w:val="left"/>
        <w:rPr/>
      </w:pPr>
      <w:r>
        <w:rPr>
          <w:rStyle w:val="FootnoteCharacters"/>
        </w:rPr>
        <w:footnoteRef/>
      </w:r>
      <w:r>
        <w:rPr>
          <w:rStyle w:val="wwc-sesame-zot-reference"/>
          <w:lang w:val="en-GB"/>
        </w:rPr>
        <w:t>Campbell 2008</w:t>
      </w:r>
      <w:r>
        <w:rPr>
          <w:lang w:val="en-GB"/>
        </w:rPr>
        <w:t xml:space="preserve">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hyperlink w:anchor="footprints_split_023.html%25252525252525">
        <w:r>
          <w:rPr>
            <w:rStyle w:val="Hyperlink"/>
            <w:lang w:val="en-GB"/>
          </w:rPr>
          <w:t>Jones 1949</w:t>
        </w:r>
      </w:hyperlink>
      <w:r>
        <w:rPr>
          <w:lang w:val="en-GB"/>
        </w:rPr>
        <w:t>] III,324 and Lalitavistara [</w:t>
      </w:r>
      <w:hyperlink w:anchor="Xb0ca0cefa913f1adc8a24531bdd88e432778325">
        <w:r>
          <w:rPr>
            <w:rStyle w:val="Hyperlink"/>
            <w:lang w:val="en-GB"/>
          </w:rPr>
          <w:t>Dharmachakra 2013</w:t>
        </w:r>
      </w:hyperlink>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 xml:space="preserve">Rhys Davids </w:t>
      </w:r>
      <w:r>
        <w:rPr>
          <w:rStyle w:val="wwc-sesame-zot-reference"/>
          <w:lang w:val="en-GB"/>
        </w:rPr>
        <w:t xml:space="preserve">TW </w:t>
      </w:r>
      <w:r>
        <w:rPr>
          <w:rStyle w:val="wwc-sesame-zot-reference"/>
          <w:lang w:val="en-GB"/>
        </w:rPr>
        <w:t>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hyperlink w:anchor="X3fe6a7fdbb2f6279cd85033d7f277a52f5b60c1">
        <w:r>
          <w:rPr>
            <w:rStyle w:val="Hyperlink"/>
            <w:lang w:val="en-GB"/>
          </w:rPr>
          <w:t>Olivelle 1998</w:t>
        </w:r>
      </w:hyperlink>
      <w:r>
        <w:rPr>
          <w:lang w:val="en-GB"/>
        </w:rPr>
        <w:t>] 3.7,10 and Chāndogya Upaniṣad [</w:t>
      </w:r>
      <w:hyperlink w:anchor="X3fe6a7fdbb2f6279cd85033d7f277a52f5b60c1">
        <w:r>
          <w:rPr>
            <w:rStyle w:val="Hyperlink"/>
            <w:lang w:val="en-GB"/>
          </w:rPr>
          <w:t>Olivelle 1998</w:t>
        </w:r>
      </w:hyperlink>
      <w:r>
        <w:rPr>
          <w:lang w:val="en-GB"/>
        </w:rPr>
        <w:t>] 1.3, 11; 5.6; 5.20,2. Sigāla was probably worshipping the directional gods as advocated at Gautama Dharmasūtra [</w:t>
      </w:r>
      <w:hyperlink w:anchor="X5c9af8b162bb11112db5b73d0710e592e09e52e">
        <w:r>
          <w:rPr>
            <w:rStyle w:val="Hyperlink"/>
            <w:lang w:val="en-GB"/>
          </w:rPr>
          <w:t>Olivelle 1999</w:t>
        </w:r>
      </w:hyperlink>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hyperlink w:anchor="X5c9af8b162bb11112db5b73d0710e592e09e52e">
        <w:r>
          <w:rPr>
            <w:rStyle w:val="Hyperlink"/>
            <w:lang w:val="en-GB"/>
          </w:rPr>
          <w:t>Olivelle 1999</w:t>
        </w:r>
      </w:hyperlink>
      <w:r>
        <w:rPr>
          <w:lang w:val="en-GB"/>
        </w:rPr>
        <w:t>] 20.1-7.</w:t>
      </w:r>
    </w:p>
  </w:footnote>
  <w:footnote w:id="307">
    <w:p>
      <w:pPr>
        <w:pStyle w:val="WW-footnote"/>
        <w:spacing w:before="113" w:after="0"/>
        <w:rPr/>
      </w:pPr>
      <w:r>
        <w:rPr>
          <w:rStyle w:val="FootnoteCharacters"/>
        </w:rPr>
        <w:footnoteRef/>
      </w:r>
      <w:r>
        <w:rPr>
          <w:lang w:val="en-GB"/>
        </w:rPr>
        <w:t>Bṛhadāraṇyaka Upaniṣad [</w:t>
      </w:r>
      <w:hyperlink w:anchor="X3fe6a7fdbb2f6279cd85033d7f277a52f5b60c1">
        <w:r>
          <w:rPr>
            <w:rStyle w:val="Hyperlink"/>
            <w:lang w:val="en-GB"/>
          </w:rPr>
          <w:t>Olivelle 1998</w:t>
        </w:r>
      </w:hyperlink>
      <w:r>
        <w:rPr>
          <w:lang w:val="en-GB"/>
        </w:rPr>
        <w:t>] 4.1,1; Chāndogya Upaniṣad [</w:t>
      </w:r>
      <w:hyperlink w:anchor="X3fe6a7fdbb2f6279cd85033d7f277a52f5b60c1">
        <w:r>
          <w:rPr>
            <w:rStyle w:val="Hyperlink"/>
            <w:lang w:val="en-GB"/>
          </w:rPr>
          <w:t>Olivelle 1998</w:t>
        </w:r>
      </w:hyperlink>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5">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3">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1">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6">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2">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1">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17">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19">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23">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6">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24">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1">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69">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26">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27">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5">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2">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3">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8">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9">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a">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7">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89">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3">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0">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1">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2">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5">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6">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b">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3">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5">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2">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2">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3">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4">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5">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6">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17">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18">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19">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0">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1">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2">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3">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4">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6">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27">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28">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1">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2">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4">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5">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6">
        <w:r>
          <w:rPr>
            <w:rStyle w:val="Hyperlink"/>
          </w:rPr>
          <w:t>SN 42.2</w:t>
        </w:r>
      </w:hyperlink>
      <w:r>
        <w:rPr/>
        <w:t>). The Buddha’s low opinion of the theatre and actors put him in very good company. See Barish 1981 [</w:t>
      </w:r>
      <w:hyperlink w:anchor="footprints_split_023.html%25252525252524">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38">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39">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1">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c">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3">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d">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5">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6">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6">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4">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e">
        <w:r>
          <w:rPr>
            <w:rStyle w:val="Hyperlink"/>
          </w:rPr>
          <w:t>Zysk 1991</w:t>
        </w:r>
      </w:hyperlink>
      <w:r>
        <w:rPr/>
        <w:t>] and Tatz 1985 [</w:t>
      </w:r>
      <w:hyperlink w:anchor="footprints_split_022.html%2525252525252f">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57">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0">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1">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4">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69">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2g">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7">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2">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h">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6">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77">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i">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8">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79">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0">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j">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k">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1">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2">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l">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87">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2m">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5">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2n">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6">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297">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298">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o">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299">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0">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1">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p">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2">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3">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q">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07">
        <w:r>
          <w:rPr>
            <w:rStyle w:val="Hyperlink"/>
          </w:rPr>
          <w:t>MN 76</w:t>
        </w:r>
      </w:hyperlink>
      <w:r>
        <w:rPr/>
        <w:t>). See Fuhrer [</w:t>
      </w:r>
      <w:hyperlink w:anchor="footprints_split_022.html%2525252525252r">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08">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1">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s">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0">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1">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9">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t">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u">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a">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v">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2m">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u">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2w">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2x">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2y">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17">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18">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2z">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10">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27">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29">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11">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9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shd w:fill="FFF9C4" w:val="clea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600</TotalTime>
  <Application>LibreOffice/24.8.6.2$Windows_X86_64 LibreOffice_project/6d98ba145e9a8a39fc57bcc76981d1fb1316c60c</Application>
  <AppVersion>15.0000</AppVersion>
  <Pages>208</Pages>
  <Words>91640</Words>
  <Characters>456056</Characters>
  <CharactersWithSpaces>545794</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2025-04-21T12:32:33Z</dcterms:modified>
  <cp:revision>114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