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Several centuries after this, a biography of the Buddha called the Lalitavistara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A century or two after this, the Saddharmapuṇdarīka Sūtra [</w:t>
      </w:r>
      <w:r>
        <w:rPr>
          <w:rStyle w:val="wwc-sesame-zot-reference"/>
          <w:lang w:val="en-GB"/>
        </w:rPr>
        <w:t>Roberts 2022</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One of these was Aśvaghoṣa, who in the early second century CE wrote his Buddhacarita [</w:t>
      </w:r>
      <w:r>
        <w:rPr>
          <w:rStyle w:val="wwc-sesame-zot-reference"/>
          <w:lang w:val="en-GB"/>
        </w:rPr>
        <w:t>Olivelle 2008</w:t>
      </w:r>
      <w:r>
        <w:rPr>
          <w:lang w:val="en-GB"/>
        </w:rPr>
        <w:t>], a narrative poem of the Buddha’s life from his first to his last days. In this epic, the Buddha was depicted as exceptional but still human. In about the sixth century the Hindu Matsya Purāṇa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time—for example once in Vesālī and on another occasion in Nāḷandā—and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hyperlink w:anchor="X5c9af8b162bb11112db5b73d0710e592e09e52e">
        <w:r>
          <w:rPr>
            <w:rStyle w:val="Hyperlink"/>
            <w:lang w:val="en-GB"/>
          </w:rPr>
          <w:t>Olivelle 1999</w:t>
        </w:r>
      </w:hyperlink>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adult—he said he was twenty-nine—how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shrine—typically a pipal tree, </w:t>
      </w:r>
      <w:r>
        <w:rPr>
          <w:rStyle w:val="wwc-latin"/>
          <w:lang w:val="en-GB"/>
        </w:rPr>
        <w:t>Ficus religiosa</w:t>
      </w:r>
      <w:r>
        <w:rPr>
          <w:lang w:val="en-GB"/>
        </w:rPr>
        <w:t xml:space="preserve">, or a banyan tree, </w:t>
      </w:r>
      <w:r>
        <w:rPr>
          <w:rStyle w:val="wwc-latin"/>
          <w:lang w:val="en-GB"/>
        </w:rPr>
        <w:t>Ficus benghalensis</w:t>
      </w:r>
      <w:r>
        <w:rPr>
          <w:lang w:val="en-GB"/>
        </w:rPr>
        <w:t>—in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monks—Assaji, Koṇḍañña, Bhaddiya, Mahānāma and Vappa—after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w:t>
      </w:r>
      <w:r>
        <w:rPr>
          <w:lang w:val="en-GB"/>
        </w:rPr>
        <w:t xml:space="preserve"> </w:t>
      </w:r>
      <w:r>
        <w:rPr>
          <w:rStyle w:val="wwc-pali"/>
          <w:lang w:val="en-GB"/>
        </w:rPr>
        <w:t>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maṃsāni</w:t>
      </w:r>
      <w:r>
        <w:rPr>
          <w:lang w:val="en-GB"/>
        </w:rPr>
        <w:t xml:space="preserve"> </w:t>
      </w:r>
      <w:r>
        <w:rPr>
          <w:rStyle w:val="wwc-pali"/>
          <w:lang w:val="en-GB"/>
        </w:rPr>
        <w:t>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pallaṅkaṃ</w:t>
      </w:r>
      <w:r>
        <w:rPr>
          <w:lang w:val="en-GB"/>
        </w:rPr>
        <w:t xml:space="preserve"> </w:t>
      </w:r>
      <w:r>
        <w:rPr>
          <w:rStyle w:val="wwc-pali"/>
          <w:lang w:val="en-GB"/>
        </w:rPr>
        <w:t>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ujjuṃ</w:t>
      </w:r>
      <w:r>
        <w:rPr>
          <w:lang w:val="en-GB"/>
        </w:rPr>
        <w:t xml:space="preserve"> </w:t>
      </w:r>
      <w:r>
        <w:rPr>
          <w:rStyle w:val="wwc-pali"/>
          <w:lang w:val="en-GB"/>
        </w:rPr>
        <w:t>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w:t>
      </w:r>
      <w:r>
        <w:rPr>
          <w:lang w:val="en-GB"/>
        </w:rPr>
        <w:t xml:space="preserve"> </w:t>
      </w:r>
      <w:r>
        <w:rPr>
          <w:rStyle w:val="wwc-pali"/>
          <w:lang w:val="en-GB"/>
        </w:rPr>
        <w:t>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w:t>
      </w:r>
      <w:r>
        <w:rPr>
          <w:lang w:val="en-GB"/>
        </w:rPr>
        <w:t xml:space="preserve"> </w:t>
      </w:r>
      <w:r>
        <w:rPr>
          <w:rStyle w:val="wwc-pali"/>
          <w:lang w:val="en-GB"/>
        </w:rPr>
        <w:t>ceva</w:t>
      </w:r>
      <w:r>
        <w:rPr>
          <w:lang w:val="en-GB"/>
        </w:rPr>
        <w:t xml:space="preserve"> </w:t>
      </w:r>
      <w:r>
        <w:rPr>
          <w:rStyle w:val="wwc-pali"/>
          <w:lang w:val="en-GB"/>
        </w:rPr>
        <w:t>paṇīto</w:t>
      </w:r>
      <w:r>
        <w:rPr>
          <w:lang w:val="en-GB"/>
        </w:rPr>
        <w:t xml:space="preserve"> </w:t>
      </w:r>
      <w:r>
        <w:rPr>
          <w:rStyle w:val="wwc-pali"/>
          <w:lang w:val="en-GB"/>
        </w:rPr>
        <w:t>asecanako</w:t>
      </w:r>
      <w:r>
        <w:rPr>
          <w:lang w:val="en-GB"/>
        </w:rPr>
        <w:t xml:space="preserve"> </w:t>
      </w:r>
      <w:r>
        <w:rPr>
          <w:rStyle w:val="wwc-pali"/>
          <w:lang w:val="en-GB"/>
        </w:rPr>
        <w:t>sukho</w:t>
      </w:r>
      <w:r>
        <w:rPr>
          <w:lang w:val="en-GB"/>
        </w:rPr>
        <w:t xml:space="preserve"> </w:t>
      </w:r>
      <w:r>
        <w:rPr>
          <w:rStyle w:val="wwc-pali"/>
          <w:lang w:val="en-GB"/>
        </w:rPr>
        <w:t>ca</w:t>
      </w:r>
      <w:r>
        <w:rPr>
          <w:lang w:val="en-GB"/>
        </w:rPr>
        <w:t xml:space="preserve"> </w:t>
      </w:r>
      <w:r>
        <w:rPr>
          <w:rStyle w:val="wwc-pali"/>
          <w:lang w:val="en-GB"/>
        </w:rPr>
        <w:t>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w:t>
      </w:r>
      <w:r>
        <w:rPr>
          <w:lang w:val="en-GB"/>
        </w:rPr>
        <w:t xml:space="preserve"> </w:t>
      </w:r>
      <w:r>
        <w:rPr>
          <w:rStyle w:val="wwc-pali"/>
          <w:lang w:val="en-GB"/>
        </w:rPr>
        <w:t>sukha</w:t>
      </w:r>
      <w:r>
        <w:rPr>
          <w:lang w:val="en-GB"/>
        </w:rPr>
        <w:t>), i.e. having a clear conscience, and the happiness of being untouched (</w:t>
      </w:r>
      <w:r>
        <w:rPr>
          <w:rStyle w:val="wwc-pali"/>
          <w:lang w:val="en-GB"/>
        </w:rPr>
        <w:t>avyāseka</w:t>
      </w:r>
      <w:r>
        <w:rPr>
          <w:lang w:val="en-GB"/>
        </w:rPr>
        <w:t xml:space="preserve"> </w:t>
      </w:r>
      <w:r>
        <w:rPr>
          <w:rStyle w:val="wwc-pali"/>
          <w:lang w:val="en-GB"/>
        </w:rPr>
        <w:t>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w:t>
      </w:r>
      <w:r>
        <w:rPr>
          <w:lang w:val="en-GB"/>
        </w:rPr>
        <w:t xml:space="preserve"> </w:t>
      </w:r>
      <w:r>
        <w:rPr>
          <w:rStyle w:val="wwc-pali"/>
          <w:lang w:val="en-GB"/>
        </w:rPr>
        <w:t>sati</w:t>
      </w:r>
      <w:r>
        <w:rPr>
          <w:lang w:val="en-GB"/>
        </w:rPr>
        <w:t xml:space="preserve"> </w:t>
      </w:r>
      <w:r>
        <w:rPr>
          <w:rStyle w:val="wwc-pali"/>
          <w:lang w:val="en-GB"/>
        </w:rPr>
        <w:t>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w:t>
      </w:r>
      <w:r>
        <w:rPr>
          <w:lang w:val="en-GB"/>
        </w:rPr>
        <w:t xml:space="preserve"> </w:t>
      </w:r>
      <w:r>
        <w:rPr>
          <w:rStyle w:val="wwc-pali"/>
          <w:lang w:val="en-GB"/>
        </w:rPr>
        <w:t>gilānaṃ</w:t>
      </w:r>
      <w:r>
        <w:rPr>
          <w:lang w:val="en-GB"/>
        </w:rPr>
        <w:t xml:space="preserve"> </w:t>
      </w:r>
      <w:r>
        <w:rPr>
          <w:rStyle w:val="wwc-pali"/>
          <w:lang w:val="en-GB"/>
        </w:rPr>
        <w:t>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w:t>
      </w:r>
      <w:r>
        <w:rPr>
          <w:lang w:val="en-GB"/>
        </w:rPr>
        <w:t xml:space="preserve"> </w:t>
      </w:r>
      <w:r>
        <w:rPr>
          <w:rStyle w:val="wwc-pali"/>
          <w:lang w:val="en-GB"/>
        </w:rPr>
        <w:t>kho</w:t>
      </w:r>
      <w:r>
        <w:rPr>
          <w:lang w:val="en-GB"/>
        </w:rPr>
        <w:t xml:space="preserve"> </w:t>
      </w:r>
      <w:r>
        <w:rPr>
          <w:rStyle w:val="wwc-pali"/>
          <w:lang w:val="en-GB"/>
        </w:rPr>
        <w:t>āvuso</w:t>
      </w:r>
      <w:r>
        <w:rPr>
          <w:lang w:val="en-GB"/>
        </w:rPr>
        <w:t xml:space="preserve"> </w:t>
      </w:r>
      <w:r>
        <w:rPr>
          <w:rStyle w:val="wwc-pali"/>
          <w:lang w:val="en-GB"/>
        </w:rPr>
        <w:t>gilānupaṭṭhānaṃ</w:t>
      </w:r>
      <w:r>
        <w:rPr>
          <w:lang w:val="en-GB"/>
        </w:rPr>
        <w:t xml:space="preserve"> </w:t>
      </w:r>
      <w:r>
        <w:rPr>
          <w:rStyle w:val="wwc-pali"/>
          <w:lang w:val="en-GB"/>
        </w:rPr>
        <w:t>vaṇṇitaṃ</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w:t>
      </w:r>
      <w:r>
        <w:rPr>
          <w:lang w:val="en-GB"/>
        </w:rPr>
        <w:t xml:space="preserve"> </w:t>
      </w:r>
      <w:r>
        <w:rPr>
          <w:rStyle w:val="wwc-pali"/>
          <w:lang w:val="en-GB"/>
        </w:rPr>
        <w:t>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w:t>
      </w:r>
      <w:r>
        <w:rPr>
          <w:lang w:val="en-GB"/>
        </w:rPr>
        <w:t xml:space="preserve"> </w:t>
      </w:r>
      <w:r>
        <w:rPr>
          <w:rStyle w:val="wwc-pali"/>
          <w:lang w:val="en-GB"/>
        </w:rPr>
        <w:t>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enema—all treatments mentioned in early Ayurvedic texts. This course of treatment having finished, Jīvaka then prescribed a regimen of strong purging (</w:t>
      </w:r>
      <w:r>
        <w:rPr>
          <w:rStyle w:val="wwc-pali"/>
          <w:lang w:val="en-GB"/>
        </w:rPr>
        <w:t>oḷārikaṃ</w:t>
      </w:r>
      <w:r>
        <w:rPr>
          <w:lang w:val="en-GB"/>
        </w:rPr>
        <w:t xml:space="preserve"> </w:t>
      </w:r>
      <w:r>
        <w:rPr>
          <w:rStyle w:val="wwc-pali"/>
          <w:lang w:val="en-GB"/>
        </w:rPr>
        <w:t>virecanaṃ</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w:t>
      </w:r>
      <w:r>
        <w:rPr>
          <w:lang w:val="en-GB"/>
        </w:rPr>
        <w:t xml:space="preserve"> </w:t>
      </w:r>
      <w:r>
        <w:rPr>
          <w:rStyle w:val="wwc-pali"/>
          <w:lang w:val="en-GB"/>
        </w:rPr>
        <w:t>hoti</w:t>
      </w:r>
      <w:r>
        <w:rPr>
          <w:lang w:val="en-GB"/>
        </w:rPr>
        <w:t xml:space="preserve"> </w:t>
      </w:r>
      <w:r>
        <w:rPr>
          <w:rStyle w:val="wwc-pali"/>
          <w:lang w:val="en-GB"/>
        </w:rPr>
        <w:t>dukkhito</w:t>
      </w:r>
      <w:r>
        <w:rPr>
          <w:lang w:val="en-GB"/>
        </w:rPr>
        <w:t xml:space="preserve"> </w:t>
      </w:r>
      <w:r>
        <w:rPr>
          <w:rStyle w:val="wwc-pali"/>
          <w:lang w:val="en-GB"/>
        </w:rPr>
        <w:t>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Chapter 13.</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centered-image"/>
        <w:rPr/>
      </w:pPr>
      <w:r>
        <w:rPr/>
        <w:t>img/middle-land-map.webp=Map of the Middle Land with Ancient and Modern Names=90=borderless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plain—the Mizrapur Hills, the Rajmahal Hills and the Vindhyachal Range—or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WW-Chapter"/>
        <w:rPr/>
      </w:pPr>
      <w:r>
        <w:rPr/>
        <w:t>9. Praise and Blame</w:t>
      </w:r>
    </w:p>
    <w:p>
      <w:pPr>
        <w:pStyle w:val="WW-blockquote"/>
        <w:rPr>
          <w:lang w:val="en-GB"/>
        </w:rPr>
      </w:pPr>
      <w:r>
        <w:rPr/>
        <w:t>There was not, there is not now,</w:t>
        <w:br/>
        <w:t>and there never will be someone</w:t>
        <w:br/>
        <w:t>who is wholly blamed or praised.</w:t>
      </w:r>
    </w:p>
    <w:p>
      <w:pPr>
        <w:pStyle w:val="WW-tight-right-cite"/>
        <w:rPr/>
      </w:pPr>
      <w:r>
        <w:rPr>
          <w:lang w:val="en-GB"/>
        </w:rPr>
        <w:t>Dhammapada 228</w:t>
        <w:br/>
      </w:r>
      <w:hyperlink r:id="rId3">
        <w:r>
          <w:rPr>
            <w:rStyle w:val="Hyperlink"/>
            <w:lang w:val="en-GB"/>
          </w:rPr>
          <w:t>Dhp 228</w:t>
        </w:r>
      </w:hyperlink>
    </w:p>
    <w:p>
      <w:pPr>
        <w:pStyle w:val="WW-paragraph"/>
        <w:rPr>
          <w:lang w:val="en-GB"/>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WW-blockquote"/>
        <w:rPr>
          <w:lang w:val="en-GB"/>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WW-blockquote"/>
        <w:rPr>
          <w:lang w:val="en-GB"/>
        </w:rPr>
      </w:pPr>
      <w:r>
        <w:rPr/>
        <w:t>“</w:t>
      </w:r>
      <w:r>
        <w:rPr/>
        <w:t>No, Lord.”</w:t>
      </w:r>
    </w:p>
    <w:p>
      <w:pPr>
        <w:pStyle w:val="WW-blockquote"/>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p>
    <w:p>
      <w:pPr>
        <w:pStyle w:val="WW-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WW-paragraph"/>
        <w:rPr/>
      </w:pPr>
      <w:r>
        <w:rPr>
          <w:lang w:val="en-GB"/>
        </w:rPr>
        <w:t>Although the Buddha saw himself firmly within the non-Vedic samaṇa tradition, he disregarded some of its most basic assumptions, particularly the practice of rigorous austerities (</w:t>
      </w:r>
      <w:r>
        <w:rPr>
          <w:rStyle w:val="wwc-pali"/>
          <w:lang w:val="en-GB"/>
        </w:rPr>
        <w:t>tapa</w:t>
      </w:r>
      <w:r>
        <w:rPr>
          <w:lang w:val="en-GB"/>
        </w:rPr>
        <w:t>) and self-mortification (</w:t>
      </w:r>
      <w:r>
        <w:rPr>
          <w:rStyle w:val="wwc-pali"/>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rStyle w:val="wwc-pali"/>
          <w:lang w:val="en-GB"/>
        </w:rPr>
        <w:t>āvatto</w:t>
      </w:r>
      <w:r>
        <w:rPr>
          <w:lang w:val="en-GB"/>
        </w:rPr>
        <w:t xml:space="preserve"> </w:t>
      </w:r>
      <w:r>
        <w:rPr>
          <w:rStyle w:val="wwc-pali"/>
          <w:lang w:val="en-GB"/>
        </w:rPr>
        <w:t>bahullāya</w:t>
      </w:r>
      <w:r>
        <w:rPr>
          <w:lang w:val="en-GB"/>
        </w:rPr>
        <w:t>) and left him in disgust. One ascetic dismissed him as a “shaven-headed householder” (</w:t>
      </w:r>
      <w:r>
        <w:rPr>
          <w:rStyle w:val="wwc-pali"/>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WW-paragraph"/>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r>
        <w:rPr/>
        <w:t xml:space="preserve"> Given such scrupulousness, it is hardly surprising that the Jains, who were strict vegetarians, attacked the Buddha and his disciples for eating meat.</w:t>
      </w:r>
    </w:p>
    <w:p>
      <w:pPr>
        <w:pStyle w:val="WW-blockquote"/>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p>
    <w:p>
      <w:pPr>
        <w:pStyle w:val="WW-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p>
    <w:p>
      <w:pPr>
        <w:pStyle w:val="WW-paragraph"/>
        <w:rPr>
          <w:lang w:val="en-GB"/>
        </w:rPr>
      </w:pPr>
      <w:r>
        <w:rPr/>
        <w:t>One interesting misgiving that some people had of the Buddha was that, despite his relative youth, he claimed to be fully awakened, while most others making such a claim were generally old. King Pasenadi asked the Buddha about this:</w:t>
      </w:r>
    </w:p>
    <w:p>
      <w:pPr>
        <w:pStyle w:val="WW-blockquote"/>
        <w:rPr>
          <w:lang w:val="en-GB"/>
        </w:rPr>
      </w:pPr>
      <w:r>
        <w:rPr/>
        <w:t>“</w:t>
      </w:r>
      <w:r>
        <w:rPr/>
        <w:t>Even those samaṇas and brahmins who are the head of orders and sects, well-known teachers, famous and considered so by the general public—even they do not claim to have attained the unsurpassed perfect awakening. Therefore, how can you make such a claim when you are still so young and have so recently become a samaṇa?”</w:t>
      </w:r>
    </w:p>
    <w:p>
      <w:pPr>
        <w:pStyle w:val="WW-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p>
    <w:p>
      <w:pPr>
        <w:pStyle w:val="WW-paragraph"/>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r>
        <w:rPr/>
        <w:t xml:space="preserve"> As a result of the Buddha’s ability to disarm and impress such opponents and disputants, some people suspected him of using magical power to do so.</w:t>
      </w:r>
      <w:r>
        <w:rPr>
          <w:rStyle w:val="FootnoteReference"/>
        </w:rPr>
        <w:footnoteReference w:id="460"/>
      </w:r>
    </w:p>
    <w:p>
      <w:pPr>
        <w:pStyle w:val="WW-paragraph"/>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rStyle w:val="wwc-pali"/>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WW-blockquote"/>
        <w:rPr>
          <w:lang w:val="en-GB"/>
        </w:rPr>
      </w:pPr>
      <w:r>
        <w:rPr/>
        <w:t>“</w:t>
      </w:r>
      <w:r>
        <w:rPr/>
        <w:t>Now Bhaddiya, did I say to you, ‘Become my disciple, and I will be your teacher’?”</w:t>
      </w:r>
    </w:p>
    <w:p>
      <w:pPr>
        <w:pStyle w:val="WW-blockquote"/>
        <w:rPr>
          <w:lang w:val="en-GB"/>
        </w:rPr>
      </w:pPr>
      <w:r>
        <w:rPr/>
        <w:t>“</w:t>
      </w:r>
      <w:r>
        <w:rPr/>
        <w:t>No sir.”</w:t>
      </w:r>
    </w:p>
    <w:p>
      <w:pPr>
        <w:pStyle w:val="WW-blockquote"/>
        <w:rPr>
          <w:lang w:val="en-GB"/>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WW-blockquote"/>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p>
    <w:p>
      <w:pPr>
        <w:pStyle w:val="WW-paragraph"/>
        <w:rPr/>
      </w:pPr>
      <w:r>
        <w:rPr>
          <w:lang w:val="en-GB"/>
        </w:rPr>
        <w:t>Another criticism of the Buddha, and, interestingly, one that continues to be made even today, was that his concept of Nirvana and his doctrine of not-self (</w:t>
      </w:r>
      <w:r>
        <w:rPr>
          <w:rStyle w:val="wwc-pali"/>
          <w:lang w:val="en-GB"/>
        </w:rPr>
        <w:t>anatta</w:t>
      </w:r>
      <w:r>
        <w:rPr>
          <w:lang w:val="en-GB"/>
        </w:rPr>
        <w:t>) amounted to a form of nihilism (</w:t>
      </w:r>
      <w:r>
        <w:rPr>
          <w:rStyle w:val="wwc-pali"/>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WW-paragraph"/>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r>
        <w:rPr/>
        <w:t xml:space="preserve"> After giving a talk to a group of his own monks at Ukkaṭṭhā, we are told that they were far from delighted by what he had said.</w:t>
      </w:r>
      <w:r>
        <w:rPr>
          <w:rStyle w:val="FootnoteReference"/>
        </w:rPr>
        <w:footnoteReference w:id="465"/>
      </w:r>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r>
        <w:rPr/>
        <w:t xml:space="preserve"> In this case, there was a rapprochement, the discussion continued and eventually the brahmin developed some respect for the Buddha.</w:t>
      </w:r>
    </w:p>
    <w:p>
      <w:pPr>
        <w:pStyle w:val="WW-paragraph"/>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until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p>
    <w:p>
      <w:pPr>
        <w:pStyle w:val="WW-paragraph"/>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WW-blockquote"/>
        <w:rPr>
          <w:lang w:val="en-GB"/>
        </w:rPr>
      </w:pPr>
      <w:r>
        <w:rPr/>
        <w:t>“</w:t>
      </w:r>
      <w:r>
        <w:rPr/>
        <w:t>Did I ever say to you, ‘Come, live by my guidance?’”</w:t>
      </w:r>
    </w:p>
    <w:p>
      <w:pPr>
        <w:pStyle w:val="WW-blockquote"/>
        <w:rPr>
          <w:lang w:val="en-GB"/>
        </w:rPr>
      </w:pPr>
      <w:r>
        <w:rPr/>
        <w:t>“</w:t>
      </w:r>
      <w:r>
        <w:rPr/>
        <w:t>No sir.”</w:t>
      </w:r>
    </w:p>
    <w:p>
      <w:pPr>
        <w:pStyle w:val="WW-blockquote"/>
        <w:rPr>
          <w:lang w:val="en-GB"/>
        </w:rPr>
      </w:pPr>
      <w:r>
        <w:rPr/>
        <w:t>“</w:t>
      </w:r>
      <w:r>
        <w:rPr/>
        <w:t>Then did you ever say to me, ‘I wish to live by your guidance?’”</w:t>
      </w:r>
    </w:p>
    <w:p>
      <w:pPr>
        <w:pStyle w:val="WW-blockquote"/>
        <w:rPr>
          <w:lang w:val="en-GB"/>
        </w:rPr>
      </w:pPr>
      <w:r>
        <w:rPr/>
        <w:t>“</w:t>
      </w:r>
      <w:r>
        <w:rPr/>
        <w:t>No sir.”</w:t>
      </w:r>
    </w:p>
    <w:p>
      <w:pPr>
        <w:pStyle w:val="WW-blockquote"/>
        <w:rPr>
          <w:lang w:val="en-GB"/>
        </w:rPr>
      </w:pPr>
      <w:r>
        <w:rPr/>
        <w:t>“</w:t>
      </w:r>
      <w:r>
        <w:rPr/>
        <w:t>So if I never made such a promise to you and you never gave such a condition to me, who are you to be giving up anything, you foolish man?”</w:t>
      </w:r>
    </w:p>
    <w:p>
      <w:pPr>
        <w:pStyle w:val="WW-blockquote"/>
        <w:rPr>
          <w:lang w:val="en-GB"/>
        </w:rPr>
      </w:pPr>
      <w:r>
        <w:rPr/>
        <w:t>“</w:t>
      </w:r>
      <w:r>
        <w:rPr/>
        <w:t>But sir, you never performed any super-human wonders, any psychic powers or any miracles for me.”</w:t>
      </w:r>
    </w:p>
    <w:p>
      <w:pPr>
        <w:pStyle w:val="WW-blockquote"/>
        <w:rPr>
          <w:lang w:val="en-GB"/>
        </w:rPr>
      </w:pPr>
      <w:r>
        <w:rPr/>
        <w:t>“</w:t>
      </w:r>
      <w:r>
        <w:rPr/>
        <w:t>Did I ever say to you, ‘Come, live by my guidance and I will perform such things for you?’”</w:t>
      </w:r>
    </w:p>
    <w:p>
      <w:pPr>
        <w:pStyle w:val="WW-blockquote"/>
        <w:rPr>
          <w:lang w:val="en-GB"/>
        </w:rPr>
      </w:pPr>
      <w:r>
        <w:rPr/>
        <w:t>“</w:t>
      </w:r>
      <w:r>
        <w:rPr/>
        <w:t>No sir.”</w:t>
      </w:r>
    </w:p>
    <w:p>
      <w:pPr>
        <w:pStyle w:val="WW-paragraph"/>
        <w:rPr>
          <w:lang w:val="en-GB"/>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WW-blockquote"/>
        <w:rPr>
          <w:lang w:val="en-GB"/>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WW-paragraph"/>
        <w:rPr/>
      </w:pPr>
      <w:r>
        <w:rPr/>
        <w:t>When the Buddha heard what Sunakkhatta had been telling everyone, he said of him: “He is an angry and foolish man and speaks out of anger.”</w:t>
      </w:r>
      <w:r>
        <w:rPr>
          <w:rStyle w:val="FootnoteReference"/>
        </w:rPr>
        <w:footnoteReference w:id="470"/>
      </w:r>
    </w:p>
    <w:p>
      <w:pPr>
        <w:pStyle w:val="WW-paragraph"/>
        <w:rPr>
          <w:lang w:val="en-GB"/>
        </w:rPr>
      </w:pPr>
      <w:r>
        <w:rPr>
          <w:lang w:val="en-GB"/>
        </w:rPr>
        <w:t>At that time, switching from one religion to another was called ‘going over to the discipleship’ (</w:t>
      </w:r>
      <w:r>
        <w:rPr>
          <w:rStyle w:val="wwc-pali"/>
          <w:lang w:val="en-GB"/>
        </w:rPr>
        <w:t>sāvakattaṃ</w:t>
      </w:r>
      <w:r>
        <w:rPr>
          <w:lang w:val="en-GB"/>
        </w:rPr>
        <w:t xml:space="preserve"> </w:t>
      </w:r>
      <w:r>
        <w:rPr>
          <w:rStyle w:val="wwc-pali"/>
          <w:lang w:val="en-GB"/>
        </w:rPr>
        <w:t>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WW-paragraph"/>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p>
    <w:p>
      <w:pPr>
        <w:pStyle w:val="WW-paragraph"/>
        <w:rPr>
          <w:lang w:val="en-GB"/>
        </w:rPr>
      </w:pPr>
      <w:r>
        <w:rPr/>
        <w:t>Those who dropped out of the monastic Saṅgha nonetheless sometimes maintained their commitment to the Dhamma.</w:t>
      </w:r>
    </w:p>
    <w:p>
      <w:pPr>
        <w:pStyle w:val="WW-blockquote"/>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p>
    <w:p>
      <w:pPr>
        <w:pStyle w:val="WW-paragraph"/>
        <w:rPr/>
      </w:pPr>
      <w:r>
        <w:rPr>
          <w:lang w:val="en-GB"/>
        </w:rPr>
        <w:t xml:space="preserve">One of the most disturbing events in the whole of the Buddha’s career happened during one of his sojourns in Vesālī. He had given a talk to an assembly of monks about a meditation called </w:t>
      </w:r>
      <w:r>
        <w:rPr>
          <w:rStyle w:val="wwc-pali"/>
          <w:lang w:val="en-GB"/>
        </w:rPr>
        <w:t>asubha</w:t>
      </w:r>
      <w:r>
        <w:rPr>
          <w:lang w:val="en-GB"/>
        </w:rPr>
        <w:t xml:space="preserve"> </w:t>
      </w:r>
      <w:r>
        <w:rPr>
          <w:rStyle w:val="wwc-pali"/>
          <w:lang w:val="en-GB"/>
        </w:rPr>
        <w:t>bhāvanā</w:t>
      </w:r>
      <w:r>
        <w:rPr>
          <w:lang w:val="en-GB"/>
        </w:rPr>
        <w:t>. This practice involved contemplating the unpleasant aspects of the body—the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WW-paragraph"/>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r>
        <w:rPr/>
        <w:t xml:space="preserve"> On another occasion, when a particular brahmin found out that a member of his clan had joined the Buddhist Saṅgha, he went to the Buddha in a rage and insulted him.</w:t>
      </w:r>
      <w:r>
        <w:rPr>
          <w:rStyle w:val="FootnoteReference"/>
        </w:rPr>
        <w:footnoteReference w:id="475"/>
      </w:r>
      <w:r>
        <w:rPr/>
        <w:t xml:space="preserve"> However, there are incidents indicating divided opinions amongst brahmins about the Buddha, with some despising him and others having regard for him and his followers—sometimes great regard.</w:t>
      </w:r>
    </w:p>
    <w:p>
      <w:pPr>
        <w:pStyle w:val="WW-paragraph"/>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rPr>
        <w:footnoteReference w:id="476"/>
      </w:r>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rPr>
        <w:footnoteReference w:id="477"/>
      </w:r>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WW-paragraph"/>
        <w:rPr/>
      </w:pPr>
      <w:r>
        <w:rPr/>
        <w:t>The senior monk Mahā Kaccāna happened to be staying in the forest when some young brahmin students out collecting firewood came across his hut.</w:t>
      </w:r>
      <w:r>
        <w:rPr>
          <w:rStyle w:val="FootnoteReference"/>
        </w:rPr>
        <w:footnoteReference w:id="478"/>
      </w:r>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Pr>
        <w:footnoteReference w:id="479"/>
      </w:r>
    </w:p>
    <w:p>
      <w:pPr>
        <w:pStyle w:val="WW-paragraph"/>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rPr>
        <w:footnoteReference w:id="480"/>
      </w:r>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WW-paragraph"/>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rStyle w:val="wwc-pali"/>
          <w:lang w:val="en-GB"/>
        </w:rPr>
        <w:t>Saṅghātivāsī</w:t>
      </w:r>
      <w:r>
        <w:rPr>
          <w:lang w:val="en-GB"/>
        </w:rPr>
        <w:t xml:space="preserve"> </w:t>
      </w:r>
      <w:r>
        <w:rPr>
          <w:rStyle w:val="wwc-pali"/>
          <w:lang w:val="en-GB"/>
        </w:rPr>
        <w:t>agiho</w:t>
      </w:r>
      <w:r>
        <w:rPr>
          <w:lang w:val="en-GB"/>
        </w:rPr>
        <w:t xml:space="preserve"> </w:t>
      </w:r>
      <w:r>
        <w:rPr>
          <w:rStyle w:val="wwc-pali"/>
          <w:lang w:val="en-GB"/>
        </w:rPr>
        <w:t>carāmi</w:t>
      </w:r>
      <w:r>
        <w:rPr>
          <w:lang w:val="en-GB"/>
        </w:rPr>
        <w:t xml:space="preserve"> </w:t>
      </w:r>
      <w:r>
        <w:rPr>
          <w:rStyle w:val="wwc-pali"/>
          <w:lang w:val="en-GB"/>
        </w:rPr>
        <w:t>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rStyle w:val="wwc-pali"/>
          <w:lang w:val="en-GB"/>
        </w:rPr>
        <w:t>muṇḍa</w:t>
      </w:r>
      <w:r>
        <w:rPr>
          <w:lang w:val="en-GB"/>
        </w:rPr>
        <w:t>).</w:t>
      </w:r>
    </w:p>
    <w:p>
      <w:pPr>
        <w:pStyle w:val="WW-paragraph"/>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rStyle w:val="wwc-pali"/>
          <w:lang w:val="en-GB"/>
        </w:rPr>
        <w:t>vaṇṇo</w:t>
      </w:r>
      <w:r>
        <w:rPr>
          <w:lang w:val="en-GB"/>
        </w:rPr>
        <w:t xml:space="preserve"> </w:t>
      </w:r>
      <w:r>
        <w:rPr>
          <w:rStyle w:val="wwc-pali"/>
          <w:lang w:val="en-GB"/>
        </w:rPr>
        <w:t>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WW-paragraph"/>
        <w:rPr>
          <w:lang w:val="en-GB"/>
        </w:rPr>
      </w:pPr>
      <w:r>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rPr>
        <w:footnoteReference w:id="490"/>
      </w:r>
    </w:p>
    <w:p>
      <w:pPr>
        <w:pStyle w:val="WW-paragraph"/>
        <w:rPr>
          <w:lang w:val="en-GB"/>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rPr>
        <w:footnoteReference w:id="491"/>
      </w:r>
      <w:r>
        <w:rPr/>
        <w:t xml:space="preserve"> Ānanda said this of him towards the end of his life: “The Lord’s complexion is no longer pure and bright, his limbs are flabby and wrinkled, his body stooped, and his sense faculties have deteriorated.”</w:t>
      </w:r>
      <w:r>
        <w:rPr>
          <w:rStyle w:val="FootnoteReference"/>
        </w:rPr>
        <w:footnoteReference w:id="492"/>
      </w:r>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rPr>
        <w:footnoteReference w:id="493"/>
      </w:r>
    </w:p>
    <w:p>
      <w:pPr>
        <w:pStyle w:val="WW-paragraph"/>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rStyle w:val="wwc-pal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WW-paragraph"/>
        <w:rPr/>
      </w:pPr>
      <w:r>
        <w:rPr>
          <w:lang w:val="en-GB"/>
        </w:rPr>
        <w:t>Some passages in the Tipitaka assert that the Buddha’s body exhibited thirty-two auspicious marks (</w:t>
      </w:r>
      <w:r>
        <w:rPr>
          <w:rStyle w:val="wwc-pali"/>
          <w:lang w:val="en-GB"/>
        </w:rPr>
        <w:t>mahāpurisa</w:t>
      </w:r>
      <w:r>
        <w:rPr>
          <w:lang w:val="en-GB"/>
        </w:rPr>
        <w:t xml:space="preserve"> </w:t>
      </w:r>
      <w:r>
        <w:rPr>
          <w:rStyle w:val="wwc-pali"/>
          <w:lang w:val="en-GB"/>
        </w:rPr>
        <w:t>lakkhaṇa</w:t>
      </w:r>
      <w:r>
        <w:rPr>
          <w:lang w:val="en-GB"/>
        </w:rPr>
        <w:t>), the most curious and perplexing innovation in the early Buddhist texts—curious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rStyle w:val="wwc-pali"/>
          <w:lang w:val="en-GB"/>
        </w:rPr>
        <w:t>vimutticitta</w:t>
      </w:r>
      <w:r>
        <w:rPr>
          <w:lang w:val="en-GB"/>
        </w:rPr>
        <w:t>) that qualified one to be called ‘a great man’.</w:t>
      </w:r>
      <w:r>
        <w:rPr>
          <w:rStyle w:val="FootnoteReference"/>
          <w:lang w:val="en-GB"/>
        </w:rPr>
        <w:footnoteReference w:id="499"/>
      </w:r>
    </w:p>
    <w:p>
      <w:pPr>
        <w:pStyle w:val="WW-paragraph"/>
        <w:rPr>
          <w:lang w:val="en-GB"/>
        </w:rPr>
      </w:pPr>
      <w:r>
        <w:rPr/>
        <w:t>The Buddha’s penetrating wisdom and the persuasiveness with which he explained his Dhamma are mentioned time and again as among his most impressive abilities. The Tipitaka records this conversation between two brahmins:</w:t>
      </w:r>
    </w:p>
    <w:p>
      <w:pPr>
        <w:pStyle w:val="WW-blockquote"/>
        <w:rPr>
          <w:lang w:val="en-GB"/>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WW-blockquote"/>
        <w:rPr>
          <w:lang w:val="en-GB"/>
        </w:rPr>
      </w:pPr>
      <w:r>
        <w:rPr/>
        <w:t>‘</w:t>
      </w:r>
      <w:r>
        <w:rPr/>
        <w:t>I come from the presence of the samaṇa Gotama.’</w:t>
      </w:r>
    </w:p>
    <w:p>
      <w:pPr>
        <w:pStyle w:val="WW-blockquote"/>
        <w:rPr>
          <w:lang w:val="en-GB"/>
        </w:rPr>
      </w:pPr>
      <w:r>
        <w:rPr/>
        <w:t>‘</w:t>
      </w:r>
      <w:r>
        <w:rPr/>
        <w:t>Well, what do you think of his clarity of wisdom? Do you think he is a wise man?’</w:t>
      </w:r>
    </w:p>
    <w:p>
      <w:pPr>
        <w:pStyle w:val="WW-blockquote"/>
        <w:rPr>
          <w:lang w:val="en-GB"/>
        </w:rPr>
      </w:pPr>
      <w:r>
        <w:rPr/>
        <w:t>‘</w:t>
      </w:r>
      <w:r>
        <w:rPr/>
        <w:t>But what am I compared to him? Who am I to judge his clarity? Only one like him could judge his clarity of wisdom.’</w:t>
      </w:r>
    </w:p>
    <w:p>
      <w:pPr>
        <w:pStyle w:val="WW-blockquote"/>
        <w:rPr>
          <w:lang w:val="en-GB"/>
        </w:rPr>
      </w:pPr>
      <w:r>
        <w:rPr/>
        <w:t>‘</w:t>
      </w:r>
      <w:r>
        <w:rPr/>
        <w:t>High indeed is the praise that you give the samaṇa Gotama.’</w:t>
      </w:r>
    </w:p>
    <w:p>
      <w:pPr>
        <w:pStyle w:val="WW-blockquote"/>
        <w:rPr>
          <w:lang w:val="en-GB"/>
        </w:rPr>
      </w:pPr>
      <w:r>
        <w:rPr/>
        <w:t>‘</w:t>
      </w:r>
      <w:r>
        <w:rPr/>
        <w:t>But what am I compared to him? Who am I to praise the ascetic Gotama? Truly he is praised by the praised. He is the highest amongst gods and humans.’”</w:t>
      </w:r>
      <w:r>
        <w:rPr>
          <w:rStyle w:val="FootnoteReference"/>
        </w:rPr>
        <w:footnoteReference w:id="500"/>
      </w:r>
    </w:p>
    <w:p>
      <w:pPr>
        <w:pStyle w:val="WW-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rPr>
        <w:footnoteReference w:id="501"/>
      </w:r>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rPr>
        <w:footnoteReference w:id="502"/>
      </w:r>
    </w:p>
    <w:p>
      <w:pPr>
        <w:pStyle w:val="WW-paragraph"/>
        <w:rPr>
          <w:lang w:val="en-GB"/>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rPr>
        <w:footnoteReference w:id="503"/>
      </w:r>
    </w:p>
    <w:p>
      <w:pPr>
        <w:pStyle w:val="WW-paragraph"/>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rStyle w:val="wwc-pali"/>
          <w:lang w:val="en-GB"/>
        </w:rPr>
        <w:t>vibhajjavādo</w:t>
      </w:r>
      <w:r>
        <w:rPr>
          <w:lang w:val="en-GB"/>
        </w:rPr>
        <w:t xml:space="preserve"> </w:t>
      </w:r>
      <w:r>
        <w:rPr>
          <w:rStyle w:val="wwc-pali"/>
          <w:lang w:val="en-GB"/>
        </w:rPr>
        <w:t>nāhaṁ</w:t>
      </w:r>
      <w:r>
        <w:rPr>
          <w:lang w:val="en-GB"/>
        </w:rPr>
        <w:t xml:space="preserve"> </w:t>
      </w:r>
      <w:r>
        <w:rPr>
          <w:rStyle w:val="wwc-pali"/>
          <w:lang w:val="en-GB"/>
        </w:rPr>
        <w:t>ettha</w:t>
      </w:r>
      <w:r>
        <w:rPr>
          <w:lang w:val="en-GB"/>
        </w:rPr>
        <w:t xml:space="preserve"> </w:t>
      </w:r>
      <w:r>
        <w:rPr>
          <w:rStyle w:val="wwc-pali"/>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WW-blockquote"/>
        <w:rPr>
          <w:lang w:val="en-GB"/>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WW-paragraph"/>
        <w:rPr>
          <w:lang w:val="en-GB"/>
        </w:rPr>
      </w:pPr>
      <w:r>
        <w:rPr/>
        <w:t>The Buddha replied:</w:t>
      </w:r>
    </w:p>
    <w:p>
      <w:pPr>
        <w:pStyle w:val="WW-blockquote"/>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rPr>
        <w:footnoteReference w:id="506"/>
      </w:r>
    </w:p>
    <w:p>
      <w:pPr>
        <w:pStyle w:val="WW-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rPr>
        <w:footnoteReference w:id="507"/>
      </w:r>
    </w:p>
    <w:p>
      <w:pPr>
        <w:pStyle w:val="WW-paragraph"/>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rPr>
        <w:footnoteReference w:id="508"/>
      </w:r>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rPr>
        <w:footnoteReference w:id="509"/>
      </w:r>
    </w:p>
    <w:p>
      <w:pPr>
        <w:pStyle w:val="WW-paragraph"/>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rPr>
        <w:footnoteReference w:id="510"/>
      </w:r>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rPr>
        <w:footnoteReference w:id="511"/>
      </w:r>
      <w:r>
        <w:rPr/>
        <w:t xml:space="preserve"> He did just that, and a discussion ensued.</w:t>
      </w:r>
    </w:p>
    <w:p>
      <w:pPr>
        <w:pStyle w:val="WW-paragraph"/>
        <w:rPr>
          <w:lang w:val="en-GB"/>
        </w:rPr>
      </w:pPr>
      <w:r>
        <w:rPr/>
        <w:t>Even people who met and listened to the Buddha without necessarily becoming a disciple would sometimes express their admiration for him. A good example of this is this comment by the leading brahmin Soṇadaṇḍa:</w:t>
      </w:r>
    </w:p>
    <w:p>
      <w:pPr>
        <w:pStyle w:val="WW-blockquote"/>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rStyle w:val="wwc-pali"/>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WW-paragraph"/>
        <w:rPr/>
      </w:pPr>
      <w:r>
        <w:rPr/>
        <w:t>Soṇadaṇḍa’s accolade reveals something about the concerns and interests of the brahmin class of the time and what they considered admirable, but at the same time it reveals something about the Buddha.</w:t>
      </w:r>
    </w:p>
    <w:p>
      <w:pPr>
        <w:pStyle w:val="WW-Chapter"/>
        <w:rPr/>
      </w:pPr>
      <w:r>
        <w:rPr/>
        <w:t>10. Monastic and Lay Disciples</w:t>
      </w:r>
    </w:p>
    <w:p>
      <w:pPr>
        <w:pStyle w:val="WW-blockquote"/>
        <w:rPr>
          <w:lang w:val="en-GB"/>
        </w:rPr>
      </w:pPr>
      <w:r>
        <w:rPr/>
        <w:t>The monk or the nun, the layman or the laywoman who lives by the Dhamma and perfectly fulfils it: it is they who honour me with the highest reverence.</w:t>
      </w:r>
    </w:p>
    <w:p>
      <w:pPr>
        <w:pStyle w:val="WW-tight-right-cite"/>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WW-paragraph"/>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rStyle w:val="wwc-pali"/>
          <w:lang w:val="en-GB"/>
        </w:rPr>
        <w:t>catu</w:t>
      </w:r>
      <w:r>
        <w:rPr>
          <w:lang w:val="en-GB"/>
        </w:rPr>
        <w:t xml:space="preserve"> </w:t>
      </w:r>
      <w:r>
        <w:rPr>
          <w:rStyle w:val="wwc-pali"/>
          <w:lang w:val="en-GB"/>
        </w:rPr>
        <w:t>parisā</w:t>
      </w:r>
      <w:r>
        <w:rPr>
          <w:lang w:val="en-GB"/>
        </w:rPr>
        <w:t>) evolved, its four parts being monks and nuns (</w:t>
      </w:r>
      <w:r>
        <w:rPr>
          <w:rStyle w:val="wwc-pali"/>
          <w:lang w:val="en-GB"/>
        </w:rPr>
        <w:t>bhikkhu</w:t>
      </w:r>
      <w:r>
        <w:rPr>
          <w:lang w:val="en-GB"/>
        </w:rPr>
        <w:t xml:space="preserve"> and </w:t>
      </w:r>
      <w:r>
        <w:rPr>
          <w:rStyle w:val="wwc-pali"/>
          <w:lang w:val="en-GB"/>
        </w:rPr>
        <w:t>bhikkhunī</w:t>
      </w:r>
      <w:r>
        <w:rPr>
          <w:lang w:val="en-GB"/>
        </w:rPr>
        <w:t>) and lay men and women (</w:t>
      </w:r>
      <w:r>
        <w:rPr>
          <w:rStyle w:val="wwc-pali"/>
          <w:lang w:val="en-GB"/>
        </w:rPr>
        <w:t>upāsaka</w:t>
      </w:r>
      <w:r>
        <w:rPr>
          <w:lang w:val="en-GB"/>
        </w:rPr>
        <w:t xml:space="preserve"> and </w:t>
      </w:r>
      <w:r>
        <w:rPr>
          <w:rStyle w:val="wwc-pali"/>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rStyle w:val="wwc-pali"/>
          <w:lang w:val="en-GB"/>
        </w:rPr>
        <w:t>aññamaññaṃ</w:t>
      </w:r>
      <w:r>
        <w:rPr>
          <w:lang w:val="en-GB"/>
        </w:rPr>
        <w:t xml:space="preserve">) on each other—monastics on the laity for their basic needs and the laity on monastics for knowledge of the Dhamma. Furthermore, because the Buddha considered his Dhamma to be distinct from other teachings, it was only right that he would want his disciples to be distinct too—most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rStyle w:val="wwc-pali"/>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rStyle w:val="wwc-pali"/>
          <w:lang w:val="en-GB"/>
        </w:rPr>
        <w:t>gihī</w:t>
      </w:r>
      <w:r>
        <w:rPr>
          <w:lang w:val="en-GB"/>
        </w:rPr>
        <w:t xml:space="preserve"> </w:t>
      </w:r>
      <w:r>
        <w:rPr>
          <w:rStyle w:val="wwc-pali"/>
          <w:lang w:val="en-GB"/>
        </w:rPr>
        <w:t>odātavasana</w:t>
      </w:r>
      <w:r>
        <w:rPr>
          <w:lang w:val="en-GB"/>
        </w:rPr>
        <w:t>) as an alternative to more ostentatious, brightly coloured and embroidered wear and perhaps because it was thought to suggest purity and simplicity.</w:t>
      </w:r>
    </w:p>
    <w:p>
      <w:pPr>
        <w:pStyle w:val="WW-paragraph"/>
        <w:rPr>
          <w:lang w:val="en-GB"/>
        </w:rPr>
      </w:pPr>
      <w:r>
        <w:rPr>
          <w:lang w:val="en-GB"/>
        </w:rPr>
        <w:t>At the beginning of the Buddha’s career, people expressed their intention to become a disciple, whether monastic or lay, by taking what were called the Three Refuges (</w:t>
      </w:r>
      <w:r>
        <w:rPr>
          <w:rStyle w:val="wwc-pali"/>
          <w:lang w:val="en-GB"/>
        </w:rPr>
        <w:t>tisaraṇa</w:t>
      </w:r>
      <w:r>
        <w:rPr>
          <w:lang w:val="en-GB"/>
        </w:rPr>
        <w:t xml:space="preserve">)—a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rStyle w:val="wwc-pali"/>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formula—I take refuge in the Buddha; I take refuge in the Dhamma; I take refuge in the Saṅgha—by which they affirm their confidence in and commitment to Buddhism.</w:t>
      </w:r>
    </w:p>
    <w:p>
      <w:pPr>
        <w:pStyle w:val="WW-paragraph"/>
        <w:rPr>
          <w:lang w:val="en-GB"/>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WW-paragraph"/>
        <w:rPr>
          <w:lang w:val="en-GB"/>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WW-paragraph"/>
        <w:rPr/>
      </w:pPr>
      <w:r>
        <w:rPr/>
        <w:t>Sāriputta and Moggallāna were the Buddha’s two chief disciples, who as childhood friends had both become ascetics together under the teacher Sañjaya Belaṭṭhiputta.</w:t>
      </w:r>
      <w:r>
        <w:rPr>
          <w:rStyle w:val="FootnoteReference"/>
        </w:rPr>
        <w:footnoteReference w:id="515"/>
      </w:r>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rPr>
        <w:footnoteReference w:id="516"/>
      </w:r>
      <w:r>
        <w:rPr/>
        <w:t xml:space="preserve"> They took to the monastic life with ease, and in time, the Buddha came to look upon them as his most accomplished and trusted disciples and heirs.</w:t>
      </w:r>
    </w:p>
    <w:p>
      <w:pPr>
        <w:pStyle w:val="WW-paragraph"/>
        <w:rPr>
          <w:lang w:val="en-GB"/>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WW-blockquote"/>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rPr>
        <w:footnoteReference w:id="517"/>
      </w:r>
    </w:p>
    <w:p>
      <w:pPr>
        <w:pStyle w:val="WW-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rPr>
        <w:footnoteReference w:id="518"/>
      </w:r>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WW-paragraph"/>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rPr>
        <w:footnoteReference w:id="519"/>
      </w:r>
    </w:p>
    <w:p>
      <w:pPr>
        <w:pStyle w:val="WW-paragraph"/>
        <w:rPr/>
      </w:pPr>
      <w:r>
        <w:rPr/>
        <w:t>Moggallāna and Sāriputta both predeceased the Buddha, although only scant details of the circumstances surrounding the latter’s death are given in the Tipitaka.</w:t>
      </w:r>
      <w:r>
        <w:rPr>
          <w:rStyle w:val="FootnoteReference"/>
        </w:rPr>
        <w:footnoteReference w:id="520"/>
      </w:r>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WW-paragraph"/>
        <w:rPr/>
      </w:pPr>
      <w:r>
        <w:rPr>
          <w:lang w:val="en-GB"/>
        </w:rPr>
        <w:t>The second branch of the four-fold community was that of the nuns (</w:t>
      </w:r>
      <w:r>
        <w:rPr>
          <w:rStyle w:val="wwc-pali"/>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WW-paragraph"/>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rPr>
        <w:footnoteReference w:id="522"/>
      </w:r>
      <w:r>
        <w:rPr/>
        <w:t xml:space="preserve"> Although this number need not be taken literally, it does point to there being many nuns.</w:t>
      </w:r>
    </w:p>
    <w:p>
      <w:pPr>
        <w:pStyle w:val="WW-paragraph"/>
        <w:rPr>
          <w:lang w:val="en-GB"/>
        </w:rPr>
      </w:pPr>
      <w:r>
        <w:rPr>
          <w:lang w:val="en-GB"/>
        </w:rPr>
        <w:t>A nun was usually addressed by monks, lay people and her fellows by the respectful title ‘lady’ (</w:t>
      </w:r>
      <w:r>
        <w:rPr>
          <w:rStyle w:val="wwc-pali"/>
          <w:lang w:val="en-GB"/>
        </w:rPr>
        <w:t>ayyā</w:t>
      </w:r>
      <w:r>
        <w:rPr>
          <w:lang w:val="en-GB"/>
        </w:rPr>
        <w:t>) or the more informal ‘sister’ (</w:t>
      </w:r>
      <w:r>
        <w:rPr>
          <w:rStyle w:val="wwc-pali"/>
          <w:lang w:val="en-GB"/>
        </w:rPr>
        <w:t>bhaginī</w:t>
      </w:r>
      <w:r>
        <w:rPr>
          <w:lang w:val="en-GB"/>
        </w:rPr>
        <w:t>).</w:t>
      </w:r>
    </w:p>
    <w:p>
      <w:pPr>
        <w:pStyle w:val="WW-paragraph"/>
        <w:rPr/>
      </w:pPr>
      <w:r>
        <w:rPr>
          <w:lang w:val="en-GB"/>
        </w:rPr>
        <w:t>One nun who distinguished herself by mastering the teachings and being able to explain it with great clarity, was Dhammadinnā whom the Buddha praised as “foremost of those who can talk about the Dhamma” (</w:t>
      </w:r>
      <w:r>
        <w:rPr>
          <w:rStyle w:val="wwc-pali"/>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WW-paragraph"/>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nuns—Vāsiṭṭhī, Anopamā, Cālā, Upacālā, and Sisupacālā—specifically mention the Buddha instructing them in Dhamma (</w:t>
      </w:r>
      <w:r>
        <w:rPr>
          <w:rStyle w:val="wwc-pali"/>
          <w:lang w:val="en-GB"/>
        </w:rPr>
        <w:t>So</w:t>
      </w:r>
      <w:r>
        <w:rPr>
          <w:lang w:val="en-GB"/>
        </w:rPr>
        <w:t xml:space="preserve"> </w:t>
      </w:r>
      <w:r>
        <w:rPr>
          <w:rStyle w:val="wwc-pali"/>
          <w:lang w:val="en-GB"/>
        </w:rPr>
        <w:t>me</w:t>
      </w:r>
      <w:r>
        <w:rPr>
          <w:lang w:val="en-GB"/>
        </w:rPr>
        <w:t xml:space="preserve"> </w:t>
      </w:r>
      <w:r>
        <w:rPr>
          <w:rStyle w:val="wwc-pali"/>
          <w:lang w:val="en-GB"/>
        </w:rPr>
        <w:t>dhammamadesesi</w:t>
      </w:r>
      <w:r>
        <w:rPr>
          <w:lang w:val="en-GB"/>
        </w:rPr>
        <w:t xml:space="preserve">, </w:t>
      </w:r>
      <w:r>
        <w:rPr>
          <w:rStyle w:val="wwc-pali"/>
          <w:lang w:val="en-GB"/>
        </w:rPr>
        <w:t>anukampāya</w:t>
      </w:r>
      <w:r>
        <w:rPr>
          <w:lang w:val="en-GB"/>
        </w:rPr>
        <w:t xml:space="preserve"> </w:t>
      </w:r>
      <w:r>
        <w:rPr>
          <w:rStyle w:val="wwc-pali"/>
          <w:lang w:val="en-GB"/>
        </w:rPr>
        <w:t>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WW-paragraph"/>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rStyle w:val="wwc-pali"/>
          <w:iCs/>
          <w:lang w:val="en-GB"/>
        </w:rPr>
        <w:t>dukkaṭa</w:t>
      </w:r>
      <w:r>
        <w:rPr>
          <w:lang w:val="en-GB"/>
        </w:rPr>
        <w:t>) on his part—a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WW-paragraph"/>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rPr>
        <w:footnoteReference w:id="529"/>
      </w:r>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rPr>
        <w:footnoteReference w:id="530"/>
      </w:r>
      <w:r>
        <w:rPr/>
        <w:t xml:space="preserve"> Further, Ānanda was quite correct when he said that he did not believe his action was an infringement of the rules, because there is no such rule in the Vinaya.</w:t>
      </w:r>
    </w:p>
    <w:p>
      <w:pPr>
        <w:pStyle w:val="WW-paragraph"/>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rStyle w:val="wwc-pal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WW-paragraph"/>
        <w:rPr>
          <w:lang w:val="en-GB"/>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WW-paragraph"/>
        <w:rPr/>
      </w:pPr>
      <w:r>
        <w:rPr>
          <w:lang w:val="en-GB"/>
        </w:rPr>
        <w:t>The Buddha said that what was required to be a virtuous lay Buddhist was to take the Three Refuges “with a pure heart” (</w:t>
      </w:r>
      <w:r>
        <w:rPr>
          <w:rStyle w:val="wwc-pali"/>
          <w:lang w:val="en-GB"/>
        </w:rPr>
        <w:t>pasanna</w:t>
      </w:r>
      <w:r>
        <w:rPr>
          <w:lang w:val="en-GB"/>
        </w:rPr>
        <w:t xml:space="preserve"> </w:t>
      </w:r>
      <w:r>
        <w:rPr>
          <w:rStyle w:val="wwc-pali"/>
          <w:lang w:val="en-GB"/>
        </w:rPr>
        <w:t>citto</w:t>
      </w:r>
      <w:r>
        <w:rPr>
          <w:lang w:val="en-GB"/>
        </w:rPr>
        <w:t>) and to sincerely adheres to the Five Precepts (</w:t>
      </w:r>
      <w:r>
        <w:rPr>
          <w:rStyle w:val="wwc-pali"/>
          <w:lang w:val="en-GB"/>
        </w:rPr>
        <w:t>pañca</w:t>
      </w:r>
      <w:r>
        <w:rPr>
          <w:lang w:val="en-GB"/>
        </w:rPr>
        <w:t xml:space="preserve"> </w:t>
      </w:r>
      <w:r>
        <w:rPr>
          <w:rStyle w:val="wwc-pali"/>
          <w:lang w:val="en-GB"/>
        </w:rPr>
        <w:t>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WW-paragraph"/>
        <w:rPr/>
      </w:pPr>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rPr>
        <w:footnoteReference w:id="536"/>
      </w:r>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WW-blockquote"/>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rPr>
        <w:footnoteReference w:id="537"/>
      </w:r>
    </w:p>
    <w:p>
      <w:pPr>
        <w:pStyle w:val="WW-paragraph"/>
        <w:rPr/>
      </w:pPr>
      <w:r>
        <w:rPr>
          <w:lang w:val="en-GB"/>
        </w:rPr>
        <w:t>And he said it was because of these disciples—monks and nuns, lay men and women, whether celibate or not - that his Dhamma “prospers, flourishes and spreads, is popular, known far and wide and well-proclaimed amongst gods and humans” (</w:t>
      </w:r>
      <w:r>
        <w:rPr>
          <w:rStyle w:val="wwc-pali"/>
          <w:lang w:val="en-GB"/>
        </w:rPr>
        <w:t>iddañ</w:t>
      </w:r>
      <w:r>
        <w:rPr>
          <w:lang w:val="en-GB"/>
        </w:rPr>
        <w:t xml:space="preserve"> </w:t>
      </w:r>
      <w:r>
        <w:rPr>
          <w:rStyle w:val="wwc-pali"/>
          <w:lang w:val="en-GB"/>
        </w:rPr>
        <w:t>ca</w:t>
      </w:r>
      <w:r>
        <w:rPr>
          <w:lang w:val="en-GB"/>
        </w:rPr>
        <w:t xml:space="preserve"> </w:t>
      </w:r>
      <w:r>
        <w:rPr>
          <w:rStyle w:val="wwc-pali"/>
          <w:lang w:val="en-GB"/>
        </w:rPr>
        <w:t>phitañ</w:t>
      </w:r>
      <w:r>
        <w:rPr>
          <w:lang w:val="en-GB"/>
        </w:rPr>
        <w:t xml:space="preserve"> </w:t>
      </w:r>
      <w:r>
        <w:rPr>
          <w:rStyle w:val="wwc-pali"/>
          <w:lang w:val="en-GB"/>
        </w:rPr>
        <w:t>ca</w:t>
      </w:r>
      <w:r>
        <w:rPr>
          <w:lang w:val="en-GB"/>
        </w:rPr>
        <w:t xml:space="preserve"> </w:t>
      </w:r>
      <w:r>
        <w:rPr>
          <w:rStyle w:val="wwc-pali"/>
          <w:lang w:val="en-GB"/>
        </w:rPr>
        <w:t>vitthārikaṃ</w:t>
      </w:r>
      <w:r>
        <w:rPr>
          <w:lang w:val="en-GB"/>
        </w:rPr>
        <w:t xml:space="preserve"> </w:t>
      </w:r>
      <w:r>
        <w:rPr>
          <w:rStyle w:val="wwc-pali"/>
          <w:lang w:val="en-GB"/>
        </w:rPr>
        <w:t>bāhujaññaṃ</w:t>
      </w:r>
      <w:r>
        <w:rPr>
          <w:lang w:val="en-GB"/>
        </w:rPr>
        <w:t xml:space="preserve"> </w:t>
      </w:r>
      <w:r>
        <w:rPr>
          <w:rStyle w:val="wwc-pali"/>
          <w:lang w:val="en-GB"/>
        </w:rPr>
        <w:t>puthu</w:t>
      </w:r>
      <w:r>
        <w:rPr>
          <w:lang w:val="en-GB"/>
        </w:rPr>
        <w:t xml:space="preserve"> </w:t>
      </w:r>
      <w:r>
        <w:rPr>
          <w:rStyle w:val="wwc-pali"/>
          <w:lang w:val="en-GB"/>
        </w:rPr>
        <w:t>bhūtaṃ</w:t>
      </w:r>
      <w:r>
        <w:rPr>
          <w:lang w:val="en-GB"/>
        </w:rPr>
        <w:t xml:space="preserve"> </w:t>
      </w:r>
      <w:r>
        <w:rPr>
          <w:rStyle w:val="wwc-pali"/>
          <w:lang w:val="en-GB"/>
        </w:rPr>
        <w:t>yava</w:t>
      </w:r>
      <w:r>
        <w:rPr>
          <w:lang w:val="en-GB"/>
        </w:rPr>
        <w:t xml:space="preserve"> </w:t>
      </w:r>
      <w:r>
        <w:rPr>
          <w:rStyle w:val="wwc-pali"/>
          <w:lang w:val="en-GB"/>
        </w:rPr>
        <w:t>devamanussehi</w:t>
      </w:r>
      <w:r>
        <w:rPr>
          <w:lang w:val="en-GB"/>
        </w:rPr>
        <w:t xml:space="preserve"> </w:t>
      </w:r>
      <w:r>
        <w:rPr>
          <w:rStyle w:val="wwc-pali"/>
          <w:lang w:val="en-GB"/>
        </w:rPr>
        <w:t>suppakāsitaṃ</w:t>
      </w:r>
      <w:r>
        <w:rPr>
          <w:lang w:val="en-GB"/>
        </w:rPr>
        <w:t>).</w:t>
      </w:r>
      <w:r>
        <w:rPr>
          <w:rStyle w:val="FootnoteReference"/>
          <w:lang w:val="en-GB"/>
        </w:rPr>
        <w:footnoteReference w:id="538"/>
      </w:r>
    </w:p>
    <w:p>
      <w:pPr>
        <w:pStyle w:val="WW-paragraph"/>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rPr>
        <w:footnoteReference w:id="539"/>
      </w:r>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rPr>
        <w:footnoteReference w:id="540"/>
      </w:r>
      <w:r>
        <w:rPr/>
        <w:t xml:space="preserve"> According to the tradition, it was the servant woman Khujjuttarā who remembered and thus transmitted many of the sermons the Buddha gave in Kosambī.</w:t>
      </w:r>
      <w:r>
        <w:rPr>
          <w:rStyle w:val="FootnoteReference"/>
        </w:rPr>
        <w:footnoteReference w:id="541"/>
      </w:r>
    </w:p>
    <w:p>
      <w:pPr>
        <w:pStyle w:val="WW-paragraph"/>
        <w:rPr>
          <w:lang w:val="en-GB"/>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WW-paragraph"/>
        <w:rPr>
          <w:lang w:val="en-GB"/>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WW-blockquote"/>
        <w:rPr>
          <w:lang w:val="en-GB"/>
        </w:rPr>
      </w:pPr>
      <w:r>
        <w:rPr/>
        <w:t>“</w:t>
      </w:r>
      <w:r>
        <w:rPr/>
        <w:t>Sirs, these two things—sense objects and sense organs—are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WW-blockquote"/>
        <w:rPr>
          <w:lang w:val="en-GB"/>
        </w:rPr>
      </w:pPr>
      <w:r>
        <w:rPr/>
        <w:t>“</w:t>
      </w:r>
      <w:r>
        <w:rPr/>
        <w:t>Certainly not. The black ox is not fettered to the white ox nor is the white ox fettered to the black one. They are both fettered by the yoke or rope.”</w:t>
      </w:r>
    </w:p>
    <w:p>
      <w:pPr>
        <w:pStyle w:val="WW-blockquote"/>
        <w:rPr>
          <w:lang w:val="en-GB"/>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WW-paragraph"/>
        <w:rPr>
          <w:lang w:val="en-GB"/>
        </w:rPr>
      </w:pPr>
      <w:r>
        <w:rPr/>
        <w:t>The monks were pleased with Citta’s lucidity in explaining and answering the question.</w:t>
      </w:r>
    </w:p>
    <w:p>
      <w:pPr>
        <w:pStyle w:val="WW-paragraph"/>
        <w:rPr>
          <w:lang w:val="en-GB"/>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it—he is a faultless stream-cutter, he is boundless.” Citta explained the verse with considerable originality and insight, saying:</w:t>
      </w:r>
    </w:p>
    <w:p>
      <w:pPr>
        <w:pStyle w:val="WW-blockquote"/>
        <w:rPr>
          <w:lang w:val="en-GB"/>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WW-paragraph"/>
        <w:rPr>
          <w:lang w:val="en-GB"/>
        </w:rPr>
      </w:pPr>
      <w:r>
        <w:rPr/>
        <w:t>Citta’s ability to give a spiritual interpretation to what appeared to be merely a beautiful verse surprised and satisfied Kāmabhū.</w:t>
      </w:r>
    </w:p>
    <w:p>
      <w:pPr>
        <w:pStyle w:val="WW-paragraph"/>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rPr>
        <w:footnoteReference w:id="542"/>
      </w:r>
    </w:p>
    <w:p>
      <w:pPr>
        <w:pStyle w:val="WW-paragraph"/>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rPr>
        <w:footnoteReference w:id="543"/>
      </w:r>
    </w:p>
    <w:p>
      <w:pPr>
        <w:pStyle w:val="WW-paragraph"/>
        <w:rPr>
          <w:lang w:val="en-GB"/>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WW-blockquote"/>
        <w:rPr/>
      </w:pPr>
      <w:r>
        <w:rPr/>
        <w:t>“</w:t>
      </w:r>
      <w:r>
        <w:rPr/>
        <w:t>Lord, I do it by using the four bases of community which you yourself taught me.</w:t>
      </w:r>
      <w:r>
        <w:rPr>
          <w:rStyle w:val="FootnoteReference"/>
        </w:rPr>
        <w:footnoteReference w:id="544"/>
      </w:r>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WW-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rPr>
        <w:footnoteReference w:id="545"/>
      </w:r>
    </w:p>
    <w:p>
      <w:pPr>
        <w:pStyle w:val="WW-paragraph"/>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rStyle w:val="wwc-pali"/>
          <w:lang w:val="en-GB"/>
        </w:rPr>
        <w:t>paṇḍitāya</w:t>
      </w:r>
      <w:r>
        <w:rPr>
          <w:lang w:val="en-GB"/>
        </w:rPr>
        <w:t xml:space="preserve"> </w:t>
      </w:r>
      <w:r>
        <w:rPr>
          <w:rStyle w:val="wwc-pali"/>
          <w:lang w:val="en-GB"/>
        </w:rPr>
        <w:t>viyattāya</w:t>
      </w:r>
      <w:r>
        <w:rPr>
          <w:lang w:val="en-GB"/>
        </w:rPr>
        <w:t xml:space="preserve"> </w:t>
      </w:r>
      <w:r>
        <w:rPr>
          <w:rStyle w:val="wwc-pali"/>
          <w:lang w:val="en-GB"/>
        </w:rPr>
        <w:t>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interested—it seems he had taken offence to their earlier refusal. Hearing about the rule and her nephew’s response to it, Visākhā remarked: “When is it not a good time to go to the Dhamma?” The Buddha came to hear of this incident and what Visākhā had said about it—that there is no time when the Dhamma cannot or should not be practiced—and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WW-paragraph"/>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rStyle w:val="wwc-pali"/>
          <w:lang w:val="en-GB"/>
        </w:rPr>
        <w:t>cattāri</w:t>
      </w:r>
      <w:r>
        <w:rPr>
          <w:lang w:val="en-GB"/>
        </w:rPr>
        <w:t xml:space="preserve"> </w:t>
      </w:r>
      <w:r>
        <w:rPr>
          <w:rStyle w:val="wwc-pali"/>
          <w:lang w:val="en-GB"/>
        </w:rPr>
        <w:t>ariyasaccāni</w:t>
      </w:r>
      <w:r>
        <w:rPr>
          <w:lang w:val="en-GB"/>
        </w:rPr>
        <w:t xml:space="preserve">): suffering; the cause of suffering; the freedom from suffering; and the way to become free from suffering. The word usually translated as suffering is </w:t>
      </w:r>
      <w:r>
        <w:rPr>
          <w:rStyle w:val="wwc-pali"/>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us—if not now, then some way further down the road.</w:t>
      </w:r>
    </w:p>
    <w:p>
      <w:pPr>
        <w:pStyle w:val="WW-paragraph"/>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rStyle w:val="wwc-pali"/>
          <w:lang w:val="en-GB"/>
        </w:rPr>
        <w:t>ariya</w:t>
      </w:r>
      <w:r>
        <w:rPr>
          <w:lang w:val="en-GB"/>
        </w:rPr>
        <w:t xml:space="preserve"> </w:t>
      </w:r>
      <w:r>
        <w:rPr>
          <w:rStyle w:val="wwc-pali"/>
          <w:lang w:val="en-GB"/>
        </w:rPr>
        <w:t>aṭṭhaṅgika</w:t>
      </w:r>
      <w:r>
        <w:rPr>
          <w:lang w:val="en-GB"/>
        </w:rPr>
        <w:t xml:space="preserve"> </w:t>
      </w:r>
      <w:r>
        <w:rPr>
          <w:rStyle w:val="wwc-pali"/>
          <w:lang w:val="en-GB"/>
        </w:rPr>
        <w:t>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firmness—all traits the Buddha exhibited in his dealings with his disciples. The Tipitaka is replete with examples of the Buddha as “an unsurpassed guide for those to be trained” (</w:t>
      </w:r>
      <w:r>
        <w:rPr>
          <w:rStyle w:val="wwc-pali"/>
          <w:lang w:val="en-GB"/>
        </w:rPr>
        <w:t>anuttaro</w:t>
      </w:r>
      <w:r>
        <w:rPr>
          <w:lang w:val="en-GB"/>
        </w:rPr>
        <w:t xml:space="preserve"> </w:t>
      </w:r>
      <w:r>
        <w:rPr>
          <w:rStyle w:val="wwc-pali"/>
          <w:lang w:val="en-GB"/>
        </w:rPr>
        <w:t>purisa</w:t>
      </w:r>
      <w:r>
        <w:rPr>
          <w:lang w:val="en-GB"/>
        </w:rPr>
        <w:t xml:space="preserve"> </w:t>
      </w:r>
      <w:r>
        <w:rPr>
          <w:rStyle w:val="wwc-pali"/>
          <w:lang w:val="en-GB"/>
        </w:rPr>
        <w:t>damma</w:t>
      </w:r>
      <w:r>
        <w:rPr>
          <w:lang w:val="en-GB"/>
        </w:rPr>
        <w:t xml:space="preserve"> </w:t>
      </w:r>
      <w:r>
        <w:rPr>
          <w:rStyle w:val="wwc-pali"/>
          <w:lang w:val="en-GB"/>
        </w:rPr>
        <w:t>sārathi</w:t>
      </w:r>
      <w:r>
        <w:rPr>
          <w:lang w:val="en-GB"/>
        </w:rPr>
        <w:t xml:space="preserve"> </w:t>
      </w:r>
      <w:r>
        <w:rPr>
          <w:rStyle w:val="wwc-pali"/>
          <w:lang w:val="en-GB"/>
        </w:rPr>
        <w:t>satthā</w:t>
      </w:r>
      <w:r>
        <w:rPr>
          <w:lang w:val="en-GB"/>
        </w:rPr>
        <w:t>).</w:t>
      </w:r>
    </w:p>
    <w:p>
      <w:pPr>
        <w:pStyle w:val="WW-paragraph"/>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Pr>
        <w:footnoteReference w:id="549"/>
      </w:r>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rPr>
        <w:footnoteReference w:id="550"/>
      </w:r>
    </w:p>
    <w:p>
      <w:pPr>
        <w:pStyle w:val="WW-paragraph"/>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rPr>
        <w:footnoteReference w:id="551"/>
      </w:r>
    </w:p>
    <w:p>
      <w:pPr>
        <w:pStyle w:val="WW-paragraph"/>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Pr>
        <w:footnoteReference w:id="552"/>
      </w:r>
      <w:r>
        <w:rPr/>
        <w:t xml:space="preserve"> These words renewed Tissa’s commitment to keep trying, and eventually he attained awakening.</w:t>
      </w:r>
    </w:p>
    <w:p>
      <w:pPr>
        <w:pStyle w:val="WW-paragraph"/>
        <w:rPr>
          <w:lang w:val="en-GB"/>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WW-blockquote"/>
        <w:rPr>
          <w:lang w:val="en-GB"/>
        </w:rPr>
      </w:pPr>
      <w:r>
        <w:rPr/>
        <w:t>“</w:t>
      </w:r>
      <w:r>
        <w:rPr/>
        <w:t>Tell me, Soṇa—before you left your home, is it not so that you were skilled in playing the veena?”</w:t>
      </w:r>
    </w:p>
    <w:p>
      <w:pPr>
        <w:pStyle w:val="WW-blockquote"/>
        <w:rPr>
          <w:lang w:val="en-GB"/>
        </w:rPr>
      </w:pPr>
      <w:r>
        <w:rPr/>
        <w:t>“</w:t>
      </w:r>
      <w:r>
        <w:rPr/>
        <w:t>Yes sir.”</w:t>
      </w:r>
    </w:p>
    <w:p>
      <w:pPr>
        <w:pStyle w:val="WW-blockquote"/>
        <w:rPr>
          <w:lang w:val="en-GB"/>
        </w:rPr>
      </w:pPr>
      <w:r>
        <w:rPr/>
        <w:t>“</w:t>
      </w:r>
      <w:r>
        <w:rPr/>
        <w:t>What do you think? When its strings were too tight or too loose, was your veena well-tuned and easy to play?”</w:t>
      </w:r>
    </w:p>
    <w:p>
      <w:pPr>
        <w:pStyle w:val="WW-blockquote"/>
        <w:rPr>
          <w:lang w:val="en-GB"/>
        </w:rPr>
      </w:pPr>
      <w:r>
        <w:rPr/>
        <w:t>“</w:t>
      </w:r>
      <w:r>
        <w:rPr/>
        <w:t>No sir.”</w:t>
      </w:r>
    </w:p>
    <w:p>
      <w:pPr>
        <w:pStyle w:val="WW-blockquote"/>
        <w:rPr>
          <w:lang w:val="en-GB"/>
        </w:rPr>
      </w:pPr>
      <w:r>
        <w:rPr/>
        <w:t>“</w:t>
      </w:r>
      <w:r>
        <w:rPr/>
        <w:t>Then when the strings were neither too tight nor too loose but tightened in a balanced way, was the veena then playable?”</w:t>
      </w:r>
    </w:p>
    <w:p>
      <w:pPr>
        <w:pStyle w:val="WW-blockquote"/>
        <w:rPr>
          <w:lang w:val="en-GB"/>
        </w:rPr>
      </w:pPr>
      <w:r>
        <w:rPr/>
        <w:t>“</w:t>
      </w:r>
      <w:r>
        <w:rPr/>
        <w:t>Yes sir.”</w:t>
      </w:r>
    </w:p>
    <w:p>
      <w:pPr>
        <w:pStyle w:val="WW-blockquote"/>
        <w:rPr/>
      </w:pPr>
      <w:r>
        <w:rPr/>
        <w:t>“</w:t>
      </w:r>
      <w:r>
        <w:rPr/>
        <w:t>So too, if energy is excessive it leads to restlessness and if deficient it leads to weariness. Therefore, Soṇa, let your energy be balanced, your sense organs be unperturbed and maintain that place in the middle.”</w:t>
      </w:r>
      <w:r>
        <w:rPr>
          <w:rStyle w:val="FootnoteReference"/>
        </w:rPr>
        <w:footnoteReference w:id="553"/>
      </w:r>
    </w:p>
    <w:p>
      <w:pPr>
        <w:pStyle w:val="WW-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rStyle w:val="wwc-pali"/>
          <w:lang w:val="en-GB"/>
        </w:rPr>
        <w:t>saṇha</w:t>
      </w:r>
      <w:r>
        <w:rPr>
          <w:lang w:val="en-GB"/>
        </w:rPr>
        <w:t xml:space="preserve"> and </w:t>
      </w:r>
      <w:r>
        <w:rPr>
          <w:rStyle w:val="wwc-pali"/>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WW-paragraph"/>
        <w:rPr>
          <w:lang w:val="en-GB"/>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WW-blockquote"/>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rPr>
        <w:footnoteReference w:id="556"/>
      </w:r>
    </w:p>
    <w:p>
      <w:pPr>
        <w:pStyle w:val="WW-paragraph"/>
        <w:rPr>
          <w:lang w:val="en-GB"/>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town—an explanation that did not satisfy the Buddha—and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WW-blockquote"/>
        <w:rPr>
          <w:lang w:val="en-GB"/>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WW-paragraph"/>
        <w:rPr/>
      </w:pPr>
      <w:r>
        <w:rPr/>
        <w:t>These sentiments mollified the Buddha, and with his permission the monks went back to their accommodation, no doubt much quieter this time.</w:t>
      </w:r>
      <w:r>
        <w:rPr>
          <w:rStyle w:val="FootnoteReference"/>
        </w:rPr>
        <w:footnoteReference w:id="557"/>
      </w:r>
    </w:p>
    <w:p>
      <w:pPr>
        <w:pStyle w:val="WW-paragraph"/>
        <w:rPr/>
      </w:pPr>
      <w:r>
        <w:rPr/>
        <w:t>There were four offences for which a monk would be expelled from the Saṅgha and never be readmitted: sexual intercourse; theft; murder or abetment to murder; and falsely claiming to have attained an exalted spiritual state.</w:t>
      </w:r>
      <w:r>
        <w:rPr>
          <w:rStyle w:val="FootnoteReference"/>
        </w:rPr>
        <w:footnoteReference w:id="558"/>
      </w:r>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rPr>
        <w:footnoteReference w:id="559"/>
      </w:r>
    </w:p>
    <w:p>
      <w:pPr>
        <w:pStyle w:val="WW-paragraph"/>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60"/>
      </w:r>
      <w:r>
        <w:rPr/>
        <w:t xml:space="preserve"> When miscreants admitted their wrongdoing, showed genuine contrition and asked to be pardoned, the Buddha would overlook their foolishness or bad behaviour, saying to them:</w:t>
      </w:r>
    </w:p>
    <w:p>
      <w:pPr>
        <w:pStyle w:val="WW-blockquote"/>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rPr>
        <w:footnoteReference w:id="561"/>
      </w:r>
    </w:p>
    <w:p>
      <w:pPr>
        <w:pStyle w:val="WW-Chapter"/>
        <w:rPr/>
      </w:pPr>
      <w:r>
        <w:rPr/>
        <w:t>11. The Buddha on Worldly Matters</w:t>
      </w:r>
    </w:p>
    <w:p>
      <w:pPr>
        <w:pStyle w:val="WW-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WW-paragraph"/>
        <w:rPr/>
      </w:pPr>
      <w:r>
        <w:rPr>
          <w:lang w:val="en-GB"/>
        </w:rPr>
        <w:t>There were two characteristics of the Buddha’s Dhamma that he emphasised repeatedly. The first is that he meant it to be “for the welfare of the many” (</w:t>
      </w:r>
      <w:r>
        <w:rPr>
          <w:rStyle w:val="wwc-pali"/>
          <w:lang w:val="en-GB"/>
        </w:rPr>
        <w:t>bahujana</w:t>
      </w:r>
      <w:r>
        <w:rPr>
          <w:lang w:val="en-GB"/>
        </w:rPr>
        <w:t xml:space="preserve"> </w:t>
      </w:r>
      <w:r>
        <w:rPr>
          <w:rStyle w:val="wwc-pali"/>
          <w:lang w:val="en-GB"/>
        </w:rPr>
        <w:t>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rStyle w:val="wwc-pali"/>
          <w:lang w:val="en-GB"/>
        </w:rPr>
        <w:t>anupubba</w:t>
      </w:r>
      <w:r>
        <w:rPr>
          <w:lang w:val="en-GB"/>
        </w:rPr>
        <w:t xml:space="preserve"> </w:t>
      </w:r>
      <w:r>
        <w:rPr>
          <w:rStyle w:val="wwc-pali"/>
          <w:lang w:val="en-GB"/>
        </w:rPr>
        <w:t>sikkhā</w:t>
      </w:r>
      <w:r>
        <w:rPr>
          <w:lang w:val="en-GB"/>
        </w:rPr>
        <w:t xml:space="preserve">, </w:t>
      </w:r>
      <w:r>
        <w:rPr>
          <w:rStyle w:val="wwc-pali"/>
          <w:lang w:val="en-GB"/>
        </w:rPr>
        <w:t>anupubba</w:t>
      </w:r>
      <w:r>
        <w:rPr>
          <w:lang w:val="en-GB"/>
        </w:rPr>
        <w:t xml:space="preserve"> </w:t>
      </w:r>
      <w:r>
        <w:rPr>
          <w:rStyle w:val="wwc-pali"/>
          <w:lang w:val="en-GB"/>
        </w:rPr>
        <w:t>kiriyā</w:t>
      </w:r>
      <w:r>
        <w:rPr>
          <w:lang w:val="en-GB"/>
        </w:rPr>
        <w:t xml:space="preserve">, </w:t>
      </w:r>
      <w:r>
        <w:rPr>
          <w:rStyle w:val="wwc-pali"/>
          <w:lang w:val="en-GB"/>
        </w:rPr>
        <w:t>anupubba</w:t>
      </w:r>
      <w:r>
        <w:rPr>
          <w:lang w:val="en-GB"/>
        </w:rPr>
        <w:t xml:space="preserve"> </w:t>
      </w:r>
      <w:r>
        <w:rPr>
          <w:rStyle w:val="wwc-pali"/>
          <w:lang w:val="en-GB"/>
        </w:rPr>
        <w:t>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WW-paragraph"/>
        <w:rPr>
          <w:lang w:val="en-GB"/>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WW-paragraph"/>
        <w:rPr>
          <w:lang w:val="en-GB"/>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WW-paragraph"/>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rStyle w:val="wwc-pali"/>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WW-paragraph"/>
        <w:rPr>
          <w:lang w:val="en-GB"/>
        </w:rPr>
      </w:pPr>
      <w:r>
        <w:rPr>
          <w:lang w:val="en-GB"/>
        </w:rPr>
        <w:t>The advice the Buddha gave concerning material wealth is a good example of this. Among the types of happiness he considered to be worthwhile and legitimate were the happiness of ownership (</w:t>
      </w:r>
      <w:r>
        <w:rPr>
          <w:rStyle w:val="wwc-pali"/>
          <w:lang w:val="en-GB"/>
        </w:rPr>
        <w:t>atthisukha</w:t>
      </w:r>
      <w:r>
        <w:rPr>
          <w:lang w:val="en-GB"/>
        </w:rPr>
        <w:t>), the happiness of wealth (</w:t>
      </w:r>
      <w:r>
        <w:rPr>
          <w:rStyle w:val="wwc-pali"/>
          <w:lang w:val="en-GB"/>
        </w:rPr>
        <w:t>bhogasukha</w:t>
      </w:r>
      <w:r>
        <w:rPr>
          <w:lang w:val="en-GB"/>
        </w:rPr>
        <w:t>), and the happiness of being free from debt (</w:t>
      </w:r>
      <w:r>
        <w:rPr>
          <w:rStyle w:val="wwc-pali"/>
          <w:lang w:val="en-GB"/>
        </w:rPr>
        <w:t>anaṇasukha</w:t>
      </w:r>
      <w:r>
        <w:rPr>
          <w:lang w:val="en-GB"/>
        </w:rPr>
        <w:t>):</w:t>
      </w:r>
    </w:p>
    <w:p>
      <w:pPr>
        <w:pStyle w:val="WW-blockquote"/>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rPr>
        <w:footnoteReference w:id="566"/>
      </w:r>
    </w:p>
    <w:p>
      <w:pPr>
        <w:pStyle w:val="WW-paragraph"/>
        <w:rPr/>
      </w:pPr>
      <w:r>
        <w:rPr>
          <w:lang w:val="en-GB"/>
        </w:rPr>
        <w:t>Thus wealthy individuals can be praiseworthy (</w:t>
      </w:r>
      <w:r>
        <w:rPr>
          <w:rStyle w:val="wwc-pali"/>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rStyle w:val="wwc-pali"/>
          <w:lang w:val="en-GB"/>
        </w:rPr>
        <w:t>dhammena</w:t>
      </w:r>
      <w:r>
        <w:rPr>
          <w:lang w:val="en-GB"/>
        </w:rPr>
        <w:t>), and in ways that do not exploit or disadvantage others (</w:t>
      </w:r>
      <w:r>
        <w:rPr>
          <w:rStyle w:val="wwc-pali"/>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rStyle w:val="wwc-pali"/>
          <w:lang w:val="en-GB"/>
        </w:rPr>
        <w:t>attānaṁ</w:t>
      </w:r>
      <w:r>
        <w:rPr>
          <w:lang w:val="en-GB"/>
        </w:rPr>
        <w:t xml:space="preserve"> </w:t>
      </w:r>
      <w:r>
        <w:rPr>
          <w:rStyle w:val="wwc-pali"/>
          <w:lang w:val="en-GB"/>
        </w:rPr>
        <w:t>sukheti</w:t>
      </w:r>
      <w:r>
        <w:rPr>
          <w:lang w:val="en-GB"/>
        </w:rPr>
        <w:t xml:space="preserve"> </w:t>
      </w:r>
      <w:r>
        <w:rPr>
          <w:rStyle w:val="wwc-pali"/>
          <w:lang w:val="en-GB"/>
        </w:rPr>
        <w:t>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rStyle w:val="wwc-pali"/>
          <w:lang w:val="en-GB"/>
        </w:rPr>
        <w:t>kapaṇaddhika</w:t>
      </w:r>
      <w:r>
        <w:rPr>
          <w:lang w:val="en-GB"/>
        </w:rPr>
        <w:t>-</w:t>
      </w:r>
      <w:r>
        <w:rPr>
          <w:rStyle w:val="wwc-pali"/>
          <w:lang w:val="en-GB"/>
        </w:rPr>
        <w:t>vaṇibbaka</w:t>
      </w:r>
      <w:r>
        <w:rPr>
          <w:lang w:val="en-GB"/>
        </w:rPr>
        <w:t>-</w:t>
      </w:r>
      <w:r>
        <w:rPr>
          <w:rStyle w:val="wwc-pali"/>
          <w:lang w:val="en-GB"/>
        </w:rPr>
        <w:t>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WW-paragraph"/>
        <w:rPr/>
      </w:pPr>
      <w:r>
        <w:rPr>
          <w:lang w:val="en-GB"/>
        </w:rPr>
        <w:t>The Buddha recommended that a prudent disciple should try to maintain a balance in life (</w:t>
      </w:r>
      <w:r>
        <w:rPr>
          <w:rStyle w:val="wwc-pali"/>
          <w:lang w:val="en-GB"/>
        </w:rPr>
        <w:t>samaṃ</w:t>
      </w:r>
      <w:r>
        <w:rPr>
          <w:lang w:val="en-GB"/>
        </w:rPr>
        <w:t xml:space="preserve"> </w:t>
      </w:r>
      <w:r>
        <w:rPr>
          <w:rStyle w:val="wwc-pali"/>
          <w:lang w:val="en-GB"/>
        </w:rPr>
        <w:t>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WW-paragraph"/>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rStyle w:val="wwc-pali"/>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WW-paragraph"/>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rStyle w:val="wwc-pali"/>
          <w:lang w:val="en-GB"/>
        </w:rPr>
        <w:t>sampiyen’eva</w:t>
      </w:r>
      <w:r>
        <w:rPr>
          <w:lang w:val="en-GB"/>
        </w:rPr>
        <w:t xml:space="preserve"> </w:t>
      </w:r>
      <w:r>
        <w:rPr>
          <w:rStyle w:val="wwc-pali"/>
          <w:lang w:val="en-GB"/>
        </w:rPr>
        <w:t>saṃvāsaṃ</w:t>
      </w:r>
      <w:r>
        <w:rPr>
          <w:lang w:val="en-GB"/>
        </w:rPr>
        <w:t xml:space="preserve"> </w:t>
      </w:r>
      <w:r>
        <w:rPr>
          <w:rStyle w:val="wwc-pali"/>
          <w:lang w:val="en-GB"/>
        </w:rPr>
        <w:t>saṃsaggatthāya</w:t>
      </w:r>
      <w:r>
        <w:rPr>
          <w:lang w:val="en-GB"/>
        </w:rPr>
        <w:t xml:space="preserve"> </w:t>
      </w:r>
      <w:r>
        <w:rPr>
          <w:rStyle w:val="wwc-pali"/>
          <w:lang w:val="en-GB"/>
        </w:rPr>
        <w:t>sampavattenti</w:t>
      </w:r>
      <w:r>
        <w:rPr>
          <w:lang w:val="en-GB"/>
        </w:rPr>
        <w:t>), which he obviously considered to be a far better motive for marriage.</w:t>
      </w:r>
      <w:r>
        <w:rPr>
          <w:rStyle w:val="FootnoteReference"/>
          <w:lang w:val="en-GB"/>
        </w:rPr>
        <w:footnoteReference w:id="576"/>
      </w:r>
    </w:p>
    <w:p>
      <w:pPr>
        <w:pStyle w:val="WW-paragraph"/>
        <w:rPr/>
      </w:pPr>
      <w:r>
        <w:rPr/>
        <w:t>He believed that if a husband and wife loved each other deeply and had similar kamma, they may be able to renew their relationship in the next life.</w:t>
      </w:r>
      <w:r>
        <w:rPr>
          <w:rStyle w:val="FootnoteReference"/>
        </w:rPr>
        <w:footnoteReference w:id="577"/>
      </w:r>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rPr>
        <w:footnoteReference w:id="578"/>
      </w:r>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rPr>
        <w:footnoteReference w:id="579"/>
      </w:r>
      <w:r>
        <w:rPr/>
        <w:t xml:space="preserve"> From the Buddha’s perspective, these qualities would be the recipe for an enduring and enriching relationship: faithfulness; mutual love; compassion; and learning the Dhamma together.</w:t>
      </w:r>
    </w:p>
    <w:p>
      <w:pPr>
        <w:pStyle w:val="WW-paragraph"/>
        <w:rPr/>
      </w:pPr>
      <w:r>
        <w:rPr>
          <w:lang w:val="en-GB"/>
        </w:rPr>
        <w:t>Apart from the bonds of love and affection, the Buddha offered advice on other matters that make for a successful marriage. A couple who are following the Dhamma should, he said, “speak loving words to each other” (</w:t>
      </w:r>
      <w:r>
        <w:rPr>
          <w:rStyle w:val="wwc-pali"/>
          <w:lang w:val="en-GB"/>
        </w:rPr>
        <w:t>aññamaññaṃ</w:t>
      </w:r>
      <w:r>
        <w:rPr>
          <w:lang w:val="en-GB"/>
        </w:rPr>
        <w:t xml:space="preserve"> </w:t>
      </w:r>
      <w:r>
        <w:rPr>
          <w:rStyle w:val="wwc-pali"/>
          <w:lang w:val="en-GB"/>
        </w:rPr>
        <w:t>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WW-paragraph"/>
        <w:rPr/>
      </w:pPr>
      <w:r>
        <w:rPr/>
        <w:t>When discussing parents and children, the Buddha again recognized the central role of love and the happiness it brings with it: “Love of one’s mother and love of one’s father is true happiness in the world.”</w:t>
      </w:r>
      <w:r>
        <w:rPr>
          <w:rStyle w:val="FootnoteReference"/>
        </w:rPr>
        <w:footnoteReference w:id="582"/>
      </w:r>
      <w:r>
        <w:rPr/>
        <w:t xml:space="preserve"> He said that children should love, respect and honour their parents “because mothers and fathers do much for their children: they bring them up, nourish them, and introduce them to the world.”</w:t>
      </w:r>
      <w:r>
        <w:rPr>
          <w:rStyle w:val="FootnoteReference"/>
        </w:rPr>
        <w:footnoteReference w:id="583"/>
      </w:r>
      <w:r>
        <w:rPr/>
        <w:t xml:space="preserve"> The minds of parents thus honoured and cherished will have “beautiful thoughts and compassion towards their children and will wish them well, saying, ‘May you live long!’, so that they shall not decline but flourish.”</w:t>
      </w:r>
      <w:r>
        <w:rPr>
          <w:rStyle w:val="FootnoteReference"/>
        </w:rPr>
        <w:footnoteReference w:id="584"/>
      </w:r>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rPr>
        <w:footnoteReference w:id="585"/>
      </w:r>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rPr>
        <w:footnoteReference w:id="586"/>
      </w:r>
    </w:p>
    <w:p>
      <w:pPr>
        <w:pStyle w:val="WW-paragraph"/>
        <w:rPr>
          <w:lang w:val="en-GB"/>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WW-paragraph"/>
        <w:rPr>
          <w:lang w:val="en-GB"/>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condemn. He counselled his disciples to avoid idle chatter, joking, drinking and gambling, laziness, getting up late, being out late, and various forms of light entertainment. This was especially true for monks and nuns:</w:t>
      </w:r>
    </w:p>
    <w:p>
      <w:pPr>
        <w:pStyle w:val="WW-blockquote"/>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rPr>
        <w:footnoteReference w:id="587"/>
      </w:r>
    </w:p>
    <w:p>
      <w:pPr>
        <w:pStyle w:val="WW-paragraph"/>
        <w:rPr/>
      </w:pPr>
      <w:r>
        <w:rPr/>
        <w:t>Once, he told his son Rāhula never to say anything untrue, even as a joke.</w:t>
      </w:r>
      <w:r>
        <w:rPr>
          <w:rStyle w:val="FootnoteReference"/>
        </w:rPr>
        <w:footnoteReference w:id="588"/>
      </w:r>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Pr>
        <w:footnoteReference w:id="589"/>
      </w:r>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rPr>
        <w:footnoteReference w:id="590"/>
      </w:r>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WW-paragraph"/>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rPr>
        <w:footnoteReference w:id="591"/>
      </w:r>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rPr>
        <w:footnoteReference w:id="592"/>
      </w:r>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rPr>
        <w:footnoteReference w:id="593"/>
      </w:r>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WW-paragraph"/>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rStyle w:val="wwc-pali"/>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audiences—lust, anger, titillation, outrage, sadness, excitement, etc.—and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WW-paragraph"/>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rStyle w:val="wwc-pali"/>
          <w:lang w:val="en-GB"/>
        </w:rPr>
        <w:t>tiracchāna</w:t>
      </w:r>
      <w:r>
        <w:rPr>
          <w:lang w:val="en-GB"/>
        </w:rPr>
        <w:t xml:space="preserve"> </w:t>
      </w:r>
      <w:r>
        <w:rPr>
          <w:rStyle w:val="wwc-pali"/>
          <w:lang w:val="en-GB"/>
        </w:rPr>
        <w:t>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rStyle w:val="wwc-pali"/>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WW-paragraph"/>
        <w:rPr/>
      </w:pPr>
      <w:r>
        <w:rPr>
          <w:lang w:val="en-GB"/>
        </w:rPr>
        <w:t>The Buddha even discouraged what might be considered harmless superstitions and folk beliefs. Once, while giving a sermon, he sneezed, and a loud chorus of ‘Live long!’ (</w:t>
      </w:r>
      <w:r>
        <w:rPr>
          <w:rStyle w:val="wwc-pali"/>
          <w:lang w:val="en-GB"/>
        </w:rPr>
        <w:t>jīvatu</w:t>
      </w:r>
      <w:r>
        <w:rPr>
          <w:lang w:val="en-GB"/>
        </w:rPr>
        <w:t>) rose from the audience, to which the usual response was ‘Same to you!’ (</w:t>
      </w:r>
      <w:r>
        <w:rPr>
          <w:rStyle w:val="wwc-pali"/>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WW-paragraph"/>
        <w:rPr>
          <w:lang w:val="en-GB"/>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actions—physical, verbal and psychological. He must have also been aware of the cheating and charlatanism associated with such practices.</w:t>
      </w:r>
    </w:p>
    <w:p>
      <w:pPr>
        <w:pStyle w:val="WW-paragraph"/>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rStyle w:val="wwc-pali"/>
          <w:lang w:val="en-GB"/>
        </w:rPr>
        <w:t>pāṭihāriya</w:t>
      </w:r>
      <w:r>
        <w:rPr>
          <w:lang w:val="en-GB"/>
        </w:rPr>
        <w:t>) are usually thought of as being caused by or connected in some way with supernatural beings—gods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rStyle w:val="wwc-pali"/>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WW-paragraph"/>
        <w:rPr/>
      </w:pPr>
      <w:r>
        <w:rPr>
          <w:lang w:val="en-GB"/>
        </w:rPr>
        <w:t>Someone once asked him to get one of his monks to “demonstrate a superhuman ability, a psychic feat or a miracle, so that even more people will have faith in you.” He replied that there were such powers which thoughtful or sceptical people would have legitimate doubts about. There was, however, one such power that everyone could have confidence in: what he called the psychic power or miracle of instruction (</w:t>
      </w:r>
      <w:r>
        <w:rPr>
          <w:rStyle w:val="wwc-pali"/>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WW-paragraph"/>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rPr>
        <w:footnoteReference w:id="604"/>
      </w:r>
      <w:r>
        <w:rPr/>
        <w:t xml:space="preserve"> The Buddha wanted people to respect him and his monks and nuns because of their virtue and wisdom, not because they were mesmerized by what they took to be unusual or miraculous powers.</w:t>
      </w:r>
    </w:p>
    <w:p>
      <w:pPr>
        <w:pStyle w:val="WW-paragraph"/>
        <w:rPr>
          <w:lang w:val="en-GB"/>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WW-blockquote"/>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rPr>
        <w:footnoteReference w:id="605"/>
      </w:r>
    </w:p>
    <w:p>
      <w:pPr>
        <w:pStyle w:val="WW-paragraph"/>
        <w:rPr>
          <w:lang w:val="en-GB"/>
        </w:rPr>
      </w:pPr>
      <w:r>
        <w:rPr/>
        <w:t>In the end, Pāṭikaputta failed to turn up at the appointed time, and nothing came of his challenge.</w:t>
      </w:r>
    </w:p>
    <w:p>
      <w:pPr>
        <w:pStyle w:val="WW-paragraph"/>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rPr>
        <w:footnoteReference w:id="606"/>
      </w:r>
    </w:p>
    <w:p>
      <w:pPr>
        <w:pStyle w:val="WW-paragraph"/>
        <w:rPr/>
      </w:pPr>
      <w:r>
        <w:rPr>
          <w:lang w:val="en-GB"/>
        </w:rPr>
        <w:t>The Buddha’s attitude to caste (</w:t>
      </w:r>
      <w:r>
        <w:rPr>
          <w:rStyle w:val="wwc-pali"/>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WW-blockquote"/>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rPr>
        <w:footnoteReference w:id="608"/>
      </w:r>
    </w:p>
    <w:p>
      <w:pPr>
        <w:pStyle w:val="WW-paragraph"/>
        <w:rPr>
          <w:lang w:val="en-GB"/>
        </w:rPr>
      </w:pPr>
      <w:r>
        <w:rPr/>
        <w:t>In short, brahmins are superior to all other castes, and menials are inferior to all other castes.</w:t>
      </w:r>
    </w:p>
    <w:p>
      <w:pPr>
        <w:pStyle w:val="WW-paragraph"/>
        <w:rPr/>
      </w:pPr>
      <w:r>
        <w:rPr>
          <w:lang w:val="en-GB"/>
        </w:rPr>
        <w:t>The only significant social division the Buddha accepted was that of householders (</w:t>
      </w:r>
      <w:r>
        <w:rPr>
          <w:rStyle w:val="wwc-pali"/>
          <w:lang w:val="en-GB"/>
        </w:rPr>
        <w:t>gahapati</w:t>
      </w:r>
      <w:r>
        <w:rPr>
          <w:lang w:val="en-GB"/>
        </w:rPr>
        <w:t>) and home leavers (</w:t>
      </w:r>
      <w:r>
        <w:rPr>
          <w:rStyle w:val="wwc-pali"/>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rStyle w:val="wwc-pali"/>
          <w:lang w:val="en-GB"/>
        </w:rPr>
        <w:t>jāti</w:t>
      </w:r>
      <w:r>
        <w:rPr>
          <w:lang w:val="en-GB"/>
        </w:rPr>
        <w:t xml:space="preserve">, </w:t>
      </w:r>
      <w:r>
        <w:rPr>
          <w:rStyle w:val="wwc-pali"/>
          <w:lang w:val="en-GB"/>
        </w:rPr>
        <w:t>gotta</w:t>
      </w:r>
      <w:r>
        <w:rPr>
          <w:lang w:val="en-GB"/>
        </w:rPr>
        <w:t xml:space="preserve">, </w:t>
      </w:r>
      <w:r>
        <w:rPr>
          <w:rStyle w:val="wwc-pali"/>
          <w:lang w:val="en-GB"/>
        </w:rPr>
        <w:t>māna</w:t>
      </w:r>
      <w:r>
        <w:rPr>
          <w:lang w:val="en-GB"/>
        </w:rPr>
        <w:t>), might be taken into account when selecting a marriage partner, but would be irrelevant when it came to things that really mattered, i.e. attaining the highest knowledge and conduct (</w:t>
      </w:r>
      <w:r>
        <w:rPr>
          <w:rStyle w:val="wwc-pali"/>
          <w:lang w:val="en-GB"/>
        </w:rPr>
        <w:t>anuttara</w:t>
      </w:r>
      <w:r>
        <w:rPr>
          <w:lang w:val="en-GB"/>
        </w:rPr>
        <w:t xml:space="preserve"> </w:t>
      </w:r>
      <w:r>
        <w:rPr>
          <w:rStyle w:val="wwc-pali"/>
          <w:lang w:val="en-GB"/>
        </w:rPr>
        <w:t>vijjā</w:t>
      </w:r>
      <w:r>
        <w:rPr>
          <w:lang w:val="en-GB"/>
        </w:rPr>
        <w:t xml:space="preserve"> </w:t>
      </w:r>
      <w:r>
        <w:rPr>
          <w:rStyle w:val="wwc-pali"/>
          <w:lang w:val="en-GB"/>
        </w:rPr>
        <w:t>caraṇa</w:t>
      </w:r>
      <w:r>
        <w:rPr>
          <w:lang w:val="en-GB"/>
        </w:rPr>
        <w:t>).</w:t>
      </w:r>
      <w:r>
        <w:rPr>
          <w:rStyle w:val="FootnoteReference"/>
          <w:lang w:val="en-GB"/>
        </w:rPr>
        <w:footnoteReference w:id="610"/>
      </w:r>
    </w:p>
    <w:p>
      <w:pPr>
        <w:pStyle w:val="WW-paragraph"/>
        <w:rPr/>
      </w:pPr>
      <w:r>
        <w:rPr/>
        <w:t>The Buddha criticized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rPr>
        <w:footnoteReference w:id="611"/>
      </w:r>
      <w:r>
        <w:rPr/>
        <w:t xml:space="preserve"> He pointed out that, in Yona, Kamboja and adjacent lands, there was no caste and thus that it is a regional custom rather than a universal and natural reality.</w:t>
      </w:r>
      <w:r>
        <w:rPr>
          <w:rStyle w:val="FootnoteReference"/>
        </w:rPr>
        <w:footnoteReference w:id="612"/>
      </w:r>
      <w:r>
        <w:rPr/>
        <w:t xml:space="preserve"> The claim that different castes have innate abilities and personalities is not borne out by experience and is thus invalid.</w:t>
      </w:r>
      <w:r>
        <w:rPr>
          <w:rStyle w:val="FootnoteReference"/>
        </w:rPr>
        <w:footnoteReference w:id="613"/>
      </w:r>
      <w:r>
        <w:rPr/>
        <w:t xml:space="preserve"> The Buddha acknowledged that the menial caste and outcastes may be dirty because they are compelled to do dirty jobs, but they could wash the dirt off and be as clean as anyone else.</w:t>
      </w:r>
      <w:r>
        <w:rPr>
          <w:rStyle w:val="FootnoteReference"/>
        </w:rPr>
        <w:footnoteReference w:id="614"/>
      </w:r>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rPr>
        <w:footnoteReference w:id="615"/>
      </w:r>
    </w:p>
    <w:p>
      <w:pPr>
        <w:pStyle w:val="WW-paragraph"/>
        <w:rPr>
          <w:lang w:val="en-GB"/>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WW-blockquote"/>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rPr>
        <w:footnoteReference w:id="616"/>
      </w:r>
    </w:p>
    <w:p>
      <w:pPr>
        <w:pStyle w:val="WW-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rPr>
        <w:footnoteReference w:id="617"/>
      </w:r>
      <w:r>
        <w:rPr/>
        <w:t xml:space="preserve"> But his arguments against caste were widely known and must have had some effect. One observer commented:</w:t>
      </w:r>
    </w:p>
    <w:p>
      <w:pPr>
        <w:pStyle w:val="WW-paragraph"/>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rPr>
        <w:footnoteReference w:id="618"/>
      </w:r>
    </w:p>
    <w:p>
      <w:pPr>
        <w:pStyle w:val="WW-paragraph"/>
        <w:rPr>
          <w:lang w:val="en-GB"/>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WW-paragraph"/>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rPr>
        <w:footnoteReference w:id="619"/>
      </w:r>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rPr>
        <w:footnoteReference w:id="620"/>
      </w:r>
      <w:r>
        <w:rPr/>
        <w:t xml:space="preserve"> He said a man should look after his employees and slaves, by not working them beyond their capacity and providing them with sufficient food and proper medical care when sick.</w:t>
      </w:r>
      <w:r>
        <w:rPr>
          <w:rStyle w:val="FootnoteReference"/>
        </w:rPr>
        <w:footnoteReference w:id="621"/>
      </w:r>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slaves—the coercion required to get them to work, retrieving them when they ran away, etc.—when he gave this teaching.</w:t>
      </w:r>
      <w:r>
        <w:rPr>
          <w:rStyle w:val="FootnoteReference"/>
        </w:rPr>
        <w:footnoteReference w:id="622"/>
      </w:r>
      <w:r>
        <w:rPr/>
        <w:t xml:space="preserve"> Nevertheless, the moral flaws of slavery must have been a factor too, as is clear from him calling trade in human beings a wrong means of livelihood, along with selling weapons, meat, poisons and alcohol.</w:t>
      </w:r>
      <w:r>
        <w:rPr>
          <w:rStyle w:val="FootnoteReference"/>
        </w:rPr>
        <w:footnoteReference w:id="623"/>
      </w:r>
      <w:r>
        <w:rPr/>
        <w:t xml:space="preserve"> The Buddha’s prohibition of monastics owning slaves and his discouragement of lay disciples being involved in the slave trade are the earliest known repudiations of this awful institution.</w:t>
      </w:r>
    </w:p>
    <w:p>
      <w:pPr>
        <w:pStyle w:val="WW-paragraph"/>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rPr>
        <w:footnoteReference w:id="624"/>
      </w:r>
      <w:r>
        <w:rPr/>
        <w:t xml:space="preserve"> But apart from such concerns, the Buddha was interested in the physical, psychological and social aspects of food—how it was obtained, consumed, and its effects on health.</w:t>
      </w:r>
    </w:p>
    <w:p>
      <w:pPr>
        <w:pStyle w:val="WW-paragraph"/>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rPr>
        <w:footnoteReference w:id="625"/>
      </w:r>
    </w:p>
    <w:p>
      <w:pPr>
        <w:pStyle w:val="WW-paragraph"/>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rPr>
        <w:footnoteReference w:id="626"/>
      </w:r>
      <w:r>
        <w:rPr/>
        <w:t xml:space="preserve"> His discourses are peppered with warnings against a preoccupation with food: “Without filling your stomach, be moderate in food, and have little desire for it.”</w:t>
      </w:r>
      <w:r>
        <w:rPr>
          <w:rStyle w:val="FootnoteReference"/>
        </w:rPr>
        <w:footnoteReference w:id="627"/>
      </w:r>
      <w:r>
        <w:rPr/>
        <w:t xml:space="preserve"> He asked his disciples to quietly recite these words before eating:</w:t>
      </w:r>
    </w:p>
    <w:p>
      <w:pPr>
        <w:pStyle w:val="WW-blockquote"/>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rPr>
        <w:footnoteReference w:id="628"/>
      </w:r>
    </w:p>
    <w:p>
      <w:pPr>
        <w:pStyle w:val="WW-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rStyle w:val="wwc-pal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WW-paragraph"/>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rStyle w:val="wwc-pali"/>
          <w:lang w:val="en-GB"/>
        </w:rPr>
        <w:t>tanu</w:t>
      </w:r>
      <w:r>
        <w:rPr>
          <w:lang w:val="en-GB"/>
        </w:rPr>
        <w:t xml:space="preserve"> </w:t>
      </w:r>
      <w:r>
        <w:rPr>
          <w:rStyle w:val="wwc-pali"/>
          <w:lang w:val="en-GB"/>
        </w:rPr>
        <w:t>tassa</w:t>
      </w:r>
      <w:r>
        <w:rPr>
          <w:lang w:val="en-GB"/>
        </w:rPr>
        <w:t xml:space="preserve"> </w:t>
      </w:r>
      <w:r>
        <w:rPr>
          <w:rStyle w:val="wwc-pali"/>
          <w:lang w:val="en-GB"/>
        </w:rPr>
        <w:t>bhavanti</w:t>
      </w:r>
      <w:r>
        <w:rPr>
          <w:lang w:val="en-GB"/>
        </w:rPr>
        <w:t xml:space="preserve"> </w:t>
      </w:r>
      <w:r>
        <w:rPr>
          <w:rStyle w:val="wwc-pali"/>
          <w:lang w:val="en-GB"/>
        </w:rPr>
        <w:t>vedanā</w:t>
      </w:r>
      <w:r>
        <w:rPr>
          <w:lang w:val="en-GB"/>
        </w:rPr>
        <w:t>); a slowing of the ageing process (</w:t>
      </w:r>
      <w:r>
        <w:rPr>
          <w:rStyle w:val="wwc-pali"/>
          <w:lang w:val="en-GB"/>
        </w:rPr>
        <w:t>saṇikaṃ</w:t>
      </w:r>
      <w:r>
        <w:rPr>
          <w:lang w:val="en-GB"/>
        </w:rPr>
        <w:t xml:space="preserve"> </w:t>
      </w:r>
      <w:r>
        <w:rPr>
          <w:rStyle w:val="wwc-pali"/>
          <w:lang w:val="en-GB"/>
        </w:rPr>
        <w:t>jīrati</w:t>
      </w:r>
      <w:r>
        <w:rPr>
          <w:lang w:val="en-GB"/>
        </w:rPr>
        <w:t>); and a general enhancement of life (</w:t>
      </w:r>
      <w:r>
        <w:rPr>
          <w:rStyle w:val="wwc-pali"/>
          <w:lang w:val="en-GB"/>
        </w:rPr>
        <w:t>āyu</w:t>
      </w:r>
      <w:r>
        <w:rPr>
          <w:lang w:val="en-GB"/>
        </w:rPr>
        <w:t xml:space="preserve"> </w:t>
      </w:r>
      <w:r>
        <w:rPr>
          <w:rStyle w:val="wwc-pali"/>
          <w:lang w:val="en-GB"/>
        </w:rPr>
        <w:t>pālayaṃ</w:t>
      </w:r>
      <w:r>
        <w:rPr>
          <w:lang w:val="en-GB"/>
        </w:rPr>
        <w:t>)—all benefits of a healthy weight and diet. The Buddha seems to have known that positive reinforcement can sometimes be more effective in motivating people.</w:t>
      </w:r>
    </w:p>
    <w:p>
      <w:pPr>
        <w:pStyle w:val="WW-paragraph"/>
        <w:rPr/>
      </w:pPr>
      <w:r>
        <w:rPr>
          <w:lang w:val="en-GB"/>
        </w:rPr>
        <w:t>As mentioned previously, the Buddha made suffering (</w:t>
      </w:r>
      <w:r>
        <w:rPr>
          <w:rStyle w:val="wwc-pali"/>
          <w:lang w:val="en-GB"/>
        </w:rPr>
        <w:t>dukkha</w:t>
      </w:r>
      <w:r>
        <w:rPr>
          <w:lang w:val="en-GB"/>
        </w:rPr>
        <w:t>) the central concern of his philosophy—identifying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sāmaṃ</w:t>
      </w:r>
      <w:r>
        <w:rPr>
          <w:lang w:val="en-GB"/>
        </w:rPr>
        <w:t xml:space="preserve"> </w:t>
      </w:r>
      <w:r>
        <w:rPr>
          <w:rStyle w:val="wwc-pali"/>
          <w:lang w:val="en-GB"/>
        </w:rPr>
        <w:t>ñātaṃ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atidhāvanti</w:t>
      </w:r>
      <w:r>
        <w:rPr>
          <w:lang w:val="en-GB"/>
        </w:rPr>
        <w:t xml:space="preserv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loke</w:t>
      </w:r>
      <w:r>
        <w:rPr>
          <w:lang w:val="en-GB"/>
        </w:rPr>
        <w:t xml:space="preserve"> </w:t>
      </w:r>
      <w:r>
        <w:rPr>
          <w:rStyle w:val="wwc-pali"/>
          <w:lang w:val="en-GB"/>
        </w:rPr>
        <w:t>saccasammataṃ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atidāvanti</w:t>
      </w:r>
      <w:r>
        <w:rPr>
          <w:lang w:val="en-GB"/>
        </w:rPr>
        <w:t>), that it is the result of “muddled mindedness” (</w:t>
      </w:r>
      <w:r>
        <w:rPr>
          <w:rStyle w:val="wwc-pali"/>
          <w:lang w:val="en-GB"/>
        </w:rPr>
        <w:t>muṭṭhassati</w:t>
      </w:r>
      <w:r>
        <w:rPr>
          <w:lang w:val="en-GB"/>
        </w:rPr>
        <w:t>), and to refute those who asserted such a notion would be fully justified (</w:t>
      </w:r>
      <w:r>
        <w:rPr>
          <w:rStyle w:val="wwc-pali"/>
          <w:lang w:val="en-GB"/>
        </w:rPr>
        <w:t>sahadhammika</w:t>
      </w:r>
      <w:r>
        <w:rPr>
          <w:lang w:val="en-GB"/>
        </w:rPr>
        <w:t xml:space="preserve"> </w:t>
      </w:r>
      <w:r>
        <w:rPr>
          <w:rStyle w:val="wwc-pali"/>
          <w:lang w:val="en-GB"/>
        </w:rPr>
        <w:t>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rStyle w:val="wwc-pali"/>
          <w:lang w:val="en-GB"/>
        </w:rPr>
        <w:t>sāradikena</w:t>
      </w:r>
      <w:r>
        <w:rPr>
          <w:lang w:val="en-GB"/>
        </w:rPr>
        <w:t xml:space="preserve"> </w:t>
      </w:r>
      <w:r>
        <w:rPr>
          <w:rStyle w:val="wwc-pali"/>
          <w:lang w:val="en-GB"/>
        </w:rPr>
        <w:t>abadhena</w:t>
      </w:r>
      <w:r>
        <w:rPr>
          <w:lang w:val="en-GB"/>
        </w:rPr>
        <w:t xml:space="preserve"> </w:t>
      </w:r>
      <w:r>
        <w:rPr>
          <w:rStyle w:val="wwc-pali"/>
          <w:lang w:val="en-GB"/>
        </w:rPr>
        <w:t>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WW-paragraph"/>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rStyle w:val="wwc-pali"/>
          <w:lang w:val="en-GB"/>
        </w:rPr>
        <w:t>sampadā</w:t>
      </w:r>
      <w:r>
        <w:rPr>
          <w:lang w:val="en-GB"/>
        </w:rPr>
        <w:t>), as something desirables (</w:t>
      </w:r>
      <w:r>
        <w:rPr>
          <w:rStyle w:val="wwc-pali"/>
          <w:lang w:val="en-GB"/>
        </w:rPr>
        <w:t>kanta</w:t>
      </w:r>
      <w:r>
        <w:rPr>
          <w:lang w:val="en-GB"/>
        </w:rPr>
        <w:t>), a great gain (</w:t>
      </w:r>
      <w:r>
        <w:rPr>
          <w:rStyle w:val="wwc-pali"/>
          <w:lang w:val="en-GB"/>
        </w:rPr>
        <w:t>paramā</w:t>
      </w:r>
      <w:r>
        <w:rPr>
          <w:lang w:val="en-GB"/>
        </w:rPr>
        <w:t xml:space="preserve"> </w:t>
      </w:r>
      <w:r>
        <w:rPr>
          <w:rStyle w:val="wwc-pali"/>
          <w:lang w:val="en-GB"/>
        </w:rPr>
        <w:t>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WW-Chapter"/>
        <w:rPr/>
      </w:pPr>
      <w:r>
        <w:rPr/>
        <w:t>12. A Time of Crisis</w:t>
      </w:r>
    </w:p>
    <w:p>
      <w:pPr>
        <w:pStyle w:val="WW-blockquote"/>
        <w:rPr>
          <w:lang w:val="en-GB"/>
        </w:rPr>
      </w:pPr>
      <w:r>
        <w:rPr/>
        <w:t>There is one thing which when it is present in the world is for the welfare and happiness, the good and the benefit of gods and humans. What is that one thing? It is unity in the Saṅgha.</w:t>
      </w:r>
    </w:p>
    <w:p>
      <w:pPr>
        <w:pStyle w:val="WW-tight-right-cite"/>
        <w:rPr/>
      </w:pPr>
      <w:r>
        <w:rPr>
          <w:lang w:val="en-GB"/>
        </w:rPr>
        <w:t>Itivuttaka 11-12</w:t>
        <w:br/>
      </w:r>
      <w:hyperlink r:id="rId4">
        <w:r>
          <w:rPr>
            <w:rStyle w:val="Hyperlink"/>
            <w:lang w:val="en-GB"/>
          </w:rPr>
          <w:t>Iti 19</w:t>
        </w:r>
      </w:hyperlink>
    </w:p>
    <w:p>
      <w:pPr>
        <w:pStyle w:val="WW-paragraph"/>
        <w:rPr/>
      </w:pPr>
      <w:r>
        <w:rPr>
          <w:lang w:val="en-GB"/>
        </w:rPr>
        <w:t>By the time the Buddha was seventy-five, he had been teaching the Dhamma and guiding the monastic Saṅgha for forty years. He certainly continued teaching until his last days—in fact, until his final hours—but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rStyle w:val="wwc-pali"/>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WW-paragraph"/>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rPr>
        <w:footnoteReference w:id="639"/>
      </w:r>
    </w:p>
    <w:p>
      <w:pPr>
        <w:pStyle w:val="WW-paragraph"/>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rPr>
        <w:footnoteReference w:id="640"/>
      </w:r>
      <w:r>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rPr>
        <w:footnoteReference w:id="641"/>
      </w:r>
      <w:r>
        <w:rPr/>
        <w:t xml:space="preserve"> This was probably not widespread, but it was clearly a noticeable and perhaps growing trend.</w:t>
      </w:r>
    </w:p>
    <w:p>
      <w:pPr>
        <w:pStyle w:val="WW-paragraph"/>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rStyle w:val="wwc-pali"/>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WW-paragraph"/>
        <w:rPr>
          <w:lang w:val="en-GB"/>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WW-blockquote"/>
        <w:rPr/>
      </w:pPr>
      <w:r>
        <w:rPr/>
        <w:t>“</w:t>
      </w:r>
      <w:r>
        <w:rPr/>
        <w:t>I have gone from one park and garden to another, and some of the samaṇas and brahmins I see look so morose, wretched and thin, their skin ugly and sallow and with protruding veins all over their bodies.</w:t>
      </w:r>
      <w:r>
        <w:rPr>
          <w:rStyle w:val="FootnoteReference"/>
        </w:rPr>
        <w:footnoteReference w:id="644"/>
      </w:r>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rPr>
        <w:footnoteReference w:id="645"/>
      </w:r>
    </w:p>
    <w:p>
      <w:pPr>
        <w:pStyle w:val="WW-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rPr>
        <w:footnoteReference w:id="646"/>
      </w:r>
    </w:p>
    <w:p>
      <w:pPr>
        <w:pStyle w:val="WW-paragraph"/>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rPr>
        <w:footnoteReference w:id="647"/>
      </w:r>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rPr>
        <w:footnoteReference w:id="648"/>
      </w:r>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bondage—almost an inducement for slaves to run away and join the Saṅgha.</w:t>
      </w:r>
      <w:r>
        <w:rPr>
          <w:rStyle w:val="FootnoteReference"/>
        </w:rPr>
        <w:footnoteReference w:id="649"/>
      </w:r>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WW-paragraph"/>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rPr>
        <w:footnoteReference w:id="650"/>
      </w:r>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rPr>
        <w:footnoteReference w:id="651"/>
      </w:r>
      <w:r>
        <w:rPr/>
        <w:t xml:space="preserve"> His frequent reminders to monastics to be sparing in what they asked for, to use what they received with care, and to be thoughtful towards the lay community, suggests that such admonishments were not always taken to heart.</w:t>
      </w:r>
    </w:p>
    <w:p>
      <w:pPr>
        <w:pStyle w:val="WW-paragraph"/>
        <w:rPr>
          <w:lang w:val="en-GB"/>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WW-paragraph"/>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rPr>
        <w:footnoteReference w:id="652"/>
      </w:r>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WW-blockquote"/>
        <w:rPr>
          <w:lang w:val="en-GB"/>
        </w:rPr>
      </w:pPr>
      <w:r>
        <w:rPr/>
        <w:t>“</w:t>
      </w:r>
      <w:r>
        <w:rPr/>
        <w:t>Is it true that you are arguing, quarrelling, disputing and stabbing each other with the weapon of words; that you can neither convince nor persuade the others or be convinced or persuaded by them?”</w:t>
      </w:r>
    </w:p>
    <w:p>
      <w:pPr>
        <w:pStyle w:val="WW-blockquote"/>
        <w:rPr>
          <w:lang w:val="en-GB"/>
        </w:rPr>
      </w:pPr>
      <w:r>
        <w:rPr/>
        <w:t>They admitted that it was true, and the Buddha said:</w:t>
      </w:r>
    </w:p>
    <w:p>
      <w:pPr>
        <w:pStyle w:val="WW-blockquote"/>
        <w:rPr>
          <w:lang w:val="en-GB"/>
        </w:rPr>
      </w:pPr>
      <w:r>
        <w:rPr/>
        <w:t>“</w:t>
      </w:r>
      <w:r>
        <w:rPr/>
        <w:t>What do you think? When you are doing this, are you relating to your companions in the spiritual life with love through body, speech and mind, in public and in private?”</w:t>
      </w:r>
    </w:p>
    <w:p>
      <w:pPr>
        <w:pStyle w:val="WW-blockquote"/>
        <w:rPr>
          <w:lang w:val="en-GB"/>
        </w:rPr>
      </w:pPr>
      <w:r>
        <w:rPr/>
        <w:t>“</w:t>
      </w:r>
      <w:r>
        <w:rPr/>
        <w:t>No, Lord.”</w:t>
      </w:r>
    </w:p>
    <w:p>
      <w:pPr>
        <w:pStyle w:val="WW-blockquote"/>
        <w:rPr>
          <w:lang w:val="en-GB"/>
        </w:rPr>
      </w:pPr>
      <w:r>
        <w:rPr/>
        <w:t>“</w:t>
      </w:r>
      <w:r>
        <w:rPr/>
        <w:t>You foolish men! Can you not understand or see that this will be to your detriment and suffering for a long time?”</w:t>
      </w:r>
    </w:p>
    <w:p>
      <w:pPr>
        <w:pStyle w:val="WW-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rPr>
        <w:footnoteReference w:id="653"/>
      </w:r>
    </w:p>
    <w:p>
      <w:pPr>
        <w:pStyle w:val="WW-paragraph"/>
        <w:rPr/>
      </w:pPr>
      <w:r>
        <w:rPr/>
        <w:t>This seemed to have soothed the tension between the various factions for a while, but sometime later—although exactly when is not clear—it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rPr>
        <w:footnoteReference w:id="654"/>
      </w:r>
      <w:r>
        <w:rPr/>
        <w:t xml:space="preserve"> It may have been in reference to this situation that he said: “Wherever monks are arguing and quarrelling, I do not even like to think about that place, let alone actually go there.”</w:t>
      </w:r>
      <w:r>
        <w:rPr>
          <w:rStyle w:val="FootnoteReference"/>
        </w:rPr>
        <w:footnoteReference w:id="655"/>
      </w:r>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rPr>
        <w:footnoteReference w:id="656"/>
      </w:r>
    </w:p>
    <w:p>
      <w:pPr>
        <w:pStyle w:val="WW-paragraph"/>
        <w:rPr/>
      </w:pPr>
      <w:r>
        <w:rPr/>
        <w:t>The Buddha was not the only one disgusted with the monks’ behaviour—so were Kosambī’s lay disciples, and they withdrew their support from them, no longer giving them food when they came alms gathering.</w:t>
      </w:r>
      <w:r>
        <w:rPr>
          <w:rStyle w:val="FootnoteReference"/>
        </w:rPr>
        <w:footnoteReference w:id="657"/>
      </w:r>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rPr>
        <w:footnoteReference w:id="658"/>
      </w:r>
      <w:r>
        <w:rPr/>
        <w:t xml:space="preserve"> Such advice was typical of the Buddha—not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WW-paragraph"/>
        <w:rPr>
          <w:lang w:val="en-GB"/>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WW-blockquote"/>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rPr>
        <w:footnoteReference w:id="659"/>
      </w:r>
    </w:p>
    <w:p>
      <w:pPr>
        <w:pStyle w:val="WW-paragraph"/>
        <w:rPr>
          <w:lang w:val="en-GB"/>
        </w:rPr>
      </w:pPr>
      <w:r>
        <w:rPr/>
        <w:t>It must have pleased the Buddha to know that there were still monks being true to the spirit of the lifestyle he had always taught: simplicity; mutual respect; learning; and periods of solitude and silence.</w:t>
      </w:r>
    </w:p>
    <w:p>
      <w:pPr>
        <w:pStyle w:val="WW-paragraph"/>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rPr>
        <w:footnoteReference w:id="660"/>
      </w:r>
      <w:r>
        <w:rPr/>
        <w:t xml:space="preserve"> The ruins of this establishment were unearthed by archaeologists in 1950, and its identity was verified by inscriptions found at the site.</w:t>
      </w:r>
      <w:r>
        <w:rPr>
          <w:rStyle w:val="FootnoteReference"/>
        </w:rPr>
        <w:footnoteReference w:id="661"/>
      </w:r>
      <w:r>
        <w:rPr/>
        <w:t xml:space="preserve"> The ancient commentary mentions two other monasteries in Kosambī as well—one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WW-paragraph"/>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Mahāvaṃsa,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WW-paragraph"/>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Pr>
        <w:footnoteReference w:id="664"/>
      </w:r>
      <w:r>
        <w:rPr/>
        <w:t xml:space="preserve"> Despite these problems, it is possible to discern elements of fact in the story and construct what might have actually happened.</w:t>
      </w:r>
    </w:p>
    <w:p>
      <w:pPr>
        <w:pStyle w:val="WW-paragraph"/>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Pr>
        <w:footnoteReference w:id="665"/>
      </w:r>
    </w:p>
    <w:p>
      <w:pPr>
        <w:pStyle w:val="WW-paragraph"/>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rPr>
        <w:footnoteReference w:id="666"/>
      </w:r>
    </w:p>
    <w:p>
      <w:pPr>
        <w:pStyle w:val="WW-paragraph"/>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Pr>
        <w:footnoteReference w:id="667"/>
      </w:r>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WW-paragraph"/>
        <w:rPr>
          <w:lang w:val="en-GB"/>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WW-paragraph"/>
        <w:rPr>
          <w:lang w:val="en-GB"/>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WW-paragraph"/>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rPr>
        <w:footnoteReference w:id="668"/>
      </w:r>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WW-paragraph"/>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Pr>
        <w:footnoteReference w:id="669"/>
      </w:r>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Pr>
        <w:footnoteReference w:id="670"/>
      </w:r>
    </w:p>
    <w:p>
      <w:pPr>
        <w:pStyle w:val="WW-paragraph"/>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WW-Chapter"/>
        <w:rPr/>
      </w:pPr>
      <w:r>
        <w:rPr/>
        <w:t>13. The Last Days</w:t>
      </w:r>
    </w:p>
    <w:p>
      <w:pPr>
        <w:pStyle w:val="WW-blockquote"/>
        <w:rPr>
          <w:lang w:val="en-GB"/>
        </w:rPr>
      </w:pPr>
      <w:r>
        <w:rPr/>
        <w:t>There was trembling and hair standing on end when the Buddha of great virtues attained final Nirvana.</w:t>
      </w:r>
    </w:p>
    <w:p>
      <w:pPr>
        <w:pStyle w:val="WW-tight-right-cite"/>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WW-paragraph"/>
        <w:rPr>
          <w:lang w:val="en-GB"/>
        </w:rPr>
      </w:pPr>
      <w:r>
        <w:rPr/>
        <w:t>Nearly half a century had passes since the young Gotama had been so moved by human suffering that he abandoned his home and family in the hope of finding a way beyond this predicament. But time was moving on and one by one the people he had known—his patrons, helpers and disciples—were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WW-blockquote"/>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rPr>
        <w:footnoteReference w:id="671"/>
      </w:r>
    </w:p>
    <w:p>
      <w:pPr>
        <w:pStyle w:val="WW-paragraph"/>
        <w:rPr>
          <w:lang w:val="en-GB"/>
        </w:rPr>
      </w:pPr>
      <w:r>
        <w:rPr/>
        <w:t>Later, when the Buddha stopped in Ukkācelā during his final journey, he expressed the sense of loss he felt by the absence of his long-term friends.</w:t>
      </w:r>
    </w:p>
    <w:p>
      <w:pPr>
        <w:pStyle w:val="WW-blockquote"/>
        <w:rPr/>
      </w:pPr>
      <w:r>
        <w:rPr/>
        <w:t>“</w:t>
      </w:r>
      <w:r>
        <w:rPr/>
        <w:t>Monks, this assembly seems empty to me now that Moggallāna and Sāriputta have attained final Nirvana. It did not seem empty before, and I had no concern about what was happening wherever they were staying.”</w:t>
      </w:r>
      <w:r>
        <w:rPr>
          <w:rStyle w:val="FootnoteReference"/>
        </w:rPr>
        <w:footnoteReference w:id="672"/>
      </w:r>
    </w:p>
    <w:p>
      <w:pPr>
        <w:pStyle w:val="WW-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text—both scenarios are possible.</w:t>
      </w:r>
      <w:r>
        <w:rPr>
          <w:rStyle w:val="FootnoteReference"/>
          <w:lang w:val="en-GB"/>
        </w:rPr>
        <w:footnoteReference w:id="673"/>
      </w:r>
    </w:p>
    <w:p>
      <w:pPr>
        <w:pStyle w:val="WW-paragraph"/>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rPr>
        <w:footnoteReference w:id="674"/>
      </w:r>
      <w:r>
        <w:rPr/>
        <w:t xml:space="preserve"> went inside and sat down against the central pillar, facing the east, while the lay people sat facing him.</w:t>
      </w:r>
      <w:r>
        <w:rPr>
          <w:rStyle w:val="FootnoteReference"/>
        </w:rPr>
        <w:footnoteReference w:id="675"/>
      </w:r>
      <w:r>
        <w:rPr/>
        <w:t xml:space="preserve"> He then gave a talk that went through much of the night.</w:t>
      </w:r>
      <w:r>
        <w:rPr>
          <w:rStyle w:val="FootnoteReference"/>
        </w:rPr>
        <w:footnoteReference w:id="676"/>
      </w:r>
    </w:p>
    <w:p>
      <w:pPr>
        <w:pStyle w:val="WW-paragraph"/>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rPr>
        <w:footnoteReference w:id="677"/>
      </w:r>
    </w:p>
    <w:p>
      <w:pPr>
        <w:pStyle w:val="WW-paragraph"/>
        <w:rPr/>
      </w:pPr>
      <w:r>
        <w:rPr/>
        <w:t>The next day, the party moved to a nearby mango orchard owned by the well-known courtesan Ambapālī.</w:t>
      </w:r>
      <w:r>
        <w:rPr>
          <w:rStyle w:val="FootnoteReference"/>
        </w:rPr>
        <w:footnoteReference w:id="678"/>
      </w:r>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rPr>
        <w:footnoteReference w:id="679"/>
      </w:r>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rPr>
        <w:footnoteReference w:id="680"/>
      </w:r>
    </w:p>
    <w:p>
      <w:pPr>
        <w:pStyle w:val="WW-paragraph"/>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rPr>
        <w:footnoteReference w:id="681"/>
      </w:r>
    </w:p>
    <w:p>
      <w:pPr>
        <w:pStyle w:val="WW-paragraph"/>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rStyle w:val="wwc-pali"/>
          <w:lang w:val="en-GB"/>
        </w:rPr>
        <w:t>nagarasobhinī</w:t>
      </w:r>
      <w:r>
        <w:rPr>
          <w:lang w:val="en-GB"/>
        </w:rPr>
        <w:t xml:space="preserve"> or </w:t>
      </w:r>
      <w:r>
        <w:rPr>
          <w:rStyle w:val="wwc-pali"/>
          <w:lang w:val="en-GB"/>
        </w:rPr>
        <w:t>gaṇikā</w:t>
      </w:r>
      <w:r>
        <w:rPr>
          <w:lang w:val="en-GB"/>
        </w:rPr>
        <w:t>) such as Ambapālī, Aḍḍhakāsī, Sālavatī and Sulasā, as opposed to common prostitutes (</w:t>
      </w:r>
      <w:r>
        <w:rPr>
          <w:rStyle w:val="wwc-pali"/>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WW-paragraph"/>
        <w:rPr>
          <w:lang w:val="en-GB"/>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WW-blockquote"/>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rPr>
        <w:footnoteReference w:id="683"/>
      </w:r>
    </w:p>
    <w:p>
      <w:pPr>
        <w:pStyle w:val="WW-paragraph"/>
        <w:rPr>
          <w:lang w:val="en-GB"/>
        </w:rPr>
      </w:pPr>
      <w:r>
        <w:rPr/>
        <w:t>Apparently surprised by this, the Buddha replied:</w:t>
      </w:r>
    </w:p>
    <w:p>
      <w:pPr>
        <w:pStyle w:val="WW-blockquote"/>
        <w:rPr>
          <w:lang w:val="en-GB"/>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WW-blockquote"/>
        <w:rPr>
          <w:lang w:val="en-GB"/>
        </w:rPr>
      </w:pPr>
      <w:r>
        <w:rPr/>
        <w:t>Then he reiterated his appeal for self-reliance in spiritual matters:</w:t>
      </w:r>
    </w:p>
    <w:p>
      <w:pPr>
        <w:pStyle w:val="WW-blockquote"/>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rPr>
        <w:footnoteReference w:id="684"/>
      </w:r>
    </w:p>
    <w:p>
      <w:pPr>
        <w:pStyle w:val="WW-paragraph"/>
        <w:rPr>
          <w:lang w:val="en-GB"/>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WW-paragraph"/>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rStyle w:val="wwc-pali"/>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WW-paragraph"/>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rStyle w:val="wwc-pali"/>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WW-paragraph"/>
        <w:rPr>
          <w:lang w:val="en-GB"/>
        </w:rPr>
      </w:pPr>
      <w:r>
        <w:rPr>
          <w:lang w:val="en-GB"/>
        </w:rPr>
        <w:t>That the Buddha’s main symptoms were exudative diarrhoea (</w:t>
      </w:r>
      <w:r>
        <w:rPr>
          <w:rStyle w:val="wwc-pali"/>
          <w:lang w:val="en-GB"/>
        </w:rPr>
        <w:t>lohita</w:t>
      </w:r>
      <w:r>
        <w:rPr>
          <w:lang w:val="en-GB"/>
        </w:rPr>
        <w:t xml:space="preserve"> </w:t>
      </w:r>
      <w:r>
        <w:rPr>
          <w:rStyle w:val="wwc-pali"/>
          <w:lang w:val="en-GB"/>
        </w:rPr>
        <w:t>pakkhandika</w:t>
      </w:r>
      <w:r>
        <w:rPr>
          <w:lang w:val="en-GB"/>
        </w:rPr>
        <w:t>) and sharp pain (</w:t>
      </w:r>
      <w:r>
        <w:rPr>
          <w:rStyle w:val="wwc-pali"/>
          <w:lang w:val="en-GB"/>
        </w:rPr>
        <w:t>pabāḷha</w:t>
      </w:r>
      <w:r>
        <w:rPr>
          <w:lang w:val="en-GB"/>
        </w:rPr>
        <w:t xml:space="preserve"> </w:t>
      </w:r>
      <w:r>
        <w:rPr>
          <w:rStyle w:val="wwc-pali"/>
          <w:lang w:val="en-GB"/>
        </w:rPr>
        <w:t>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rStyle w:val="wwc-pali"/>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WW-paragraph"/>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rPr>
        <w:footnoteReference w:id="689"/>
      </w:r>
    </w:p>
    <w:p>
      <w:pPr>
        <w:pStyle w:val="WW-paragraph"/>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rStyle w:val="wwc-pali"/>
          <w:lang w:val="en-GB"/>
        </w:rPr>
        <w:t>raṁsi</w:t>
      </w:r>
      <w:r>
        <w:rPr>
          <w:lang w:val="en-GB"/>
        </w:rPr>
        <w:t>) of blue, yellow, red, white and orange light emanated from his body.</w:t>
      </w:r>
    </w:p>
    <w:p>
      <w:pPr>
        <w:pStyle w:val="WW-paragraph"/>
        <w:rPr/>
      </w:pPr>
      <w:r>
        <w:rPr/>
        <w:t>After resting for a while, the party moved on to the Kakuṭṭhā River, where they all drank and bathed.</w:t>
      </w:r>
      <w:r>
        <w:rPr>
          <w:rStyle w:val="FootnoteReference"/>
        </w:rPr>
        <w:footnoteReference w:id="691"/>
      </w:r>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rPr>
        <w:footnoteReference w:id="692"/>
      </w:r>
    </w:p>
    <w:p>
      <w:pPr>
        <w:pStyle w:val="WW-paragraph"/>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Pr>
        <w:footnoteReference w:id="693"/>
      </w:r>
    </w:p>
    <w:p>
      <w:pPr>
        <w:pStyle w:val="WW-paragraph"/>
        <w:rPr/>
      </w:pPr>
      <w:r>
        <w:rPr/>
        <w:t>Setting off again, the party eventually crossed the Hiraññavatī River</w:t>
      </w:r>
      <w:r>
        <w:rPr>
          <w:rStyle w:val="FootnoteReference"/>
        </w:rPr>
        <w:footnoteReference w:id="694"/>
      </w:r>
      <w:r>
        <w:rPr/>
        <w:t xml:space="preserve"> and arrived at a grove of trees on the outskirts of the Mallas’ main town, Kusinārā, just as the light was fading. The Buddha asked Ānanda to prepare a bed for him between two large sal trees.</w:t>
      </w:r>
      <w:r>
        <w:rPr>
          <w:rStyle w:val="FootnoteReference"/>
        </w:rPr>
        <w:footnoteReference w:id="695"/>
      </w:r>
      <w:r>
        <w:rPr/>
        <w:t xml:space="preserve"> As he lay down, the two trees spontaneously burst into blossom, and flower petals showered down over his body. Ānanda expressed his astonishment at this, and the Buddha took the opportunity to make an important point:</w:t>
      </w:r>
    </w:p>
    <w:p>
      <w:pPr>
        <w:pStyle w:val="WW-blockquote"/>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rPr>
        <w:footnoteReference w:id="696"/>
      </w:r>
    </w:p>
    <w:p>
      <w:pPr>
        <w:pStyle w:val="WW-paragraph"/>
        <w:rPr>
          <w:lang w:val="en-GB"/>
        </w:rPr>
      </w:pPr>
      <w:r>
        <w:rPr/>
        <w:t>This is yet another example of the Buddha giving miracles a secondary place, after living in accordance with the Dhamma, and of stating that the Dhamma is for everyone—monastic and lay, men and women.</w:t>
      </w:r>
    </w:p>
    <w:p>
      <w:pPr>
        <w:pStyle w:val="WW-paragraph"/>
        <w:rPr>
          <w:lang w:val="en-GB"/>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WW-paragraph"/>
        <w:rPr>
          <w:lang w:val="en-GB"/>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WW-paragraph"/>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rPr>
        <w:footnoteReference w:id="697"/>
      </w:r>
    </w:p>
    <w:p>
      <w:pPr>
        <w:pStyle w:val="WW-paragraph"/>
        <w:rPr>
          <w:lang w:val="en-GB"/>
        </w:rPr>
      </w:pPr>
      <w:r>
        <w:rPr/>
        <w:t>Some years before this, the Buddha had said that he would always be available to answer questions from inquirers who wanted to know about the Dhamma and that he would be capable of doing so:</w:t>
      </w:r>
    </w:p>
    <w:p>
      <w:pPr>
        <w:pStyle w:val="WW-blockquote"/>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rPr>
        <w:footnoteReference w:id="698"/>
      </w:r>
    </w:p>
    <w:p>
      <w:pPr>
        <w:pStyle w:val="WW-paragraph"/>
        <w:rPr>
          <w:lang w:val="en-GB"/>
        </w:rPr>
      </w:pPr>
      <w:r>
        <w:rPr/>
        <w:t>His exchanges with Subhadda, even as he was breathing his last, show that he was true to his word.</w:t>
      </w:r>
    </w:p>
    <w:p>
      <w:pPr>
        <w:pStyle w:val="WW-paragraph"/>
        <w:rPr>
          <w:lang w:val="en-GB"/>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WW-paragraph"/>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rStyle w:val="wwc-pali"/>
          <w:lang w:val="en-GB"/>
        </w:rPr>
        <w:t>Handa</w:t>
      </w:r>
      <w:r>
        <w:rPr>
          <w:lang w:val="en-GB"/>
        </w:rPr>
        <w:t xml:space="preserve"> </w:t>
      </w:r>
      <w:r>
        <w:rPr>
          <w:rStyle w:val="wwc-pali"/>
          <w:lang w:val="en-GB"/>
        </w:rPr>
        <w:t>dāni</w:t>
      </w:r>
      <w:r>
        <w:rPr>
          <w:lang w:val="en-GB"/>
        </w:rPr>
        <w:t xml:space="preserve"> </w:t>
      </w:r>
      <w:r>
        <w:rPr>
          <w:rStyle w:val="wwc-pali"/>
          <w:lang w:val="en-GB"/>
        </w:rPr>
        <w:t>bhikkhave</w:t>
      </w:r>
      <w:r>
        <w:rPr>
          <w:lang w:val="en-GB"/>
        </w:rPr>
        <w:t xml:space="preserve"> </w:t>
      </w:r>
      <w:r>
        <w:rPr>
          <w:rStyle w:val="wwc-pali"/>
          <w:lang w:val="en-GB"/>
        </w:rPr>
        <w:t>āmantayāmi</w:t>
      </w:r>
      <w:r>
        <w:rPr>
          <w:lang w:val="en-GB"/>
        </w:rPr>
        <w:t xml:space="preserve"> </w:t>
      </w:r>
      <w:r>
        <w:rPr>
          <w:rStyle w:val="wwc-pali"/>
          <w:lang w:val="en-GB"/>
        </w:rPr>
        <w:t>vo</w:t>
      </w:r>
      <w:r>
        <w:rPr>
          <w:lang w:val="en-GB"/>
        </w:rPr>
        <w:t xml:space="preserve">, </w:t>
      </w:r>
      <w:r>
        <w:rPr>
          <w:rStyle w:val="wwc-pali"/>
          <w:lang w:val="en-GB"/>
        </w:rPr>
        <w:t>vayadhammā</w:t>
      </w:r>
      <w:r>
        <w:rPr>
          <w:lang w:val="en-GB"/>
        </w:rPr>
        <w:t xml:space="preserve"> </w:t>
      </w:r>
      <w:r>
        <w:rPr>
          <w:rStyle w:val="wwc-pali"/>
          <w:lang w:val="en-GB"/>
        </w:rPr>
        <w:t>saṅkhārā</w:t>
      </w:r>
      <w:r>
        <w:rPr>
          <w:lang w:val="en-GB"/>
        </w:rPr>
        <w:t xml:space="preserve">. </w:t>
      </w:r>
      <w:r>
        <w:rPr>
          <w:rStyle w:val="wwc-pali"/>
          <w:lang w:val="en-GB"/>
        </w:rPr>
        <w:t>Appamādena</w:t>
      </w:r>
      <w:r>
        <w:rPr>
          <w:lang w:val="en-GB"/>
        </w:rPr>
        <w:t xml:space="preserve"> </w:t>
      </w:r>
      <w:r>
        <w:rPr>
          <w:rStyle w:val="wwc-pali"/>
          <w:lang w:val="en-GB"/>
        </w:rPr>
        <w:t>sampādetha</w:t>
      </w:r>
      <w:r>
        <w:rPr>
          <w:lang w:val="en-GB"/>
        </w:rPr>
        <w:t>).</w:t>
      </w:r>
      <w:r>
        <w:rPr>
          <w:rStyle w:val="FootnoteReference"/>
          <w:lang w:val="en-GB"/>
        </w:rPr>
        <w:footnoteReference w:id="699"/>
      </w:r>
    </w:p>
    <w:p>
      <w:pPr>
        <w:pStyle w:val="WW-paragraph"/>
        <w:rPr>
          <w:lang w:val="en-GB"/>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WW-paragraph"/>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WW-Chapter"/>
        <w:rPr/>
      </w:pPr>
      <w:r>
        <w:rPr/>
        <w:t>14. Aftermath</w:t>
      </w:r>
    </w:p>
    <w:p>
      <w:pPr>
        <w:pStyle w:val="WW-blockquote"/>
        <w:rPr>
          <w:lang w:val="en-GB"/>
        </w:rPr>
      </w:pPr>
      <w:r>
        <w:rPr/>
        <w:t>I will go from town to town, from city to city, praising the Buddha and the Dhamma so excellently taught by him.</w:t>
      </w:r>
    </w:p>
    <w:p>
      <w:pPr>
        <w:pStyle w:val="WW-tight-right-cite"/>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WW-paragraph"/>
        <w:rPr>
          <w:lang w:val="en-GB"/>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WW-paragraph"/>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rPr>
        <w:footnoteReference w:id="700"/>
      </w:r>
    </w:p>
    <w:p>
      <w:pPr>
        <w:pStyle w:val="WW-paragraph"/>
        <w:rPr>
          <w:lang w:val="en-GB"/>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passing—he had been on his way to Kapilavatthu. Whatever the case, having been given the sad news, Kassapa and the monks with him hurried on to Kusinārā.</w:t>
      </w:r>
    </w:p>
    <w:p>
      <w:pPr>
        <w:pStyle w:val="WW-paragraph"/>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rPr>
        <w:footnoteReference w:id="701"/>
      </w:r>
      <w:r>
        <w:rPr/>
        <w:t xml:space="preserve"> Given that the Buddha had spent much of his last two decades in Kosala, it is curious that no representative from there was amongst the claiments.</w:t>
      </w:r>
    </w:p>
    <w:p>
      <w:pPr>
        <w:pStyle w:val="WW-paragraph"/>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rStyle w:val="wwc-pal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WW-paragraph"/>
        <w:rPr>
          <w:lang w:val="en-GB"/>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city—even one as large as Rājagaha—could make it difficult to get alms and accommodations, all other monks were to be asked not to come or, if they were already there, to vacate the city.</w:t>
      </w:r>
    </w:p>
    <w:p>
      <w:pPr>
        <w:pStyle w:val="WW-paragraph"/>
        <w:rPr/>
      </w:pPr>
      <w:r>
        <w:rPr/>
        <w:t>By the beginning of the rainy season, several hundred monks turned up—the Tipitaka gives the conventional five hundred as the number—and over the following months met regularly at the Sattapaṇṇa Cave, which is situated on the steep northern side of Vebhāra Hill, now called Vaibhara.</w:t>
      </w:r>
      <w:r>
        <w:rPr>
          <w:rStyle w:val="FootnoteReference"/>
        </w:rPr>
        <w:footnoteReference w:id="705"/>
      </w:r>
    </w:p>
    <w:p>
      <w:pPr>
        <w:pStyle w:val="WW-paragraph"/>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rPr>
        <w:footnoteReference w:id="706"/>
      </w:r>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Tipitaka—not just teachings relevant to monks, which Kassapa would have favoured, but other teachings important to the laity, which Ānanda would have seen the importance of.</w:t>
      </w:r>
      <w:r>
        <w:rPr>
          <w:rStyle w:val="FootnoteReference"/>
        </w:rPr>
        <w:footnoteReference w:id="707"/>
      </w:r>
    </w:p>
    <w:p>
      <w:pPr>
        <w:pStyle w:val="WW-paragraph"/>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rPr>
        <w:footnoteReference w:id="708"/>
      </w:r>
      <w:r>
        <w:rPr/>
        <w:t xml:space="preserve"> It is also not known how the suttas selected and committed to memory were arranged, but it was probably according to their length.</w:t>
      </w:r>
    </w:p>
    <w:p>
      <w:pPr>
        <w:pStyle w:val="WW-paragraph"/>
        <w:rPr/>
      </w:pPr>
      <w:r>
        <w:rPr/>
        <w:t>Once, a group of monks had approached the Buddha and told him they had decided to travel to the western region and reside there for a while.</w:t>
      </w:r>
      <w:r>
        <w:rPr>
          <w:rStyle w:val="FootnoteReference"/>
        </w:rPr>
        <w:footnoteReference w:id="709"/>
      </w:r>
      <w:r>
        <w:rPr/>
        <w:t xml:space="preserve"> He advised them to consult with Sāriputta before leaving, which they did. After learning of their intentions, Sāriputta said to them:</w:t>
      </w:r>
    </w:p>
    <w:p>
      <w:pPr>
        <w:pStyle w:val="WW-blockquote"/>
        <w:rPr>
          <w:lang w:val="en-GB"/>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WW-paragraph"/>
        <w:rPr/>
      </w:pPr>
      <w:r>
        <w:rPr/>
        <w:t>Sāriputta then suggested to them some salient aspects of the Dhamma that they could use to introduce the teachings to people they would meet.</w:t>
      </w:r>
      <w:r>
        <w:rPr>
          <w:rStyle w:val="FootnoteReference"/>
        </w:rPr>
        <w:footnoteReference w:id="710"/>
      </w:r>
    </w:p>
    <w:p>
      <w:pPr>
        <w:pStyle w:val="WW-paragraph"/>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rPr>
        <w:footnoteReference w:id="711"/>
      </w:r>
      <w:r>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rPr>
        <w:footnoteReference w:id="712"/>
      </w:r>
    </w:p>
    <w:p>
      <w:pPr>
        <w:pStyle w:val="WW-paragraph"/>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rStyle w:val="wwc-pali"/>
          <w:lang w:val="en-GB"/>
        </w:rPr>
        <w:t>akāliko</w:t>
      </w:r>
      <w:r>
        <w:rPr>
          <w:lang w:val="en-GB"/>
        </w:rPr>
        <w:t>).</w:t>
      </w:r>
    </w:p>
    <w:p>
      <w:pPr>
        <w:pStyle w:val="WW-Chapter"/>
        <w:rPr/>
      </w:pPr>
      <w:r>
        <w:rPr/>
        <w:t>Appendix I. Towns and Cities Visited by the Buddha</w:t>
      </w:r>
    </w:p>
    <w:p>
      <w:pPr>
        <w:pStyle w:val="WW-gloss-term"/>
        <w:rPr>
          <w:lang w:val="en-GB"/>
        </w:rPr>
      </w:pPr>
      <w:r>
        <w:rPr/>
        <w:t>Ālavī</w:t>
      </w:r>
    </w:p>
    <w:p>
      <w:pPr>
        <w:pStyle w:val="WW-gloss-text"/>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rPr>
        <w:footnoteReference w:id="713"/>
      </w:r>
      <w:r>
        <w:rPr/>
        <w:t xml:space="preserve"> The monk Vaṅgīsa, highly regarded for composing beautiful verses, sometimes stayed at this shrine too.</w:t>
      </w:r>
      <w:r>
        <w:rPr>
          <w:rStyle w:val="FootnoteReference"/>
        </w:rPr>
        <w:footnoteReference w:id="714"/>
      </w:r>
      <w:r>
        <w:rPr/>
        <w:t xml:space="preserve"> One of the Buddha’s most devout and enthusiastic lay disciples, Hatthaka, was from Ālavī and was responsible for attracting large numbers of people to the Dhamma, something the Buddha praised him for.</w:t>
      </w:r>
      <w:r>
        <w:rPr>
          <w:rStyle w:val="FootnoteReference"/>
        </w:rPr>
        <w:footnoteReference w:id="715"/>
      </w:r>
      <w:r>
        <w:rPr/>
        <w:t xml:space="preserve"> Ālavī is mentioned in the Jain scriptures, where it is known as Ālabhiyā, and was visited by Mahāvīra several times.</w:t>
      </w:r>
      <w:r>
        <w:rPr>
          <w:rStyle w:val="FootnoteReference"/>
        </w:rPr>
        <w:footnoteReference w:id="716"/>
      </w:r>
    </w:p>
    <w:p>
      <w:pPr>
        <w:pStyle w:val="WW-gloss-text"/>
        <w:rPr>
          <w:lang w:val="en-GB"/>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WW-gloss-term"/>
        <w:rPr>
          <w:lang w:val="en-GB"/>
        </w:rPr>
      </w:pPr>
      <w:r>
        <w:rPr/>
        <w:t>Bārāṇasī</w:t>
      </w:r>
    </w:p>
    <w:p>
      <w:pPr>
        <w:pStyle w:val="WW-gloss-text"/>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rPr>
        <w:footnoteReference w:id="717"/>
      </w:r>
      <w:r>
        <w:rPr/>
        <w:t xml:space="preserve"> Kāsi had been conquered by Kosala, perhaps during Gotama’s youth or earlier, and faded into a provincial city, although it remained an important centre for trade, particularly for luxury goods.</w:t>
      </w:r>
      <w:r>
        <w:rPr>
          <w:rStyle w:val="FootnoteReference"/>
        </w:rPr>
        <w:footnoteReference w:id="718"/>
      </w:r>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rPr>
        <w:footnoteReference w:id="719"/>
      </w:r>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rPr>
        <w:footnoteReference w:id="720"/>
      </w:r>
    </w:p>
    <w:p>
      <w:pPr>
        <w:pStyle w:val="WW-gloss-text"/>
        <w:rPr>
          <w:lang w:val="en-GB"/>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WW-gloss-text"/>
        <w:rPr>
          <w:lang w:val="en-GB"/>
        </w:rPr>
      </w:pPr>
      <w:r>
        <w:rPr/>
        <w:t>Parts of the ancient Bārāṇasī have been excavated at Rajghat.</w:t>
      </w:r>
    </w:p>
    <w:p>
      <w:pPr>
        <w:pStyle w:val="WW-gloss-term"/>
        <w:rPr>
          <w:lang w:val="en-GB"/>
        </w:rPr>
      </w:pPr>
      <w:r>
        <w:rPr/>
        <w:t>Bhaddiya</w:t>
      </w:r>
    </w:p>
    <w:p>
      <w:pPr>
        <w:pStyle w:val="WW-gloss-text"/>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rPr>
        <w:footnoteReference w:id="721"/>
      </w:r>
      <w:r>
        <w:rPr/>
        <w:t xml:space="preserve"> On leaving Bhaddiya, the Buddha set out for a tour of Aṅguttarāpa, a district of Aṅga north of the Ganges.</w:t>
      </w:r>
      <w:r>
        <w:rPr>
          <w:rStyle w:val="FootnoteReference"/>
        </w:rPr>
        <w:footnoteReference w:id="722"/>
      </w:r>
      <w:r>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rPr>
        <w:footnoteReference w:id="723"/>
      </w:r>
      <w:r>
        <w:rPr/>
        <w:t xml:space="preserve"> Bhadria, the modern Bhaddiya, is a small hamlet in the Godda District of Jharkhand.</w:t>
      </w:r>
    </w:p>
    <w:p>
      <w:pPr>
        <w:pStyle w:val="WW-gloss-term"/>
        <w:rPr>
          <w:lang w:val="en-GB"/>
        </w:rPr>
      </w:pPr>
      <w:r>
        <w:rPr/>
        <w:t>Campā</w:t>
      </w:r>
    </w:p>
    <w:p>
      <w:pPr>
        <w:pStyle w:val="WW-gloss-text"/>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rPr>
        <w:footnoteReference w:id="724"/>
      </w:r>
    </w:p>
    <w:p>
      <w:pPr>
        <w:pStyle w:val="WW-gloss-text"/>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rStyle w:val="wwc-latin"/>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WW-gloss-term"/>
        <w:rPr>
          <w:lang w:val="en-GB"/>
        </w:rPr>
      </w:pPr>
      <w:r>
        <w:rPr/>
        <w:t>Gayā</w:t>
      </w:r>
    </w:p>
    <w:p>
      <w:pPr>
        <w:pStyle w:val="WW-gloss-text"/>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rStyle w:val="wwc-pali"/>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WW-gloss-text"/>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rPr>
        <w:footnoteReference w:id="728"/>
      </w:r>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rPr>
        <w:footnoteReference w:id="729"/>
      </w:r>
      <w:r>
        <w:rPr/>
        <w:t xml:space="preserve"> When the Chinese pilgrim Xuanzang visited Gayā in the seventh century, he noticed a stupa on the hill, probably marking the place where the sutta was taught.</w:t>
      </w:r>
    </w:p>
    <w:p>
      <w:pPr>
        <w:pStyle w:val="WW-gloss-text"/>
        <w:rPr>
          <w:lang w:val="en-GB"/>
        </w:rPr>
      </w:pPr>
      <w:r>
        <w:rPr/>
        <w:t>When someone told the nun Puṇṇikā that ritual ablutions would cleanse them of evil, her reply added an element of logic and humour to the Buddha’s comments on the subject.</w:t>
      </w:r>
    </w:p>
    <w:p>
      <w:pPr>
        <w:pStyle w:val="WW-blockquote"/>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rPr>
        <w:footnoteReference w:id="730"/>
      </w:r>
    </w:p>
    <w:p>
      <w:pPr>
        <w:pStyle w:val="WW-gloss-text"/>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rPr>
        <w:footnoteReference w:id="731"/>
      </w:r>
      <w:r>
        <w:rPr/>
        <w:t xml:space="preserve"> This story may have originated in an incident where the Buddha spent a few days, perhaps a night, at a yakkha shrine which locals were too terrified to approach, causing amazement among them.</w:t>
      </w:r>
    </w:p>
    <w:p>
      <w:pPr>
        <w:pStyle w:val="WW-gloss-text"/>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WW-gloss-text"/>
        <w:rPr>
          <w:lang w:val="en-GB"/>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WW-gloss-term"/>
        <w:rPr>
          <w:lang w:val="en-GB"/>
        </w:rPr>
      </w:pPr>
      <w:r>
        <w:rPr/>
        <w:t>Kajaṇgalā</w:t>
      </w:r>
    </w:p>
    <w:p>
      <w:pPr>
        <w:pStyle w:val="WW-gloss-text"/>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rStyle w:val="wwc-pali"/>
          <w:lang w:val="en-GB"/>
        </w:rPr>
        <w:t>nigama</w:t>
      </w:r>
      <w:r>
        <w:rPr>
          <w:lang w:val="en-GB"/>
        </w:rPr>
        <w:t>, a word of uncertain meaning sometimes translated as ‘market town’, ‘township’ or ‘large town,’ and as being in the eastern district (</w:t>
      </w:r>
      <w:r>
        <w:rPr>
          <w:rStyle w:val="wwc-pali"/>
          <w:lang w:val="en-GB"/>
        </w:rPr>
        <w:t>paccantima</w:t>
      </w:r>
      <w:r>
        <w:rPr>
          <w:lang w:val="en-GB"/>
        </w:rPr>
        <w:t xml:space="preserve"> </w:t>
      </w:r>
      <w:r>
        <w:rPr>
          <w:rStyle w:val="wwc-pali"/>
          <w:lang w:val="en-GB"/>
        </w:rPr>
        <w:t>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WW-gloss-text"/>
        <w:rPr/>
      </w:pPr>
      <w:r>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rPr>
        <w:footnoteReference w:id="734"/>
      </w:r>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rPr>
        <w:footnoteReference w:id="735"/>
      </w:r>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rPr>
        <w:footnoteReference w:id="736"/>
      </w:r>
      <w:r>
        <w:rPr/>
        <w:t xml:space="preserve"> High praise indeed!</w:t>
      </w:r>
    </w:p>
    <w:p>
      <w:pPr>
        <w:pStyle w:val="WW-gloss-text"/>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rPr>
        <w:footnoteReference w:id="737"/>
      </w:r>
    </w:p>
    <w:p>
      <w:pPr>
        <w:pStyle w:val="WW-gloss-text"/>
        <w:rPr/>
      </w:pPr>
      <w:r>
        <w:rPr>
          <w:lang w:val="en-GB"/>
        </w:rPr>
        <w:t>Kajaṇgalā’s main claim to fame in the centuries after the Buddha was it being the hometown of the monk Nāgasena, the main protagonist of the Milindapañha.</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WW-gloss-term"/>
        <w:rPr>
          <w:lang w:val="en-GB"/>
        </w:rPr>
      </w:pPr>
      <w:r>
        <w:rPr/>
        <w:t>Kaṇṇakujja</w:t>
      </w:r>
    </w:p>
    <w:p>
      <w:pPr>
        <w:pStyle w:val="WW-gloss-text"/>
        <w:rPr/>
      </w:pPr>
      <w:r>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rPr>
        <w:footnoteReference w:id="739"/>
      </w:r>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WW-gloss-term"/>
        <w:rPr>
          <w:lang w:val="en-GB"/>
        </w:rPr>
      </w:pPr>
      <w:r>
        <w:rPr/>
        <w:t>Kesaputta</w:t>
      </w:r>
    </w:p>
    <w:p>
      <w:pPr>
        <w:pStyle w:val="WW-gloss-text"/>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rPr>
        <w:footnoteReference w:id="740"/>
      </w:r>
      <w:r>
        <w:rPr/>
        <w:t xml:space="preserve"> Kesaputta is now identified with the small town of Kesariya, some twenty-five kilometres north-north-west of Vesālī. A short distance south of the town is a huge ruined stupa.</w:t>
      </w:r>
      <w:r>
        <w:rPr>
          <w:rStyle w:val="FootnoteReference"/>
        </w:rPr>
        <w:footnoteReference w:id="741"/>
      </w:r>
    </w:p>
    <w:p>
      <w:pPr>
        <w:pStyle w:val="WW-gloss-term"/>
        <w:rPr>
          <w:lang w:val="en-GB"/>
        </w:rPr>
      </w:pPr>
      <w:r>
        <w:rPr/>
        <w:t>Kosambī</w:t>
      </w:r>
    </w:p>
    <w:p>
      <w:pPr>
        <w:pStyle w:val="WW-gloss-text"/>
        <w:rPr>
          <w:lang w:val="en-GB"/>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WW-gloss-text"/>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rPr>
        <w:footnoteReference w:id="742"/>
      </w:r>
      <w:r>
        <w:rPr/>
        <w:t xml:space="preserve"> Another monastery, on the outskirts of the city, was the Badarikārāma, about which there is almost no information.</w:t>
      </w:r>
      <w:r>
        <w:rPr>
          <w:rStyle w:val="FootnoteReference"/>
        </w:rPr>
        <w:footnoteReference w:id="743"/>
      </w:r>
      <w:r>
        <w:rPr/>
        <w:t xml:space="preserve"> Tradition mentions two other monasteries in the city, Kukkuṭārāma and Pāvārikarama, but neither they nor the circumstances surrounding their founding are mentioned in the Tipitaka.</w:t>
      </w:r>
      <w:r>
        <w:rPr>
          <w:rStyle w:val="FootnoteReference"/>
        </w:rPr>
        <w:footnoteReference w:id="744"/>
      </w:r>
      <w:r>
        <w:rPr/>
        <w:t xml:space="preserve"> It is possible that this silence and the fact that the Buddha preached few discourses in Kosambī had something to do with the major rift within the Saṅgha which took place in the city.</w:t>
      </w:r>
    </w:p>
    <w:p>
      <w:pPr>
        <w:pStyle w:val="WW-gloss-text"/>
        <w:rPr/>
      </w:pPr>
      <w:r>
        <w:rPr/>
        <w:t>Several locations in the vicinity of the city were favourite haunts for the Buddha—for example, the Siṃsapā Wood, where he delivered one of his most memorable discourses and the Pārileyyaka Forest where it is said he was ministered to by an elephant.</w:t>
      </w:r>
      <w:r>
        <w:rPr>
          <w:rStyle w:val="FootnoteReference"/>
        </w:rPr>
        <w:footnoteReference w:id="745"/>
      </w:r>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rPr>
        <w:footnoteReference w:id="746"/>
      </w:r>
    </w:p>
    <w:p>
      <w:pPr>
        <w:pStyle w:val="WW-gloss-text"/>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rPr>
        <w:footnoteReference w:id="747"/>
      </w:r>
      <w:r>
        <w:rPr/>
        <w:t xml:space="preserve"> It would seem that after the Buddha’s demise Ānanda made Kosambī his base and from there continued to promote the doctrines of his beloved teacher.</w:t>
      </w:r>
      <w:r>
        <w:rPr>
          <w:rStyle w:val="FootnoteReference"/>
        </w:rPr>
        <w:footnoteReference w:id="748"/>
      </w:r>
    </w:p>
    <w:p>
      <w:pPr>
        <w:pStyle w:val="WW-gloss-term"/>
        <w:rPr>
          <w:lang w:val="en-GB"/>
        </w:rPr>
      </w:pPr>
      <w:r>
        <w:rPr/>
        <w:t>Kusinārā</w:t>
      </w:r>
    </w:p>
    <w:p>
      <w:pPr>
        <w:pStyle w:val="WW-gloss-text"/>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rStyle w:val="wwc-pali"/>
          <w:lang w:val="en-GB"/>
        </w:rPr>
        <w:t>kuḍḍa</w:t>
      </w:r>
      <w:r>
        <w:rPr>
          <w:lang w:val="en-GB"/>
        </w:rPr>
        <w:t xml:space="preserve"> </w:t>
      </w:r>
      <w:r>
        <w:rPr>
          <w:rStyle w:val="wwc-pali"/>
          <w:lang w:val="en-GB"/>
        </w:rPr>
        <w:t>nagaraka</w:t>
      </w:r>
      <w:r>
        <w:rPr>
          <w:lang w:val="en-GB"/>
        </w:rPr>
        <w:t xml:space="preserve">, </w:t>
      </w:r>
      <w:r>
        <w:rPr>
          <w:rStyle w:val="wwc-pali"/>
          <w:lang w:val="en-GB"/>
        </w:rPr>
        <w:t>ujjaṅgala</w:t>
      </w:r>
      <w:r>
        <w:rPr>
          <w:lang w:val="en-GB"/>
        </w:rPr>
        <w:t xml:space="preserve"> </w:t>
      </w:r>
      <w:r>
        <w:rPr>
          <w:rStyle w:val="wwc-pali"/>
          <w:lang w:val="en-GB"/>
        </w:rPr>
        <w:t>nagaraka</w:t>
      </w:r>
      <w:r>
        <w:rPr>
          <w:lang w:val="en-GB"/>
        </w:rPr>
        <w:t xml:space="preserve">, </w:t>
      </w:r>
      <w:r>
        <w:rPr>
          <w:rStyle w:val="wwc-pali"/>
          <w:lang w:val="en-GB"/>
        </w:rPr>
        <w:t>sākhā</w:t>
      </w:r>
      <w:r>
        <w:rPr>
          <w:lang w:val="en-GB"/>
        </w:rPr>
        <w:t xml:space="preserve"> </w:t>
      </w:r>
      <w:r>
        <w:rPr>
          <w:rStyle w:val="wwc-pali"/>
          <w:lang w:val="en-GB"/>
        </w:rPr>
        <w:t>nagaraka</w:t>
      </w:r>
      <w:r>
        <w:rPr>
          <w:rStyle w:val="FootnoteReference"/>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WW-gloss-text"/>
        <w:rPr/>
      </w:pPr>
      <w:r>
        <w:rPr>
          <w:lang w:val="en-GB"/>
        </w:rPr>
        <w:t xml:space="preserve">Nonetheless, there are problems with what branch, </w:t>
      </w:r>
      <w:r>
        <w:rPr>
          <w:rStyle w:val="wwc-pali"/>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rStyle w:val="wwc-pali"/>
          <w:lang w:val="en-GB"/>
        </w:rPr>
        <w:t>sākhā</w:t>
      </w:r>
      <w:r>
        <w:rPr>
          <w:lang w:val="en-GB"/>
        </w:rPr>
        <w:t xml:space="preserve">, which is always used in reference to bush or tree branches. </w:t>
      </w:r>
      <w:r>
        <w:rPr>
          <w:rStyle w:val="wwc-pali"/>
          <w:lang w:val="en-GB"/>
        </w:rPr>
        <w:t>Kuḍḍa</w:t>
      </w:r>
      <w:r>
        <w:rPr>
          <w:lang w:val="en-GB"/>
        </w:rPr>
        <w:t xml:space="preserve"> is from the Sanskrit </w:t>
      </w:r>
      <w:r>
        <w:rPr>
          <w:rStyle w:val="wwc-sanskrit"/>
          <w:lang w:val="en-GB"/>
        </w:rPr>
        <w:t>kuḍyā</w:t>
      </w:r>
      <w:r>
        <w:rPr>
          <w:lang w:val="en-GB"/>
        </w:rPr>
        <w:t xml:space="preserve">, meaning ‘a wall’, and could be related to the Sanskrit </w:t>
      </w:r>
      <w:r>
        <w:rPr>
          <w:rStyle w:val="wwc-sanskrit"/>
          <w:lang w:val="en-GB"/>
        </w:rPr>
        <w:t>ksuṇṇa</w:t>
      </w:r>
      <w:r>
        <w:rPr>
          <w:lang w:val="en-GB"/>
        </w:rPr>
        <w:t xml:space="preserve"> (‘to grind’) and the Pali </w:t>
      </w:r>
      <w:r>
        <w:rPr>
          <w:rStyle w:val="wwc-pali"/>
          <w:lang w:val="en-GB"/>
        </w:rPr>
        <w:t>cuṇṇa</w:t>
      </w:r>
      <w:r>
        <w:rPr>
          <w:lang w:val="en-GB"/>
        </w:rPr>
        <w:t xml:space="preserve"> (‘powder’). Both meanings might be relevant to Kusinārā and may refer to the defences of the town—a wall or rampart—or to the lime plaster coating that was put over mud bricks to protect them from rain.</w:t>
      </w:r>
      <w:r>
        <w:rPr>
          <w:rStyle w:val="FootnoteReference"/>
          <w:lang w:val="en-GB"/>
        </w:rPr>
        <w:footnoteReference w:id="751"/>
      </w:r>
      <w:r>
        <w:rPr>
          <w:lang w:val="en-GB"/>
        </w:rPr>
        <w:t xml:space="preserve"> </w:t>
      </w:r>
      <w:r>
        <w:rPr>
          <w:rStyle w:val="wwc-pali"/>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rStyle w:val="wwc-pali"/>
          <w:lang w:val="en-GB"/>
        </w:rPr>
        <w:t>ujjaṅgala</w:t>
      </w:r>
      <w:r>
        <w:rPr>
          <w:lang w:val="en-GB"/>
        </w:rPr>
        <w:t xml:space="preserve"> may refer to the rammed earth or mud used in ramparts. Likewise, </w:t>
      </w:r>
      <w:r>
        <w:rPr>
          <w:rStyle w:val="wwc-pali"/>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WW-gloss-text"/>
        <w:rPr>
          <w:lang w:val="en-GB"/>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WW-gloss-text"/>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rStyle w:val="wwc-latin"/>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WW-gloss-text"/>
        <w:rPr>
          <w:lang w:val="en-GB"/>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WW-gloss-term"/>
        <w:rPr>
          <w:lang w:val="en-GB"/>
        </w:rPr>
      </w:pPr>
      <w:r>
        <w:rPr/>
        <w:t>Madhurā</w:t>
      </w:r>
    </w:p>
    <w:p>
      <w:pPr>
        <w:pStyle w:val="WW-gloss-text"/>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rPr>
        <w:footnoteReference w:id="756"/>
      </w:r>
      <w:r>
        <w:rPr/>
        <w:t xml:space="preserve"> On his way back from Madhurā, while on the main road to Verañjā, he met a group of men and women and, while sitting at the foot of a wayside tree, gave them a talk on conjugal relations.</w:t>
      </w:r>
      <w:r>
        <w:rPr>
          <w:rStyle w:val="FootnoteReference"/>
        </w:rPr>
        <w:footnoteReference w:id="757"/>
      </w:r>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rPr>
        <w:footnoteReference w:id="758"/>
      </w:r>
      <w:r>
        <w:rPr/>
        <w:t xml:space="preserve"> While in Mathurā, Kaccāna lodged in the Gundā Forest, which may have later become the site of one of the city’s many monasteries and which made it one of the major centres of Buddhism in northern India.</w:t>
      </w:r>
      <w:r>
        <w:rPr>
          <w:rStyle w:val="FootnoteReference"/>
        </w:rPr>
        <w:footnoteReference w:id="759"/>
      </w:r>
    </w:p>
    <w:p>
      <w:pPr>
        <w:pStyle w:val="WW-gloss-text"/>
        <w:rPr>
          <w:lang w:val="en-GB"/>
        </w:rPr>
      </w:pPr>
      <w:r>
        <w:rPr/>
        <w:t>From 1853 to 1977, important antiquities of both Buddhism and Jainism were unearthed from the many ancient sites in and around Mathurā.</w:t>
      </w:r>
    </w:p>
    <w:p>
      <w:pPr>
        <w:pStyle w:val="WW-gloss-term"/>
        <w:rPr>
          <w:lang w:val="en-GB"/>
        </w:rPr>
      </w:pPr>
      <w:r>
        <w:rPr/>
        <w:t>Pāṭaligāma</w:t>
      </w:r>
    </w:p>
    <w:p>
      <w:pPr>
        <w:pStyle w:val="WW-gloss-text"/>
        <w:rPr/>
      </w:pPr>
      <w:r>
        <w:rPr>
          <w:lang w:val="en-GB"/>
        </w:rPr>
        <w:t>This village was located on the south bank of the Ganges and was the main crossing place between Magadha and Vajji. As such, it would have also been an important trading mart and customs post. Its name means “the village (</w:t>
      </w:r>
      <w:r>
        <w:rPr>
          <w:rStyle w:val="wwc-pali"/>
          <w:lang w:val="en-GB"/>
        </w:rPr>
        <w:t>gāma</w:t>
      </w:r>
      <w:r>
        <w:rPr>
          <w:lang w:val="en-GB"/>
        </w:rPr>
        <w:t>) of the patali tree (</w:t>
      </w:r>
      <w:r>
        <w:rPr>
          <w:rStyle w:val="wwc-pali"/>
          <w:lang w:val="en-GB"/>
        </w:rPr>
        <w:t>pāṭali</w:t>
      </w:r>
      <w:r>
        <w:rPr>
          <w:lang w:val="en-GB"/>
        </w:rPr>
        <w:t xml:space="preserve">),” the </w:t>
      </w:r>
      <w:r>
        <w:rPr>
          <w:rStyle w:val="wwc-latin"/>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threats—from fire; from floods; and from internal dissension.”</w:t>
      </w:r>
      <w:r>
        <w:rPr>
          <w:rStyle w:val="FootnoteReference"/>
          <w:lang w:val="en-GB"/>
        </w:rPr>
        <w:footnoteReference w:id="761"/>
      </w:r>
    </w:p>
    <w:p>
      <w:pPr>
        <w:pStyle w:val="WW-gloss-text"/>
        <w:rPr/>
      </w:pPr>
      <w:r>
        <w:rPr>
          <w:lang w:val="en-GB"/>
        </w:rPr>
        <w:t xml:space="preserve">The first part of this prediction could be a play on the phrase </w:t>
      </w:r>
      <w:r>
        <w:rPr>
          <w:rStyle w:val="wwc-pali"/>
          <w:lang w:val="en-GB"/>
        </w:rPr>
        <w:t>puṭa</w:t>
      </w:r>
      <w:r>
        <w:rPr>
          <w:lang w:val="en-GB"/>
        </w:rPr>
        <w:t xml:space="preserve"> </w:t>
      </w:r>
      <w:r>
        <w:rPr>
          <w:rStyle w:val="wwc-pali"/>
          <w:lang w:val="en-GB"/>
        </w:rPr>
        <w:t>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WW-gloss-text"/>
        <w:rPr>
          <w:lang w:val="en-GB"/>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WW-gloss-text"/>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rPr>
        <w:footnoteReference w:id="763"/>
      </w:r>
    </w:p>
    <w:p>
      <w:pPr>
        <w:pStyle w:val="WW-gloss-term"/>
        <w:rPr>
          <w:lang w:val="en-GB"/>
        </w:rPr>
      </w:pPr>
      <w:r>
        <w:rPr/>
        <w:t>Pāvā</w:t>
      </w:r>
    </w:p>
    <w:p>
      <w:pPr>
        <w:pStyle w:val="WW-gloss-text"/>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rPr>
        <w:footnoteReference w:id="764"/>
      </w:r>
      <w:r>
        <w:rPr/>
        <w:t xml:space="preserve"> During one of the Buddha’s visits to Pāvā, he was invited to inaugurate the town’s new assembly hall by spending the night in it.</w:t>
      </w:r>
      <w:r>
        <w:rPr>
          <w:rStyle w:val="FootnoteReference"/>
        </w:rPr>
        <w:footnoteReference w:id="765"/>
      </w:r>
      <w:r>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rPr>
        <w:footnoteReference w:id="766"/>
      </w:r>
    </w:p>
    <w:p>
      <w:pPr>
        <w:pStyle w:val="WW-gloss-text"/>
        <w:rPr/>
      </w:pPr>
      <w:r>
        <w:rPr/>
        <w:t>Pāvā’s significance for Buddhists is due to the Buddha having spent his penultimate night and eaten his last meal in the town. It is also important to Jains because Mahāvīra died there, a fact confirmed by the Tipitaka.</w:t>
      </w:r>
      <w:r>
        <w:rPr>
          <w:rStyle w:val="FootnoteReference"/>
        </w:rPr>
        <w:footnoteReference w:id="767"/>
      </w:r>
    </w:p>
    <w:p>
      <w:pPr>
        <w:pStyle w:val="WW-gloss-text"/>
        <w:rPr/>
      </w:pPr>
      <w:r>
        <w:rPr/>
        <w:t>So far Pāvā has defied identification. The main candidates for it are Padrauna and Sathiyaon.</w:t>
      </w:r>
      <w:r>
        <w:rPr>
          <w:rStyle w:val="FootnoteReference"/>
        </w:rPr>
        <w:footnoteReference w:id="768"/>
      </w:r>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rPr>
        <w:footnoteReference w:id="769"/>
      </w:r>
      <w:r>
        <w:rPr/>
        <w:t xml:space="preserve"> The Jains identify Pāvā with the town of Pavapur, some twenty kilometres north-east of Rajgir.</w:t>
      </w:r>
      <w:r>
        <w:rPr>
          <w:rStyle w:val="FootnoteReference"/>
        </w:rPr>
        <w:footnoteReference w:id="770"/>
      </w:r>
    </w:p>
    <w:p>
      <w:pPr>
        <w:pStyle w:val="WW-gloss-term"/>
        <w:rPr>
          <w:lang w:val="en-GB"/>
        </w:rPr>
      </w:pPr>
      <w:r>
        <w:rPr/>
        <w:t>Rājagaha</w:t>
      </w:r>
    </w:p>
    <w:p>
      <w:pPr>
        <w:pStyle w:val="WW-gloss-text"/>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rPr>
        <w:footnoteReference w:id="771"/>
      </w:r>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rPr>
        <w:footnoteReference w:id="772"/>
      </w:r>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rPr>
        <w:footnoteReference w:id="773"/>
      </w:r>
      <w:r>
        <w:rPr/>
        <w:t xml:space="preserve"> This last place was the scene for one of the Buddha’s most profound dialogues, the Sakkapañha Sutta.</w:t>
      </w:r>
    </w:p>
    <w:p>
      <w:pPr>
        <w:pStyle w:val="WW-gloss-text"/>
        <w:rPr/>
      </w:pPr>
      <w:r>
        <w:rPr/>
        <w:t>According to the Tipitaka, the five hills of Rājagaha were Vebhāra, Paṇḍava, Vepulla, Gijjhakuta and Isigili.</w:t>
      </w:r>
      <w:r>
        <w:rPr>
          <w:rStyle w:val="FootnoteReference"/>
        </w:rPr>
        <w:footnoteReference w:id="774"/>
      </w:r>
      <w:r>
        <w:rPr/>
        <w:t xml:space="preserve"> Unfortunately, other later texts give different names for these hills, making it difficult to identify Paṇḍava, where Gotama stayed during his first visit to the city.</w:t>
      </w:r>
      <w:r>
        <w:rPr>
          <w:rStyle w:val="FootnoteReference"/>
        </w:rPr>
        <w:footnoteReference w:id="775"/>
      </w:r>
      <w:r>
        <w:rPr/>
        <w:t xml:space="preserve"> Impressive walls, the remains of which are still visible, snake along the top of the hills, and the city gates were, we are told, closed every night.</w:t>
      </w:r>
    </w:p>
    <w:p>
      <w:pPr>
        <w:pStyle w:val="WW-gloss-text"/>
        <w:rPr/>
      </w:pPr>
      <w:r>
        <w:rPr/>
        <w:t>The first place we hear of Gotama being after he renounced the world is on, or perhaps at the foot of, the east side of Paṇḍava.</w:t>
      </w:r>
      <w:r>
        <w:rPr>
          <w:rStyle w:val="FootnoteReference"/>
        </w:rPr>
        <w:footnoteReference w:id="776"/>
      </w:r>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rPr>
        <w:footnoteReference w:id="777"/>
      </w:r>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WW-gloss-text"/>
        <w:rPr>
          <w:lang w:val="en-GB"/>
        </w:rPr>
      </w:pPr>
      <w:r>
        <w:rPr/>
        <w:t>The Buddha visited Rājagaha numerous times, spending his third, fourth, seventeenth and twentieth rainy seasons there and beginning his final journey from there some twelve months before his death.</w:t>
      </w:r>
    </w:p>
    <w:p>
      <w:pPr>
        <w:pStyle w:val="WW-gloss-term"/>
        <w:rPr>
          <w:lang w:val="en-GB"/>
        </w:rPr>
      </w:pPr>
      <w:r>
        <w:rPr/>
        <w:t>Sāketa</w:t>
      </w:r>
    </w:p>
    <w:p>
      <w:pPr>
        <w:pStyle w:val="WW-gloss-text"/>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rPr>
        <w:footnoteReference w:id="778"/>
      </w:r>
      <w:r>
        <w:rPr/>
        <w:t xml:space="preserve"> Confusing the matter is the Vinaya’s mention of a ferry operating between the two places, suggesting that they were on opposite banks of the Sarabhū River (the modern Sarayu, sometimes also called Ghaghra).</w:t>
      </w:r>
      <w:r>
        <w:rPr>
          <w:rStyle w:val="FootnoteReference"/>
        </w:rPr>
        <w:footnoteReference w:id="779"/>
      </w:r>
      <w:r>
        <w:rPr/>
        <w:t xml:space="preserve"> Some ancient sources say they are different names for the same place, while others are unclear.</w:t>
      </w:r>
      <w:r>
        <w:rPr>
          <w:rStyle w:val="FootnoteReference"/>
        </w:rPr>
        <w:footnoteReference w:id="780"/>
      </w:r>
      <w:r>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rPr>
        <w:footnoteReference w:id="781"/>
      </w:r>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rPr>
        <w:footnoteReference w:id="782"/>
      </w:r>
    </w:p>
    <w:p>
      <w:pPr>
        <w:pStyle w:val="WW-gloss-text"/>
        <w:rPr>
          <w:lang w:val="en-GB"/>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WW-gloss-term"/>
        <w:rPr>
          <w:lang w:val="en-GB"/>
        </w:rPr>
      </w:pPr>
      <w:r>
        <w:rPr/>
        <w:t>Saṅkassa</w:t>
      </w:r>
    </w:p>
    <w:p>
      <w:pPr>
        <w:pStyle w:val="WW-gloss-text"/>
        <w:rPr/>
      </w:pPr>
      <w:r>
        <w:rPr/>
        <w:t>Now called Sankisa, this town is mentioned only once in the Tipitaka as a place the Buddha passed through while on his way from Verañjā to Payāga.</w:t>
      </w:r>
      <w:r>
        <w:rPr>
          <w:rStyle w:val="FootnoteReference"/>
        </w:rPr>
        <w:footnoteReference w:id="783"/>
      </w:r>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WW-gloss-term"/>
        <w:rPr>
          <w:lang w:val="en-GB"/>
        </w:rPr>
      </w:pPr>
      <w:r>
        <w:rPr/>
        <w:t>Sāvatthī</w:t>
      </w:r>
    </w:p>
    <w:p>
      <w:pPr>
        <w:pStyle w:val="WW-gloss-text"/>
        <w:rPr/>
      </w:pPr>
      <w:r>
        <w:rPr/>
        <w:t>The city where the Buddha spent more time than any other was Sāvatthī, the capital of Kosala, now identified with the extensive ruins at Sahet Mahet in Uttar Pradesh.</w:t>
      </w:r>
      <w:r>
        <w:rPr>
          <w:rStyle w:val="FootnoteReference"/>
        </w:rPr>
        <w:footnoteReference w:id="784"/>
      </w:r>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Sāvatthī—King Pasenadi and his queen Mallikā and the wealthy merchant Sudattha, known by the moniker Anāthapiṇḍaka.</w:t>
      </w:r>
    </w:p>
    <w:p>
      <w:pPr>
        <w:pStyle w:val="WW-gloss-text"/>
        <w:rPr/>
      </w:pPr>
      <w:r>
        <w:rPr/>
        <w:t>It is not surprising, therefore, that more monasteries were founded in and around Sāvatthī during the Buddha’s lifetime than in any other city. There were three altogether—the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rPr>
        <w:footnoteReference w:id="785"/>
      </w:r>
    </w:p>
    <w:p>
      <w:pPr>
        <w:pStyle w:val="WW-gloss-text"/>
        <w:rPr>
          <w:lang w:val="en-GB"/>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WW-gloss-term"/>
        <w:rPr>
          <w:lang w:val="en-GB"/>
        </w:rPr>
      </w:pPr>
      <w:r>
        <w:rPr/>
        <w:t>Suṃsumāragira</w:t>
      </w:r>
    </w:p>
    <w:p>
      <w:pPr>
        <w:pStyle w:val="WW-gloss-text"/>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rPr>
        <w:footnoteReference w:id="786"/>
      </w:r>
      <w:r>
        <w:rPr/>
        <w:t xml:space="preserve"> During one of his visits to the town, Prince Bodhi, the son of King Udena and probably governor of Bhaggā, invited him and the monks staying with him for a meal in his recently completed palace.</w:t>
      </w:r>
      <w:r>
        <w:rPr>
          <w:rStyle w:val="FootnoteReference"/>
        </w:rPr>
        <w:footnoteReference w:id="787"/>
      </w:r>
      <w:r>
        <w:rPr/>
        <w:t xml:space="preserve"> Mahāvīra visited Suṃsumāragira on several occasions too and spent his twelfth rainy season there.</w:t>
      </w:r>
    </w:p>
    <w:p>
      <w:pPr>
        <w:pStyle w:val="WW-gloss-text"/>
        <w:rPr>
          <w:lang w:val="en-GB"/>
        </w:rPr>
      </w:pPr>
      <w:r>
        <w:rPr/>
        <w:t>Suṃsumaragira is identified with Chunar, which is about twenty kilometres up the Ganges from Varanasi, and is well known for the impressive fortress now occupying the top of the hill.</w:t>
      </w:r>
    </w:p>
    <w:p>
      <w:pPr>
        <w:pStyle w:val="WW-gloss-term"/>
        <w:rPr>
          <w:lang w:val="en-GB"/>
        </w:rPr>
      </w:pPr>
      <w:r>
        <w:rPr/>
        <w:t>Ukkācelā</w:t>
      </w:r>
    </w:p>
    <w:p>
      <w:pPr>
        <w:pStyle w:val="WW-gloss-text"/>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Pr>
        <w:footnoteReference w:id="788"/>
      </w:r>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WW-gloss-term"/>
        <w:rPr>
          <w:lang w:val="en-GB"/>
        </w:rPr>
      </w:pPr>
      <w:r>
        <w:rPr/>
        <w:t>Uruvelā</w:t>
      </w:r>
    </w:p>
    <w:p>
      <w:pPr>
        <w:pStyle w:val="WW-gloss-text"/>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rStyle w:val="wwc-pali"/>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WW-gloss-text"/>
        <w:rPr/>
      </w:pPr>
      <w:r>
        <w:rPr/>
        <w:t>During his last hours, the Buddha said that a devout disciple should try to visit at least once in their lives the places where the four pivotal events in his life happened, and one of these places was Uruvelā.</w:t>
      </w:r>
      <w:r>
        <w:rPr>
          <w:rStyle w:val="FootnoteReference"/>
        </w:rPr>
        <w:footnoteReference w:id="792"/>
      </w:r>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rPr>
        <w:footnoteReference w:id="793"/>
      </w:r>
      <w:r>
        <w:rPr/>
        <w:t xml:space="preserve"> Today Bodh Gaya is a bustling town visited by pilgrims and tourists from all over the world.</w:t>
      </w:r>
    </w:p>
    <w:p>
      <w:pPr>
        <w:pStyle w:val="WW-gloss-term"/>
        <w:rPr>
          <w:lang w:val="en-GB"/>
        </w:rPr>
      </w:pPr>
      <w:r>
        <w:rPr/>
        <w:t>Verañjā</w:t>
      </w:r>
    </w:p>
    <w:p>
      <w:pPr>
        <w:pStyle w:val="WW-gloss-text"/>
        <w:rPr/>
      </w:pPr>
      <w:r>
        <w:rPr/>
        <w:t>Verañjā was a large town where tradition says the Buddha spent the three months of his twelfth rainy season, although he may have visited it on several other occasions as well.</w:t>
      </w:r>
      <w:r>
        <w:rPr>
          <w:rStyle w:val="FootnoteReference"/>
        </w:rPr>
        <w:footnoteReference w:id="794"/>
      </w:r>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Pr>
        <w:footnoteReference w:id="795"/>
      </w:r>
      <w:r>
        <w:rPr/>
        <w:t xml:space="preserve"> Verañjā can be identified with the huge mound at Atranji Khera, about thirteen kilometres north of Etah in Uttar Pradesh.</w:t>
      </w:r>
      <w:r>
        <w:rPr>
          <w:rStyle w:val="FootnoteReference"/>
        </w:rPr>
        <w:footnoteReference w:id="796"/>
      </w:r>
    </w:p>
    <w:p>
      <w:pPr>
        <w:pStyle w:val="WW-gloss-term"/>
        <w:rPr>
          <w:lang w:val="en-GB"/>
        </w:rPr>
      </w:pPr>
      <w:r>
        <w:rPr/>
        <w:t>Vesālī</w:t>
      </w:r>
    </w:p>
    <w:p>
      <w:pPr>
        <w:pStyle w:val="WW-gloss-text"/>
        <w:rPr>
          <w:lang w:val="en-GB"/>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WW-gloss-text"/>
        <w:rPr/>
      </w:pPr>
      <w:r>
        <w:rPr/>
        <w:t>There were numerous shrines in and around the city, such as the Sārananda and the Cāpāla shrines. Others—the Bahuputta; Gotamaka; Udena and the Sattambaka shrines—were located at the four cardinal points around the city, probably a little beyond its walls.</w:t>
      </w:r>
      <w:r>
        <w:rPr>
          <w:rStyle w:val="FootnoteReference"/>
        </w:rPr>
        <w:footnoteReference w:id="797"/>
      </w:r>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rPr>
        <w:footnoteReference w:id="798"/>
      </w:r>
      <w:r>
        <w:rPr/>
        <w:t xml:space="preserve"> This hall must have been within easy walking distance of the city, as the Buddha would sometimes take a stroll from there to some of the locations in the city.</w:t>
      </w:r>
      <w:r>
        <w:rPr>
          <w:rStyle w:val="FootnoteReference"/>
        </w:rPr>
        <w:footnoteReference w:id="799"/>
      </w:r>
      <w:r>
        <w:rPr/>
        <w:t xml:space="preserve"> There was an infirmary nearby, and he would occasionally visit the patients there.</w:t>
      </w:r>
      <w:r>
        <w:rPr>
          <w:rStyle w:val="FootnoteReference"/>
        </w:rPr>
        <w:footnoteReference w:id="800"/>
      </w:r>
      <w:r>
        <w:rPr/>
        <w:t xml:space="preserve"> It was while staying at the Kūṭāgārasālā that the Buddha announced his impending death three months hence.</w:t>
      </w:r>
      <w:r>
        <w:rPr>
          <w:rStyle w:val="FootnoteReference"/>
        </w:rPr>
        <w:footnoteReference w:id="801"/>
      </w:r>
      <w:r>
        <w:rPr/>
        <w:t xml:space="preserve"> He favoured the Kūṭāgārasālā because it offered some respite from the continual stream of people who would come to see him, which even for an awakened person could become tiresome after a while.</w:t>
      </w:r>
    </w:p>
    <w:p>
      <w:pPr>
        <w:pStyle w:val="WW-gloss-text"/>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rPr>
        <w:footnoteReference w:id="802"/>
      </w:r>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Pr>
        <w:footnoteReference w:id="803"/>
      </w:r>
      <w:r>
        <w:rPr/>
        <w:t xml:space="preserve"> The Buddha praised the Licchavis for their simple and healthy, almost Spartan, habits—using blocks of wood as pillows; sleeping on hard beds; rising before sunrise; and being physically active. As long as they maintained such practices, he said, they would never fall victim to an invader.</w:t>
      </w:r>
      <w:r>
        <w:rPr>
          <w:rStyle w:val="FootnoteReference"/>
        </w:rPr>
        <w:footnoteReference w:id="804"/>
      </w:r>
      <w:r>
        <w:rPr/>
        <w:t xml:space="preserve"> This was one of two occasions when the Buddha expressed his hope that the Vajjians would be able to maintain their independence.</w:t>
      </w:r>
    </w:p>
    <w:p>
      <w:pPr>
        <w:pStyle w:val="WW-gloss-text"/>
        <w:rPr>
          <w:lang w:val="en-GB"/>
        </w:rPr>
      </w:pPr>
      <w:r>
        <w:rPr/>
        <w:t>According to most Jain sources, Mahāvīra was born in Vesālī and visited it many times. He also spent eight rainy seasons in there.</w:t>
      </w:r>
    </w:p>
    <w:p>
      <w:pPr>
        <w:pStyle w:val="WW-gloss-text"/>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rPr>
        <w:footnoteReference w:id="805"/>
      </w:r>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WW-Chapter"/>
        <w:rPr/>
      </w:pPr>
      <w:r>
        <w:rPr/>
        <w:t>Appendix II. The Buddha and the Upaniṣads</w:t>
      </w:r>
    </w:p>
    <w:p>
      <w:pPr>
        <w:pStyle w:val="WW-paragraph"/>
        <w:rPr>
          <w:lang w:val="en-GB"/>
        </w:rPr>
      </w:pPr>
      <w:r>
        <w:rPr>
          <w:lang w:val="en-GB"/>
        </w:rPr>
        <w:t>Kamma and its related concept of rebirth are two of the central doctrines of Buddhism, but they are also amongst the most misunderstood—by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Upaniṣads.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WW-paragraph"/>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rStyle w:val="wwc-pali"/>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WW-paragraph"/>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rStyle w:val="wwc-sanskrit"/>
          <w:lang w:val="en-GB"/>
        </w:rPr>
        <w:t>pitṛloka</w:t>
      </w:r>
      <w:r>
        <w:rPr>
          <w:lang w:val="en-GB"/>
        </w:rPr>
        <w:t>), an indistinct type of heaven where they were sustained by offerings (</w:t>
      </w:r>
      <w:r>
        <w:rPr>
          <w:rStyle w:val="wwc-sanskrit"/>
          <w:lang w:val="en-GB"/>
        </w:rPr>
        <w:t>śrāddha</w:t>
      </w:r>
      <w:r>
        <w:rPr>
          <w:lang w:val="en-GB"/>
        </w:rPr>
        <w:t>) made by the deceased’s son. This was why it was crucial for a man to sire at least one son. This concept is mentioned, for example, in Ṛgveda [</w:t>
      </w:r>
      <w:r>
        <w:rPr>
          <w:rStyle w:val="wwc-sesame-zot-reference"/>
          <w:lang w:val="en-GB"/>
        </w:rPr>
        <w:t>Jamison Brereton 2014</w:t>
      </w:r>
      <w:r>
        <w:rPr>
          <w:lang w:val="en-GB"/>
        </w:rPr>
        <w:t>] 10.14,2; Taittirīya Brahmaṇa [</w:t>
      </w:r>
      <w:r>
        <w:rPr>
          <w:rStyle w:val="wwc-sesame-zot-reference"/>
          <w:lang w:val="en-GB"/>
        </w:rPr>
        <w:t>Olivelle 1998</w:t>
      </w:r>
      <w:r>
        <w:rPr>
          <w:lang w:val="en-GB"/>
        </w:rPr>
        <w:t>] 1.5,5,6 and Āpastamba Dharmasūtra [</w:t>
      </w:r>
      <w:r>
        <w:rPr>
          <w:rStyle w:val="wwc-sesame-zot-reference"/>
          <w:lang w:val="en-GB"/>
        </w:rPr>
        <w:t>Olivelle 1999</w:t>
      </w:r>
      <w:r>
        <w:rPr>
          <w:lang w:val="en-GB"/>
        </w:rPr>
        <w:t>] 2.24,1-7. One’s position in the world of the fathers depends on the merit created by performing sacrifices.</w:t>
      </w:r>
    </w:p>
    <w:p>
      <w:pPr>
        <w:pStyle w:val="WW-paragraph"/>
        <w:rPr/>
      </w:pPr>
      <w:r>
        <w:rPr>
          <w:lang w:val="en-GB"/>
        </w:rPr>
        <w:t>What of the Upaniṣads? For the Buddha to have copied, borrowed or even been influenced by any Upanisadic ideas, these texts would have had to predate him, and it is by no means easy to demonstrate that this is the case. The reality is that the dates of the Upaniṣads, and of the Buddha too, are at best guess work. This makes it very uncertain about which came first. Complicating the issue further is the fact that few Upaniṣads are homogeneous; most had material added to them after their initial composition, sometimes as late as several centuries afterward. However, the general consensus amongst scholars is that the earliest Upaniṣads [</w:t>
      </w:r>
      <w:r>
        <w:rPr>
          <w:rStyle w:val="wwc-sesame-zot-reference"/>
          <w:lang w:val="en-GB"/>
        </w:rPr>
        <w:t>Olivelle 1998</w:t>
      </w:r>
      <w:r>
        <w:rPr>
          <w:lang w:val="en-GB"/>
        </w:rPr>
        <w:t>] are probably the Bṛhadāraṇyaka, the Chāndogya, the Kauṣītaki and perhaps the Aitareya,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WW-paragraph"/>
        <w:rPr/>
      </w:pPr>
      <w:r>
        <w:rPr>
          <w:lang w:val="en-GB"/>
        </w:rPr>
        <w:t>The internal evidence from the early Upaniṣads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Upaniṣads thought to predate the Buddha, none of them mention Kosala and only the Bṛhadāraṇyaka and the Kauṣītaki mention Kāsi, and only once each. This strongly suggests that the Buddha spent little or no time in the regions where the supposedly earliest Upaniṣads were being taught.</w:t>
      </w:r>
    </w:p>
    <w:p>
      <w:pPr>
        <w:pStyle w:val="WW-paragraph"/>
        <w:rPr/>
      </w:pPr>
      <w:r>
        <w:rPr>
          <w:lang w:val="en-GB"/>
        </w:rPr>
        <w:t>Another thing that needs to be taken into account is Upanisadic esotericism. Upanisadic doctrines, like the Vedas before them, were from the very beginning considered secret and meant only for a small inner circle of initiates. The Kaṭha says that if a brahmin keeps the teaching secret, he will have eternal life (3,7), which of course also cancels out the idea of kamma. The Śvetāśvatara calls its doctrines “the supreme secret” (</w:t>
      </w:r>
      <w:r>
        <w:rPr>
          <w:rStyle w:val="wwc-sanskrit"/>
          <w:lang w:val="en-GB"/>
        </w:rPr>
        <w:t>paramaṃ</w:t>
      </w:r>
      <w:r>
        <w:rPr>
          <w:lang w:val="en-GB"/>
        </w:rPr>
        <w:t xml:space="preserve"> </w:t>
      </w:r>
      <w:r>
        <w:rPr>
          <w:rStyle w:val="wwc-sanskrit"/>
          <w:lang w:val="en-GB"/>
        </w:rPr>
        <w:t>guhyaṃ</w:t>
      </w:r>
      <w:r>
        <w:rPr>
          <w:lang w:val="en-GB"/>
        </w:rPr>
        <w:t>) which should never be revealed to anyone who is not tranquil, a son or a pupil (6,22). The Chāndogya says: “A father should reveal this formulation of truth only to his eldest son or to a worthy student, and never to anyone else…” (3,11,5-6) because its teachings are secret (</w:t>
      </w:r>
      <w:r>
        <w:rPr>
          <w:rStyle w:val="wwc-sanskrit"/>
          <w:lang w:val="en-GB"/>
        </w:rPr>
        <w:t>guhya</w:t>
      </w:r>
      <w:r>
        <w:rPr>
          <w:lang w:val="en-GB"/>
        </w:rPr>
        <w:t xml:space="preserve"> </w:t>
      </w:r>
      <w:r>
        <w:rPr>
          <w:rStyle w:val="wwc-sanskrit"/>
          <w:lang w:val="en-GB"/>
        </w:rPr>
        <w:t>ādeśa</w:t>
      </w:r>
      <w:r>
        <w:rPr>
          <w:lang w:val="en-GB"/>
        </w:rPr>
        <w:t>, 3,5,2). Indeed, the very word upaniṣad means ‘to sit near’ and implies secrecy, i.e. sitting near the teacher as he explained his teaching so that the uninitiated could not hear it. Even centuries after the Buddha, the Manusmṛti [</w:t>
      </w:r>
      <w:hyperlink w:anchor="X33ef731ad2df603fa7fc36f2385d2d5c948871f">
        <w:r>
          <w:rPr>
            <w:rStyle w:val="Hyperlink"/>
            <w:lang w:val="en-GB"/>
          </w:rPr>
          <w:t>Olivelle 2004</w:t>
        </w:r>
      </w:hyperlink>
      <w:r>
        <w:rPr>
          <w:lang w:val="en-GB"/>
        </w:rPr>
        <w:t>] referred to the sacred texts, probably meaning the Upaniṣads, as confidential or hidden (</w:t>
      </w:r>
      <w:r>
        <w:rPr>
          <w:rStyle w:val="wwc-sanskrit"/>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WW-paragraph"/>
        <w:rPr/>
      </w:pPr>
      <w:r>
        <w:rPr>
          <w:lang w:val="en-GB"/>
        </w:rPr>
        <w:t>The Buddha’s frequent claim that his Dhamma was for all and that he did not have a “teacher’s fist” (</w:t>
      </w:r>
      <w:r>
        <w:rPr>
          <w:rStyle w:val="wwc-pali"/>
          <w:lang w:val="en-GB"/>
        </w:rPr>
        <w:t>ācariya</w:t>
      </w:r>
      <w:r>
        <w:rPr>
          <w:lang w:val="en-GB"/>
        </w:rPr>
        <w:t xml:space="preserve"> </w:t>
      </w:r>
      <w:r>
        <w:rPr>
          <w:rStyle w:val="wwc-pali"/>
          <w:lang w:val="en-GB"/>
        </w:rPr>
        <w:t>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rStyle w:val="wwc-pali"/>
          <w:lang w:val="en-GB"/>
        </w:rPr>
        <w:t>paṭicchanna</w:t>
      </w:r>
      <w:r>
        <w:rPr>
          <w:lang w:val="en-GB"/>
        </w:rPr>
        <w:t>).</w:t>
      </w:r>
      <w:r>
        <w:rPr>
          <w:rStyle w:val="FootnoteReference"/>
          <w:lang w:val="en-GB"/>
        </w:rPr>
        <w:footnoteReference w:id="814"/>
      </w:r>
    </w:p>
    <w:p>
      <w:pPr>
        <w:pStyle w:val="WW-paragraph"/>
        <w:rPr>
          <w:lang w:val="en-GB"/>
        </w:rPr>
      </w:pPr>
      <w:r>
        <w:rPr>
          <w:lang w:val="en-GB"/>
        </w:rPr>
        <w:t>The next thing that needs to be examined is whether the Upaniṣads, particularly the supposedly pre-Buddhist ones, teach kamma and rebirth or something like the Buddhist versions of them. The Upaniṣads teach a range of post-mortem destinies and what determines them, but only some of these resemble the Buddhist understanding of them and only in the vaguest terms. For example, the Kauṣītaki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Chāndogya teaches something similar, but when the dead fall to the earth as rain, they become plants which, when a man eats them, pass with his semen into his wife’s womb and become a new being. Interestingly, the Chāndogya also says that “this [teaching] has not been known to brahmins before”; in other words, it was something new to the Vedic tradition.</w:t>
      </w:r>
    </w:p>
    <w:p>
      <w:pPr>
        <w:pStyle w:val="WW-paragraph"/>
        <w:rPr>
          <w:lang w:val="en-GB"/>
        </w:rPr>
      </w:pPr>
      <w:r>
        <w:rPr>
          <w:lang w:val="en-GB"/>
        </w:rPr>
        <w:t>The Bṛhadāraṇyaka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rStyle w:val="wwc-sanskrit"/>
          <w:lang w:val="en-GB"/>
        </w:rPr>
        <w:t>jāta</w:t>
      </w:r>
      <w:r>
        <w:rPr>
          <w:lang w:val="en-GB"/>
        </w:rPr>
        <w:t xml:space="preserve"> </w:t>
      </w:r>
      <w:r>
        <w:rPr>
          <w:rStyle w:val="wwc-sanskrit"/>
          <w:lang w:val="en-GB"/>
        </w:rPr>
        <w:t>eva</w:t>
      </w:r>
      <w:r>
        <w:rPr>
          <w:lang w:val="en-GB"/>
        </w:rPr>
        <w:t xml:space="preserve"> </w:t>
      </w:r>
      <w:r>
        <w:rPr>
          <w:rStyle w:val="wwc-sanskrit"/>
          <w:lang w:val="en-GB"/>
        </w:rPr>
        <w:t>na</w:t>
      </w:r>
      <w:r>
        <w:rPr>
          <w:lang w:val="en-GB"/>
        </w:rPr>
        <w:t xml:space="preserve"> </w:t>
      </w:r>
      <w:r>
        <w:rPr>
          <w:rStyle w:val="wwc-sanskrit"/>
          <w:lang w:val="en-GB"/>
        </w:rPr>
        <w:t>jāyate</w:t>
      </w:r>
      <w:r>
        <w:rPr>
          <w:lang w:val="en-GB"/>
        </w:rPr>
        <w:t>) and then adds that the departed are sustained by, amongst other things, offerings made to them by their sons and relatives, the traditional Vedic view (3.9,28).</w:t>
      </w:r>
    </w:p>
    <w:p>
      <w:pPr>
        <w:pStyle w:val="WW-paragraph"/>
        <w:rPr>
          <w:lang w:val="en-GB"/>
        </w:rPr>
      </w:pPr>
      <w:r>
        <w:rPr>
          <w:lang w:val="en-GB"/>
        </w:rPr>
        <w:t>As for kamma, there are a few section of the Bṛhadāraṇyaka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Bṛhadāraṇyaka clearly denies kamma as a form of moral causation, asserts the traditional Vedic belief that one’s post-mortem destiny is determined by having a son, and asserts that the highest post-mortem state is to go to heaven. “There are three worlds—that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Bṛhadāraṇyaka asserts yet another theory—that when the individual dies, he goes to the wind, from there to the sun, then to the moon, which he ascends out of, and arrives in a world without heat or cold, to abide there forever (5.10,1).</w:t>
      </w:r>
    </w:p>
    <w:p>
      <w:pPr>
        <w:pStyle w:val="WW-paragraph"/>
        <w:rPr>
          <w:lang w:val="en-GB"/>
        </w:rPr>
      </w:pPr>
      <w:r>
        <w:rPr>
          <w:lang w:val="en-GB"/>
        </w:rPr>
        <w:t>The Kauṣītaki’s and the Bṛhadāraṇyaka’s notion of ‘rebirth’ is never called that, but is more accurately referred to as transference or transmission (</w:t>
      </w:r>
      <w:r>
        <w:rPr>
          <w:rStyle w:val="wwc-sanskrit"/>
          <w:lang w:val="en-GB"/>
        </w:rPr>
        <w:t>saṃpratti</w:t>
      </w:r>
      <w:r>
        <w:rPr>
          <w:lang w:val="en-GB"/>
        </w:rPr>
        <w:t xml:space="preserve"> or </w:t>
      </w:r>
      <w:r>
        <w:rPr>
          <w:rStyle w:val="wwc-sanskrit"/>
          <w:lang w:val="en-GB"/>
        </w:rPr>
        <w:t>saṃpradāna</w:t>
      </w:r>
      <w:r>
        <w:rPr>
          <w:lang w:val="en-GB"/>
        </w:rPr>
        <w:t>). According to these Upaniṣads,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parents—although both of them, rather than just one—and of their physical features not their psychological makeup. Thus, this Upanisadic concept bears no similarity to either the Buddhist or Jain doctrines of rebirth.</w:t>
      </w:r>
    </w:p>
    <w:p>
      <w:pPr>
        <w:pStyle w:val="WW-paragraph"/>
        <w:rPr>
          <w:lang w:val="en-GB"/>
        </w:rPr>
      </w:pPr>
      <w:r>
        <w:rPr>
          <w:lang w:val="en-GB"/>
        </w:rPr>
        <w:t>The Śvetāśvatara rejects a variety of explanations, including kamma, and maintains that actually everything is controlled by God (1.2-3). Upaniṣads such as the Taittirīya and the Kauṣītaki do mention forms of kamma and rebirth, often seemingly tentatively and sometimes only in the vaguest terms.</w:t>
      </w:r>
    </w:p>
    <w:p>
      <w:pPr>
        <w:pStyle w:val="WW-paragraph"/>
        <w:rPr/>
      </w:pPr>
      <w:r>
        <w:rPr>
          <w:lang w:val="en-GB"/>
        </w:rPr>
        <w:t>With all these competing claims and explanations, it is hardly surprising that the Kaṭha actually says that no one knows what happens to a person after he or she dies (1.20-24). The upshot of all this is that the few Upaniṣads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Upaniṣads but rather that the authors of the Upaniṣads were being influenced by Buddhism, and probably Jainism too.</w:t>
      </w:r>
      <w:r>
        <w:rPr>
          <w:rStyle w:val="FootnoteReference"/>
          <w:lang w:val="en-GB"/>
        </w:rPr>
        <w:footnoteReference w:id="815"/>
      </w:r>
    </w:p>
    <w:p>
      <w:pPr>
        <w:pStyle w:val="WW-paragraph"/>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rStyle w:val="wwc-sanskrit"/>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WW-paragraph"/>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rStyle w:val="wwc-sanskrit"/>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WW-paragraph"/>
        <w:rPr/>
      </w:pPr>
      <w:r>
        <w:rPr>
          <w:lang w:val="en-GB"/>
        </w:rPr>
        <w:t>Some spiritual movements in Hinduism rejected kamma in favour of fate (</w:t>
      </w:r>
      <w:r>
        <w:rPr>
          <w:rStyle w:val="wwc-sanskrit"/>
          <w:lang w:val="en-GB"/>
        </w:rPr>
        <w:t>daiva</w:t>
      </w:r>
      <w:r>
        <w:rPr>
          <w:lang w:val="en-GB"/>
        </w:rPr>
        <w:t>), while others maintained that the individual’s destiny was determined by time (</w:t>
      </w:r>
      <w:r>
        <w:rPr>
          <w:rStyle w:val="wwc-sanskrit"/>
          <w:lang w:val="en-GB"/>
        </w:rPr>
        <w:t>kāla</w:t>
      </w:r>
      <w:r>
        <w:rPr>
          <w:lang w:val="en-GB"/>
        </w:rPr>
        <w:t>), inherent nature (</w:t>
      </w:r>
      <w:r>
        <w:rPr>
          <w:rStyle w:val="wwc-sanskrit"/>
          <w:lang w:val="en-GB"/>
        </w:rPr>
        <w:t>svabhāva</w:t>
      </w:r>
      <w:r>
        <w:rPr>
          <w:lang w:val="en-GB"/>
        </w:rPr>
        <w:t>), chance (</w:t>
      </w:r>
      <w:r>
        <w:rPr>
          <w:rStyle w:val="wwc-sanskrit"/>
          <w:lang w:val="en-GB"/>
        </w:rPr>
        <w:t>yadṛccha</w:t>
      </w:r>
      <w:r>
        <w:rPr>
          <w:lang w:val="en-GB"/>
        </w:rPr>
        <w:t>) or that it is predetermined (</w:t>
      </w:r>
      <w:r>
        <w:rPr>
          <w:rStyle w:val="wwc-sanskrit"/>
          <w:lang w:val="en-GB"/>
        </w:rPr>
        <w:t>bhāvivaśāt</w:t>
      </w:r>
      <w:r>
        <w:rPr>
          <w:lang w:val="en-GB"/>
        </w:rPr>
        <w:t>). Many passages in the Dharmasūtras and the Purāṇas mention kamma while in the next breath recommending various ways it can be circumvented or negated. And on the functioning of rebirth, the Purāṇas and other early Hindu texts present a truly bewildering range of theories, each contradicting the other. The prologue of the Manusmṛti [</w:t>
      </w:r>
      <w:r>
        <w:rPr>
          <w:rStyle w:val="wwc-sesame-zot-reference"/>
          <w:lang w:val="en-GB"/>
        </w:rPr>
        <w:t>Olivelle 2004</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WW-paragraph"/>
        <w:rPr/>
      </w:pPr>
      <w:r>
        <w:rPr>
          <w:lang w:val="en-GB"/>
        </w:rPr>
        <w:t>The Caraka Saṁhitā,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WW-Chapter"/>
        <w:rPr>
          <w:lang w:val="en-GB"/>
        </w:rPr>
      </w:pPr>
      <w:r>
        <w:rPr/>
        <w:t>Abbreviations</w:t>
      </w:r>
    </w:p>
    <w:p>
      <w:pPr>
        <w:pStyle w:val="WW-table-caption"/>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WW-paragraph"/>
              <w:suppressLineNumbers/>
              <w:spacing w:before="170" w:after="170"/>
              <w:rPr>
                <w:lang w:val="en-GB"/>
              </w:rPr>
            </w:pPr>
            <w:r>
              <w:rPr>
                <w:i/>
                <w:iCs/>
              </w:rPr>
              <w:t>A</w:t>
            </w:r>
          </w:p>
        </w:tc>
        <w:tc>
          <w:tcPr>
            <w:tcW w:w="3959" w:type="dxa"/>
            <w:tcBorders/>
          </w:tcPr>
          <w:p>
            <w:pPr>
              <w:pStyle w:val="WW-paragraph"/>
              <w:suppressLineNumbers/>
              <w:spacing w:before="170" w:after="170"/>
              <w:rPr>
                <w:lang w:val="en-GB"/>
              </w:rPr>
            </w:pPr>
            <w:r>
              <w:rPr>
                <w:i/>
                <w:iCs/>
              </w:rPr>
              <w:t>Aṅguttara Nikāya, ed. R. Morris, E. Hardy, PTS London 1885-1900.</w:t>
            </w:r>
          </w:p>
        </w:tc>
      </w:tr>
      <w:tr>
        <w:trPr/>
        <w:tc>
          <w:tcPr>
            <w:tcW w:w="3960" w:type="dxa"/>
            <w:tcBorders/>
          </w:tcPr>
          <w:p>
            <w:pPr>
              <w:pStyle w:val="WW-paragraph"/>
              <w:suppressLineNumbers/>
              <w:spacing w:before="170" w:after="170"/>
              <w:rPr>
                <w:lang w:val="en-GB"/>
              </w:rPr>
            </w:pPr>
            <w:r>
              <w:rPr>
                <w:i/>
                <w:iCs/>
              </w:rPr>
              <w:t>Bc</w:t>
            </w:r>
          </w:p>
        </w:tc>
        <w:tc>
          <w:tcPr>
            <w:tcW w:w="3959" w:type="dxa"/>
            <w:tcBorders/>
          </w:tcPr>
          <w:p>
            <w:pPr>
              <w:pStyle w:val="WW-paragraph"/>
              <w:suppressLineNumbers/>
              <w:spacing w:before="170" w:after="170"/>
              <w:rPr>
                <w:lang w:val="en-GB"/>
              </w:rPr>
            </w:pPr>
            <w:r>
              <w:rPr>
                <w:i/>
                <w:iCs/>
              </w:rPr>
              <w:t>Buddhacarita, ed. and trans. E. H. Johnston, Calcutta 1935.</w:t>
            </w:r>
          </w:p>
        </w:tc>
      </w:tr>
      <w:tr>
        <w:trPr/>
        <w:tc>
          <w:tcPr>
            <w:tcW w:w="3960" w:type="dxa"/>
            <w:tcBorders/>
          </w:tcPr>
          <w:p>
            <w:pPr>
              <w:pStyle w:val="WW-paragraph"/>
              <w:suppressLineNumbers/>
              <w:spacing w:before="170" w:after="170"/>
              <w:rPr>
                <w:lang w:val="en-GB"/>
              </w:rPr>
            </w:pPr>
            <w:r>
              <w:rPr>
                <w:i/>
                <w:iCs/>
              </w:rPr>
              <w:t>Bv-a</w:t>
            </w:r>
          </w:p>
        </w:tc>
        <w:tc>
          <w:tcPr>
            <w:tcW w:w="3959" w:type="dxa"/>
            <w:tcBorders/>
          </w:tcPr>
          <w:p>
            <w:pPr>
              <w:pStyle w:val="WW-paragraph"/>
              <w:suppressLineNumbers/>
              <w:spacing w:before="170" w:after="170"/>
              <w:rPr>
                <w:lang w:val="en-GB"/>
              </w:rPr>
            </w:pPr>
            <w:r>
              <w:rPr>
                <w:i/>
                <w:iCs/>
              </w:rPr>
              <w:t>Madhuratthavilāsinī, ed. I. B. Horner, 1946.</w:t>
            </w:r>
          </w:p>
        </w:tc>
      </w:tr>
      <w:tr>
        <w:trPr/>
        <w:tc>
          <w:tcPr>
            <w:tcW w:w="3960" w:type="dxa"/>
            <w:tcBorders/>
          </w:tcPr>
          <w:p>
            <w:pPr>
              <w:pStyle w:val="WW-paragraph"/>
              <w:suppressLineNumbers/>
              <w:spacing w:before="170" w:after="170"/>
              <w:rPr>
                <w:lang w:val="en-GB"/>
              </w:rPr>
            </w:pPr>
            <w:r>
              <w:rPr>
                <w:i/>
                <w:iCs/>
              </w:rPr>
              <w:t>D</w:t>
            </w:r>
          </w:p>
        </w:tc>
        <w:tc>
          <w:tcPr>
            <w:tcW w:w="3959" w:type="dxa"/>
            <w:tcBorders/>
          </w:tcPr>
          <w:p>
            <w:pPr>
              <w:pStyle w:val="WW-paragraph"/>
              <w:suppressLineNumbers/>
              <w:spacing w:before="170" w:after="170"/>
              <w:rPr>
                <w:lang w:val="en-GB"/>
              </w:rPr>
            </w:pPr>
            <w:r>
              <w:rPr>
                <w:i/>
                <w:iCs/>
              </w:rPr>
              <w:t>Dīgha Nikāya, ed. T. W. Rhys Davids, J. E. Carpenter, PTS London 1890-1911.</w:t>
            </w:r>
          </w:p>
        </w:tc>
      </w:tr>
      <w:tr>
        <w:trPr/>
        <w:tc>
          <w:tcPr>
            <w:tcW w:w="3960" w:type="dxa"/>
            <w:tcBorders/>
          </w:tcPr>
          <w:p>
            <w:pPr>
              <w:pStyle w:val="WW-paragraph"/>
              <w:suppressLineNumbers/>
              <w:spacing w:before="170" w:after="170"/>
              <w:rPr>
                <w:lang w:val="en-GB"/>
              </w:rPr>
            </w:pPr>
            <w:r>
              <w:rPr>
                <w:i/>
                <w:iCs/>
              </w:rPr>
              <w:t>Dhp</w:t>
            </w:r>
          </w:p>
        </w:tc>
        <w:tc>
          <w:tcPr>
            <w:tcW w:w="3959" w:type="dxa"/>
            <w:tcBorders/>
          </w:tcPr>
          <w:p>
            <w:pPr>
              <w:pStyle w:val="WW-paragraph"/>
              <w:suppressLineNumbers/>
              <w:spacing w:before="170" w:after="170"/>
              <w:rPr>
                <w:lang w:val="en-GB"/>
              </w:rPr>
            </w:pPr>
            <w:r>
              <w:rPr>
                <w:i/>
                <w:iCs/>
              </w:rPr>
              <w:t>Dhammapada, ed. O. Von Hinüber, K. R. Norman, PTS Oxford 1994.</w:t>
            </w:r>
          </w:p>
        </w:tc>
      </w:tr>
      <w:tr>
        <w:trPr/>
        <w:tc>
          <w:tcPr>
            <w:tcW w:w="3960" w:type="dxa"/>
            <w:tcBorders/>
          </w:tcPr>
          <w:p>
            <w:pPr>
              <w:pStyle w:val="WW-paragraph"/>
              <w:suppressLineNumbers/>
              <w:spacing w:before="170" w:after="170"/>
              <w:rPr>
                <w:lang w:val="en-GB"/>
              </w:rPr>
            </w:pPr>
            <w:r>
              <w:rPr>
                <w:i/>
                <w:iCs/>
              </w:rPr>
              <w:t>Dhp –a</w:t>
            </w:r>
          </w:p>
        </w:tc>
        <w:tc>
          <w:tcPr>
            <w:tcW w:w="3959" w:type="dxa"/>
            <w:tcBorders/>
          </w:tcPr>
          <w:p>
            <w:pPr>
              <w:pStyle w:val="WW-paragraph"/>
              <w:suppressLineNumbers/>
              <w:spacing w:before="170" w:after="170"/>
              <w:rPr>
                <w:lang w:val="en-GB"/>
              </w:rPr>
            </w:pPr>
            <w:r>
              <w:rPr>
                <w:i/>
                <w:iCs/>
              </w:rPr>
              <w:t>Dhammapada-aṭṭhakathā, ed. H. C. Norman, PTS London 1906-14.</w:t>
            </w:r>
          </w:p>
        </w:tc>
      </w:tr>
      <w:tr>
        <w:trPr/>
        <w:tc>
          <w:tcPr>
            <w:tcW w:w="3960" w:type="dxa"/>
            <w:tcBorders/>
          </w:tcPr>
          <w:p>
            <w:pPr>
              <w:pStyle w:val="WW-paragraph"/>
              <w:suppressLineNumbers/>
              <w:spacing w:before="170" w:after="170"/>
              <w:rPr>
                <w:lang w:val="en-GB"/>
              </w:rPr>
            </w:pPr>
            <w:r>
              <w:rPr>
                <w:i/>
                <w:iCs/>
              </w:rPr>
              <w:t>It</w:t>
            </w:r>
          </w:p>
        </w:tc>
        <w:tc>
          <w:tcPr>
            <w:tcW w:w="3959" w:type="dxa"/>
            <w:tcBorders/>
          </w:tcPr>
          <w:p>
            <w:pPr>
              <w:pStyle w:val="WW-paragraph"/>
              <w:suppressLineNumbers/>
              <w:spacing w:before="170" w:after="170"/>
              <w:rPr>
                <w:lang w:val="en-GB"/>
              </w:rPr>
            </w:pPr>
            <w:r>
              <w:rPr>
                <w:i/>
                <w:iCs/>
              </w:rPr>
              <w:t>Itivuttaka, ed. E. Windisch, PTS London 1889.</w:t>
            </w:r>
          </w:p>
        </w:tc>
      </w:tr>
      <w:tr>
        <w:trPr/>
        <w:tc>
          <w:tcPr>
            <w:tcW w:w="3960" w:type="dxa"/>
            <w:tcBorders/>
          </w:tcPr>
          <w:p>
            <w:pPr>
              <w:pStyle w:val="WW-paragraph"/>
              <w:suppressLineNumbers/>
              <w:spacing w:before="170" w:after="170"/>
              <w:rPr>
                <w:lang w:val="en-GB"/>
              </w:rPr>
            </w:pPr>
            <w:r>
              <w:rPr>
                <w:i/>
                <w:iCs/>
              </w:rPr>
              <w:t>Ja</w:t>
            </w:r>
          </w:p>
        </w:tc>
        <w:tc>
          <w:tcPr>
            <w:tcW w:w="3959" w:type="dxa"/>
            <w:tcBorders/>
          </w:tcPr>
          <w:p>
            <w:pPr>
              <w:pStyle w:val="WW-paragraph"/>
              <w:suppressLineNumbers/>
              <w:spacing w:before="170" w:after="170"/>
              <w:rPr>
                <w:lang w:val="en-GB"/>
              </w:rPr>
            </w:pPr>
            <w:r>
              <w:rPr>
                <w:i/>
                <w:iCs/>
              </w:rPr>
              <w:t>Jātaka with commentary, ed. V. Fausebøll, PTS London 1877-96.</w:t>
            </w:r>
          </w:p>
        </w:tc>
      </w:tr>
      <w:tr>
        <w:trPr/>
        <w:tc>
          <w:tcPr>
            <w:tcW w:w="3960" w:type="dxa"/>
            <w:tcBorders/>
          </w:tcPr>
          <w:p>
            <w:pPr>
              <w:pStyle w:val="WW-paragraph"/>
              <w:suppressLineNumbers/>
              <w:spacing w:before="170" w:after="170"/>
              <w:rPr>
                <w:lang w:val="en-GB"/>
              </w:rPr>
            </w:pPr>
            <w:r>
              <w:rPr>
                <w:i/>
                <w:iCs/>
              </w:rPr>
              <w:t>Jn</w:t>
            </w:r>
          </w:p>
        </w:tc>
        <w:tc>
          <w:tcPr>
            <w:tcW w:w="3959" w:type="dxa"/>
            <w:tcBorders/>
          </w:tcPr>
          <w:p>
            <w:pPr>
              <w:pStyle w:val="WW-paragraph"/>
              <w:suppressLineNumbers/>
              <w:spacing w:before="170" w:after="170"/>
              <w:rPr>
                <w:lang w:val="en-GB"/>
              </w:rPr>
            </w:pPr>
            <w:r>
              <w:rPr>
                <w:i/>
                <w:iCs/>
              </w:rPr>
              <w:t>Jātaka Nidānakathā, ed. V. Fausebøll, PTS London 1877-96.</w:t>
            </w:r>
          </w:p>
        </w:tc>
      </w:tr>
      <w:tr>
        <w:trPr/>
        <w:tc>
          <w:tcPr>
            <w:tcW w:w="3960" w:type="dxa"/>
            <w:tcBorders/>
          </w:tcPr>
          <w:p>
            <w:pPr>
              <w:pStyle w:val="WW-paragraph"/>
              <w:suppressLineNumbers/>
              <w:spacing w:before="170" w:after="170"/>
              <w:rPr>
                <w:lang w:val="en-GB"/>
              </w:rPr>
            </w:pPr>
            <w:r>
              <w:rPr>
                <w:i/>
                <w:iCs/>
              </w:rPr>
              <w:t>Kv</w:t>
            </w:r>
          </w:p>
        </w:tc>
        <w:tc>
          <w:tcPr>
            <w:tcW w:w="3959" w:type="dxa"/>
            <w:tcBorders/>
          </w:tcPr>
          <w:p>
            <w:pPr>
              <w:pStyle w:val="WW-paragraph"/>
              <w:suppressLineNumbers/>
              <w:spacing w:before="170" w:after="170"/>
              <w:rPr>
                <w:lang w:val="en-GB"/>
              </w:rPr>
            </w:pPr>
            <w:r>
              <w:rPr>
                <w:i/>
                <w:iCs/>
              </w:rPr>
              <w:t>Kathāvatthu, ed. A. C. Taylor, PTS London, vol. I 1894, vol. II 1897.</w:t>
            </w:r>
          </w:p>
        </w:tc>
      </w:tr>
      <w:tr>
        <w:trPr/>
        <w:tc>
          <w:tcPr>
            <w:tcW w:w="3960" w:type="dxa"/>
            <w:tcBorders/>
          </w:tcPr>
          <w:p>
            <w:pPr>
              <w:pStyle w:val="WW-paragraph"/>
              <w:suppressLineNumbers/>
              <w:spacing w:before="170" w:after="170"/>
              <w:rPr>
                <w:lang w:val="en-GB"/>
              </w:rPr>
            </w:pPr>
            <w:r>
              <w:rPr>
                <w:i/>
                <w:iCs/>
              </w:rPr>
              <w:t>M</w:t>
            </w:r>
          </w:p>
        </w:tc>
        <w:tc>
          <w:tcPr>
            <w:tcW w:w="3959" w:type="dxa"/>
            <w:tcBorders/>
          </w:tcPr>
          <w:p>
            <w:pPr>
              <w:pStyle w:val="WW-paragraph"/>
              <w:suppressLineNumbers/>
              <w:spacing w:before="170" w:after="170"/>
              <w:rPr>
                <w:lang w:val="en-GB"/>
              </w:rPr>
            </w:pPr>
            <w:r>
              <w:rPr>
                <w:i/>
                <w:iCs/>
              </w:rPr>
              <w:t>Majjhima Nikāya, ed. V. Trenckner, R. Chalmers, PTS London 1887-1902.</w:t>
            </w:r>
          </w:p>
        </w:tc>
      </w:tr>
      <w:tr>
        <w:trPr/>
        <w:tc>
          <w:tcPr>
            <w:tcW w:w="3960" w:type="dxa"/>
            <w:tcBorders/>
          </w:tcPr>
          <w:p>
            <w:pPr>
              <w:pStyle w:val="WW-paragraph"/>
              <w:suppressLineNumbers/>
              <w:spacing w:before="170" w:after="170"/>
              <w:rPr>
                <w:lang w:val="en-GB"/>
              </w:rPr>
            </w:pPr>
            <w:r>
              <w:rPr>
                <w:i/>
                <w:iCs/>
              </w:rPr>
              <w:t>Mhv</w:t>
            </w:r>
          </w:p>
        </w:tc>
        <w:tc>
          <w:tcPr>
            <w:tcW w:w="3959" w:type="dxa"/>
            <w:tcBorders/>
          </w:tcPr>
          <w:p>
            <w:pPr>
              <w:pStyle w:val="WW-paragraph"/>
              <w:suppressLineNumbers/>
              <w:spacing w:before="170" w:after="170"/>
              <w:rPr>
                <w:lang w:val="en-GB"/>
              </w:rPr>
            </w:pPr>
            <w:r>
              <w:rPr>
                <w:i/>
                <w:iCs/>
              </w:rPr>
              <w:t>Mahāvaṃsa, ed. W. Geiger, PTS, London, 1908.</w:t>
            </w:r>
          </w:p>
        </w:tc>
      </w:tr>
      <w:tr>
        <w:trPr/>
        <w:tc>
          <w:tcPr>
            <w:tcW w:w="3960" w:type="dxa"/>
            <w:tcBorders/>
          </w:tcPr>
          <w:p>
            <w:pPr>
              <w:pStyle w:val="WW-paragraph"/>
              <w:suppressLineNumbers/>
              <w:spacing w:before="170" w:after="170"/>
              <w:rPr>
                <w:lang w:val="en-GB"/>
              </w:rPr>
            </w:pPr>
            <w:r>
              <w:rPr>
                <w:i/>
                <w:iCs/>
              </w:rPr>
              <w:t>Mil</w:t>
            </w:r>
          </w:p>
        </w:tc>
        <w:tc>
          <w:tcPr>
            <w:tcW w:w="3959" w:type="dxa"/>
            <w:tcBorders/>
          </w:tcPr>
          <w:p>
            <w:pPr>
              <w:pStyle w:val="WW-paragraph"/>
              <w:suppressLineNumbers/>
              <w:spacing w:before="170" w:after="170"/>
              <w:rPr>
                <w:lang w:val="en-GB"/>
              </w:rPr>
            </w:pPr>
            <w:r>
              <w:rPr>
                <w:i/>
                <w:iCs/>
              </w:rPr>
              <w:t>Milindapañho, ed. V. Trenckner, PTS London 1880.</w:t>
            </w:r>
          </w:p>
        </w:tc>
      </w:tr>
      <w:tr>
        <w:trPr/>
        <w:tc>
          <w:tcPr>
            <w:tcW w:w="3960" w:type="dxa"/>
            <w:tcBorders/>
          </w:tcPr>
          <w:p>
            <w:pPr>
              <w:pStyle w:val="WW-paragraph"/>
              <w:suppressLineNumbers/>
              <w:spacing w:before="170" w:after="170"/>
              <w:rPr>
                <w:lang w:val="en-GB"/>
              </w:rPr>
            </w:pPr>
            <w:r>
              <w:rPr>
                <w:i/>
                <w:iCs/>
              </w:rPr>
              <w:t>Mvu</w:t>
            </w:r>
          </w:p>
        </w:tc>
        <w:tc>
          <w:tcPr>
            <w:tcW w:w="3959" w:type="dxa"/>
            <w:tcBorders/>
          </w:tcPr>
          <w:p>
            <w:pPr>
              <w:pStyle w:val="WW-paragraph"/>
              <w:suppressLineNumbers/>
              <w:spacing w:before="170" w:after="170"/>
              <w:rPr>
                <w:lang w:val="en-GB"/>
              </w:rPr>
            </w:pPr>
            <w:r>
              <w:rPr>
                <w:i/>
                <w:iCs/>
              </w:rPr>
              <w:t>Mahāvastu, ed. E Senart, Paris 1882-1897.</w:t>
            </w:r>
          </w:p>
        </w:tc>
      </w:tr>
      <w:tr>
        <w:trPr/>
        <w:tc>
          <w:tcPr>
            <w:tcW w:w="3960" w:type="dxa"/>
            <w:tcBorders/>
          </w:tcPr>
          <w:p>
            <w:pPr>
              <w:pStyle w:val="WW-paragraph"/>
              <w:suppressLineNumbers/>
              <w:spacing w:before="170" w:after="170"/>
              <w:rPr>
                <w:lang w:val="en-GB"/>
              </w:rPr>
            </w:pPr>
            <w:r>
              <w:rPr>
                <w:i/>
                <w:iCs/>
              </w:rPr>
              <w:t>S</w:t>
            </w:r>
          </w:p>
        </w:tc>
        <w:tc>
          <w:tcPr>
            <w:tcW w:w="3959" w:type="dxa"/>
            <w:tcBorders/>
          </w:tcPr>
          <w:p>
            <w:pPr>
              <w:pStyle w:val="WW-paragraph"/>
              <w:suppressLineNumbers/>
              <w:spacing w:before="170" w:after="170"/>
              <w:rPr>
                <w:lang w:val="en-GB"/>
              </w:rPr>
            </w:pPr>
            <w:r>
              <w:rPr>
                <w:i/>
                <w:iCs/>
              </w:rPr>
              <w:t>Saṃyutta Nikāya, ed. L. Feer, PTS London 1884-98.</w:t>
            </w:r>
          </w:p>
        </w:tc>
      </w:tr>
      <w:tr>
        <w:trPr/>
        <w:tc>
          <w:tcPr>
            <w:tcW w:w="3960" w:type="dxa"/>
            <w:tcBorders/>
          </w:tcPr>
          <w:p>
            <w:pPr>
              <w:pStyle w:val="WW-paragraph"/>
              <w:suppressLineNumbers/>
              <w:spacing w:before="170" w:after="170"/>
              <w:rPr>
                <w:lang w:val="en-GB"/>
              </w:rPr>
            </w:pPr>
            <w:r>
              <w:rPr>
                <w:i/>
                <w:iCs/>
              </w:rPr>
              <w:t>Sn</w:t>
            </w:r>
          </w:p>
        </w:tc>
        <w:tc>
          <w:tcPr>
            <w:tcW w:w="3959" w:type="dxa"/>
            <w:tcBorders/>
          </w:tcPr>
          <w:p>
            <w:pPr>
              <w:pStyle w:val="WW-paragraph"/>
              <w:suppressLineNumbers/>
              <w:spacing w:before="170" w:after="170"/>
              <w:rPr>
                <w:lang w:val="en-GB"/>
              </w:rPr>
            </w:pPr>
            <w:r>
              <w:rPr>
                <w:i/>
                <w:iCs/>
              </w:rPr>
              <w:t>Sutta Nipāta, ed. D. Andersen, H. Smith, PTS London 1913.</w:t>
            </w:r>
          </w:p>
        </w:tc>
      </w:tr>
      <w:tr>
        <w:trPr/>
        <w:tc>
          <w:tcPr>
            <w:tcW w:w="3960" w:type="dxa"/>
            <w:tcBorders/>
          </w:tcPr>
          <w:p>
            <w:pPr>
              <w:pStyle w:val="WW-paragraph"/>
              <w:suppressLineNumbers/>
              <w:spacing w:before="170" w:after="170"/>
              <w:rPr>
                <w:lang w:val="en-GB"/>
              </w:rPr>
            </w:pPr>
            <w:r>
              <w:rPr>
                <w:i/>
                <w:iCs/>
              </w:rPr>
              <w:t>Tha, Thi</w:t>
            </w:r>
          </w:p>
        </w:tc>
        <w:tc>
          <w:tcPr>
            <w:tcW w:w="3959" w:type="dxa"/>
            <w:tcBorders/>
          </w:tcPr>
          <w:p>
            <w:pPr>
              <w:pStyle w:val="WW-paragraph"/>
              <w:suppressLineNumbers/>
              <w:spacing w:before="170" w:after="170"/>
              <w:rPr>
                <w:lang w:val="en-GB"/>
              </w:rPr>
            </w:pPr>
            <w:r>
              <w:rPr>
                <w:i/>
                <w:iCs/>
              </w:rPr>
              <w:t>Theragātha and Therīgāthā, ed. H. Oldenberg, R. Pischel, 2nd edition, PTS London 1966.</w:t>
            </w:r>
          </w:p>
        </w:tc>
      </w:tr>
      <w:tr>
        <w:trPr/>
        <w:tc>
          <w:tcPr>
            <w:tcW w:w="3960" w:type="dxa"/>
            <w:tcBorders/>
          </w:tcPr>
          <w:p>
            <w:pPr>
              <w:pStyle w:val="WW-paragraph"/>
              <w:suppressLineNumbers/>
              <w:spacing w:before="170" w:after="170"/>
              <w:rPr>
                <w:lang w:val="en-GB"/>
              </w:rPr>
            </w:pPr>
            <w:r>
              <w:rPr>
                <w:i/>
                <w:iCs/>
              </w:rPr>
              <w:t>Ud</w:t>
            </w:r>
          </w:p>
        </w:tc>
        <w:tc>
          <w:tcPr>
            <w:tcW w:w="3959" w:type="dxa"/>
            <w:tcBorders/>
          </w:tcPr>
          <w:p>
            <w:pPr>
              <w:pStyle w:val="WW-paragraph"/>
              <w:suppressLineNumbers/>
              <w:spacing w:before="170" w:after="170"/>
              <w:rPr>
                <w:lang w:val="en-GB"/>
              </w:rPr>
            </w:pPr>
            <w:r>
              <w:rPr>
                <w:i/>
                <w:iCs/>
              </w:rPr>
              <w:t>Udāna, ed. P. Steinthal, PTS London 1885.</w:t>
            </w:r>
          </w:p>
        </w:tc>
      </w:tr>
      <w:tr>
        <w:trPr/>
        <w:tc>
          <w:tcPr>
            <w:tcW w:w="3960" w:type="dxa"/>
            <w:tcBorders/>
          </w:tcPr>
          <w:p>
            <w:pPr>
              <w:pStyle w:val="WW-paragraph"/>
              <w:suppressLineNumbers/>
              <w:spacing w:before="170" w:after="170"/>
              <w:rPr>
                <w:lang w:val="en-GB"/>
              </w:rPr>
            </w:pPr>
            <w:r>
              <w:rPr>
                <w:i/>
                <w:iCs/>
              </w:rPr>
              <w:t>Ud-a</w:t>
            </w:r>
          </w:p>
        </w:tc>
        <w:tc>
          <w:tcPr>
            <w:tcW w:w="3959" w:type="dxa"/>
            <w:tcBorders/>
          </w:tcPr>
          <w:p>
            <w:pPr>
              <w:pStyle w:val="WW-paragraph"/>
              <w:suppressLineNumbers/>
              <w:spacing w:before="170" w:after="170"/>
              <w:rPr>
                <w:lang w:val="en-GB"/>
              </w:rPr>
            </w:pPr>
            <w:r>
              <w:rPr>
                <w:i/>
                <w:iCs/>
              </w:rPr>
              <w:t>Paramatthadīpanī, ed. F. L, Woodward, PTS London 1926.</w:t>
            </w:r>
          </w:p>
        </w:tc>
      </w:tr>
      <w:tr>
        <w:trPr/>
        <w:tc>
          <w:tcPr>
            <w:tcW w:w="3960" w:type="dxa"/>
            <w:tcBorders/>
          </w:tcPr>
          <w:p>
            <w:pPr>
              <w:pStyle w:val="WW-paragraph"/>
              <w:suppressLineNumbers/>
              <w:spacing w:before="170" w:after="170"/>
              <w:rPr>
                <w:lang w:val="en-GB"/>
              </w:rPr>
            </w:pPr>
            <w:r>
              <w:rPr>
                <w:i/>
                <w:iCs/>
              </w:rPr>
              <w:t>Vin</w:t>
            </w:r>
          </w:p>
        </w:tc>
        <w:tc>
          <w:tcPr>
            <w:tcW w:w="3959" w:type="dxa"/>
            <w:tcBorders/>
          </w:tcPr>
          <w:p>
            <w:pPr>
              <w:pStyle w:val="WW-paragraph"/>
              <w:suppressLineNumbers/>
              <w:spacing w:before="170" w:after="170"/>
              <w:rPr>
                <w:lang w:val="en-GB"/>
              </w:rPr>
            </w:pPr>
            <w:r>
              <w:rPr>
                <w:i/>
                <w:iCs/>
              </w:rPr>
              <w:t>Vinaya Piṭaka, ed. H. Oldenberg, PTS London 1879-83.</w:t>
            </w:r>
          </w:p>
        </w:tc>
      </w:tr>
    </w:tbl>
    <w:p>
      <w:pPr>
        <w:pStyle w:val="WW-paragraph"/>
        <w:spacing w:before="170" w:after="17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 CAF Davids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lang w:val="en-GB"/>
        </w:rPr>
        <w:t>Wynne 2019 and Levman 2019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1897b</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Hyperlink"/>
          <w:lang w:val="en-GB"/>
        </w:rPr>
        <w:t>Jamison Brereton 2014</w:t>
      </w:r>
      <w:r>
        <w:rPr>
          <w:lang w:val="en-GB"/>
        </w:rPr>
        <w:t>] X, 90; Atharvaveda [</w:t>
      </w:r>
      <w:r>
        <w:rPr>
          <w:rStyle w:val="wwc-sesame-zot-reference"/>
          <w:lang w:val="en-GB"/>
        </w:rPr>
        <w:t>Griffith 1917</w:t>
      </w:r>
      <w:r>
        <w:rPr>
          <w:lang w:val="en-GB"/>
        </w:rPr>
        <w:t>] XX.6, 6; Taittirīya Saṃhitā [</w:t>
      </w:r>
      <w:r>
        <w:rPr>
          <w:rStyle w:val="wwc-sesame-zot-reference"/>
          <w:lang w:val="en-GB"/>
        </w:rPr>
        <w:t>Keith 1904</w:t>
      </w:r>
      <w:r>
        <w:rPr>
          <w:lang w:val="en-GB"/>
        </w:rPr>
        <w:t>] 7,1,1, 4-6; Manusmṛti [</w:t>
      </w:r>
      <w:r>
        <w:rPr>
          <w:rStyle w:val="wwc-sesame-zot-reference"/>
          <w:lang w:val="en-GB"/>
        </w:rPr>
        <w:t>Olivelle 2004</w:t>
      </w:r>
      <w:r>
        <w:rPr>
          <w:lang w:val="en-GB"/>
        </w:rPr>
        <w:t>] I, 31; Bhagavad Gīta [</w:t>
      </w:r>
      <w:r>
        <w:rPr>
          <w:rStyle w:val="wwc-sesame-zot-reference"/>
          <w:lang w:val="en-GB"/>
        </w:rPr>
        <w:t>Sivananda 2000</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bookmarkStart w:id="0" w:name="note115"/>
      <w:bookmarkEnd w:id="0"/>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WW-footnote"/>
        <w:spacing w:before="113" w:after="0"/>
        <w:rPr/>
      </w:pPr>
      <w:r>
        <w:rPr>
          <w:rStyle w:val="FootnoteCharacters"/>
        </w:rPr>
        <w:footnoteRef/>
      </w:r>
      <w:r>
        <w:rPr>
          <w:rStyle w:val="wwc-sesame-zot-reference"/>
          <w:lang w:val="en-GB"/>
        </w:rPr>
        <w:t>Dyson 2018</w:t>
      </w:r>
      <w:r>
        <w:rPr>
          <w:lang w:val="en-GB"/>
        </w:rPr>
        <w:t xml:space="preserve"> pp.16 ff.</w:t>
      </w:r>
    </w:p>
  </w:footnote>
  <w:footnote w:id="182">
    <w:p>
      <w:pPr>
        <w:pStyle w:val="WW-footnote"/>
        <w:spacing w:before="113" w:after="0"/>
        <w:rPr/>
      </w:pPr>
      <w:r>
        <w:rPr>
          <w:rStyle w:val="FootnoteCharacters"/>
        </w:rPr>
        <w:footnoteRef/>
      </w:r>
      <w:r>
        <w:rPr>
          <w:rStyle w:val="wwc-sesame-zot-reference"/>
          <w:lang w:val="en-GB"/>
        </w:rPr>
        <w:t>Campbell 2008</w:t>
      </w:r>
      <w:r>
        <w:rPr>
          <w:lang w:val="en-GB"/>
        </w:rPr>
        <w:t xml:space="preserve"> p.51.</w:t>
      </w:r>
    </w:p>
  </w:footnote>
  <w:footnote w:id="183">
    <w:p>
      <w:pPr>
        <w:pStyle w:val="WW-footnote"/>
        <w:spacing w:before="113" w:after="0"/>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Saadon-Grosman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 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2013</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pali"/>
          <w:lang w:val="en-GB"/>
        </w:rPr>
        <w:t>Crotalaria</w:t>
      </w:r>
      <w:r>
        <w:rPr>
          <w:lang w:val="en-GB"/>
        </w:rPr>
        <w:t xml:space="preserve"> </w:t>
      </w:r>
      <w:r>
        <w:rPr>
          <w:rStyle w:val="wwc-pali"/>
          <w:lang w:val="en-GB"/>
        </w:rPr>
        <w:t>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Sālapupphakaṃ</w:t>
      </w:r>
      <w:r>
        <w:rPr>
          <w:lang w:val="en-GB"/>
        </w:rPr>
        <w:t xml:space="preserve"> </w:t>
      </w:r>
      <w:r>
        <w:rPr>
          <w:rStyle w:val="wwc-pali"/>
          <w:lang w:val="en-GB"/>
        </w:rPr>
        <w:t>khādanīyaṃ</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Sampannakolakaṃ</w:t>
      </w:r>
      <w:r>
        <w:rPr>
          <w:lang w:val="en-GB"/>
        </w:rPr>
        <w:t xml:space="preserve"> </w:t>
      </w:r>
      <w:r>
        <w:rPr>
          <w:rStyle w:val="wwc-pali"/>
          <w:lang w:val="en-GB"/>
        </w:rPr>
        <w:t>sūkaramaṃsaṃ</w:t>
      </w:r>
      <w:r>
        <w:rPr>
          <w:lang w:val="en-GB"/>
        </w:rPr>
        <w:t xml:space="preserve">: pork stewed in the slightly tart fruit of the </w:t>
      </w:r>
      <w:r>
        <w:rPr>
          <w:rStyle w:val="wwc-pali"/>
          <w:lang w:val="en-GB"/>
        </w:rPr>
        <w:t>Ziziphus</w:t>
      </w:r>
      <w:r>
        <w:rPr>
          <w:lang w:val="en-GB"/>
        </w:rPr>
        <w:t xml:space="preserve"> </w:t>
      </w:r>
      <w:r>
        <w:rPr>
          <w:rStyle w:val="wwc-pali"/>
          <w:lang w:val="en-GB"/>
        </w:rPr>
        <w:t>jujube</w:t>
      </w:r>
      <w:r>
        <w:rPr>
          <w:lang w:val="en-GB"/>
        </w:rPr>
        <w:t xml:space="preserve">. The meaning of </w:t>
      </w:r>
      <w:r>
        <w:rPr>
          <w:rStyle w:val="wwc-pali"/>
          <w:lang w:val="en-GB"/>
        </w:rPr>
        <w:t>nibaddhatelakaṃ</w:t>
      </w:r>
      <w:r>
        <w:rPr>
          <w:lang w:val="en-GB"/>
        </w:rPr>
        <w:t xml:space="preserve"> </w:t>
      </w:r>
      <w:r>
        <w:rPr>
          <w:rStyle w:val="wwc-pali"/>
          <w:lang w:val="en-GB"/>
        </w:rPr>
        <w:t>nāliyāsākaṃ</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Sālinaṃ</w:t>
      </w:r>
      <w:r>
        <w:rPr>
          <w:lang w:val="en-GB"/>
        </w:rPr>
        <w:t xml:space="preserve"> </w:t>
      </w:r>
      <w:r>
        <w:rPr>
          <w:rStyle w:val="wwc-pali"/>
          <w:lang w:val="en-GB"/>
        </w:rPr>
        <w:t>odano</w:t>
      </w:r>
      <w:r>
        <w:rPr>
          <w:lang w:val="en-GB"/>
        </w:rPr>
        <w:t xml:space="preserve"> </w:t>
      </w:r>
      <w:r>
        <w:rPr>
          <w:rStyle w:val="wwc-pali"/>
          <w:lang w:val="en-GB"/>
        </w:rPr>
        <w:t>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uyyojaniyapaṭisaṃyuttaṃ</w:t>
      </w:r>
      <w:r>
        <w:rPr>
          <w:lang w:val="en-GB"/>
        </w:rPr>
        <w:t xml:space="preserve"> </w:t>
      </w:r>
      <w:r>
        <w:rPr>
          <w:rStyle w:val="wwc-pali"/>
          <w:lang w:val="en-GB"/>
        </w:rPr>
        <w:t>yeva</w:t>
      </w:r>
      <w:r>
        <w:rPr>
          <w:lang w:val="en-GB"/>
        </w:rPr>
        <w:t xml:space="preserve"> </w:t>
      </w:r>
      <w:r>
        <w:rPr>
          <w:rStyle w:val="wwc-pali"/>
          <w:lang w:val="en-GB"/>
        </w:rPr>
        <w:t>kathaṃ</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w:t>
      </w:r>
      <w:r>
        <w:rPr>
          <w:lang w:val="en-GB"/>
        </w:rPr>
        <w:t xml:space="preserve"> </w:t>
      </w:r>
      <w:r>
        <w:rPr>
          <w:rStyle w:val="wwc-pali"/>
          <w:lang w:val="en-GB"/>
        </w:rPr>
        <w:t>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w:t>
      </w:r>
      <w:r>
        <w:rPr>
          <w:lang w:val="en-GB"/>
        </w:rPr>
        <w:t xml:space="preserve"> </w:t>
      </w:r>
      <w:r>
        <w:rPr>
          <w:rStyle w:val="wwc-pali"/>
          <w:lang w:val="en-GB"/>
        </w:rPr>
        <w:t>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renamed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w:t>
      </w:r>
      <w:r>
        <w:rPr>
          <w:lang w:val="en-GB"/>
        </w:rPr>
        <w:t xml:space="preserve"> </w:t>
      </w:r>
      <w:r>
        <w:rPr>
          <w:rStyle w:val="wwc-pali"/>
          <w:lang w:val="en-GB"/>
        </w:rPr>
        <w:t>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Marshall 1983</w:t>
      </w:r>
      <w:r>
        <w:rPr>
          <w:lang w:val="en-GB"/>
        </w:rPr>
        <w:t xml:space="preserve"> pp.299-300. On the first of these places, Patiṭṭāna, see </w:t>
      </w:r>
      <w:r>
        <w:rPr>
          <w:rStyle w:val="wwc-sesame-zot-reference"/>
          <w:lang w:val="en-GB"/>
        </w:rPr>
        <w:t>Kennet Rao Bai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WW-footnote"/>
        <w:spacing w:before="113" w:after="0"/>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WW-footnote"/>
        <w:spacing w:before="113" w:after="0"/>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WW-footnote"/>
        <w:spacing w:before="113" w:after="0"/>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WW-footnote"/>
        <w:spacing w:before="113" w:after="0"/>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WW-footnote"/>
        <w:spacing w:before="113" w:after="0"/>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WW-footnote"/>
        <w:spacing w:before="113" w:after="0"/>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rStyle w:val="wwc-pali"/>
          <w:lang w:val="en-GB"/>
        </w:rPr>
        <w:t>oghā</w:t>
      </w:r>
      <w:r>
        <w:rPr>
          <w:lang w:val="en-GB"/>
        </w:rPr>
        <w:t xml:space="preserve"> made of either peacock feathers or strands of wool for the same purpose.</w:t>
      </w:r>
    </w:p>
  </w:footnote>
  <w:footnote w:id="456">
    <w:p>
      <w:pPr>
        <w:pStyle w:val="WW-footnote"/>
        <w:spacing w:before="113" w:after="0"/>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WW-footnote"/>
        <w:spacing w:before="113" w:after="0"/>
        <w:rPr/>
      </w:pPr>
      <w:r>
        <w:rPr>
          <w:rStyle w:val="FootnoteCharacters"/>
        </w:rPr>
        <w:footnoteRef/>
      </w:r>
      <w:r>
        <w:rPr>
          <w:lang w:val="en-GB"/>
        </w:rPr>
        <w:t>M.I,369 (</w:t>
      </w:r>
      <w:hyperlink r:id="rId175">
        <w:r>
          <w:rPr>
            <w:rStyle w:val="Hyperlink"/>
            <w:lang w:val="en-GB"/>
          </w:rPr>
          <w:t>MN 55</w:t>
        </w:r>
      </w:hyperlink>
      <w:r>
        <w:rPr>
          <w:lang w:val="en-GB"/>
        </w:rPr>
        <w:t xml:space="preserve">). It is widely believed that the Buddha taught vegetarianism but this is not correct, although the practice was advocated by some Indian Buddhists in later centuries. See </w:t>
      </w:r>
      <w:r>
        <w:rPr>
          <w:rStyle w:val="wwc-sesame-zot-reference"/>
          <w:lang w:val="en-GB"/>
        </w:rPr>
        <w:t>Dhammika 2016</w:t>
      </w:r>
      <w:r>
        <w:rPr>
          <w:lang w:val="en-GB"/>
        </w:rPr>
        <w:t>.</w:t>
      </w:r>
    </w:p>
  </w:footnote>
  <w:footnote w:id="458">
    <w:p>
      <w:pPr>
        <w:pStyle w:val="WW-footnote"/>
        <w:spacing w:before="113" w:after="0"/>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WW-footnote"/>
        <w:spacing w:before="113" w:after="0"/>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WW-footnote"/>
        <w:spacing w:before="113" w:after="0"/>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WW-footnote"/>
        <w:spacing w:before="113" w:after="0"/>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WW-footnote"/>
        <w:spacing w:before="113" w:after="0"/>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rStyle w:val="wwc-pali"/>
          <w:lang w:val="en-GB"/>
        </w:rPr>
        <w:t>māyā</w:t>
      </w:r>
      <w:r>
        <w:rPr>
          <w:lang w:val="en-GB"/>
        </w:rPr>
        <w:t>) and conjuring (</w:t>
      </w:r>
      <w:r>
        <w:rPr>
          <w:rStyle w:val="wwc-pali"/>
          <w:lang w:val="en-GB"/>
        </w:rPr>
        <w:t>indrajāla</w:t>
      </w:r>
      <w:r>
        <w:rPr>
          <w:lang w:val="en-GB"/>
        </w:rPr>
        <w:t>) have been associated with gods and saints and at the same time with impostors and charlatans. “Nature is a magic trick and the Lord is the magician; the things of the world are but elements of Him,” Śvetāśvatāra Upaniṣad [</w:t>
      </w:r>
      <w:r>
        <w:rPr>
          <w:rStyle w:val="wwc-sesame-zot-reference"/>
          <w:lang w:val="en-GB"/>
        </w:rPr>
        <w:t>Olivelle 1998</w:t>
      </w:r>
      <w:r>
        <w:rPr>
          <w:lang w:val="en-GB"/>
        </w:rPr>
        <w:t>] 4,9-10. “Through cunning in the art of magic and conjuring, the false is given the impression of being true,” Vikramacarita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xml:space="preserve">) explain why he would not have liked to be thought of as one. On the use of magic to win debates see </w:t>
      </w:r>
      <w:r>
        <w:rPr>
          <w:rStyle w:val="wwc-sesame-zot-reference"/>
          <w:lang w:val="en-GB"/>
        </w:rPr>
        <w:t>Bronkhorst 2011</w:t>
      </w:r>
      <w:r>
        <w:rPr>
          <w:lang w:val="en-GB"/>
        </w:rPr>
        <w:t xml:space="preserve"> pp.185-187. Lee Siegel’s otherwise excellent history of Indian magic [</w:t>
      </w:r>
      <w:r>
        <w:rPr>
          <w:rStyle w:val="wwc-sesame-zot-reference"/>
          <w:lang w:val="en-GB"/>
        </w:rPr>
        <w:t>Siegel 1991</w:t>
      </w:r>
      <w:r>
        <w:rPr>
          <w:lang w:val="en-GB"/>
        </w:rPr>
        <w:t>], fails to make clear the Buddha’s distinction between psychic powers and magic. Interestingly, some of the earliest Christian apologists had to defend Jesus against the charge that he was only a magician, e.g. Tertullian’s Apologeticus [</w:t>
      </w:r>
      <w:r>
        <w:rPr>
          <w:rStyle w:val="wwc-sesame-zot-reference"/>
          <w:lang w:val="en-GB"/>
        </w:rPr>
        <w:t>Schaff 1885</w:t>
      </w:r>
      <w:r>
        <w:rPr>
          <w:lang w:val="en-GB"/>
        </w:rPr>
        <w:t>] 21.17; 23.7,12 and Justin Martyr’s Dialogue with Trypho [</w:t>
      </w:r>
      <w:r>
        <w:rPr>
          <w:rStyle w:val="wwc-sesame-zot-reference"/>
          <w:lang w:val="en-GB"/>
        </w:rPr>
        <w:t>Lukyn Williams 1930</w:t>
      </w:r>
      <w:r>
        <w:rPr>
          <w:lang w:val="en-GB"/>
        </w:rPr>
        <w:t>] 69.7.</w:t>
      </w:r>
    </w:p>
  </w:footnote>
  <w:footnote w:id="463">
    <w:p>
      <w:pPr>
        <w:pStyle w:val="WW-footnote"/>
        <w:spacing w:before="113" w:after="0"/>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WW-footnote"/>
        <w:spacing w:before="113" w:after="0"/>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WW-footnote"/>
        <w:spacing w:before="113" w:after="0"/>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WW-footnote"/>
        <w:spacing w:before="113" w:after="0"/>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WW-footnote"/>
        <w:spacing w:before="113" w:after="0"/>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rStyle w:val="wwc-pali"/>
          <w:iCs/>
          <w:lang w:val="en-GB"/>
        </w:rPr>
        <w:t>Maṇika</w:t>
      </w:r>
      <w:r>
        <w:rPr>
          <w:lang w:val="en-GB"/>
        </w:rPr>
        <w:t xml:space="preserve"> and </w:t>
      </w:r>
      <w:r>
        <w:rPr>
          <w:rStyle w:val="wwc-pali"/>
          <w:iCs/>
          <w:lang w:val="en-GB"/>
        </w:rPr>
        <w:t>uddekanika</w:t>
      </w:r>
      <w:r>
        <w:rPr>
          <w:lang w:val="en-GB"/>
        </w:rPr>
        <w:t>, water pots or receptacles for water of some kind, one apparently larger than the other.</w:t>
      </w:r>
    </w:p>
  </w:footnote>
  <w:footnote w:id="468">
    <w:p>
      <w:pPr>
        <w:pStyle w:val="WW-footnote"/>
        <w:spacing w:before="113" w:after="0"/>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WW-footnote"/>
        <w:spacing w:before="113" w:after="0"/>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WW-footnote"/>
        <w:spacing w:before="113" w:after="0"/>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WW-footnote"/>
        <w:spacing w:before="113" w:after="0"/>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WW-footnote"/>
        <w:spacing w:before="113" w:after="0"/>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According to Śāṭyāyanīya Upaniṣad [</w:t>
      </w:r>
      <w:r>
        <w:rPr>
          <w:rStyle w:val="wwc-sesame-zot-reference"/>
          <w:lang w:val="en-GB"/>
        </w:rPr>
        <w:t>Olivelle 1992</w:t>
      </w:r>
      <w:r>
        <w:rPr>
          <w:lang w:val="en-GB"/>
        </w:rPr>
        <w:t>] 329-330, an ascetic who reverted to the lay life committed one of the gravest of all sins, and for Yājñavalkya Dharmasūtra 1.152 it warranted the death penalty.</w:t>
      </w:r>
    </w:p>
  </w:footnote>
  <w:footnote w:id="473">
    <w:p>
      <w:pPr>
        <w:pStyle w:val="WW-footnote"/>
        <w:spacing w:before="113" w:after="0"/>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WW-footnote"/>
        <w:spacing w:before="113" w:after="0"/>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rStyle w:val="wwc-pali"/>
          <w:lang w:val="en-GB"/>
        </w:rPr>
        <w:t>muṇḍaka</w:t>
      </w:r>
      <w:r>
        <w:rPr>
          <w:lang w:val="en-GB"/>
        </w:rPr>
        <w:t xml:space="preserve">, here see </w:t>
      </w:r>
      <w:r>
        <w:rPr>
          <w:rStyle w:val="wwc-sesame-zot-reference"/>
          <w:lang w:val="en-GB"/>
        </w:rPr>
        <w:t>Levman 2011</w:t>
      </w:r>
      <w:r>
        <w:rPr>
          <w:lang w:val="en-GB"/>
        </w:rPr>
        <w:t>, pp. 45 ff.</w:t>
      </w:r>
    </w:p>
  </w:footnote>
  <w:footnote w:id="475">
    <w:p>
      <w:pPr>
        <w:pStyle w:val="WW-footnote"/>
        <w:spacing w:before="113" w:after="0"/>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WW-footnote"/>
        <w:spacing w:before="113" w:after="0"/>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Sangārava was probably advocating that Dhānañjānī lose her caste, which would mean social death for her. Several Dharmasūtras [</w:t>
      </w:r>
      <w:r>
        <w:rPr>
          <w:rStyle w:val="wwc-sesame-zot-reference"/>
          <w:lang w:val="en-GB"/>
        </w:rPr>
        <w:t>Olivelle 1999</w:t>
      </w:r>
      <w:r>
        <w:rPr>
          <w:lang w:val="en-GB"/>
        </w:rPr>
        <w:t>]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and Manusmṛti [</w:t>
      </w:r>
      <w:r>
        <w:rPr>
          <w:rStyle w:val="wwc-sesame-zot-reference"/>
          <w:lang w:val="en-GB"/>
        </w:rPr>
        <w:t>Olivelle 2004</w:t>
      </w:r>
      <w:r>
        <w:rPr>
          <w:lang w:val="en-GB"/>
        </w:rPr>
        <w:t>] 11,183-189 and Baudhāyana Dharmasūtra [</w:t>
      </w:r>
      <w:r>
        <w:rPr>
          <w:rStyle w:val="wwc-sesame-zot-reference"/>
          <w:lang w:val="en-GB"/>
        </w:rPr>
        <w:t>Olivelle 1999</w:t>
      </w:r>
      <w:r>
        <w:rPr>
          <w:lang w:val="en-GB"/>
        </w:rPr>
        <w:t>] 2.1.36 stipulate how it was conducted at a later period.</w:t>
      </w:r>
    </w:p>
  </w:footnote>
  <w:footnote w:id="477">
    <w:p>
      <w:pPr>
        <w:pStyle w:val="WW-footnote"/>
        <w:spacing w:before="113" w:after="0"/>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WW-footnote"/>
        <w:spacing w:before="113" w:after="0"/>
        <w:rPr/>
      </w:pPr>
      <w:r>
        <w:rPr>
          <w:rStyle w:val="FootnoteCharacters"/>
        </w:rPr>
        <w:footnoteRef/>
      </w:r>
      <w:r>
        <w:rPr>
          <w:lang w:val="en-GB"/>
        </w:rPr>
        <w:t>The initiation ritual into Vedic studentship included approaching the teacher holding a piece of firewood, and collecting firewood daily was an important part of a student’s duties to his teacher, see e.g. Chāndogya Upaniṣad [</w:t>
      </w:r>
      <w:r>
        <w:rPr>
          <w:rStyle w:val="wwc-sesame-zot-reference"/>
          <w:lang w:val="en-GB"/>
        </w:rPr>
        <w:t>Olivelle 1998</w:t>
      </w:r>
      <w:r>
        <w:rPr>
          <w:lang w:val="en-GB"/>
        </w:rPr>
        <w:t>] 5.4,8; 5.11,6; and Muṇḍaka Upaniṣad [</w:t>
      </w:r>
      <w:r>
        <w:rPr>
          <w:rStyle w:val="wwc-sesame-zot-reference"/>
          <w:lang w:val="en-GB"/>
        </w:rPr>
        <w:t>Olivelle 1998</w:t>
      </w:r>
      <w:r>
        <w:rPr>
          <w:lang w:val="en-GB"/>
        </w:rPr>
        <w:t>] 1.2,12.</w:t>
      </w:r>
    </w:p>
  </w:footnote>
  <w:footnote w:id="479">
    <w:p>
      <w:pPr>
        <w:pStyle w:val="WW-footnote"/>
        <w:spacing w:before="113" w:after="0"/>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WW-footnote"/>
        <w:spacing w:before="113" w:after="0"/>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xml:space="preserve">). </w:t>
      </w:r>
      <w:r>
        <w:rPr>
          <w:rStyle w:val="wwc-sesame-zot-reference"/>
          <w:lang w:val="en-GB"/>
        </w:rPr>
        <w:t>Srinivasan 1979</w:t>
      </w:r>
      <w:r>
        <w:rPr>
          <w:lang w:val="en-GB"/>
        </w:rPr>
        <w:t xml:space="preserve"> gives a finger-breadth, </w:t>
      </w:r>
      <w:r>
        <w:rPr>
          <w:rStyle w:val="wwc-pali"/>
          <w:lang w:val="en-GB"/>
        </w:rPr>
        <w:t>aṅguli</w:t>
      </w:r>
      <w:r>
        <w:rPr>
          <w:lang w:val="en-GB"/>
        </w:rPr>
        <w:t>, as about 2.54 cm, pp.9-11.</w:t>
      </w:r>
    </w:p>
  </w:footnote>
  <w:footnote w:id="482">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WW-footnote"/>
        <w:spacing w:before="113" w:after="0"/>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WW-footnote"/>
        <w:spacing w:before="113" w:after="0"/>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WW-footnote"/>
        <w:spacing w:before="113" w:after="0"/>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rStyle w:val="wwc-pali"/>
          <w:lang w:val="en-GB"/>
        </w:rPr>
        <w:t>Ziziphus</w:t>
      </w:r>
      <w:r>
        <w:rPr>
          <w:lang w:val="en-GB"/>
        </w:rPr>
        <w:t xml:space="preserve"> </w:t>
      </w:r>
      <w:r>
        <w:rPr>
          <w:rStyle w:val="wwc-pali"/>
          <w:lang w:val="en-GB"/>
        </w:rPr>
        <w:t>jujube</w:t>
      </w:r>
      <w:r>
        <w:rPr>
          <w:lang w:val="en-GB"/>
        </w:rPr>
        <w:t xml:space="preserve"> is yellow when ripe, gradually turning rusty-brown. The palm fruit mentioned is that of </w:t>
      </w:r>
      <w:r>
        <w:rPr>
          <w:rStyle w:val="wwc-latin"/>
          <w:lang w:val="en-GB"/>
        </w:rPr>
        <w:t>Borassus flabellifer</w:t>
      </w:r>
      <w:r>
        <w:rPr>
          <w:lang w:val="en-GB"/>
        </w:rPr>
        <w:t>, which has a greyish-brown skin and is golden yellow inside.</w:t>
      </w:r>
    </w:p>
  </w:footnote>
  <w:footnote w:id="487">
    <w:p>
      <w:pPr>
        <w:pStyle w:val="WW-footnote"/>
        <w:spacing w:before="113" w:after="0"/>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WW-footnote"/>
        <w:spacing w:before="113" w:after="0"/>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WW-footnote"/>
        <w:spacing w:before="113" w:after="0"/>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rStyle w:val="wwc-pali"/>
          <w:lang w:val="en-GB"/>
        </w:rPr>
        <w:t>visaṭṭha</w:t>
      </w:r>
      <w:r>
        <w:rPr>
          <w:lang w:val="en-GB"/>
        </w:rPr>
        <w:t xml:space="preserve">, </w:t>
      </w:r>
      <w:r>
        <w:rPr>
          <w:rStyle w:val="wwc-pali"/>
          <w:lang w:val="en-GB"/>
        </w:rPr>
        <w:t>viññeyya</w:t>
      </w:r>
      <w:r>
        <w:rPr>
          <w:lang w:val="en-GB"/>
        </w:rPr>
        <w:t xml:space="preserve">, </w:t>
      </w:r>
      <w:r>
        <w:rPr>
          <w:rStyle w:val="wwc-pali"/>
          <w:lang w:val="en-GB"/>
        </w:rPr>
        <w:t>mañju</w:t>
      </w:r>
      <w:r>
        <w:rPr>
          <w:lang w:val="en-GB"/>
        </w:rPr>
        <w:t xml:space="preserve">, </w:t>
      </w:r>
      <w:r>
        <w:rPr>
          <w:rStyle w:val="wwc-pali"/>
          <w:lang w:val="en-GB"/>
        </w:rPr>
        <w:t>savanīya</w:t>
      </w:r>
      <w:r>
        <w:rPr>
          <w:lang w:val="en-GB"/>
        </w:rPr>
        <w:t xml:space="preserve">, </w:t>
      </w:r>
      <w:r>
        <w:rPr>
          <w:rStyle w:val="wwc-pali"/>
          <w:lang w:val="en-GB"/>
        </w:rPr>
        <w:t>bindu</w:t>
      </w:r>
      <w:r>
        <w:rPr>
          <w:lang w:val="en-GB"/>
        </w:rPr>
        <w:t xml:space="preserve">, </w:t>
      </w:r>
      <w:r>
        <w:rPr>
          <w:rStyle w:val="wwc-pali"/>
          <w:lang w:val="en-GB"/>
        </w:rPr>
        <w:t>avisārī</w:t>
      </w:r>
      <w:r>
        <w:rPr>
          <w:lang w:val="en-GB"/>
        </w:rPr>
        <w:t xml:space="preserve">, </w:t>
      </w:r>
      <w:r>
        <w:rPr>
          <w:rStyle w:val="wwc-pali"/>
          <w:lang w:val="en-GB"/>
        </w:rPr>
        <w:t>gambhīra</w:t>
      </w:r>
      <w:r>
        <w:rPr>
          <w:lang w:val="en-GB"/>
        </w:rPr>
        <w:t xml:space="preserve">, </w:t>
      </w:r>
      <w:r>
        <w:rPr>
          <w:rStyle w:val="wwc-pali"/>
          <w:lang w:val="en-GB"/>
        </w:rPr>
        <w:t>ninnadī</w:t>
      </w:r>
      <w:r>
        <w:rPr>
          <w:lang w:val="en-GB"/>
        </w:rPr>
        <w:t>.</w:t>
      </w:r>
    </w:p>
  </w:footnote>
  <w:footnote w:id="491">
    <w:p>
      <w:pPr>
        <w:pStyle w:val="WW-footnote"/>
        <w:spacing w:before="113" w:after="0"/>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WW-footnote"/>
        <w:spacing w:before="113" w:after="0"/>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rStyle w:val="wwc-pali"/>
          <w:lang w:val="en-GB"/>
        </w:rPr>
        <w:t>vagha</w:t>
      </w:r>
      <w:r>
        <w:rPr>
          <w:lang w:val="en-GB"/>
        </w:rPr>
        <w:t xml:space="preserve"> </w:t>
      </w:r>
      <w:r>
        <w:rPr>
          <w:rStyle w:val="wwc-pali"/>
          <w:lang w:val="en-GB"/>
        </w:rPr>
        <w:t>missakena</w:t>
      </w:r>
      <w:r>
        <w:rPr>
          <w:lang w:val="en-GB"/>
        </w:rPr>
        <w:t xml:space="preserve">), is obscure. For an alternative reading and translation, see </w:t>
      </w:r>
      <w:r>
        <w:rPr>
          <w:rStyle w:val="wwc-sesame-zot-reference"/>
          <w:lang w:val="en-GB"/>
        </w:rPr>
        <w:t xml:space="preserve">Gombrich 1987 </w:t>
      </w:r>
      <w:r>
        <w:rPr>
          <w:lang w:val="en-GB"/>
        </w:rPr>
        <w:t xml:space="preserve">and </w:t>
      </w:r>
      <w:r>
        <w:rPr>
          <w:rStyle w:val="wwc-sesame-zot-reference"/>
          <w:lang w:val="en-GB"/>
        </w:rPr>
        <w:t>Levman 2020</w:t>
      </w:r>
      <w:r>
        <w:rPr>
          <w:lang w:val="en-GB"/>
        </w:rPr>
        <w:t xml:space="preserve"> pp.81-82.</w:t>
      </w:r>
    </w:p>
  </w:footnote>
  <w:footnote w:id="494">
    <w:p>
      <w:pPr>
        <w:pStyle w:val="WW-footnote"/>
        <w:spacing w:before="113" w:after="0"/>
        <w:rPr/>
      </w:pPr>
      <w:r>
        <w:rPr>
          <w:rStyle w:val="FootnoteCharacters"/>
        </w:rPr>
        <w:footnoteRef/>
      </w:r>
      <w:r>
        <w:rPr>
          <w:rStyle w:val="wwc-sesame-zot-reference"/>
          <w:lang w:val="en-GB"/>
        </w:rPr>
        <w:t>Postel 1989</w:t>
      </w:r>
      <w:r>
        <w:rPr>
          <w:lang w:val="en-GB"/>
        </w:rPr>
        <w:t xml:space="preserve"> pp.9-10 and </w:t>
      </w:r>
      <w:r>
        <w:rPr>
          <w:rStyle w:val="wwc-sesame-zot-reference"/>
          <w:lang w:val="en-GB"/>
        </w:rPr>
        <w:t>Banerjee 1986</w:t>
      </w:r>
      <w:r>
        <w:rPr>
          <w:lang w:val="en-GB"/>
        </w:rPr>
        <w:t xml:space="preserve"> pp.220-225.</w:t>
      </w:r>
    </w:p>
  </w:footnote>
  <w:footnote w:id="495">
    <w:p>
      <w:pPr>
        <w:pStyle w:val="WW-footnote"/>
        <w:spacing w:before="113" w:after="0"/>
        <w:rPr/>
      </w:pPr>
      <w:r>
        <w:rPr>
          <w:rStyle w:val="FootnoteCharacters"/>
        </w:rPr>
        <w:footnoteRef/>
      </w:r>
      <w:r>
        <w:rPr>
          <w:lang w:val="en-GB"/>
        </w:rPr>
        <w:t xml:space="preserve">The texts attribute the notion to Brahminism, although it is not specifically mentioned in any Vedic texts. See </w:t>
      </w:r>
      <w:r>
        <w:rPr>
          <w:rStyle w:val="wwc-sesame-zot-reference"/>
          <w:lang w:val="en-GB"/>
        </w:rPr>
        <w:t>Levman 2013</w:t>
      </w:r>
      <w:r>
        <w:rPr>
          <w:lang w:val="en-GB"/>
        </w:rPr>
        <w:t xml:space="preserve"> pp. 163-165.</w:t>
      </w:r>
    </w:p>
  </w:footnote>
  <w:footnote w:id="496">
    <w:p>
      <w:pPr>
        <w:pStyle w:val="WW-footnote"/>
        <w:spacing w:before="113" w:after="0"/>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WW-footnote"/>
        <w:spacing w:before="113" w:after="0"/>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WW-footnote"/>
        <w:spacing w:before="113" w:after="0"/>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WW-footnote"/>
        <w:spacing w:before="113" w:after="0"/>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WW-footnote"/>
        <w:spacing w:before="113" w:after="0"/>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WW-footnote"/>
        <w:spacing w:before="113" w:after="0"/>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WW-footnote"/>
        <w:spacing w:before="113" w:after="0"/>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WW-footnote"/>
        <w:spacing w:before="113" w:after="0"/>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WW-footnote"/>
        <w:spacing w:before="113" w:after="0"/>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WW-footnote"/>
        <w:spacing w:before="113" w:after="0"/>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WW-footnote"/>
        <w:spacing w:before="113" w:after="0"/>
        <w:rPr/>
      </w:pPr>
      <w:r>
        <w:rPr>
          <w:rStyle w:val="FootnoteCharacters"/>
        </w:rPr>
        <w:footnoteRef/>
      </w:r>
      <w:r>
        <w:rPr/>
        <w:t>A.I,161, condensed (</w:t>
      </w:r>
      <w:hyperlink r:id="rId189">
        <w:r>
          <w:rPr>
            <w:rStyle w:val="Hyperlink"/>
          </w:rPr>
          <w:t>AN 3.57</w:t>
        </w:r>
      </w:hyperlink>
      <w:r>
        <w:rPr/>
        <w:t>).</w:t>
      </w:r>
    </w:p>
  </w:footnote>
  <w:footnote w:id="507">
    <w:p>
      <w:pPr>
        <w:pStyle w:val="WW-footnote"/>
        <w:spacing w:before="113" w:after="0"/>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WW-footnote"/>
        <w:spacing w:before="113" w:after="0"/>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WW-footnote"/>
        <w:spacing w:before="113" w:after="0"/>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WW-footnote"/>
        <w:spacing w:before="113" w:after="0"/>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WW-footnote"/>
        <w:spacing w:before="113" w:after="0"/>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WW-footnote"/>
        <w:spacing w:before="113" w:after="0"/>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WW-footnote"/>
        <w:spacing w:before="113" w:after="0"/>
        <w:rPr/>
      </w:pPr>
      <w:r>
        <w:rPr>
          <w:rStyle w:val="FootnoteCharacters"/>
        </w:rPr>
        <w:footnoteRef/>
      </w:r>
      <w:r>
        <w:rPr/>
        <w:t xml:space="preserve">See </w:t>
      </w:r>
      <w:r>
        <w:rPr>
          <w:rStyle w:val="wwc-sesame-zot-reference"/>
        </w:rPr>
        <w:t>Anālayo 2018</w:t>
      </w:r>
      <w:r>
        <w:rPr/>
        <w:t xml:space="preserve"> pp.9-17.</w:t>
      </w:r>
    </w:p>
  </w:footnote>
  <w:footnote w:id="514">
    <w:p>
      <w:pPr>
        <w:pStyle w:val="WW-footnote"/>
        <w:spacing w:before="113" w:after="0"/>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WW-footnote"/>
        <w:spacing w:before="113" w:after="0"/>
        <w:rPr/>
      </w:pPr>
      <w:r>
        <w:rPr>
          <w:rStyle w:val="FootnoteCharacters"/>
        </w:rPr>
        <w:footnoteRef/>
      </w:r>
      <w:r>
        <w:rPr/>
        <w:t xml:space="preserve">The Sānṭiputta mentioned at Isibhāsiyāiṃ 38, </w:t>
      </w:r>
      <w:r>
        <w:rPr>
          <w:rStyle w:val="wwc-sesame-zot-reference"/>
        </w:rPr>
        <w:t>Schubring 1974</w:t>
      </w:r>
      <w:r>
        <w:rPr/>
        <w:t xml:space="preserve"> p.88, would seem to be this Sāriputta, see </w:t>
      </w:r>
      <w:r>
        <w:rPr>
          <w:rStyle w:val="wwc-sesame-zot-reference"/>
        </w:rPr>
        <w:t>Brill’s Encyclopedia of Buddhism, Vol. II. 2019</w:t>
      </w:r>
      <w:r>
        <w:rPr/>
        <w:t>. p.411.</w:t>
      </w:r>
    </w:p>
  </w:footnote>
  <w:footnote w:id="516">
    <w:p>
      <w:pPr>
        <w:pStyle w:val="WW-footnote"/>
        <w:spacing w:before="113" w:after="0"/>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WW-footnote"/>
        <w:spacing w:before="113" w:after="0"/>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WW-footnote"/>
        <w:spacing w:before="113" w:after="0"/>
        <w:rPr/>
      </w:pPr>
      <w:r>
        <w:rPr>
          <w:rStyle w:val="FootnoteCharacters"/>
        </w:rPr>
        <w:footnoteRef/>
      </w:r>
      <w:r>
        <w:rPr/>
        <w:t>S.II,275-276 (</w:t>
      </w:r>
      <w:hyperlink r:id="rId190">
        <w:r>
          <w:rPr>
            <w:rStyle w:val="Hyperlink"/>
          </w:rPr>
          <w:t>SN 21.3</w:t>
        </w:r>
      </w:hyperlink>
      <w:r>
        <w:rPr/>
        <w:t xml:space="preserve">). The words for these two powers are </w:t>
      </w:r>
      <w:r>
        <w:rPr>
          <w:rStyle w:val="wwc-pali"/>
        </w:rPr>
        <w:t>dibbacakkhu</w:t>
      </w:r>
      <w:r>
        <w:rPr/>
        <w:t xml:space="preserve"> and </w:t>
      </w:r>
      <w:r>
        <w:rPr>
          <w:rStyle w:val="wwc-pali"/>
        </w:rPr>
        <w:t>dibbasota</w:t>
      </w:r>
      <w:r>
        <w:rPr/>
        <w:t xml:space="preserve">. </w:t>
      </w:r>
      <w:r>
        <w:rPr>
          <w:rStyle w:val="wwc-pali"/>
        </w:rPr>
        <w:t>Dibba</w:t>
      </w:r>
      <w:r>
        <w:rPr/>
        <w:t xml:space="preserve"> means wondrous, divine or heavenly, but here the modern terms are used for them. Apparently, such abilities need to be cleared or purified (</w:t>
      </w:r>
      <w:r>
        <w:rPr>
          <w:rStyle w:val="wwc-pali"/>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WW-footnote"/>
        <w:spacing w:before="113" w:after="0"/>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WW-footnote"/>
        <w:spacing w:before="113" w:after="0"/>
        <w:rPr/>
      </w:pPr>
      <w:r>
        <w:rPr>
          <w:rStyle w:val="FootnoteCharacters"/>
        </w:rPr>
        <w:footnoteRef/>
      </w:r>
      <w:r>
        <w:rPr/>
        <w:t>S.V,164 (</w:t>
      </w:r>
      <w:hyperlink r:id="rId191">
        <w:r>
          <w:rPr>
            <w:rStyle w:val="Hyperlink"/>
          </w:rPr>
          <w:t>SN 47.14</w:t>
        </w:r>
      </w:hyperlink>
      <w:r>
        <w:rPr/>
        <w:t>).</w:t>
      </w:r>
    </w:p>
  </w:footnote>
  <w:footnote w:id="521">
    <w:p>
      <w:pPr>
        <w:pStyle w:val="WW-footnote"/>
        <w:spacing w:before="113" w:after="0"/>
        <w:rPr/>
      </w:pPr>
      <w:r>
        <w:rPr>
          <w:rStyle w:val="FootnoteCharacters"/>
        </w:rPr>
        <w:footnoteRef/>
      </w:r>
      <w:r>
        <w:rPr/>
        <w:t>Vin.II,253 (</w:t>
      </w:r>
      <w:hyperlink r:id="rId192">
        <w:r>
          <w:rPr>
            <w:rStyle w:val="Hyperlink"/>
          </w:rPr>
          <w:t>Kd 20</w:t>
        </w:r>
      </w:hyperlink>
      <w:r>
        <w:rPr/>
        <w:t>).</w:t>
      </w:r>
    </w:p>
  </w:footnote>
  <w:footnote w:id="522">
    <w:p>
      <w:pPr>
        <w:pStyle w:val="WW-footnote"/>
        <w:spacing w:before="113" w:after="0"/>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WW-footnote"/>
        <w:spacing w:before="113" w:after="0"/>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WW-footnote"/>
        <w:spacing w:before="113" w:after="0"/>
        <w:rPr/>
      </w:pPr>
      <w:r>
        <w:rPr>
          <w:rStyle w:val="FootnoteCharacters"/>
        </w:rPr>
        <w:footnoteRef/>
      </w:r>
      <w:r>
        <w:rPr/>
        <w:t>M.I,299 ff (</w:t>
      </w:r>
      <w:hyperlink r:id="rId195">
        <w:r>
          <w:rPr>
            <w:rStyle w:val="Hyperlink"/>
          </w:rPr>
          <w:t>MN 44</w:t>
        </w:r>
      </w:hyperlink>
      <w:r>
        <w:rPr/>
        <w:t>).</w:t>
      </w:r>
    </w:p>
  </w:footnote>
  <w:footnote w:id="525">
    <w:p>
      <w:pPr>
        <w:pStyle w:val="WW-footnote"/>
        <w:spacing w:before="113" w:after="0"/>
        <w:rPr/>
      </w:pPr>
      <w:r>
        <w:rPr>
          <w:rStyle w:val="FootnoteCharacters"/>
        </w:rPr>
        <w:footnoteRef/>
      </w:r>
      <w:r>
        <w:rPr/>
        <w:t>S.IV,374-379 (</w:t>
      </w:r>
      <w:hyperlink r:id="rId196">
        <w:r>
          <w:rPr>
            <w:rStyle w:val="Hyperlink"/>
          </w:rPr>
          <w:t>SN 44.1</w:t>
        </w:r>
      </w:hyperlink>
      <w:r>
        <w:rPr/>
        <w:t>).</w:t>
      </w:r>
    </w:p>
  </w:footnote>
  <w:footnote w:id="526">
    <w:p>
      <w:pPr>
        <w:pStyle w:val="WW-footnote"/>
        <w:spacing w:before="113" w:after="0"/>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WW-footnote"/>
        <w:spacing w:before="113" w:after="0"/>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WW-footnote"/>
        <w:spacing w:before="113" w:after="0"/>
        <w:rPr/>
      </w:pPr>
      <w:r>
        <w:rPr>
          <w:rStyle w:val="FootnoteCharacters"/>
        </w:rPr>
        <w:footnoteRef/>
      </w:r>
      <w:r>
        <w:rPr/>
        <w:t xml:space="preserve">See </w:t>
      </w:r>
      <w:r>
        <w:rPr>
          <w:rStyle w:val="wwc-sesame-zot-reference"/>
        </w:rPr>
        <w:t>Upasak 1975</w:t>
      </w:r>
      <w:r>
        <w:rPr/>
        <w:t xml:space="preserve"> p.114.</w:t>
      </w:r>
    </w:p>
  </w:footnote>
  <w:footnote w:id="529">
    <w:p>
      <w:pPr>
        <w:pStyle w:val="WW-footnote"/>
        <w:spacing w:before="113" w:after="0"/>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WW-footnote"/>
        <w:spacing w:before="113" w:after="0"/>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WW-footnote"/>
        <w:spacing w:before="113" w:after="0"/>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WW-footnote"/>
        <w:spacing w:before="113" w:after="0"/>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WW-footnote"/>
        <w:spacing w:before="113" w:after="0"/>
        <w:rPr/>
      </w:pPr>
      <w:r>
        <w:rPr>
          <w:rStyle w:val="FootnoteCharacters"/>
        </w:rPr>
        <w:footnoteRef/>
      </w:r>
      <w:r>
        <w:rPr/>
        <w:t>S.I,129. (</w:t>
      </w:r>
      <w:hyperlink r:id="rId203">
        <w:r>
          <w:rPr>
            <w:rStyle w:val="Hyperlink"/>
          </w:rPr>
          <w:t>SN 5.2</w:t>
        </w:r>
      </w:hyperlink>
      <w:r>
        <w:rPr/>
        <w:t>)</w:t>
      </w:r>
    </w:p>
  </w:footnote>
  <w:footnote w:id="534">
    <w:p>
      <w:pPr>
        <w:pStyle w:val="WW-footnote"/>
        <w:spacing w:before="113" w:after="0"/>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WW-footnote"/>
        <w:spacing w:before="113" w:after="0"/>
        <w:rPr/>
      </w:pPr>
      <w:r>
        <w:rPr>
          <w:rStyle w:val="FootnoteCharacters"/>
        </w:rPr>
        <w:footnoteRef/>
      </w:r>
      <w:r>
        <w:rPr/>
        <w:t>S.V,19 (</w:t>
      </w:r>
      <w:hyperlink r:id="rId205">
        <w:r>
          <w:rPr>
            <w:rStyle w:val="Hyperlink"/>
          </w:rPr>
          <w:t>SN 45.24</w:t>
        </w:r>
      </w:hyperlink>
      <w:r>
        <w:rPr/>
        <w:t>).</w:t>
      </w:r>
    </w:p>
  </w:footnote>
  <w:footnote w:id="536">
    <w:p>
      <w:pPr>
        <w:pStyle w:val="WW-footnote"/>
        <w:spacing w:before="113" w:after="0"/>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WW-footnote"/>
        <w:spacing w:before="113" w:after="0"/>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WW-footnote"/>
        <w:spacing w:before="113" w:after="0"/>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WW-footnote"/>
        <w:spacing w:before="113" w:after="0"/>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WW-footnote"/>
        <w:spacing w:before="113" w:after="0"/>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xml:space="preserve">). Lay expertise in the sacred text continued for some centuries. Amongst the inscriptions from Sañchi dating from the 2nd and 1st centuries BCE, some lay donors describe themselves as “versed in the suttas,” “who can chant [a text],” “a woman who knows a sutta.” See </w:t>
      </w:r>
      <w:r>
        <w:rPr>
          <w:rStyle w:val="wwc-sesame-zot-reference"/>
        </w:rPr>
        <w:t>Rhys Davids TW 1903</w:t>
      </w:r>
      <w:r>
        <w:rPr/>
        <w:t xml:space="preserve"> pp.167-169 and </w:t>
      </w:r>
      <w:r>
        <w:rPr>
          <w:rStyle w:val="wwc-sesame-zot-reference"/>
        </w:rPr>
        <w:t>Marshall 1983</w:t>
      </w:r>
      <w:r>
        <w:rPr/>
        <w:t xml:space="preserve"> pp.298 ff.</w:t>
      </w:r>
    </w:p>
  </w:footnote>
  <w:footnote w:id="541">
    <w:p>
      <w:pPr>
        <w:pStyle w:val="WW-footnote"/>
        <w:spacing w:before="113" w:after="0"/>
        <w:rPr/>
      </w:pPr>
      <w:r>
        <w:rPr>
          <w:rStyle w:val="FootnoteCharacters"/>
        </w:rPr>
        <w:footnoteRef/>
      </w:r>
      <w:r>
        <w:rPr/>
        <w:t>Ud-a.32.</w:t>
      </w:r>
    </w:p>
  </w:footnote>
  <w:footnote w:id="542">
    <w:p>
      <w:pPr>
        <w:pStyle w:val="WW-footnote"/>
        <w:spacing w:before="113" w:after="0"/>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WW-footnote"/>
        <w:spacing w:before="113" w:after="0"/>
        <w:rPr/>
      </w:pPr>
      <w:r>
        <w:rPr>
          <w:rStyle w:val="FootnoteCharacters"/>
        </w:rPr>
        <w:footnoteRef/>
      </w:r>
      <w:r>
        <w:rPr/>
        <w:t>A.I,136-137 (</w:t>
      </w:r>
      <w:hyperlink r:id="rId212">
        <w:r>
          <w:rPr>
            <w:rStyle w:val="Hyperlink"/>
          </w:rPr>
          <w:t>AN 3.35</w:t>
        </w:r>
      </w:hyperlink>
      <w:r>
        <w:rPr/>
        <w:t>).</w:t>
      </w:r>
    </w:p>
  </w:footnote>
  <w:footnote w:id="544">
    <w:p>
      <w:pPr>
        <w:pStyle w:val="WW-footnote"/>
        <w:spacing w:before="113" w:after="0"/>
        <w:rPr/>
      </w:pPr>
      <w:r>
        <w:rPr>
          <w:rStyle w:val="FootnoteCharacters"/>
        </w:rPr>
        <w:footnoteRef/>
      </w:r>
      <w:r>
        <w:rPr>
          <w:rStyle w:val="wwc-pali"/>
        </w:rPr>
        <w:t>Catu</w:t>
      </w:r>
      <w:r>
        <w:rPr/>
        <w:t xml:space="preserve"> </w:t>
      </w:r>
      <w:r>
        <w:rPr>
          <w:rStyle w:val="wwc-pali"/>
        </w:rPr>
        <w:t>saṅghavatthu</w:t>
      </w:r>
      <w:r>
        <w:rPr/>
        <w:t xml:space="preserve">. The meaning of this term is difficult to convey in English. It has been translated as “the four bases of gathering” and “the four bases of sympathy.” </w:t>
      </w:r>
      <w:r>
        <w:rPr>
          <w:rStyle w:val="wwc-sesame-zot-reference"/>
        </w:rPr>
        <w:t>Bodhi 2012</w:t>
      </w:r>
      <w:r>
        <w:rPr/>
        <w:t xml:space="preserve">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WW-footnote"/>
        <w:spacing w:before="113" w:after="0"/>
        <w:rPr/>
      </w:pPr>
      <w:r>
        <w:rPr>
          <w:rStyle w:val="FootnoteCharacters"/>
        </w:rPr>
        <w:footnoteRef/>
      </w:r>
      <w:r>
        <w:rPr/>
        <w:t>A.IV,219-220 (</w:t>
      </w:r>
      <w:hyperlink r:id="rId213">
        <w:r>
          <w:rPr>
            <w:rStyle w:val="Hyperlink"/>
          </w:rPr>
          <w:t>AN 8.24</w:t>
        </w:r>
      </w:hyperlink>
      <w:r>
        <w:rPr/>
        <w:t>).</w:t>
      </w:r>
    </w:p>
  </w:footnote>
  <w:footnote w:id="546">
    <w:p>
      <w:pPr>
        <w:pStyle w:val="WW-footnote"/>
        <w:spacing w:before="113" w:after="0"/>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WW-footnote"/>
        <w:spacing w:before="113" w:after="0"/>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WW-footnote"/>
        <w:spacing w:before="113" w:after="0"/>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WW-footnote"/>
        <w:spacing w:before="113" w:after="0"/>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WW-footnote"/>
        <w:spacing w:before="113" w:after="0"/>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rStyle w:val="wwc-latin"/>
        </w:rPr>
        <w:t>Oroxylum indicum</w:t>
      </w:r>
      <w:r>
        <w:rPr/>
        <w:t xml:space="preserve">. Amongst brahmins, staffs had great ritual significance and had to be made from very specific types of wood, mainly </w:t>
      </w:r>
      <w:r>
        <w:rPr>
          <w:rStyle w:val="wwc-pali"/>
          <w:iCs/>
        </w:rPr>
        <w:t>palāsa</w:t>
      </w:r>
      <w:r>
        <w:rPr/>
        <w:t xml:space="preserve">, </w:t>
      </w:r>
      <w:r>
        <w:rPr>
          <w:rStyle w:val="wwc-pali"/>
          <w:iCs/>
        </w:rPr>
        <w:t>bilva</w:t>
      </w:r>
      <w:r>
        <w:rPr/>
        <w:t xml:space="preserve"> and </w:t>
      </w:r>
      <w:r>
        <w:rPr>
          <w:rStyle w:val="wwc-pali"/>
          <w:iCs/>
        </w:rPr>
        <w:t>udumbara</w:t>
      </w:r>
      <w:r>
        <w:rPr/>
        <w:t xml:space="preserve">, see </w:t>
      </w:r>
      <w:r>
        <w:rPr>
          <w:rStyle w:val="wwc-sesame-zot-reference"/>
        </w:rPr>
        <w:t>Dhammika 2018b</w:t>
      </w:r>
      <w:r>
        <w:rPr/>
        <w:t xml:space="preserve"> However, I have found no references to soṇa wood being used. On the rules pertaining to making and using staffs in Brahminism, see Śāṅkhāyana Gṛhyasūtra [</w:t>
      </w:r>
      <w:r>
        <w:rPr>
          <w:rStyle w:val="wwc-sesame-zot-reference"/>
        </w:rPr>
        <w:t>Oldenberg 1886-1892</w:t>
      </w:r>
      <w:r>
        <w:rPr/>
        <w:t>] 2.1.18-24 and Gautama Dharmasūtra [</w:t>
      </w:r>
      <w:r>
        <w:rPr>
          <w:rStyle w:val="wwc-sesame-zot-reference"/>
        </w:rPr>
        <w:t>Olivelle 1999</w:t>
      </w:r>
      <w:r>
        <w:rPr/>
        <w:t>] 1. 22-26.</w:t>
      </w:r>
    </w:p>
  </w:footnote>
  <w:footnote w:id="552">
    <w:p>
      <w:pPr>
        <w:pStyle w:val="WW-footnote"/>
        <w:spacing w:before="113" w:after="0"/>
        <w:rPr/>
      </w:pPr>
      <w:r>
        <w:rPr>
          <w:rStyle w:val="FootnoteCharacters"/>
        </w:rPr>
        <w:footnoteRef/>
      </w:r>
      <w:r>
        <w:rPr/>
        <w:t>S.III,106-109 (</w:t>
      </w:r>
      <w:hyperlink r:id="rId214">
        <w:r>
          <w:rPr>
            <w:rStyle w:val="Hyperlink"/>
          </w:rPr>
          <w:t>SN 22.84</w:t>
        </w:r>
      </w:hyperlink>
      <w:r>
        <w:rPr/>
        <w:t>).</w:t>
      </w:r>
    </w:p>
  </w:footnote>
  <w:footnote w:id="553">
    <w:p>
      <w:pPr>
        <w:pStyle w:val="WW-footnote"/>
        <w:spacing w:before="113" w:after="0"/>
        <w:rPr/>
      </w:pPr>
      <w:r>
        <w:rPr>
          <w:rStyle w:val="FootnoteCharacters"/>
        </w:rPr>
        <w:footnoteRef/>
      </w:r>
      <w:r>
        <w:rPr/>
        <w:t>A.III,374-375 (</w:t>
      </w:r>
      <w:hyperlink r:id="rId215">
        <w:r>
          <w:rPr>
            <w:rStyle w:val="Hyperlink"/>
          </w:rPr>
          <w:t>AN 6.55</w:t>
        </w:r>
      </w:hyperlink>
      <w:r>
        <w:rPr/>
        <w:t>).</w:t>
      </w:r>
    </w:p>
  </w:footnote>
  <w:footnote w:id="554">
    <w:p>
      <w:pPr>
        <w:pStyle w:val="WW-footnote"/>
        <w:spacing w:before="113" w:after="0"/>
        <w:rPr/>
      </w:pPr>
      <w:r>
        <w:rPr>
          <w:rStyle w:val="FootnoteCharacters"/>
        </w:rPr>
        <w:footnoteRef/>
      </w:r>
      <w:r>
        <w:rPr/>
        <w:t>A.II,112 (</w:t>
      </w:r>
      <w:hyperlink r:id="rId216">
        <w:r>
          <w:rPr>
            <w:rStyle w:val="Hyperlink"/>
          </w:rPr>
          <w:t>AN 4.111</w:t>
        </w:r>
      </w:hyperlink>
      <w:r>
        <w:rPr/>
        <w:t>).</w:t>
      </w:r>
    </w:p>
  </w:footnote>
  <w:footnote w:id="555">
    <w:p>
      <w:pPr>
        <w:pStyle w:val="WW-footnote"/>
        <w:spacing w:before="113" w:after="0"/>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WW-footnote"/>
        <w:spacing w:before="113" w:after="0"/>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WW-footnote"/>
        <w:spacing w:before="113" w:after="0"/>
        <w:rPr/>
      </w:pPr>
      <w:r>
        <w:rPr>
          <w:rStyle w:val="FootnoteCharacters"/>
        </w:rPr>
        <w:footnoteRef/>
      </w:r>
      <w:r>
        <w:rPr/>
        <w:t>M.I,457-459 (</w:t>
      </w:r>
      <w:hyperlink r:id="rId217">
        <w:r>
          <w:rPr>
            <w:rStyle w:val="Hyperlink"/>
          </w:rPr>
          <w:t>MN 67</w:t>
        </w:r>
      </w:hyperlink>
      <w:r>
        <w:rPr/>
        <w:t>).</w:t>
      </w:r>
    </w:p>
  </w:footnote>
  <w:footnote w:id="558">
    <w:p>
      <w:pPr>
        <w:pStyle w:val="WW-footnote"/>
        <w:spacing w:before="113" w:after="0"/>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WW-footnote"/>
        <w:spacing w:before="113" w:after="0"/>
        <w:rPr/>
      </w:pPr>
      <w:r>
        <w:rPr>
          <w:rStyle w:val="FootnoteCharacters"/>
        </w:rPr>
        <w:footnoteRef/>
      </w:r>
      <w:r>
        <w:rPr/>
        <w:t>A.IV,169 (</w:t>
      </w:r>
      <w:hyperlink r:id="rId218">
        <w:r>
          <w:rPr>
            <w:rStyle w:val="Hyperlink"/>
          </w:rPr>
          <w:t>AN 8.10</w:t>
        </w:r>
      </w:hyperlink>
      <w:r>
        <w:rPr/>
        <w:t>).</w:t>
      </w:r>
    </w:p>
  </w:footnote>
  <w:footnote w:id="560">
    <w:p>
      <w:pPr>
        <w:pStyle w:val="WW-footnote"/>
        <w:spacing w:before="113" w:after="0"/>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WW-footnote"/>
        <w:spacing w:before="113" w:after="0"/>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WW-footnote"/>
        <w:spacing w:before="113" w:after="0"/>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rStyle w:val="wwc-pali"/>
        </w:rPr>
        <w:t>Eva</w:t>
      </w:r>
      <w:r>
        <w:rPr/>
        <w:t xml:space="preserve"> here could also be ‘just’ or ‘simply’.</w:t>
      </w:r>
    </w:p>
  </w:footnote>
  <w:footnote w:id="563">
    <w:p>
      <w:pPr>
        <w:pStyle w:val="WW-footnote"/>
        <w:spacing w:before="113" w:after="0"/>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WW-footnote"/>
        <w:spacing w:before="113" w:after="0"/>
        <w:rPr/>
      </w:pPr>
      <w:r>
        <w:rPr>
          <w:rStyle w:val="FootnoteCharacters"/>
        </w:rPr>
        <w:footnoteRef/>
      </w:r>
      <w:r>
        <w:rPr/>
        <w:t>A.I,260 (</w:t>
      </w:r>
      <w:hyperlink r:id="rId219">
        <w:r>
          <w:rPr>
            <w:rStyle w:val="Hyperlink"/>
          </w:rPr>
          <w:t>AN 3.105</w:t>
        </w:r>
      </w:hyperlink>
      <w:r>
        <w:rPr/>
        <w:t>).</w:t>
      </w:r>
    </w:p>
  </w:footnote>
  <w:footnote w:id="565">
    <w:p>
      <w:pPr>
        <w:pStyle w:val="WW-footnote"/>
        <w:spacing w:before="113" w:after="0"/>
        <w:rPr/>
      </w:pPr>
      <w:r>
        <w:rPr>
          <w:rStyle w:val="FootnoteCharacters"/>
        </w:rPr>
        <w:footnoteRef/>
      </w:r>
      <w:r>
        <w:rPr/>
        <w:t>A.I,259 (</w:t>
      </w:r>
      <w:hyperlink r:id="rId220">
        <w:r>
          <w:rPr>
            <w:rStyle w:val="Hyperlink"/>
          </w:rPr>
          <w:t>AN 3.104</w:t>
        </w:r>
      </w:hyperlink>
      <w:r>
        <w:rPr/>
        <w:t>).</w:t>
      </w:r>
    </w:p>
  </w:footnote>
  <w:footnote w:id="566">
    <w:p>
      <w:pPr>
        <w:pStyle w:val="WW-footnote"/>
        <w:spacing w:before="113" w:after="0"/>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WW-footnote"/>
        <w:spacing w:before="113" w:after="0"/>
        <w:rPr/>
      </w:pPr>
      <w:r>
        <w:rPr>
          <w:rStyle w:val="FootnoteCharacters"/>
        </w:rPr>
        <w:footnoteRef/>
      </w:r>
      <w:r>
        <w:rPr/>
        <w:t>A.V,181 (</w:t>
      </w:r>
      <w:hyperlink r:id="rId221">
        <w:r>
          <w:rPr>
            <w:rStyle w:val="Hyperlink"/>
          </w:rPr>
          <w:t>AN 10.91</w:t>
        </w:r>
      </w:hyperlink>
      <w:r>
        <w:rPr/>
        <w:t>).</w:t>
      </w:r>
    </w:p>
  </w:footnote>
  <w:footnote w:id="568">
    <w:p>
      <w:pPr>
        <w:pStyle w:val="WW-footnote"/>
        <w:spacing w:before="113" w:after="0"/>
        <w:rPr/>
      </w:pPr>
      <w:r>
        <w:rPr>
          <w:rStyle w:val="FootnoteCharacters"/>
        </w:rPr>
        <w:footnoteRef/>
      </w:r>
      <w:r>
        <w:rPr/>
        <w:t>A.III,45 (</w:t>
      </w:r>
      <w:hyperlink r:id="rId222">
        <w:r>
          <w:rPr>
            <w:rStyle w:val="Hyperlink"/>
          </w:rPr>
          <w:t>AN 5.41</w:t>
        </w:r>
      </w:hyperlink>
      <w:r>
        <w:rPr/>
        <w:t>).</w:t>
      </w:r>
    </w:p>
  </w:footnote>
  <w:footnote w:id="569">
    <w:p>
      <w:pPr>
        <w:pStyle w:val="WW-footnote"/>
        <w:spacing w:before="113" w:after="0"/>
        <w:rPr/>
      </w:pPr>
      <w:r>
        <w:rPr>
          <w:rStyle w:val="FootnoteCharacters"/>
        </w:rPr>
        <w:footnoteRef/>
      </w:r>
      <w:r>
        <w:rPr/>
        <w:t>It.65 (</w:t>
      </w:r>
      <w:hyperlink r:id="rId223">
        <w:r>
          <w:rPr>
            <w:rStyle w:val="Hyperlink"/>
          </w:rPr>
          <w:t>Iti 75</w:t>
        </w:r>
      </w:hyperlink>
      <w:r>
        <w:rPr/>
        <w:t>).</w:t>
      </w:r>
    </w:p>
  </w:footnote>
  <w:footnote w:id="570">
    <w:p>
      <w:pPr>
        <w:pStyle w:val="WW-footnote"/>
        <w:spacing w:before="113" w:after="0"/>
        <w:rPr/>
      </w:pPr>
      <w:r>
        <w:rPr>
          <w:rStyle w:val="FootnoteCharacters"/>
        </w:rPr>
        <w:footnoteRef/>
      </w:r>
      <w:r>
        <w:rPr/>
        <w:t>S.I,33 (</w:t>
      </w:r>
      <w:hyperlink r:id="rId224">
        <w:r>
          <w:rPr>
            <w:rStyle w:val="Hyperlink"/>
          </w:rPr>
          <w:t>SN 1.47</w:t>
        </w:r>
      </w:hyperlink>
      <w:r>
        <w:rPr/>
        <w:t>).</w:t>
      </w:r>
    </w:p>
  </w:footnote>
  <w:footnote w:id="571">
    <w:p>
      <w:pPr>
        <w:pStyle w:val="WW-footnote"/>
        <w:spacing w:before="113" w:after="0"/>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WW-footnote"/>
        <w:spacing w:before="113" w:after="0"/>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WW-footnote"/>
        <w:spacing w:before="113" w:after="0"/>
        <w:rPr/>
      </w:pPr>
      <w:r>
        <w:rPr>
          <w:rStyle w:val="FootnoteCharacters"/>
        </w:rPr>
        <w:footnoteRef/>
      </w:r>
      <w:r>
        <w:rPr/>
        <w:t>S.I,74 (</w:t>
      </w:r>
      <w:hyperlink r:id="rId226">
        <w:r>
          <w:rPr>
            <w:rStyle w:val="Hyperlink"/>
          </w:rPr>
          <w:t>SN 3.6</w:t>
        </w:r>
      </w:hyperlink>
      <w:r>
        <w:rPr/>
        <w:t>).</w:t>
      </w:r>
    </w:p>
  </w:footnote>
  <w:footnote w:id="574">
    <w:p>
      <w:pPr>
        <w:pStyle w:val="WW-footnote"/>
        <w:spacing w:before="113" w:after="0"/>
        <w:rPr/>
      </w:pPr>
      <w:r>
        <w:rPr>
          <w:rStyle w:val="FootnoteCharacters"/>
        </w:rPr>
        <w:footnoteRef/>
      </w:r>
      <w:r>
        <w:rPr/>
        <w:t>A.III,53 (</w:t>
      </w:r>
      <w:hyperlink r:id="rId227">
        <w:r>
          <w:rPr>
            <w:rStyle w:val="Hyperlink"/>
          </w:rPr>
          <w:t>AN 5.46</w:t>
        </w:r>
      </w:hyperlink>
      <w:r>
        <w:rPr/>
        <w:t>).</w:t>
      </w:r>
    </w:p>
  </w:footnote>
  <w:footnote w:id="575">
    <w:p>
      <w:pPr>
        <w:pStyle w:val="WW-footnote"/>
        <w:spacing w:before="113" w:after="0"/>
        <w:rPr/>
      </w:pPr>
      <w:r>
        <w:rPr>
          <w:rStyle w:val="FootnoteCharacters"/>
        </w:rPr>
        <w:footnoteRef/>
      </w:r>
      <w:r>
        <w:rPr/>
        <w:t>A.IV,5 (</w:t>
      </w:r>
      <w:hyperlink r:id="rId228">
        <w:r>
          <w:rPr>
            <w:rStyle w:val="Hyperlink"/>
          </w:rPr>
          <w:t>AN 7.5</w:t>
        </w:r>
      </w:hyperlink>
      <w:r>
        <w:rPr/>
        <w:t>).</w:t>
      </w:r>
    </w:p>
  </w:footnote>
  <w:footnote w:id="576">
    <w:p>
      <w:pPr>
        <w:pStyle w:val="WW-footnote"/>
        <w:spacing w:before="113" w:after="0"/>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WW-footnote"/>
        <w:spacing w:before="113" w:after="0"/>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WW-footnote"/>
        <w:spacing w:before="113" w:after="0"/>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WW-footnote"/>
        <w:spacing w:before="113" w:after="0"/>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WW-footnote"/>
        <w:spacing w:before="113" w:after="0"/>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WW-footnote"/>
        <w:spacing w:before="113" w:after="0"/>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WW-footnote"/>
        <w:spacing w:before="113" w:after="0"/>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WW-footnote"/>
        <w:spacing w:before="113" w:after="0"/>
        <w:rPr/>
      </w:pPr>
      <w:r>
        <w:rPr>
          <w:rStyle w:val="FootnoteCharacters"/>
        </w:rPr>
        <w:footnoteRef/>
      </w:r>
      <w:r>
        <w:rPr/>
        <w:t>A.II,70 (</w:t>
      </w:r>
      <w:hyperlink r:id="rId231">
        <w:r>
          <w:rPr>
            <w:rStyle w:val="Hyperlink"/>
          </w:rPr>
          <w:t>AN 4.63</w:t>
        </w:r>
      </w:hyperlink>
      <w:r>
        <w:rPr/>
        <w:t>).</w:t>
      </w:r>
    </w:p>
  </w:footnote>
  <w:footnote w:id="584">
    <w:p>
      <w:pPr>
        <w:pStyle w:val="WW-footnote"/>
        <w:spacing w:before="113" w:after="0"/>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WW-footnote"/>
        <w:spacing w:before="113" w:after="0"/>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WW-footnote"/>
        <w:spacing w:before="113" w:after="0"/>
        <w:rPr/>
      </w:pPr>
      <w:r>
        <w:rPr>
          <w:rStyle w:val="FootnoteCharacters"/>
        </w:rPr>
        <w:footnoteRef/>
      </w:r>
      <w:r>
        <w:rPr/>
        <w:t>A.I,61 (</w:t>
      </w:r>
      <w:hyperlink r:id="rId232">
        <w:r>
          <w:rPr>
            <w:rStyle w:val="Hyperlink"/>
          </w:rPr>
          <w:t>AN 2.33</w:t>
        </w:r>
      </w:hyperlink>
      <w:r>
        <w:rPr/>
        <w:t>).</w:t>
      </w:r>
    </w:p>
  </w:footnote>
  <w:footnote w:id="587">
    <w:p>
      <w:pPr>
        <w:pStyle w:val="WW-footnote"/>
        <w:spacing w:before="113" w:after="0"/>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WW-footnote"/>
        <w:spacing w:before="113" w:after="0"/>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WW-footnote"/>
        <w:spacing w:before="113" w:after="0"/>
        <w:rPr/>
      </w:pPr>
      <w:r>
        <w:rPr>
          <w:rStyle w:val="FootnoteCharacters"/>
        </w:rPr>
        <w:footnoteRef/>
      </w:r>
      <w:r>
        <w:rPr/>
        <w:t>Dhp.146 (</w:t>
      </w:r>
      <w:hyperlink r:id="rId234">
        <w:r>
          <w:rPr>
            <w:rStyle w:val="Hyperlink"/>
          </w:rPr>
          <w:t>Dhp 146</w:t>
        </w:r>
      </w:hyperlink>
      <w:r>
        <w:rPr/>
        <w:t>).</w:t>
      </w:r>
    </w:p>
  </w:footnote>
  <w:footnote w:id="590">
    <w:p>
      <w:pPr>
        <w:pStyle w:val="WW-footnote"/>
        <w:spacing w:before="113" w:after="0"/>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WW-footnote"/>
        <w:spacing w:before="113" w:after="0"/>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WW-footnote"/>
        <w:spacing w:before="113" w:after="0"/>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WW-footnote"/>
        <w:spacing w:before="113" w:after="0"/>
        <w:rPr/>
      </w:pPr>
      <w:r>
        <w:rPr>
          <w:rStyle w:val="FootnoteCharacters"/>
        </w:rPr>
        <w:footnoteRef/>
      </w:r>
      <w:r>
        <w:rPr/>
        <w:t>A.V,134 (</w:t>
      </w:r>
      <w:hyperlink r:id="rId235">
        <w:r>
          <w:rPr>
            <w:rStyle w:val="Hyperlink"/>
          </w:rPr>
          <w:t>AN 10.72</w:t>
        </w:r>
      </w:hyperlink>
      <w:r>
        <w:rPr/>
        <w:t>).</w:t>
      </w:r>
    </w:p>
  </w:footnote>
  <w:footnote w:id="596">
    <w:p>
      <w:pPr>
        <w:pStyle w:val="WW-footnote"/>
        <w:spacing w:before="113" w:after="0"/>
        <w:rPr/>
      </w:pPr>
      <w:r>
        <w:rPr>
          <w:rStyle w:val="FootnoteCharacters"/>
        </w:rPr>
        <w:footnoteRef/>
      </w:r>
      <w:r>
        <w:rPr/>
        <w:t>S.IV,306-307 (</w:t>
      </w:r>
      <w:hyperlink r:id="rId236">
        <w:r>
          <w:rPr>
            <w:rStyle w:val="Hyperlink"/>
          </w:rPr>
          <w:t>SN 42.2</w:t>
        </w:r>
      </w:hyperlink>
      <w:r>
        <w:rPr/>
        <w:t xml:space="preserve">). The Buddha’s low opinion of the theatre and actors put him in very good company. See </w:t>
      </w:r>
      <w:r>
        <w:rPr>
          <w:rStyle w:val="wwc-sesame-zot-reference"/>
        </w:rPr>
        <w:t>Barish 1981</w:t>
      </w:r>
      <w:r>
        <w:rPr/>
        <w:t>.</w:t>
      </w:r>
    </w:p>
  </w:footnote>
  <w:footnote w:id="597">
    <w:p>
      <w:pPr>
        <w:pStyle w:val="WW-footnote"/>
        <w:spacing w:before="113" w:after="0"/>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WW-footnote"/>
        <w:spacing w:before="113" w:after="0"/>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rStyle w:val="wwc-pali"/>
        </w:rPr>
        <w:t>āthabbaṇa</w:t>
      </w:r>
      <w:r>
        <w:rPr/>
        <w:t>, which refers to the spells and sorcery of the Atharvaveda.</w:t>
      </w:r>
    </w:p>
  </w:footnote>
  <w:footnote w:id="599">
    <w:p>
      <w:pPr>
        <w:pStyle w:val="WW-footnote"/>
        <w:spacing w:before="113" w:after="0"/>
        <w:rPr/>
      </w:pPr>
      <w:r>
        <w:rPr>
          <w:rStyle w:val="FootnoteCharacters"/>
        </w:rPr>
        <w:footnoteRef/>
      </w:r>
      <w:r>
        <w:rPr/>
        <w:t>S.II,255-266 (</w:t>
      </w:r>
      <w:hyperlink r:id="rId238">
        <w:r>
          <w:rPr>
            <w:rStyle w:val="Hyperlink"/>
          </w:rPr>
          <w:t>SN 19.14</w:t>
        </w:r>
      </w:hyperlink>
      <w:r>
        <w:rPr/>
        <w:t>).</w:t>
      </w:r>
    </w:p>
  </w:footnote>
  <w:footnote w:id="600">
    <w:p>
      <w:pPr>
        <w:pStyle w:val="WW-footnote"/>
        <w:spacing w:before="113" w:after="0"/>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WW-footnote"/>
        <w:spacing w:before="113" w:after="0"/>
        <w:rPr/>
      </w:pPr>
      <w:r>
        <w:rPr>
          <w:rStyle w:val="FootnoteCharacters"/>
        </w:rPr>
        <w:footnoteRef/>
      </w:r>
      <w:r>
        <w:rPr/>
        <w:t>Sn.258-267 (</w:t>
      </w:r>
      <w:hyperlink r:id="rId239">
        <w:r>
          <w:rPr>
            <w:rStyle w:val="Hyperlink"/>
          </w:rPr>
          <w:t>Snp 2.4</w:t>
        </w:r>
      </w:hyperlink>
      <w:r>
        <w:rPr/>
        <w:t>).</w:t>
      </w:r>
    </w:p>
  </w:footnote>
  <w:footnote w:id="602">
    <w:p>
      <w:pPr>
        <w:pStyle w:val="WW-footnote"/>
        <w:spacing w:before="113" w:after="0"/>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WW-footnote"/>
        <w:spacing w:before="113" w:after="0"/>
        <w:rPr/>
      </w:pPr>
      <w:r>
        <w:rPr>
          <w:rStyle w:val="FootnoteCharacters"/>
        </w:rPr>
        <w:footnoteRef/>
      </w:r>
      <w:r>
        <w:rPr/>
        <w:t>D.I,211 ff (</w:t>
      </w:r>
      <w:hyperlink r:id="rId241">
        <w:r>
          <w:rPr>
            <w:rStyle w:val="Hyperlink"/>
          </w:rPr>
          <w:t>DN 11</w:t>
        </w:r>
      </w:hyperlink>
      <w:r>
        <w:rPr/>
        <w:t>).</w:t>
      </w:r>
    </w:p>
  </w:footnote>
  <w:footnote w:id="604">
    <w:p>
      <w:pPr>
        <w:pStyle w:val="WW-footnote"/>
        <w:spacing w:before="113" w:after="0"/>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WW-footnote"/>
        <w:spacing w:before="113" w:after="0"/>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WW-footnote"/>
        <w:spacing w:before="113" w:after="0"/>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WW-footnote"/>
        <w:spacing w:before="113" w:after="0"/>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Manusmṛti [</w:t>
      </w:r>
      <w:r>
        <w:rPr>
          <w:rStyle w:val="wwc-sesame-zot-reference"/>
        </w:rPr>
        <w:t>Olivelle 2004</w:t>
      </w:r>
      <w:r>
        <w:rPr/>
        <w:t>] 8,413-414 says: “The menial was created by the Self- Existent One only to labour as a slave for the brahmin. Even if he is manumitted by his master, a menial is still a slave, for that is his nature, and no one can change that.”</w:t>
      </w:r>
    </w:p>
  </w:footnote>
  <w:footnote w:id="609">
    <w:p>
      <w:pPr>
        <w:pStyle w:val="WW-footnote"/>
        <w:spacing w:before="113" w:after="0"/>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WW-footnote"/>
        <w:spacing w:before="113" w:after="0"/>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WW-footnote"/>
        <w:spacing w:before="113" w:after="0"/>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xml:space="preserve">). See </w:t>
      </w:r>
      <w:r>
        <w:rPr>
          <w:rStyle w:val="wwc-sesame-zot-reference"/>
        </w:rPr>
        <w:t>Malalasekera Jayatilleke 1958</w:t>
      </w:r>
      <w:r>
        <w:rPr/>
        <w:t xml:space="preserve"> pp.40 ff.</w:t>
      </w:r>
    </w:p>
  </w:footnote>
  <w:footnote w:id="612">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xml:space="preserve">).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w:t>
      </w:r>
      <w:r>
        <w:rPr>
          <w:rStyle w:val="wwc-sesame-zot-reference"/>
        </w:rPr>
        <w:t>Anālayo 2011</w:t>
      </w:r>
      <w:r>
        <w:rPr/>
        <w:t xml:space="preserve"> p.551-552.</w:t>
      </w:r>
    </w:p>
  </w:footnote>
  <w:footnote w:id="613">
    <w:p>
      <w:pPr>
        <w:pStyle w:val="WW-footnote"/>
        <w:spacing w:before="113" w:after="0"/>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WW-footnote"/>
        <w:spacing w:before="113" w:after="0"/>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WW-footnote"/>
        <w:spacing w:before="113" w:after="0"/>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WW-footnote"/>
        <w:spacing w:before="113" w:after="0"/>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rStyle w:val="wwc-pali"/>
        </w:rPr>
        <w:t>samaññā</w:t>
      </w:r>
      <w:r>
        <w:rPr/>
        <w:t xml:space="preserve"> which the </w:t>
      </w:r>
      <w:r>
        <w:rPr>
          <w:rStyle w:val="wwc-sesame-zot-reference"/>
        </w:rPr>
        <w:t>Pali English Dictionary</w:t>
      </w:r>
      <w:r>
        <w:rPr/>
        <w:t xml:space="preserve"> gives as designation, name, common appellation, popular expression.</w:t>
      </w:r>
    </w:p>
  </w:footnote>
  <w:footnote w:id="617">
    <w:p>
      <w:pPr>
        <w:pStyle w:val="WW-footnote"/>
        <w:spacing w:before="113" w:after="0"/>
        <w:rPr/>
      </w:pPr>
      <w:r>
        <w:rPr>
          <w:rStyle w:val="FootnoteCharacters"/>
        </w:rPr>
        <w:footnoteRef/>
      </w:r>
      <w:r>
        <w:rPr/>
        <w:t>Vin.IV,4 (</w:t>
      </w:r>
      <w:hyperlink r:id="rId243">
        <w:r>
          <w:rPr>
            <w:rStyle w:val="Hyperlink"/>
          </w:rPr>
          <w:t>Bu Pc 2</w:t>
        </w:r>
      </w:hyperlink>
      <w:r>
        <w:rPr/>
        <w:t>).</w:t>
      </w:r>
    </w:p>
  </w:footnote>
  <w:footnote w:id="618">
    <w:p>
      <w:pPr>
        <w:pStyle w:val="WW-footnote"/>
        <w:spacing w:before="113" w:after="0"/>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xml:space="preserve">). Mahī was probably the old name for the Gandak, see </w:t>
      </w:r>
      <w:r>
        <w:rPr>
          <w:rStyle w:val="wwc-sesame-zot-reference"/>
        </w:rPr>
        <w:t>Hoey 1907</w:t>
      </w:r>
      <w:r>
        <w:rPr/>
        <w:t xml:space="preserve"> pp.44-46.</w:t>
      </w:r>
    </w:p>
  </w:footnote>
  <w:footnote w:id="619">
    <w:p>
      <w:pPr>
        <w:pStyle w:val="WW-footnote"/>
        <w:spacing w:before="113" w:after="0"/>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WW-footnote"/>
        <w:spacing w:before="113" w:after="0"/>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WW-footnote"/>
        <w:spacing w:before="113" w:after="0"/>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WW-footnote"/>
        <w:spacing w:before="113" w:after="0"/>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WW-footnote"/>
        <w:spacing w:before="113" w:after="0"/>
        <w:rPr/>
      </w:pPr>
      <w:r>
        <w:rPr>
          <w:rStyle w:val="FootnoteCharacters"/>
        </w:rPr>
        <w:footnoteRef/>
      </w:r>
      <w:r>
        <w:rPr/>
        <w:t>A.III,208 (</w:t>
      </w:r>
      <w:hyperlink r:id="rId245">
        <w:r>
          <w:rPr>
            <w:rStyle w:val="Hyperlink"/>
          </w:rPr>
          <w:t>AN 5.177</w:t>
        </w:r>
      </w:hyperlink>
      <w:r>
        <w:rPr/>
        <w:t>). Several centuries later, the Mahāvastu warned that those who enslave the helpless, put them in manacles, beat them and force them to work will be reborn in a very unpleasant purgatory, Mvu.I [</w:t>
      </w:r>
      <w:r>
        <w:rPr>
          <w:rStyle w:val="wwc-sesame-zot-reference"/>
        </w:rPr>
        <w:t>Jones 1949</w:t>
      </w:r>
      <w:r>
        <w:rPr/>
        <w:t>] pp.18,22.</w:t>
      </w:r>
    </w:p>
  </w:footnote>
  <w:footnote w:id="624">
    <w:p>
      <w:pPr>
        <w:pStyle w:val="WW-footnote"/>
        <w:spacing w:before="113" w:after="0"/>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WW-footnote"/>
        <w:spacing w:before="113" w:after="0"/>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WW-footnote"/>
        <w:spacing w:before="113" w:after="0"/>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WW-footnote"/>
        <w:spacing w:before="113" w:after="0"/>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WW-footnote"/>
        <w:spacing w:before="113" w:after="0"/>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WW-footnote"/>
        <w:spacing w:before="113" w:after="0"/>
        <w:rPr/>
      </w:pPr>
      <w:r>
        <w:rPr>
          <w:rStyle w:val="FootnoteCharacters"/>
        </w:rPr>
        <w:footnoteRef/>
      </w:r>
      <w:r>
        <w:rPr/>
        <w:t>S.I,81-82 (</w:t>
      </w:r>
      <w:hyperlink r:id="rId246">
        <w:r>
          <w:rPr>
            <w:rStyle w:val="Hyperlink"/>
          </w:rPr>
          <w:t>SN 3.13</w:t>
        </w:r>
      </w:hyperlink>
      <w:r>
        <w:rPr/>
        <w:t>).</w:t>
      </w:r>
    </w:p>
  </w:footnote>
  <w:footnote w:id="630">
    <w:p>
      <w:pPr>
        <w:pStyle w:val="WW-footnote"/>
        <w:spacing w:before="113" w:after="0"/>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WW-footnote"/>
        <w:spacing w:before="113" w:after="0"/>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WW-footnote"/>
        <w:spacing w:before="113" w:after="0"/>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WW-footnote"/>
        <w:spacing w:before="113" w:after="0"/>
        <w:rPr/>
      </w:pPr>
      <w:r>
        <w:rPr>
          <w:rStyle w:val="FootnoteCharacters"/>
        </w:rPr>
        <w:footnoteRef/>
      </w:r>
      <w:r>
        <w:rPr/>
        <w:t>Mil.135-136 (</w:t>
      </w:r>
      <w:hyperlink r:id="rId254">
        <w:r>
          <w:rPr>
            <w:rStyle w:val="Hyperlink"/>
          </w:rPr>
          <w:t>Mil 5.1.8</w:t>
        </w:r>
      </w:hyperlink>
      <w:r>
        <w:rPr/>
        <w:t>).</w:t>
      </w:r>
    </w:p>
  </w:footnote>
  <w:footnote w:id="634">
    <w:p>
      <w:pPr>
        <w:pStyle w:val="WW-footnote"/>
        <w:spacing w:before="113" w:after="0"/>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WW-footnote"/>
        <w:spacing w:before="113" w:after="0"/>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WW-footnote"/>
        <w:spacing w:before="113" w:after="0"/>
        <w:rPr/>
      </w:pPr>
      <w:r>
        <w:rPr>
          <w:rStyle w:val="FootnoteCharacters"/>
        </w:rPr>
        <w:footnoteRef/>
      </w:r>
      <w:r>
        <w:rPr/>
        <w:t xml:space="preserve">See </w:t>
      </w:r>
      <w:r>
        <w:rPr>
          <w:rStyle w:val="wwc-sesame-zot-reference"/>
        </w:rPr>
        <w:t>Wujastyk 2022</w:t>
      </w:r>
      <w:r>
        <w:rPr/>
        <w:t xml:space="preserve"> pp.5-7, 18-21, </w:t>
      </w:r>
      <w:r>
        <w:rPr>
          <w:rStyle w:val="wwc-sesame-zot-reference"/>
        </w:rPr>
        <w:t>Zysk 1991</w:t>
      </w:r>
      <w:r>
        <w:rPr/>
        <w:t xml:space="preserve"> and Tatz 1985 [</w:t>
      </w:r>
      <w:r>
        <w:rPr>
          <w:rStyle w:val="wwc-sesame-zot-reference"/>
        </w:rPr>
        <w:t>Tatz 1985</w:t>
      </w:r>
      <w:r>
        <w:rPr/>
        <w:t>].</w:t>
      </w:r>
    </w:p>
  </w:footnote>
  <w:footnote w:id="637">
    <w:p>
      <w:pPr>
        <w:pStyle w:val="WW-footnote"/>
        <w:spacing w:before="113" w:after="0"/>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WW-footnote"/>
        <w:spacing w:before="113" w:after="0"/>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WW-footnote"/>
        <w:spacing w:before="113" w:after="0"/>
        <w:rPr/>
      </w:pPr>
      <w:r>
        <w:rPr>
          <w:rStyle w:val="FootnoteCharacters"/>
        </w:rPr>
        <w:footnoteRef/>
      </w:r>
      <w:r>
        <w:rPr/>
        <w:t>A.III,106-108 (</w:t>
      </w:r>
      <w:hyperlink r:id="rId257">
        <w:r>
          <w:rPr>
            <w:rStyle w:val="Hyperlink"/>
          </w:rPr>
          <w:t>AN 5.79</w:t>
        </w:r>
      </w:hyperlink>
      <w:r>
        <w:rPr/>
        <w:t>).</w:t>
      </w:r>
    </w:p>
  </w:footnote>
  <w:footnote w:id="640">
    <w:p>
      <w:pPr>
        <w:pStyle w:val="WW-footnote"/>
        <w:spacing w:before="113" w:after="0"/>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WW-footnote"/>
        <w:spacing w:before="113" w:after="0"/>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WW-footnote"/>
        <w:spacing w:before="113" w:after="0"/>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WW-footnote"/>
        <w:spacing w:before="113" w:after="0"/>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WW-footnote"/>
        <w:spacing w:before="113" w:after="0"/>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WW-footnote"/>
        <w:spacing w:before="113" w:after="0"/>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WW-footnote"/>
        <w:spacing w:before="113" w:after="0"/>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WW-footnote"/>
        <w:spacing w:before="113" w:after="0"/>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WW-footnote"/>
        <w:spacing w:before="113" w:after="0"/>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WW-footnote"/>
        <w:spacing w:before="113" w:after="0"/>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WW-footnote"/>
        <w:spacing w:before="113" w:after="0"/>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WW-footnote"/>
        <w:spacing w:before="113" w:after="0"/>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WW-footnote"/>
        <w:spacing w:before="113" w:after="0"/>
        <w:rPr/>
      </w:pPr>
      <w:r>
        <w:rPr>
          <w:rStyle w:val="FootnoteCharacters"/>
        </w:rPr>
        <w:footnoteRef/>
      </w:r>
      <w:r>
        <w:rPr/>
        <w:t>A.II,239 (</w:t>
      </w:r>
      <w:hyperlink r:id="rId260">
        <w:r>
          <w:rPr>
            <w:rStyle w:val="Hyperlink"/>
          </w:rPr>
          <w:t>AN 4.243</w:t>
        </w:r>
      </w:hyperlink>
      <w:r>
        <w:rPr/>
        <w:t>).</w:t>
      </w:r>
    </w:p>
  </w:footnote>
  <w:footnote w:id="653">
    <w:p>
      <w:pPr>
        <w:pStyle w:val="WW-footnote"/>
        <w:spacing w:before="113" w:after="0"/>
        <w:rPr/>
      </w:pPr>
      <w:r>
        <w:rPr>
          <w:rStyle w:val="FootnoteCharacters"/>
        </w:rPr>
        <w:footnoteRef/>
      </w:r>
      <w:r>
        <w:rPr/>
        <w:t>M.I,321-322 (</w:t>
      </w:r>
      <w:hyperlink r:id="rId261">
        <w:r>
          <w:rPr>
            <w:rStyle w:val="Hyperlink"/>
          </w:rPr>
          <w:t>MN 48</w:t>
        </w:r>
      </w:hyperlink>
      <w:r>
        <w:rPr/>
        <w:t>).</w:t>
      </w:r>
    </w:p>
  </w:footnote>
  <w:footnote w:id="654">
    <w:p>
      <w:pPr>
        <w:pStyle w:val="WW-footnote"/>
        <w:spacing w:before="113" w:after="0"/>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WW-footnote"/>
        <w:spacing w:before="113" w:after="0"/>
        <w:rPr/>
      </w:pPr>
      <w:r>
        <w:rPr>
          <w:rStyle w:val="FootnoteCharacters"/>
        </w:rPr>
        <w:footnoteRef/>
      </w:r>
      <w:r>
        <w:rPr/>
        <w:t>A.I,275 (</w:t>
      </w:r>
      <w:hyperlink r:id="rId264">
        <w:r>
          <w:rPr>
            <w:rStyle w:val="Hyperlink"/>
          </w:rPr>
          <w:t>AN 3.124</w:t>
        </w:r>
      </w:hyperlink>
      <w:r>
        <w:rPr/>
        <w:t>), condensed.</w:t>
      </w:r>
    </w:p>
  </w:footnote>
  <w:footnote w:id="656">
    <w:p>
      <w:pPr>
        <w:pStyle w:val="WW-footnote"/>
        <w:spacing w:before="113" w:after="0"/>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WW-footnote"/>
        <w:spacing w:before="113" w:after="0"/>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xml:space="preserve">) suggests he went to Pārileyya forest where he was ministered to by an elephant. On the interaction between Buddhist monks and forest animals in Pali literature see </w:t>
      </w:r>
      <w:r>
        <w:rPr>
          <w:rStyle w:val="wwc-sesame-zot-reference"/>
        </w:rPr>
        <w:t>Dhammika 2018b</w:t>
      </w:r>
      <w:r>
        <w:rPr/>
        <w:t xml:space="preserve"> pp.32-35.</w:t>
      </w:r>
    </w:p>
  </w:footnote>
  <w:footnote w:id="658">
    <w:p>
      <w:pPr>
        <w:pStyle w:val="WW-footnote"/>
        <w:spacing w:before="113" w:after="0"/>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WW-footnote"/>
        <w:spacing w:before="113" w:after="0"/>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WW-footnote"/>
        <w:spacing w:before="113" w:after="0"/>
        <w:rPr/>
      </w:pPr>
      <w:r>
        <w:rPr>
          <w:rStyle w:val="FootnoteCharacters"/>
        </w:rPr>
        <w:footnoteRef/>
      </w:r>
      <w:r>
        <w:rPr/>
        <w:t>S.IV,113-114 (</w:t>
      </w:r>
      <w:hyperlink r:id="rId269">
        <w:r>
          <w:rPr>
            <w:rStyle w:val="Hyperlink"/>
          </w:rPr>
          <w:t>SN 35.129</w:t>
        </w:r>
      </w:hyperlink>
      <w:r>
        <w:rPr/>
        <w:t>).</w:t>
      </w:r>
    </w:p>
  </w:footnote>
  <w:footnote w:id="661">
    <w:p>
      <w:pPr>
        <w:pStyle w:val="WW-footnote"/>
        <w:spacing w:before="113" w:after="0"/>
        <w:rPr/>
      </w:pPr>
      <w:r>
        <w:rPr>
          <w:rStyle w:val="FootnoteCharacters"/>
        </w:rPr>
        <w:footnoteRef/>
      </w:r>
      <w:r>
        <w:rPr>
          <w:rStyle w:val="wwc-sesame-zot-reference"/>
        </w:rPr>
        <w:t>Ghosh 1963</w:t>
      </w:r>
      <w:r>
        <w:rPr/>
        <w:t xml:space="preserve"> pp.14-16.</w:t>
      </w:r>
    </w:p>
  </w:footnote>
  <w:footnote w:id="662">
    <w:p>
      <w:pPr>
        <w:pStyle w:val="WW-footnote"/>
        <w:spacing w:before="113" w:after="0"/>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WW-footnote"/>
        <w:spacing w:before="113" w:after="0"/>
        <w:rPr/>
      </w:pPr>
      <w:r>
        <w:rPr>
          <w:rStyle w:val="FootnoteCharacters"/>
        </w:rPr>
        <w:footnoteRef/>
      </w:r>
      <w:r>
        <w:rPr/>
        <w:t>Mhv [</w:t>
      </w:r>
      <w:r>
        <w:rPr>
          <w:rStyle w:val="wwc-sesame-zot-reference"/>
        </w:rPr>
        <w:t>Geiger 1912</w:t>
      </w:r>
      <w:r>
        <w:rPr/>
        <w:t>].II,32.</w:t>
      </w:r>
    </w:p>
  </w:footnote>
  <w:footnote w:id="664">
    <w:p>
      <w:pPr>
        <w:pStyle w:val="WW-footnote"/>
        <w:spacing w:before="113" w:after="0"/>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WW-footnote"/>
        <w:spacing w:before="113" w:after="0"/>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WW-footnote"/>
        <w:spacing w:before="113" w:after="0"/>
        <w:rPr/>
      </w:pPr>
      <w:r>
        <w:rPr>
          <w:rStyle w:val="FootnoteCharacters"/>
        </w:rPr>
        <w:footnoteRef/>
      </w:r>
      <w:r>
        <w:rPr/>
        <w:t>M.I,469 (</w:t>
      </w:r>
      <w:hyperlink r:id="rId272">
        <w:r>
          <w:rPr>
            <w:rStyle w:val="Hyperlink"/>
          </w:rPr>
          <w:t>MN 69</w:t>
        </w:r>
      </w:hyperlink>
      <w:r>
        <w:rPr/>
        <w:t>).</w:t>
      </w:r>
    </w:p>
  </w:footnote>
  <w:footnote w:id="667">
    <w:p>
      <w:pPr>
        <w:pStyle w:val="WW-footnote"/>
        <w:spacing w:before="113" w:after="0"/>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WW-footnote"/>
        <w:spacing w:before="113" w:after="0"/>
        <w:rPr/>
      </w:pPr>
      <w:r>
        <w:rPr>
          <w:rStyle w:val="FootnoteCharacters"/>
        </w:rPr>
        <w:footnoteRef/>
      </w:r>
      <w:r>
        <w:rPr/>
        <w:t xml:space="preserve">In canon law this procedure is called </w:t>
      </w:r>
      <w:r>
        <w:rPr>
          <w:rStyle w:val="wwc-pali"/>
        </w:rPr>
        <w:t>pakāsanīya</w:t>
      </w:r>
      <w:r>
        <w:rPr/>
        <w:t xml:space="preserve"> </w:t>
      </w:r>
      <w:r>
        <w:rPr>
          <w:rStyle w:val="wwc-pali"/>
        </w:rPr>
        <w:t>kamma</w:t>
      </w:r>
      <w:r>
        <w:rPr/>
        <w:t xml:space="preserve"> and would be done after another one called </w:t>
      </w:r>
      <w:r>
        <w:rPr>
          <w:rStyle w:val="wwc-pali"/>
        </w:rPr>
        <w:t>ñatticatuttha</w:t>
      </w:r>
      <w:r>
        <w:rPr/>
        <w:t xml:space="preserve"> </w:t>
      </w:r>
      <w:r>
        <w:rPr>
          <w:rStyle w:val="wwc-pali"/>
        </w:rPr>
        <w:t>kamma</w:t>
      </w:r>
      <w:r>
        <w:rPr/>
        <w:t xml:space="preserve">. During the Buddha’s life, this was the only time this procedure was ever used. For details see </w:t>
      </w:r>
      <w:r>
        <w:rPr>
          <w:rStyle w:val="wwc-sesame-zot-reference"/>
        </w:rPr>
        <w:t>Upasak 1975</w:t>
      </w:r>
      <w:r>
        <w:rPr/>
        <w:t xml:space="preserve"> pp.101 and 126.</w:t>
      </w:r>
    </w:p>
  </w:footnote>
  <w:footnote w:id="669">
    <w:p>
      <w:pPr>
        <w:pStyle w:val="WW-footnote"/>
        <w:spacing w:before="113" w:after="0"/>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WW-footnote"/>
        <w:spacing w:before="113" w:after="0"/>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WW-footnote"/>
        <w:spacing w:before="113" w:after="0"/>
        <w:rPr/>
      </w:pPr>
      <w:r>
        <w:rPr>
          <w:rStyle w:val="FootnoteCharacters"/>
        </w:rPr>
        <w:footnoteRef/>
      </w:r>
      <w:r>
        <w:rPr/>
        <w:t>S.V,161-162 (</w:t>
      </w:r>
      <w:hyperlink r:id="rId276">
        <w:r>
          <w:rPr>
            <w:rStyle w:val="Hyperlink"/>
          </w:rPr>
          <w:t>SN 47.13</w:t>
        </w:r>
      </w:hyperlink>
      <w:r>
        <w:rPr/>
        <w:t>).</w:t>
      </w:r>
    </w:p>
  </w:footnote>
  <w:footnote w:id="672">
    <w:p>
      <w:pPr>
        <w:pStyle w:val="WW-footnote"/>
        <w:spacing w:before="113" w:after="0"/>
        <w:rPr/>
      </w:pPr>
      <w:r>
        <w:rPr>
          <w:rStyle w:val="FootnoteCharacters"/>
        </w:rPr>
        <w:footnoteRef/>
      </w:r>
      <w:r>
        <w:rPr/>
        <w:t>S.V,164 (</w:t>
      </w:r>
      <w:hyperlink r:id="rId277">
        <w:r>
          <w:rPr>
            <w:rStyle w:val="Hyperlink"/>
          </w:rPr>
          <w:t>SN 47.14</w:t>
        </w:r>
      </w:hyperlink>
      <w:r>
        <w:rPr/>
        <w:t>).</w:t>
      </w:r>
    </w:p>
  </w:footnote>
  <w:footnote w:id="673">
    <w:p>
      <w:pPr>
        <w:pStyle w:val="WW-footnote"/>
        <w:spacing w:before="113" w:after="0"/>
        <w:rPr/>
      </w:pPr>
      <w:r>
        <w:rPr>
          <w:rStyle w:val="FootnoteCharacters"/>
        </w:rPr>
        <w:footnoteRef/>
      </w:r>
      <w:r>
        <w:rPr>
          <w:rStyle w:val="wwc-sesame-zot-reference"/>
        </w:rPr>
        <w:t>Singh U 2017</w:t>
      </w:r>
      <w:r>
        <w:rPr/>
        <w:t xml:space="preserve">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WW-footnote"/>
        <w:spacing w:before="113" w:after="0"/>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WW-footnote"/>
        <w:spacing w:before="113" w:after="0"/>
        <w:rPr/>
      </w:pPr>
      <w:r>
        <w:rPr>
          <w:rStyle w:val="FootnoteCharacters"/>
        </w:rPr>
        <w:footnoteRef/>
      </w:r>
      <w:r>
        <w:rPr/>
        <w:t>The Upaniṣads, the Dharmasūtras, etc., give the east various auspicious and mystical significance, probably originating from Vedic sun worship; e.g. Bṛhadāraṇyaka [</w:t>
      </w:r>
      <w:r>
        <w:rPr>
          <w:rStyle w:val="wwc-sesame-zot-reference"/>
        </w:rPr>
        <w:t>Olivelle 1998</w:t>
      </w:r>
      <w:r>
        <w:rPr/>
        <w:t>] 2.7,5 and 3.9.20. By sitting facing the east, the Buddha was probably following the convention of the time expected of an honoured guest.</w:t>
      </w:r>
    </w:p>
  </w:footnote>
  <w:footnote w:id="676">
    <w:p>
      <w:pPr>
        <w:pStyle w:val="WW-footnote"/>
        <w:spacing w:before="113" w:after="0"/>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WW-footnote"/>
        <w:spacing w:before="113" w:after="0"/>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WW-footnote"/>
        <w:spacing w:before="113" w:after="0"/>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WW-footnote"/>
        <w:spacing w:before="113" w:after="0"/>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On male grooming in ancient India, see Kāmasūtra [</w:t>
      </w:r>
      <w:r>
        <w:rPr>
          <w:rStyle w:val="wwc-sesame-zot-reference"/>
        </w:rPr>
        <w:t>Doniger and Kakar 2003</w:t>
      </w:r>
      <w:r>
        <w:rPr/>
        <w:t xml:space="preserve">] I, 4, 5-6 and </w:t>
      </w:r>
      <w:r>
        <w:rPr>
          <w:rStyle w:val="wwc-sesame-zot-reference"/>
        </w:rPr>
        <w:t>Ali 2004</w:t>
      </w:r>
      <w:r>
        <w:rPr/>
        <w:t xml:space="preserve"> p.63. In the 11th century, Alberuni found Indian men distinctly dandified and effeminate compared to what he was used to: “The men wear articles of female dress; they use cosmetics, wear earrings, arm-rings, golden seal-rings on the ring-finger as well as on their toes,” </w:t>
      </w:r>
      <w:r>
        <w:rPr>
          <w:rStyle w:val="wwc-sesame-zot-reference"/>
        </w:rPr>
        <w:t>Sachau 1910</w:t>
      </w:r>
      <w:r>
        <w:rPr/>
        <w:t xml:space="preserve"> Vol.I p.181.</w:t>
      </w:r>
    </w:p>
  </w:footnote>
  <w:footnote w:id="680">
    <w:p>
      <w:pPr>
        <w:pStyle w:val="WW-footnote"/>
        <w:spacing w:before="113" w:after="0"/>
        <w:rPr/>
      </w:pPr>
      <w:r>
        <w:rPr>
          <w:rStyle w:val="FootnoteCharacters"/>
        </w:rPr>
        <w:footnoteRef/>
      </w:r>
      <w:r>
        <w:rPr/>
        <w:t>This is a word play on Ambapālī’s name, which means ‘mango guardian’.</w:t>
      </w:r>
    </w:p>
  </w:footnote>
  <w:footnote w:id="681">
    <w:p>
      <w:pPr>
        <w:pStyle w:val="WW-footnote"/>
        <w:spacing w:before="113" w:after="0"/>
        <w:rPr/>
      </w:pPr>
      <w:r>
        <w:rPr>
          <w:rStyle w:val="FootnoteCharacters"/>
        </w:rPr>
        <w:footnoteRef/>
      </w:r>
      <w:r>
        <w:rPr/>
        <w:t>Thi.252-270 (</w:t>
      </w:r>
      <w:hyperlink r:id="rId279">
        <w:r>
          <w:rPr>
            <w:rStyle w:val="Hyperlink"/>
          </w:rPr>
          <w:t>Thig 13.1</w:t>
        </w:r>
      </w:hyperlink>
      <w:r>
        <w:rPr/>
        <w:t>).</w:t>
      </w:r>
    </w:p>
  </w:footnote>
  <w:footnote w:id="682">
    <w:p>
      <w:pPr>
        <w:pStyle w:val="WW-footnote"/>
        <w:spacing w:before="113" w:after="0"/>
        <w:rPr/>
      </w:pPr>
      <w:r>
        <w:rPr>
          <w:rStyle w:val="FootnoteCharacters"/>
        </w:rPr>
        <w:footnoteRef/>
      </w:r>
      <w:r>
        <w:rPr/>
        <w:t>See Vin.I,268 (</w:t>
      </w:r>
      <w:hyperlink r:id="rId280">
        <w:r>
          <w:rPr>
            <w:rStyle w:val="Hyperlink"/>
          </w:rPr>
          <w:t>Kd 8</w:t>
        </w:r>
      </w:hyperlink>
      <w:r>
        <w:rPr/>
        <w:t>) and Kāmasūtra [</w:t>
      </w:r>
      <w:r>
        <w:rPr>
          <w:rStyle w:val="wwc-sesame-zot-reference"/>
        </w:rPr>
        <w:t>Doniger and Kakar 2003</w:t>
      </w:r>
      <w:r>
        <w:rPr/>
        <w:t xml:space="preserve">] 1.3,16-22. On the less glamorous side of the courtesan’s life, see </w:t>
      </w:r>
      <w:r>
        <w:rPr>
          <w:rStyle w:val="wwc-sesame-zot-reference"/>
        </w:rPr>
        <w:t>Kaul 2010</w:t>
      </w:r>
      <w:r>
        <w:rPr/>
        <w:t xml:space="preserve"> p.146 ff.</w:t>
      </w:r>
    </w:p>
  </w:footnote>
  <w:footnote w:id="683">
    <w:p>
      <w:pPr>
        <w:pStyle w:val="WW-footnote"/>
        <w:spacing w:before="113" w:after="0"/>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WW-footnote"/>
        <w:spacing w:before="113" w:after="0"/>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WW-footnote"/>
        <w:spacing w:before="113" w:after="0"/>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WW-footnote"/>
        <w:spacing w:before="113" w:after="0"/>
        <w:rPr/>
      </w:pPr>
      <w:r>
        <w:rPr>
          <w:rStyle w:val="FootnoteCharacters"/>
        </w:rPr>
        <w:footnoteRef/>
      </w:r>
      <w:r>
        <w:rPr/>
        <w:t>Armstrong [</w:t>
      </w:r>
      <w:r>
        <w:rPr>
          <w:rStyle w:val="wwc-sesame-zot-reference"/>
        </w:rPr>
        <w:t>Armstrong 2004</w:t>
      </w:r>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rStyle w:val="wwc-pali"/>
        </w:rPr>
        <w:t>sūkaramaddava</w:t>
      </w:r>
      <w:r>
        <w:rPr/>
        <w:t xml:space="preserve"> and its possible role in the Buddha’s death, see </w:t>
      </w:r>
      <w:r>
        <w:rPr>
          <w:rStyle w:val="wwc-sesame-zot-reference"/>
        </w:rPr>
        <w:t>Mettananda and Hinüber 2000</w:t>
      </w:r>
      <w:r>
        <w:rPr/>
        <w:t xml:space="preserve">, </w:t>
      </w:r>
      <w:r>
        <w:rPr>
          <w:rStyle w:val="wwc-sesame-zot-reference"/>
        </w:rPr>
        <w:t>Wasson and OFlaherty 1983</w:t>
      </w:r>
      <w:r>
        <w:rPr/>
        <w:t xml:space="preserve">, </w:t>
      </w:r>
      <w:r>
        <w:rPr>
          <w:rStyle w:val="wwc-sesame-zot-reference"/>
        </w:rPr>
        <w:t>Ireland 1993</w:t>
      </w:r>
      <w:r>
        <w:rPr/>
        <w:t xml:space="preserve">, and </w:t>
      </w:r>
      <w:r>
        <w:rPr>
          <w:rStyle w:val="wwc-sesame-zot-reference"/>
        </w:rPr>
        <w:t>Masefield and Revire 2021</w:t>
      </w:r>
      <w:r>
        <w:rPr/>
        <w:t xml:space="preserve">. Dhammapāla (5th cent. CE) gave the opinions of various ancient authorities on the identity of </w:t>
      </w:r>
      <w:r>
        <w:rPr>
          <w:rStyle w:val="wwc-pali"/>
        </w:rPr>
        <w:t>sūkaramaddava</w:t>
      </w:r>
      <w:r>
        <w:rPr/>
        <w:t xml:space="preserve">—that it was pork, bamboo shoots, a type of mushroom, or some kind of elixir—indicating that what the original was had been lost by his time. One of the most widespread and persistent theories today is that it was truffles, a theory first put forward by western scholars in the nineteenth century. The Indian truffle, </w:t>
      </w:r>
      <w:r>
        <w:rPr>
          <w:rStyle w:val="wwc-pali"/>
        </w:rPr>
        <w:t>Tuber</w:t>
      </w:r>
      <w:r>
        <w:rPr/>
        <w:t xml:space="preserve"> </w:t>
      </w:r>
      <w:r>
        <w:rPr>
          <w:rStyle w:val="wwc-pali"/>
        </w:rPr>
        <w:t>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rStyle w:val="wwc-pali"/>
        </w:rPr>
        <w:t>sūkaramaddava</w:t>
      </w:r>
      <w:r>
        <w:rPr/>
        <w:t xml:space="preserve"> mushrooms as some maintain, a food that Indians have, along with garlic, always shunned as impure; see Manusmṛti [</w:t>
      </w:r>
      <w:hyperlink w:anchor="X33ef731ad2df603fa7fc36f2385d2d5c948871f">
        <w:r>
          <w:rPr>
            <w:rStyle w:val="Hyperlink"/>
          </w:rPr>
          <w:t>Olivelle 2004</w:t>
        </w:r>
      </w:hyperlink>
      <w:r>
        <w:rPr/>
        <w:t>] 5,5; 11,156; Āpastamba Dharmasūtra [</w:t>
      </w:r>
      <w:r>
        <w:rPr>
          <w:rStyle w:val="wwc-sesame-zot-reference"/>
        </w:rPr>
        <w:t>Olivelle 1999</w:t>
      </w:r>
      <w:r>
        <w:rPr/>
        <w:t>] I.17,28; Vasiṣṭha Dharmasūtra [</w:t>
      </w:r>
      <w:r>
        <w:rPr>
          <w:rStyle w:val="wwc-sesame-zot-reference"/>
        </w:rPr>
        <w:t>Olivelle 1999</w:t>
      </w:r>
      <w:r>
        <w:rPr/>
        <w:t>] 14,33, etc.</w:t>
      </w:r>
    </w:p>
  </w:footnote>
  <w:footnote w:id="689">
    <w:p>
      <w:pPr>
        <w:pStyle w:val="WW-footnote"/>
        <w:spacing w:before="113" w:after="0"/>
        <w:rPr/>
      </w:pPr>
      <w:r>
        <w:rPr>
          <w:rStyle w:val="FootnoteCharacters"/>
        </w:rPr>
        <w:footnoteRef/>
      </w:r>
      <w:r>
        <w:rPr/>
        <w:t>Mil.175 (</w:t>
      </w:r>
      <w:hyperlink r:id="rId281">
        <w:r>
          <w:rPr>
            <w:rStyle w:val="Hyperlink"/>
          </w:rPr>
          <w:t>Mil 5.3.6</w:t>
        </w:r>
      </w:hyperlink>
      <w:r>
        <w:rPr/>
        <w:t>).</w:t>
      </w:r>
    </w:p>
  </w:footnote>
  <w:footnote w:id="690">
    <w:p>
      <w:pPr>
        <w:pStyle w:val="WW-footnote"/>
        <w:spacing w:before="113" w:after="0"/>
        <w:rPr/>
      </w:pPr>
      <w:r>
        <w:rPr>
          <w:rStyle w:val="FootnoteCharacters"/>
        </w:rPr>
        <w:footnoteRef/>
      </w:r>
      <w:r>
        <w:rPr>
          <w:rStyle w:val="wwc-pali"/>
        </w:rPr>
        <w:t>Siṅgivaṇṇaṃ</w:t>
      </w:r>
      <w:r>
        <w:rPr/>
        <w:t xml:space="preserve">, Sanskrit </w:t>
      </w:r>
      <w:r>
        <w:rPr>
          <w:rStyle w:val="wwc-sanskrit"/>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WW-footnote"/>
        <w:spacing w:before="113" w:after="0"/>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rStyle w:val="wwc-pali"/>
        </w:rPr>
        <w:t>gāvutas</w:t>
      </w:r>
      <w:r>
        <w:rPr/>
        <w:t xml:space="preserve">, which Rhys Davids calculated at a little less than two miles, see </w:t>
      </w:r>
      <w:r>
        <w:rPr>
          <w:rStyle w:val="wwc-sesame-zot-reference"/>
        </w:rPr>
        <w:t>Srinivasan 1979</w:t>
      </w:r>
      <w:r>
        <w:rPr/>
        <w:t xml:space="preserve"> pp. 18, 23, 25. Unfortunately, we do not know exactly where Pāvā was in relation to the Kukuṭṭhā at that time, or to Kusinārā, nor is their certainty about how long a </w:t>
      </w:r>
      <w:r>
        <w:rPr>
          <w:rStyle w:val="wwc-pali"/>
        </w:rPr>
        <w:t>gāvuta</w:t>
      </w:r>
      <w:r>
        <w:rPr/>
        <w:t xml:space="preserve"> was.</w:t>
      </w:r>
    </w:p>
  </w:footnote>
  <w:footnote w:id="692">
    <w:p>
      <w:pPr>
        <w:pStyle w:val="WW-footnote"/>
        <w:spacing w:before="113" w:after="0"/>
        <w:rPr/>
      </w:pPr>
      <w:r>
        <w:rPr>
          <w:rStyle w:val="FootnoteCharacters"/>
        </w:rPr>
        <w:footnoteRef/>
      </w:r>
      <w:r>
        <w:rPr/>
        <w:t>S.V,81 (</w:t>
      </w:r>
      <w:hyperlink r:id="rId282">
        <w:r>
          <w:rPr>
            <w:rStyle w:val="Hyperlink"/>
          </w:rPr>
          <w:t>SN 46.16</w:t>
        </w:r>
      </w:hyperlink>
      <w:r>
        <w:rPr/>
        <w:t>).</w:t>
      </w:r>
    </w:p>
  </w:footnote>
  <w:footnote w:id="693">
    <w:p>
      <w:pPr>
        <w:pStyle w:val="WW-footnote"/>
        <w:spacing w:before="113" w:after="0"/>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WW-footnote"/>
        <w:spacing w:before="113" w:after="0"/>
        <w:rPr/>
      </w:pPr>
      <w:r>
        <w:rPr>
          <w:rStyle w:val="FootnoteCharacters"/>
        </w:rPr>
        <w:footnoteRef/>
      </w:r>
      <w:r>
        <w:rPr/>
        <w:t>Until recently the Chota Gandak, now renamed Hiraññavatī for the benefit of pilgrims.</w:t>
      </w:r>
    </w:p>
  </w:footnote>
  <w:footnote w:id="695">
    <w:p>
      <w:pPr>
        <w:pStyle w:val="WW-footnote"/>
        <w:spacing w:before="113" w:after="0"/>
        <w:rPr/>
      </w:pPr>
      <w:r>
        <w:rPr>
          <w:rStyle w:val="FootnoteCharacters"/>
        </w:rPr>
        <w:footnoteRef/>
      </w:r>
      <w:r>
        <w:rPr/>
        <w:t xml:space="preserve">The sal has fragrant-smelling pale yellow flowers, see </w:t>
      </w:r>
      <w:r>
        <w:rPr>
          <w:rStyle w:val="wwc-sesame-zot-reference"/>
        </w:rPr>
        <w:t>Dhammika 2018b</w:t>
      </w:r>
      <w:r>
        <w:rPr/>
        <w:t xml:space="preserve"> pp. 179-181.</w:t>
      </w:r>
    </w:p>
  </w:footnote>
  <w:footnote w:id="696">
    <w:p>
      <w:pPr>
        <w:pStyle w:val="WW-footnote"/>
        <w:spacing w:before="113" w:after="0"/>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WW-footnote"/>
        <w:spacing w:before="113" w:after="0"/>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WW-footnote"/>
        <w:spacing w:before="113" w:after="0"/>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WW-footnote"/>
        <w:spacing w:before="113" w:after="0"/>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WW-footnote"/>
        <w:spacing w:before="113" w:after="0"/>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WW-footnote"/>
        <w:spacing w:before="113" w:after="0"/>
        <w:rPr/>
      </w:pPr>
      <w:r>
        <w:rPr>
          <w:rStyle w:val="FootnoteCharacters"/>
        </w:rPr>
        <w:footnoteRef/>
      </w:r>
      <w:r>
        <w:rPr/>
        <w:t>Veṭhadīpa may be the modern Bettiah in West Champaran District.</w:t>
      </w:r>
    </w:p>
  </w:footnote>
  <w:footnote w:id="702">
    <w:p>
      <w:pPr>
        <w:pStyle w:val="WW-footnote"/>
        <w:spacing w:before="113" w:after="0"/>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rStyle w:val="wwc-pali"/>
          <w:iCs/>
        </w:rPr>
        <w:t>doṇamāpaka</w:t>
      </w:r>
      <w:r>
        <w:rPr/>
        <w:t xml:space="preserve">, a royal revenue officer tasked with measuring out the king’s share of the harvest using a wooden vessel called a </w:t>
      </w:r>
      <w:r>
        <w:rPr>
          <w:rStyle w:val="wwc-pali"/>
          <w:iCs/>
        </w:rPr>
        <w:t>doṇa</w:t>
      </w:r>
      <w:r>
        <w:rPr/>
        <w:t xml:space="preserve">. According to </w:t>
      </w:r>
      <w:r>
        <w:rPr>
          <w:rStyle w:val="wwc-sesame-zot-reference"/>
        </w:rPr>
        <w:t>Olivelle 2004</w:t>
      </w:r>
      <w:r>
        <w:rPr/>
        <w:t xml:space="preserve"> p.458, a </w:t>
      </w:r>
      <w:r>
        <w:rPr>
          <w:rStyle w:val="wwc-pali"/>
          <w:iCs/>
        </w:rPr>
        <w:t>doṇa</w:t>
      </w:r>
      <w:r>
        <w:rPr/>
        <w:t xml:space="preserve"> had a capacity of about 5 litres. See also </w:t>
      </w:r>
      <w:r>
        <w:rPr>
          <w:rStyle w:val="wwc-sesame-zot-reference"/>
        </w:rPr>
        <w:t>Srinivasan 1979</w:t>
      </w:r>
      <w:r>
        <w:rPr/>
        <w:t xml:space="preserve"> pp. 49-51, 90-92 and 166.</w:t>
      </w:r>
    </w:p>
  </w:footnote>
  <w:footnote w:id="703">
    <w:p>
      <w:pPr>
        <w:pStyle w:val="WW-footnote"/>
        <w:spacing w:before="113" w:after="0"/>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rStyle w:val="wwc-pali"/>
        </w:rPr>
        <w:t>doṇa</w:t>
      </w:r>
      <w:r>
        <w:rPr/>
        <w:t xml:space="preserve"> measure, and would have easily held the Buddha’s ashes. The remains of the average human male after cremation weigh about 2 ½ kgs.</w:t>
      </w:r>
    </w:p>
  </w:footnote>
  <w:footnote w:id="704">
    <w:p>
      <w:pPr>
        <w:pStyle w:val="WW-footnote"/>
        <w:spacing w:before="113" w:after="0"/>
        <w:rPr/>
      </w:pPr>
      <w:r>
        <w:rPr>
          <w:rStyle w:val="FootnoteCharacters"/>
        </w:rPr>
        <w:footnoteRef/>
      </w:r>
      <w:r>
        <w:rPr/>
        <w:t xml:space="preserve">On the possible identification of the stupa built by Doṇa see </w:t>
      </w:r>
      <w:r>
        <w:rPr>
          <w:rStyle w:val="wwc-sesame-zot-reference"/>
        </w:rPr>
        <w:t>Dhammika 2018d</w:t>
      </w:r>
      <w:r>
        <w:rPr/>
        <w:t xml:space="preserve"> pp. 207-214 and </w:t>
      </w:r>
      <w:r>
        <w:rPr>
          <w:rStyle w:val="wwc-sesame-zot-reference"/>
        </w:rPr>
        <w:t>Patil 1963</w:t>
      </w:r>
      <w:r>
        <w:rPr/>
        <w:t xml:space="preserve"> pp.40-41,86,121.</w:t>
      </w:r>
    </w:p>
  </w:footnote>
  <w:footnote w:id="705">
    <w:p>
      <w:pPr>
        <w:pStyle w:val="WW-footnote"/>
        <w:spacing w:before="113" w:after="0"/>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WW-footnote"/>
        <w:spacing w:before="113" w:after="0"/>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WW-footnote"/>
        <w:spacing w:before="113" w:after="0"/>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WW-footnote"/>
        <w:spacing w:before="113" w:after="0"/>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WW-footnote"/>
        <w:spacing w:before="113" w:after="0"/>
        <w:rPr/>
      </w:pPr>
      <w:r>
        <w:rPr>
          <w:rStyle w:val="FootnoteCharacters"/>
        </w:rPr>
        <w:footnoteRef/>
      </w:r>
      <w:r>
        <w:rPr>
          <w:rStyle w:val="wwc-pali"/>
        </w:rPr>
        <w:t>Pacchābhūmaṃ</w:t>
      </w:r>
      <w:r>
        <w:rPr/>
        <w:t xml:space="preserve"> </w:t>
      </w:r>
      <w:r>
        <w:rPr>
          <w:rStyle w:val="wwc-pali"/>
        </w:rPr>
        <w:t>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WW-footnote"/>
        <w:spacing w:before="113" w:after="0"/>
        <w:rPr/>
      </w:pPr>
      <w:r>
        <w:rPr>
          <w:rStyle w:val="FootnoteCharacters"/>
        </w:rPr>
        <w:footnoteRef/>
      </w:r>
      <w:r>
        <w:rPr/>
        <w:t>S.III,6-9 (</w:t>
      </w:r>
      <w:hyperlink r:id="rId287">
        <w:r>
          <w:rPr>
            <w:rStyle w:val="Hyperlink"/>
          </w:rPr>
          <w:t>SN 22.2</w:t>
        </w:r>
      </w:hyperlink>
      <w:r>
        <w:rPr/>
        <w:t>).</w:t>
      </w:r>
    </w:p>
  </w:footnote>
  <w:footnote w:id="711">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WW-footnote"/>
        <w:spacing w:before="113" w:after="0"/>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xml:space="preserve">). See </w:t>
      </w:r>
      <w:r>
        <w:rPr>
          <w:rStyle w:val="wwc-sesame-zot-reference"/>
        </w:rPr>
        <w:t>Chakrabarti 2007</w:t>
      </w:r>
      <w:r>
        <w:rPr/>
        <w:t xml:space="preserve"> p.75.</w:t>
      </w:r>
    </w:p>
  </w:footnote>
  <w:footnote w:id="714">
    <w:p>
      <w:pPr>
        <w:pStyle w:val="WW-footnote"/>
        <w:spacing w:before="113" w:after="0"/>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WW-footnote"/>
        <w:spacing w:before="113" w:after="0"/>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WW-footnote"/>
        <w:spacing w:before="113" w:after="0"/>
        <w:rPr/>
      </w:pPr>
      <w:r>
        <w:rPr>
          <w:rStyle w:val="FootnoteCharacters"/>
        </w:rPr>
        <w:footnoteRef/>
      </w:r>
      <w:r>
        <w:rPr/>
        <w:t>Viyāhapaṇṇatti 11,12.</w:t>
      </w:r>
    </w:p>
  </w:footnote>
  <w:footnote w:id="717">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WW-footnote"/>
        <w:spacing w:before="113" w:after="0"/>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WW-footnote"/>
        <w:spacing w:before="113" w:after="0"/>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WW-footnote"/>
        <w:spacing w:before="113" w:after="0"/>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WW-footnote"/>
        <w:spacing w:before="113" w:after="0"/>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WW-footnote"/>
        <w:spacing w:before="113" w:after="0"/>
        <w:rPr/>
      </w:pPr>
      <w:r>
        <w:rPr>
          <w:rStyle w:val="FootnoteCharacters"/>
        </w:rPr>
        <w:footnoteRef/>
      </w:r>
      <w:r>
        <w:rPr>
          <w:rStyle w:val="wwc-sesame-zot-reference"/>
        </w:rPr>
        <w:t>Pandey 1963</w:t>
      </w:r>
      <w:r>
        <w:rPr/>
        <w:t xml:space="preserve"> p.97, thinks Aṅguttararāpa was somewhere in modern Purina District.</w:t>
      </w:r>
    </w:p>
  </w:footnote>
  <w:footnote w:id="723">
    <w:p>
      <w:pPr>
        <w:pStyle w:val="WW-footnote"/>
        <w:spacing w:before="113" w:after="0"/>
        <w:rPr/>
      </w:pPr>
      <w:r>
        <w:rPr>
          <w:rStyle w:val="FootnoteCharacters"/>
        </w:rPr>
        <w:footnoteRef/>
      </w:r>
      <w:r>
        <w:rPr/>
        <w:t>A.III,36-38 (</w:t>
      </w:r>
      <w:hyperlink r:id="rId295">
        <w:r>
          <w:rPr>
            <w:rStyle w:val="Hyperlink"/>
          </w:rPr>
          <w:t>AN 5.33</w:t>
        </w:r>
      </w:hyperlink>
      <w:r>
        <w:rPr/>
        <w:t>).</w:t>
      </w:r>
    </w:p>
  </w:footnote>
  <w:footnote w:id="724">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WW-footnote"/>
        <w:spacing w:before="113" w:after="0"/>
        <w:rPr/>
      </w:pPr>
      <w:r>
        <w:rPr>
          <w:rStyle w:val="FootnoteCharacters"/>
        </w:rPr>
        <w:footnoteRef/>
      </w:r>
      <w:r>
        <w:rPr/>
        <w:t xml:space="preserve">See </w:t>
      </w:r>
      <w:r>
        <w:rPr>
          <w:rStyle w:val="wwc-sesame-zot-reference"/>
        </w:rPr>
        <w:t>Sinha 1979</w:t>
      </w:r>
      <w:r>
        <w:rPr/>
        <w:t xml:space="preserve"> pp.90-96.</w:t>
      </w:r>
    </w:p>
  </w:footnote>
  <w:footnote w:id="726">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WW-footnote"/>
        <w:spacing w:before="113" w:after="0"/>
        <w:rPr/>
      </w:pPr>
      <w:r>
        <w:rPr>
          <w:rStyle w:val="FootnoteCharacters"/>
        </w:rPr>
        <w:footnoteRef/>
      </w:r>
      <w:r>
        <w:rPr/>
        <w:t>Tha.345 (</w:t>
      </w:r>
      <w:hyperlink r:id="rId296">
        <w:r>
          <w:rPr>
            <w:rStyle w:val="Hyperlink"/>
          </w:rPr>
          <w:t>Thag 5.7</w:t>
        </w:r>
      </w:hyperlink>
      <w:r>
        <w:rPr/>
        <w:t>).</w:t>
      </w:r>
    </w:p>
  </w:footnote>
  <w:footnote w:id="728">
    <w:p>
      <w:pPr>
        <w:pStyle w:val="WW-footnote"/>
        <w:spacing w:before="113" w:after="0"/>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WW-footnote"/>
        <w:spacing w:before="113" w:after="0"/>
        <w:rPr/>
      </w:pPr>
      <w:r>
        <w:rPr>
          <w:rStyle w:val="FootnoteCharacters"/>
        </w:rPr>
        <w:footnoteRef/>
      </w:r>
      <w:r>
        <w:rPr/>
        <w:t>Ud.6. (</w:t>
      </w:r>
      <w:hyperlink r:id="rId297">
        <w:r>
          <w:rPr>
            <w:rStyle w:val="Hyperlink"/>
          </w:rPr>
          <w:t>Ud 1.9</w:t>
        </w:r>
      </w:hyperlink>
      <w:r>
        <w:rPr/>
        <w:t>)</w:t>
      </w:r>
    </w:p>
  </w:footnote>
  <w:footnote w:id="730">
    <w:p>
      <w:pPr>
        <w:pStyle w:val="WW-footnote"/>
        <w:spacing w:before="113" w:after="0"/>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WW-footnote"/>
        <w:spacing w:before="113" w:after="0"/>
        <w:rPr/>
      </w:pPr>
      <w:r>
        <w:rPr>
          <w:rStyle w:val="FootnoteCharacters"/>
        </w:rPr>
        <w:footnoteRef/>
      </w:r>
      <w:r>
        <w:rPr/>
        <w:t>S.I,207-208 (</w:t>
      </w:r>
      <w:hyperlink r:id="rId298">
        <w:r>
          <w:rPr>
            <w:rStyle w:val="Hyperlink"/>
          </w:rPr>
          <w:t>SN 10.3</w:t>
        </w:r>
      </w:hyperlink>
      <w:r>
        <w:rPr/>
        <w:t>).</w:t>
      </w:r>
    </w:p>
  </w:footnote>
  <w:footnote w:id="732">
    <w:p>
      <w:pPr>
        <w:pStyle w:val="WW-footnote"/>
        <w:spacing w:before="113" w:after="0"/>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WW-footnote"/>
        <w:spacing w:before="113" w:after="0"/>
        <w:rPr/>
      </w:pPr>
      <w:r>
        <w:rPr>
          <w:rStyle w:val="FootnoteCharacters"/>
        </w:rPr>
        <w:footnoteRef/>
      </w:r>
      <w:r>
        <w:rPr/>
        <w:t xml:space="preserve">See </w:t>
      </w:r>
      <w:r>
        <w:rPr>
          <w:rStyle w:val="wwc-sesame-zot-reference"/>
        </w:rPr>
        <w:t>Wagle 1995</w:t>
      </w:r>
      <w:r>
        <w:rPr/>
        <w:t xml:space="preserve">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WW-footnote"/>
        <w:spacing w:before="113" w:after="0"/>
        <w:rPr/>
      </w:pPr>
      <w:r>
        <w:rPr>
          <w:rStyle w:val="FootnoteCharacters"/>
        </w:rPr>
        <w:footnoteRef/>
      </w:r>
      <w:r>
        <w:rPr/>
        <w:t>M.III,298 (</w:t>
      </w:r>
      <w:hyperlink r:id="rId299">
        <w:r>
          <w:rPr>
            <w:rStyle w:val="Hyperlink"/>
          </w:rPr>
          <w:t>MN 152</w:t>
        </w:r>
      </w:hyperlink>
      <w:r>
        <w:rPr/>
        <w:t>).</w:t>
      </w:r>
    </w:p>
  </w:footnote>
  <w:footnote w:id="735">
    <w:p>
      <w:pPr>
        <w:pStyle w:val="WW-footnote"/>
        <w:spacing w:before="113" w:after="0"/>
        <w:rPr/>
      </w:pPr>
      <w:r>
        <w:rPr>
          <w:rStyle w:val="FootnoteCharacters"/>
        </w:rPr>
        <w:footnoteRef/>
      </w:r>
      <w:r>
        <w:rPr/>
        <w:t>A.V,48-54 (</w:t>
      </w:r>
      <w:hyperlink r:id="rId300">
        <w:r>
          <w:rPr>
            <w:rStyle w:val="Hyperlink"/>
          </w:rPr>
          <w:t>AN 10.27</w:t>
        </w:r>
      </w:hyperlink>
      <w:r>
        <w:rPr/>
        <w:t>).</w:t>
      </w:r>
    </w:p>
  </w:footnote>
  <w:footnote w:id="736">
    <w:p>
      <w:pPr>
        <w:pStyle w:val="WW-footnote"/>
        <w:spacing w:before="113" w:after="0"/>
        <w:rPr/>
      </w:pPr>
      <w:r>
        <w:rPr>
          <w:rStyle w:val="FootnoteCharacters"/>
        </w:rPr>
        <w:footnoteRef/>
      </w:r>
      <w:r>
        <w:rPr/>
        <w:t>A.V,54-58 (</w:t>
      </w:r>
      <w:hyperlink r:id="rId301">
        <w:r>
          <w:rPr>
            <w:rStyle w:val="Hyperlink"/>
          </w:rPr>
          <w:t>AN 10.28</w:t>
        </w:r>
      </w:hyperlink>
      <w:r>
        <w:rPr/>
        <w:t>).</w:t>
      </w:r>
    </w:p>
  </w:footnote>
  <w:footnote w:id="737">
    <w:p>
      <w:pPr>
        <w:pStyle w:val="WW-footnote"/>
        <w:spacing w:before="113" w:after="0"/>
        <w:rPr/>
      </w:pPr>
      <w:r>
        <w:rPr>
          <w:rStyle w:val="FootnoteCharacters"/>
        </w:rPr>
        <w:footnoteRef/>
      </w:r>
      <w:r>
        <w:rPr/>
        <w:t xml:space="preserve">See </w:t>
      </w:r>
      <w:r>
        <w:rPr>
          <w:rStyle w:val="wwc-sesame-zot-reference"/>
        </w:rPr>
        <w:t>Bodhi 2012</w:t>
      </w:r>
      <w:r>
        <w:rPr/>
        <w:t xml:space="preserve"> p.1839, note 2012.</w:t>
      </w:r>
    </w:p>
  </w:footnote>
  <w:footnote w:id="738">
    <w:p>
      <w:pPr>
        <w:pStyle w:val="WW-footnote"/>
        <w:spacing w:before="113" w:after="0"/>
        <w:rPr/>
      </w:pPr>
      <w:r>
        <w:rPr>
          <w:rStyle w:val="FootnoteCharacters"/>
        </w:rPr>
        <w:footnoteRef/>
      </w:r>
      <w:r>
        <w:rPr/>
        <w:t>Mil.10 (</w:t>
      </w:r>
      <w:hyperlink r:id="rId302">
        <w:r>
          <w:rPr>
            <w:rStyle w:val="Hyperlink"/>
          </w:rPr>
          <w:t>Mil 2</w:t>
        </w:r>
      </w:hyperlink>
      <w:r>
        <w:rPr/>
        <w:t>).</w:t>
      </w:r>
    </w:p>
  </w:footnote>
  <w:footnote w:id="739">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WW-footnote"/>
        <w:spacing w:before="113" w:after="0"/>
        <w:rPr/>
      </w:pPr>
      <w:r>
        <w:rPr>
          <w:rStyle w:val="FootnoteCharacters"/>
        </w:rPr>
        <w:footnoteRef/>
      </w:r>
      <w:r>
        <w:rPr/>
        <w:t>A.I,188-189 (</w:t>
      </w:r>
      <w:hyperlink r:id="rId303">
        <w:r>
          <w:rPr>
            <w:rStyle w:val="Hyperlink"/>
          </w:rPr>
          <w:t>AN 3.65</w:t>
        </w:r>
      </w:hyperlink>
      <w:r>
        <w:rPr/>
        <w:t>).</w:t>
      </w:r>
    </w:p>
  </w:footnote>
  <w:footnote w:id="741">
    <w:p>
      <w:pPr>
        <w:pStyle w:val="WW-footnote"/>
        <w:spacing w:before="113" w:after="0"/>
        <w:rPr/>
      </w:pPr>
      <w:r>
        <w:rPr>
          <w:rStyle w:val="FootnoteCharacters"/>
        </w:rPr>
        <w:footnoteRef/>
      </w:r>
      <w:r>
        <w:rPr/>
        <w:t xml:space="preserve">See </w:t>
      </w:r>
      <w:r>
        <w:rPr>
          <w:rStyle w:val="wwc-sesame-zot-reference"/>
        </w:rPr>
        <w:t>Sinha I 2019</w:t>
      </w:r>
      <w:r>
        <w:rPr/>
        <w:t xml:space="preserve"> pp.27-31.</w:t>
      </w:r>
    </w:p>
  </w:footnote>
  <w:footnote w:id="742">
    <w:p>
      <w:pPr>
        <w:pStyle w:val="WW-footnote"/>
        <w:spacing w:before="113" w:after="0"/>
        <w:rPr/>
      </w:pPr>
      <w:r>
        <w:rPr>
          <w:rStyle w:val="FootnoteCharacters"/>
        </w:rPr>
        <w:footnoteRef/>
      </w:r>
      <w:r>
        <w:rPr>
          <w:rStyle w:val="wwc-sesame-zot-reference"/>
        </w:rPr>
        <w:t>Ghosh 1956</w:t>
      </w:r>
      <w:r>
        <w:rPr/>
        <w:t xml:space="preserve"> pp.20-21.</w:t>
      </w:r>
    </w:p>
  </w:footnote>
  <w:footnote w:id="743">
    <w:p>
      <w:pPr>
        <w:pStyle w:val="WW-footnote"/>
        <w:spacing w:before="113" w:after="0"/>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WW-footnote"/>
        <w:spacing w:before="113" w:after="0"/>
        <w:rPr/>
      </w:pPr>
      <w:r>
        <w:rPr>
          <w:rStyle w:val="FootnoteCharacters"/>
        </w:rPr>
        <w:footnoteRef/>
      </w:r>
      <w:r>
        <w:rPr/>
        <w:t xml:space="preserve">For recently discovered inscriptions pointing to the existence of the Kukkuṭārāma, see </w:t>
      </w:r>
      <w:r>
        <w:rPr>
          <w:rStyle w:val="wwc-sesame-zot-reference"/>
        </w:rPr>
        <w:t>Salomon-Marino 2014</w:t>
      </w:r>
      <w:r>
        <w:rPr/>
        <w:t xml:space="preserve"> pp.34-35.</w:t>
      </w:r>
    </w:p>
  </w:footnote>
  <w:footnote w:id="745">
    <w:p>
      <w:pPr>
        <w:pStyle w:val="WW-footnote"/>
        <w:spacing w:before="113" w:after="0"/>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WW-footnote"/>
        <w:spacing w:before="113" w:after="0"/>
        <w:rPr/>
      </w:pPr>
      <w:r>
        <w:rPr>
          <w:rStyle w:val="FootnoteCharacters"/>
        </w:rPr>
        <w:footnoteRef/>
      </w:r>
      <w:r>
        <w:rPr/>
        <w:t>M.I,513 (</w:t>
      </w:r>
      <w:hyperlink r:id="rId307">
        <w:r>
          <w:rPr>
            <w:rStyle w:val="Hyperlink"/>
          </w:rPr>
          <w:t>MN 76</w:t>
        </w:r>
      </w:hyperlink>
      <w:r>
        <w:rPr/>
        <w:t xml:space="preserve">). See </w:t>
      </w:r>
      <w:r>
        <w:rPr>
          <w:rStyle w:val="wwc-sesame-zot-reference"/>
        </w:rPr>
        <w:t>Fuhrer 1894</w:t>
      </w:r>
      <w:r>
        <w:rPr/>
        <w:t xml:space="preserve"> pp.240-244.</w:t>
      </w:r>
    </w:p>
  </w:footnote>
  <w:footnote w:id="747">
    <w:p>
      <w:pPr>
        <w:pStyle w:val="WW-footnote"/>
        <w:spacing w:before="113" w:after="0"/>
        <w:rPr/>
      </w:pPr>
      <w:r>
        <w:rPr>
          <w:rStyle w:val="FootnoteCharacters"/>
        </w:rPr>
        <w:footnoteRef/>
      </w:r>
      <w:r>
        <w:rPr/>
        <w:t>S.IV,110-113 (</w:t>
      </w:r>
      <w:hyperlink r:id="rId308">
        <w:r>
          <w:rPr>
            <w:rStyle w:val="Hyperlink"/>
          </w:rPr>
          <w:t>SN 35.127</w:t>
        </w:r>
      </w:hyperlink>
      <w:r>
        <w:rPr/>
        <w:t>).</w:t>
      </w:r>
    </w:p>
  </w:footnote>
  <w:footnote w:id="748">
    <w:p>
      <w:pPr>
        <w:pStyle w:val="WW-footnote"/>
        <w:spacing w:before="113" w:after="0"/>
        <w:rPr/>
      </w:pPr>
      <w:r>
        <w:rPr>
          <w:rStyle w:val="FootnoteCharacters"/>
        </w:rPr>
        <w:footnoteRef/>
      </w:r>
      <w:r>
        <w:rPr/>
        <w:t xml:space="preserve">See </w:t>
      </w:r>
      <w:r>
        <w:rPr>
          <w:rStyle w:val="wwc-sesame-zot-reference"/>
        </w:rPr>
        <w:t>Ireland 1976</w:t>
      </w:r>
      <w:r>
        <w:rPr/>
        <w:t xml:space="preserve"> pp.114-117.</w:t>
      </w:r>
    </w:p>
  </w:footnote>
  <w:footnote w:id="749">
    <w:p>
      <w:pPr>
        <w:pStyle w:val="WW-footnote"/>
        <w:spacing w:before="113" w:after="0"/>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WW-footnote"/>
        <w:spacing w:before="113" w:after="0"/>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WW-footnote"/>
        <w:spacing w:before="113" w:after="0"/>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rStyle w:val="wwc-pali"/>
        </w:rPr>
        <w:t>kuḍḍa</w:t>
      </w:r>
      <w:r>
        <w:rPr/>
        <w:t xml:space="preserve"> of burnt brick for a monastery being built.</w:t>
      </w:r>
    </w:p>
  </w:footnote>
  <w:footnote w:id="752">
    <w:p>
      <w:pPr>
        <w:pStyle w:val="WW-footnote"/>
        <w:spacing w:before="113" w:after="0"/>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WW-footnote"/>
        <w:spacing w:before="113" w:after="0"/>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WW-footnote"/>
        <w:spacing w:before="113" w:after="0"/>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WW-footnote"/>
        <w:spacing w:before="113" w:after="0"/>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xml:space="preserve">). See </w:t>
      </w:r>
      <w:r>
        <w:rPr>
          <w:rStyle w:val="wwc-sesame-zot-reference"/>
        </w:rPr>
        <w:t>Vogel 1908</w:t>
      </w:r>
      <w:r>
        <w:rPr/>
        <w:t xml:space="preserve"> pp.43-58.</w:t>
      </w:r>
    </w:p>
  </w:footnote>
  <w:footnote w:id="756">
    <w:p>
      <w:pPr>
        <w:pStyle w:val="WW-footnote"/>
        <w:spacing w:before="113" w:after="0"/>
        <w:rPr/>
      </w:pPr>
      <w:r>
        <w:rPr>
          <w:rStyle w:val="FootnoteCharacters"/>
        </w:rPr>
        <w:footnoteRef/>
      </w:r>
      <w:r>
        <w:rPr/>
        <w:t>A.III,256 (</w:t>
      </w:r>
      <w:hyperlink r:id="rId310">
        <w:r>
          <w:rPr>
            <w:rStyle w:val="Hyperlink"/>
          </w:rPr>
          <w:t>AN 5.220</w:t>
        </w:r>
      </w:hyperlink>
      <w:r>
        <w:rPr/>
        <w:t>).</w:t>
      </w:r>
    </w:p>
  </w:footnote>
  <w:footnote w:id="757">
    <w:p>
      <w:pPr>
        <w:pStyle w:val="WW-footnote"/>
        <w:spacing w:before="113" w:after="0"/>
        <w:rPr/>
      </w:pPr>
      <w:r>
        <w:rPr>
          <w:rStyle w:val="FootnoteCharacters"/>
        </w:rPr>
        <w:footnoteRef/>
      </w:r>
      <w:r>
        <w:rPr/>
        <w:t>A.II,57 (</w:t>
      </w:r>
      <w:hyperlink r:id="rId311">
        <w:r>
          <w:rPr>
            <w:rStyle w:val="Hyperlink"/>
          </w:rPr>
          <w:t>AN 4.53</w:t>
        </w:r>
      </w:hyperlink>
      <w:r>
        <w:rPr/>
        <w:t>).</w:t>
      </w:r>
    </w:p>
  </w:footnote>
  <w:footnote w:id="758">
    <w:p>
      <w:pPr>
        <w:pStyle w:val="WW-footnote"/>
        <w:spacing w:before="113" w:after="0"/>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WW-footnote"/>
        <w:spacing w:before="113" w:after="0"/>
        <w:rPr/>
      </w:pPr>
      <w:r>
        <w:rPr>
          <w:rStyle w:val="FootnoteCharacters"/>
        </w:rPr>
        <w:footnoteRef/>
      </w:r>
      <w:r>
        <w:rPr/>
        <w:t xml:space="preserve">On the history of Buddhism in Madhurā see </w:t>
      </w:r>
      <w:r>
        <w:rPr>
          <w:rStyle w:val="wwc-sesame-zot-reference"/>
        </w:rPr>
        <w:t>Jaini PS 2001</w:t>
      </w:r>
      <w:r>
        <w:rPr/>
        <w:t xml:space="preserve"> pp.348 ff.</w:t>
      </w:r>
    </w:p>
  </w:footnote>
  <w:footnote w:id="760">
    <w:p>
      <w:pPr>
        <w:pStyle w:val="WW-footnote"/>
        <w:spacing w:before="113" w:after="0"/>
        <w:rPr/>
      </w:pPr>
      <w:r>
        <w:rPr>
          <w:rStyle w:val="FootnoteCharacters"/>
        </w:rPr>
        <w:footnoteRef/>
      </w:r>
      <w:r>
        <w:rPr/>
        <w:t xml:space="preserve">Pali </w:t>
      </w:r>
      <w:r>
        <w:rPr>
          <w:rStyle w:val="wwc-pali"/>
        </w:rPr>
        <w:t>putta</w:t>
      </w:r>
      <w:r>
        <w:rPr/>
        <w:t xml:space="preserve"> and Sanskrit </w:t>
      </w:r>
      <w:r>
        <w:rPr>
          <w:rStyle w:val="wwc-sanskrit"/>
        </w:rPr>
        <w:t>putra</w:t>
      </w:r>
      <w:r>
        <w:rPr/>
        <w:t xml:space="preserve"> both mean son. On the possible origin of this part of the name and why it might have been used see </w:t>
      </w:r>
      <w:r>
        <w:rPr>
          <w:rStyle w:val="wwc-sesame-zot-reference"/>
        </w:rPr>
        <w:t>Schlingloff 2014</w:t>
      </w:r>
      <w:r>
        <w:rPr/>
        <w:t xml:space="preserve"> p.44.</w:t>
      </w:r>
    </w:p>
  </w:footnote>
  <w:footnote w:id="761">
    <w:p>
      <w:pPr>
        <w:pStyle w:val="WW-footnote"/>
        <w:spacing w:before="113" w:after="0"/>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WW-footnote"/>
        <w:spacing w:before="113" w:after="0"/>
        <w:rPr/>
      </w:pPr>
      <w:r>
        <w:rPr>
          <w:rStyle w:val="FootnoteCharacters"/>
        </w:rPr>
        <w:footnoteRef/>
      </w:r>
      <w:r>
        <w:rPr>
          <w:rStyle w:val="wwc-sesame-zot-reference"/>
        </w:rPr>
        <w:t>Spooner 1916</w:t>
      </w:r>
      <w:r>
        <w:rPr/>
        <w:t xml:space="preserve"> and </w:t>
      </w:r>
      <w:r>
        <w:rPr>
          <w:rStyle w:val="wwc-sesame-zot-reference"/>
        </w:rPr>
        <w:t>Altekar-Mishra 1959</w:t>
      </w:r>
      <w:r>
        <w:rPr/>
        <w:t>.</w:t>
      </w:r>
    </w:p>
  </w:footnote>
  <w:footnote w:id="763">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WW-footnote"/>
        <w:spacing w:before="113" w:after="0"/>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xml:space="preserve">). Setavya is probably now Siswania in Basti District, Uttar Pradesh, about ninety kilometres south-west of Kusinārā. The modern town is situated on the Kuwano River, known as the Sundarikā in the Tipitaka. See </w:t>
      </w:r>
      <w:r>
        <w:rPr>
          <w:rStyle w:val="wwc-sesame-zot-reference"/>
        </w:rPr>
        <w:t>Mani 1990-91</w:t>
      </w:r>
      <w:r>
        <w:rPr/>
        <w:t xml:space="preserve"> pp.43-50.</w:t>
      </w:r>
    </w:p>
  </w:footnote>
  <w:footnote w:id="765">
    <w:p>
      <w:pPr>
        <w:pStyle w:val="WW-footnote"/>
        <w:spacing w:before="113" w:after="0"/>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WW-footnote"/>
        <w:spacing w:before="113" w:after="0"/>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WW-footnote"/>
        <w:spacing w:before="113" w:after="0"/>
        <w:rPr/>
      </w:pPr>
      <w:r>
        <w:rPr>
          <w:rStyle w:val="FootnoteCharacters"/>
        </w:rPr>
        <w:footnoteRef/>
      </w:r>
      <w:r>
        <w:rPr/>
        <w:t>Kalpa Sūtra [</w:t>
      </w:r>
      <w:r>
        <w:rPr>
          <w:rStyle w:val="wwc-sesame-zot-reference"/>
        </w:rPr>
        <w:t>Jacobi 1884</w:t>
      </w:r>
      <w:r>
        <w:rPr/>
        <w:t>]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WW-footnote"/>
        <w:spacing w:before="113" w:after="0"/>
        <w:rPr/>
      </w:pPr>
      <w:r>
        <w:rPr>
          <w:rStyle w:val="FootnoteCharacters"/>
        </w:rPr>
        <w:footnoteRef/>
      </w:r>
      <w:r>
        <w:rPr/>
        <w:t xml:space="preserve">On these two places see </w:t>
      </w:r>
      <w:r>
        <w:rPr>
          <w:rStyle w:val="wwc-sesame-zot-reference"/>
        </w:rPr>
        <w:t>Chakrabarti 2001</w:t>
      </w:r>
      <w:r>
        <w:rPr/>
        <w:t xml:space="preserve"> p.211 and </w:t>
      </w:r>
      <w:r>
        <w:rPr>
          <w:rStyle w:val="wwc-sesame-zot-reference"/>
        </w:rPr>
        <w:t>Bajpai 1985-86</w:t>
      </w:r>
      <w:r>
        <w:rPr/>
        <w:t xml:space="preserve"> pp.39-44.</w:t>
      </w:r>
    </w:p>
  </w:footnote>
  <w:footnote w:id="769">
    <w:p>
      <w:pPr>
        <w:pStyle w:val="WW-footnote"/>
        <w:spacing w:before="113" w:after="0"/>
        <w:rPr/>
      </w:pPr>
      <w:r>
        <w:rPr>
          <w:rStyle w:val="FootnoteCharacters"/>
        </w:rPr>
        <w:footnoteRef/>
      </w:r>
      <w:r>
        <w:rPr/>
        <w:t xml:space="preserve">See </w:t>
      </w:r>
      <w:r>
        <w:rPr>
          <w:rStyle w:val="wwc-sesame-zot-reference"/>
        </w:rPr>
        <w:t>Chakrabarti 2001</w:t>
      </w:r>
      <w:r>
        <w:rPr/>
        <w:t xml:space="preserve"> pp.211-213.</w:t>
      </w:r>
    </w:p>
  </w:footnote>
  <w:footnote w:id="770">
    <w:p>
      <w:pPr>
        <w:pStyle w:val="WW-footnote"/>
        <w:spacing w:before="113" w:after="0"/>
        <w:rPr/>
      </w:pPr>
      <w:r>
        <w:rPr>
          <w:rStyle w:val="FootnoteCharacters"/>
        </w:rPr>
        <w:footnoteRef/>
      </w:r>
      <w:r>
        <w:rPr/>
        <w:t>This confusion was perhaps caused by the abandonment of many Jain sites in northern India during Muslim persecution of the 11th/12th centuries.</w:t>
      </w:r>
    </w:p>
  </w:footnote>
  <w:footnote w:id="771">
    <w:p>
      <w:pPr>
        <w:pStyle w:val="WW-footnote"/>
        <w:spacing w:before="113" w:after="0"/>
        <w:rPr/>
      </w:pPr>
      <w:r>
        <w:rPr>
          <w:rStyle w:val="FootnoteCharacters"/>
        </w:rPr>
        <w:footnoteRef/>
      </w:r>
      <w:r>
        <w:rPr/>
        <w:t>Mvu. III [</w:t>
      </w:r>
      <w:r>
        <w:rPr>
          <w:rStyle w:val="wwc-sesame-zot-reference"/>
        </w:rPr>
        <w:t>Jones 1956</w:t>
      </w:r>
      <w:r>
        <w:rPr/>
        <w:t>] 208-209.</w:t>
      </w:r>
    </w:p>
  </w:footnote>
  <w:footnote w:id="772">
    <w:p>
      <w:pPr>
        <w:pStyle w:val="WW-footnote"/>
        <w:spacing w:before="113" w:after="0"/>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xml:space="preserve">). See </w:t>
      </w:r>
      <w:r>
        <w:rPr>
          <w:rStyle w:val="wwc-sesame-zot-reference"/>
        </w:rPr>
        <w:t>Sen 1918</w:t>
      </w:r>
      <w:r>
        <w:rPr/>
        <w:t xml:space="preserve"> pp.113-135.</w:t>
      </w:r>
    </w:p>
  </w:footnote>
  <w:footnote w:id="773">
    <w:p>
      <w:pPr>
        <w:pStyle w:val="WW-footnote"/>
        <w:spacing w:before="113" w:after="0"/>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WW-footnote"/>
        <w:spacing w:before="113" w:after="0"/>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WW-footnote"/>
        <w:spacing w:before="113" w:after="0"/>
        <w:rPr/>
      </w:pPr>
      <w:r>
        <w:rPr>
          <w:rStyle w:val="FootnoteCharacters"/>
        </w:rPr>
        <w:footnoteRef/>
      </w:r>
      <w:r>
        <w:rPr/>
        <w:t xml:space="preserve">The whole issue is discussed by </w:t>
      </w:r>
      <w:r>
        <w:rPr>
          <w:rStyle w:val="wwc-sesame-zot-reference"/>
        </w:rPr>
        <w:t>Pandey 1963</w:t>
      </w:r>
      <w:r>
        <w:rPr/>
        <w:t xml:space="preserve"> pp.31-38.</w:t>
      </w:r>
    </w:p>
  </w:footnote>
  <w:footnote w:id="776">
    <w:p>
      <w:pPr>
        <w:pStyle w:val="WW-footnote"/>
        <w:spacing w:before="113" w:after="0"/>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WW-footnote"/>
        <w:spacing w:before="113" w:after="0"/>
        <w:rPr/>
      </w:pPr>
      <w:r>
        <w:rPr>
          <w:rStyle w:val="FootnoteCharacters"/>
        </w:rPr>
        <w:footnoteRef/>
      </w:r>
      <w:r>
        <w:rPr/>
        <w:t>Kalpa Sūtra [</w:t>
      </w:r>
      <w:r>
        <w:rPr>
          <w:rStyle w:val="wwc-sesame-zot-reference"/>
        </w:rPr>
        <w:t>Jacobi 1884</w:t>
      </w:r>
      <w:r>
        <w:rPr/>
        <w:t xml:space="preserve">] V,122, also </w:t>
      </w:r>
      <w:r>
        <w:rPr>
          <w:rStyle w:val="wwc-sesame-zot-reference"/>
        </w:rPr>
        <w:t>Jaini PS 1979</w:t>
      </w:r>
      <w:r>
        <w:rPr/>
        <w:t xml:space="preserve"> p.37 ff.</w:t>
      </w:r>
    </w:p>
  </w:footnote>
  <w:footnote w:id="778">
    <w:p>
      <w:pPr>
        <w:pStyle w:val="WW-footnote"/>
        <w:spacing w:before="113" w:after="0"/>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WW-footnote"/>
        <w:spacing w:before="113" w:after="0"/>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WW-footnote"/>
        <w:spacing w:before="113" w:after="0"/>
        <w:rPr/>
      </w:pPr>
      <w:r>
        <w:rPr>
          <w:rStyle w:val="FootnoteCharacters"/>
        </w:rPr>
        <w:footnoteRef/>
      </w:r>
      <w:r>
        <w:rPr>
          <w:rStyle w:val="wwc-sesame-zot-reference"/>
        </w:rPr>
        <w:t>Pathak 1963</w:t>
      </w:r>
      <w:r>
        <w:rPr/>
        <w:t xml:space="preserve"> p.55.</w:t>
      </w:r>
    </w:p>
  </w:footnote>
  <w:footnote w:id="781">
    <w:p>
      <w:pPr>
        <w:pStyle w:val="WW-footnote"/>
        <w:spacing w:before="113" w:after="0"/>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WW-footnote"/>
        <w:spacing w:before="113" w:after="0"/>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WW-footnote"/>
        <w:spacing w:before="113" w:after="0"/>
        <w:rPr/>
      </w:pPr>
      <w:r>
        <w:rPr>
          <w:rStyle w:val="FootnoteCharacters"/>
        </w:rPr>
        <w:footnoteRef/>
      </w:r>
      <w:r>
        <w:rPr>
          <w:rStyle w:val="wwc-sesame-zot-reference"/>
        </w:rPr>
        <w:t>Law 1935</w:t>
      </w:r>
      <w:r>
        <w:rPr/>
        <w:t>.</w:t>
      </w:r>
    </w:p>
  </w:footnote>
  <w:footnote w:id="785">
    <w:p>
      <w:pPr>
        <w:pStyle w:val="WW-footnote"/>
        <w:spacing w:before="113" w:after="0"/>
        <w:rPr/>
      </w:pPr>
      <w:r>
        <w:rPr>
          <w:rStyle w:val="FootnoteCharacters"/>
        </w:rPr>
        <w:footnoteRef/>
      </w:r>
      <w:r>
        <w:rPr/>
        <w:t xml:space="preserve">See </w:t>
      </w:r>
      <w:hyperlink w:anchor="note115">
        <w:r>
          <w:rPr>
            <w:rStyle w:val="Hyperlink"/>
          </w:rPr>
          <w:t>Note 115</w:t>
        </w:r>
      </w:hyperlink>
    </w:p>
  </w:footnote>
  <w:footnote w:id="786">
    <w:p>
      <w:pPr>
        <w:pStyle w:val="WW-footnote"/>
        <w:spacing w:before="113" w:after="0"/>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WW-footnote"/>
        <w:spacing w:before="113" w:after="0"/>
        <w:rPr/>
      </w:pPr>
      <w:r>
        <w:rPr>
          <w:rStyle w:val="FootnoteCharacters"/>
        </w:rPr>
        <w:footnoteRef/>
      </w:r>
      <w:r>
        <w:rPr/>
        <w:t>M.II,91 (</w:t>
      </w:r>
      <w:hyperlink r:id="rId317">
        <w:r>
          <w:rPr>
            <w:rStyle w:val="Hyperlink"/>
          </w:rPr>
          <w:t>MN 85</w:t>
        </w:r>
      </w:hyperlink>
      <w:r>
        <w:rPr/>
        <w:t>).</w:t>
      </w:r>
    </w:p>
  </w:footnote>
  <w:footnote w:id="788">
    <w:p>
      <w:pPr>
        <w:pStyle w:val="WW-footnote"/>
        <w:spacing w:before="113" w:after="0"/>
        <w:rPr/>
      </w:pPr>
      <w:r>
        <w:rPr>
          <w:rStyle w:val="FootnoteCharacters"/>
        </w:rPr>
        <w:footnoteRef/>
      </w:r>
      <w:r>
        <w:rPr/>
        <w:t>M.I,225 (</w:t>
      </w:r>
      <w:hyperlink r:id="rId318">
        <w:r>
          <w:rPr>
            <w:rStyle w:val="Hyperlink"/>
          </w:rPr>
          <w:t>MN 34</w:t>
        </w:r>
      </w:hyperlink>
      <w:r>
        <w:rPr/>
        <w:t>).</w:t>
      </w:r>
    </w:p>
  </w:footnote>
  <w:footnote w:id="789">
    <w:p>
      <w:pPr>
        <w:pStyle w:val="WW-footnote"/>
        <w:spacing w:before="113" w:after="0"/>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WW-footnote"/>
        <w:spacing w:before="113" w:after="0"/>
        <w:rPr/>
      </w:pPr>
      <w:r>
        <w:rPr>
          <w:rStyle w:val="FootnoteCharacters"/>
        </w:rPr>
        <w:footnoteRef/>
      </w:r>
      <w:r>
        <w:rPr/>
        <w:t>See Arthaśāstra [</w:t>
      </w:r>
      <w:r>
        <w:rPr>
          <w:rStyle w:val="wwc-sesame-zot-reference"/>
        </w:rPr>
        <w:t>Olivelle 2013</w:t>
      </w:r>
      <w:r>
        <w:rPr/>
        <w:t>] II,35,1.</w:t>
      </w:r>
    </w:p>
  </w:footnote>
  <w:footnote w:id="791">
    <w:p>
      <w:pPr>
        <w:pStyle w:val="WW-footnote"/>
        <w:spacing w:before="113" w:after="0"/>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WW-footnote"/>
        <w:spacing w:before="113" w:after="0"/>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WW-footnote"/>
        <w:spacing w:before="113" w:after="0"/>
        <w:rPr/>
      </w:pPr>
      <w:r>
        <w:rPr>
          <w:rStyle w:val="FootnoteCharacters"/>
        </w:rPr>
        <w:footnoteRef/>
      </w:r>
      <w:r>
        <w:rPr/>
        <w:t xml:space="preserve">See </w:t>
      </w:r>
      <w:r>
        <w:rPr>
          <w:rStyle w:val="wwc-sesame-zot-reference"/>
        </w:rPr>
        <w:t>Joshi 1990</w:t>
      </w:r>
      <w:r>
        <w:rPr/>
        <w:t>, pp.7-9.</w:t>
      </w:r>
    </w:p>
  </w:footnote>
  <w:footnote w:id="794">
    <w:p>
      <w:pPr>
        <w:pStyle w:val="WW-footnote"/>
        <w:spacing w:before="113" w:after="0"/>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WW-footnote"/>
        <w:spacing w:before="113" w:after="0"/>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WW-footnote"/>
        <w:spacing w:before="113" w:after="0"/>
        <w:rPr/>
      </w:pPr>
      <w:r>
        <w:rPr>
          <w:rStyle w:val="FootnoteCharacters"/>
        </w:rPr>
        <w:footnoteRef/>
      </w:r>
      <w:r>
        <w:rPr>
          <w:rStyle w:val="wwc-sesame-zot-reference"/>
        </w:rPr>
        <w:t>Sarao 1989</w:t>
      </w:r>
      <w:r>
        <w:rPr/>
        <w:t xml:space="preserve"> p.103.</w:t>
      </w:r>
    </w:p>
  </w:footnote>
  <w:footnote w:id="797">
    <w:p>
      <w:pPr>
        <w:pStyle w:val="WW-footnote"/>
        <w:spacing w:before="113" w:after="0"/>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WW-footnote"/>
        <w:spacing w:before="113" w:after="0"/>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WW-footnote"/>
        <w:spacing w:before="113" w:after="0"/>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WW-footnote"/>
        <w:spacing w:before="113" w:after="0"/>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WW-footnote"/>
        <w:spacing w:before="113" w:after="0"/>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WW-footnote"/>
        <w:spacing w:before="113" w:after="0"/>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WW-footnote"/>
        <w:spacing w:before="113" w:after="0"/>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WW-footnote"/>
        <w:spacing w:before="113" w:after="0"/>
        <w:rPr/>
      </w:pPr>
      <w:r>
        <w:rPr>
          <w:rStyle w:val="FootnoteCharacters"/>
        </w:rPr>
        <w:footnoteRef/>
      </w:r>
      <w:r>
        <w:rPr/>
        <w:t>S.II,268 (</w:t>
      </w:r>
      <w:hyperlink r:id="rId327">
        <w:r>
          <w:rPr>
            <w:rStyle w:val="Hyperlink"/>
          </w:rPr>
          <w:t>SN 20.8</w:t>
        </w:r>
      </w:hyperlink>
      <w:r>
        <w:rPr/>
        <w:t>).</w:t>
      </w:r>
    </w:p>
  </w:footnote>
  <w:footnote w:id="805">
    <w:p>
      <w:pPr>
        <w:pStyle w:val="WW-footnote"/>
        <w:spacing w:before="113" w:after="0"/>
        <w:rPr/>
      </w:pPr>
      <w:r>
        <w:rPr>
          <w:rStyle w:val="FootnoteCharacters"/>
        </w:rPr>
        <w:footnoteRef/>
      </w:r>
      <w:r>
        <w:rPr>
          <w:rStyle w:val="wwc-sesame-zot-reference"/>
        </w:rPr>
        <w:t>Sinha-Roy 1969</w:t>
      </w:r>
      <w:r>
        <w:rPr/>
        <w:t xml:space="preserve"> pp.16-23.</w:t>
      </w:r>
    </w:p>
  </w:footnote>
  <w:footnote w:id="806">
    <w:p>
      <w:pPr>
        <w:pStyle w:val="WW-footnote"/>
        <w:spacing w:before="113" w:after="0"/>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WW-footnote"/>
        <w:spacing w:before="113" w:after="0"/>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WW-footnote"/>
        <w:spacing w:before="113" w:after="0"/>
        <w:rPr/>
      </w:pPr>
      <w:r>
        <w:rPr>
          <w:rStyle w:val="FootnoteCharacters"/>
        </w:rPr>
        <w:footnoteRef/>
      </w:r>
      <w:r>
        <w:rPr/>
        <w:t>A.I,286 (</w:t>
      </w:r>
      <w:hyperlink r:id="rId329">
        <w:r>
          <w:rPr>
            <w:rStyle w:val="Hyperlink"/>
          </w:rPr>
          <w:t>AN 3.137</w:t>
        </w:r>
      </w:hyperlink>
      <w:r>
        <w:rPr/>
        <w:t>).</w:t>
      </w:r>
    </w:p>
  </w:footnote>
  <w:footnote w:id="809">
    <w:p>
      <w:pPr>
        <w:pStyle w:val="WW-footnote"/>
        <w:spacing w:before="113" w:after="0"/>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WW-footnote"/>
        <w:spacing w:before="113" w:after="0"/>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WW-footnote"/>
        <w:spacing w:before="113" w:after="0"/>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WW-footnote"/>
        <w:spacing w:before="113" w:after="0"/>
        <w:rPr/>
      </w:pPr>
      <w:r>
        <w:rPr>
          <w:rStyle w:val="FootnoteCharacters"/>
        </w:rPr>
        <w:footnoteRef/>
      </w:r>
      <w:r>
        <w:rPr/>
        <w:t xml:space="preserve">See </w:t>
      </w:r>
      <w:r>
        <w:rPr>
          <w:rStyle w:val="wwc-sesame-zot-reference"/>
        </w:rPr>
        <w:t>Black 2013</w:t>
      </w:r>
      <w:r>
        <w:rPr/>
        <w:t xml:space="preserve"> p.101 ff.</w:t>
      </w:r>
    </w:p>
  </w:footnote>
  <w:footnote w:id="813">
    <w:p>
      <w:pPr>
        <w:pStyle w:val="WW-footnote"/>
        <w:spacing w:before="113" w:after="0"/>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WW-footnote"/>
        <w:spacing w:before="113" w:after="0"/>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WW-footnote"/>
        <w:spacing w:before="113" w:after="0"/>
        <w:rPr/>
      </w:pPr>
      <w:r>
        <w:rPr>
          <w:rStyle w:val="FootnoteCharacters"/>
        </w:rPr>
        <w:footnoteRef/>
      </w:r>
      <w:r>
        <w:rPr>
          <w:rStyle w:val="wwc-sesame-zot-reference"/>
        </w:rPr>
        <w:t>Jaini PS 2001</w:t>
      </w:r>
      <w:r>
        <w:rPr/>
        <w:t xml:space="preserve"> pp.50-51.</w:t>
      </w:r>
    </w:p>
  </w:footnote>
</w:footnotes>
</file>

<file path=word/settings.xml><?xml version="1.0" encoding="utf-8"?>
<w:settings xmlns:w="http://schemas.openxmlformats.org/wordprocessingml/2006/main">
  <w:zoom w:percent="10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tru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tru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tru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tru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tru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tru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keepNext w:val="true"/>
      <w:widowControl/>
      <w:shd w:val="clear" w:fill="BDBDBD"/>
      <w:suppressAutoHyphens w:val="true"/>
      <w:overflowPunct w:val="true"/>
      <w:bidi w:val="0"/>
      <w:spacing w:before="170" w:after="170"/>
      <w:jc w:val="left"/>
    </w:pPr>
    <w:rPr>
      <w:rFonts w:ascii="Liberation Serif" w:hAnsi="Liberation Serif" w:eastAsia="NSimSun" w:cs="Lucida Sans"/>
      <w:b/>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283"/>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tru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tru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900</TotalTime>
  <Application>LibreOffice/24.8.6.2$Windows_X86_64 LibreOffice_project/6d98ba145e9a8a39fc57bcc76981d1fb1316c60c</Application>
  <AppVersion>15.0000</AppVersion>
  <Pages>216</Pages>
  <Words>91450</Words>
  <Characters>454815</Characters>
  <CharactersWithSpaces>544165</CharactersWithSpaces>
  <Paragraphs>1615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2025-04-25T08:48:49Z</dcterms:modified>
  <cp:revision>155</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