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 Piṭaka</w:t>
      </w:r>
      <w:r>
        <w:rPr/>
        <w:t>.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If Vas</w:t>
      </w:r>
      <w:r>
        <w:rPr/>
        <w:t>u</w:t>
      </w:r>
      <w:r>
        <w:rPr/>
        <w:t>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w:t>
      </w:r>
      <w:r>
        <w:rPr/>
        <w:t>u</w:t>
      </w:r>
      <w:r>
        <w:rPr/>
        <w:t xml:space="preserve">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 xml:space="preserve">No man lives </w:t>
      </w:r>
      <w:r>
        <w:rPr/>
        <w:t>to himself</w:t>
      </w:r>
      <w:r>
        <w:rPr/>
        <w:t xml:space="preserve">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w:t>
      </w:r>
      <w:r>
        <w:rPr/>
        <w:t>—</w:t>
      </w:r>
      <w:r>
        <w:rPr/>
        <w:t xml:space="preserve">a king, an officer in charge of a platoon, an employer, the head of an extended family, etc., might ‘overflow’ from them to their underlings </w:t>
      </w:r>
      <w:r>
        <w:rPr/>
        <w:t>[</w:t>
      </w:r>
      <w:r>
        <w:rPr>
          <w:rStyle w:val="wwc-sesame-zot-reference"/>
        </w:rPr>
        <w:t>Sīlācāra 19</w:t>
      </w:r>
      <w:r>
        <w:rPr>
          <w:rStyle w:val="wwc-sesame-zot-reference"/>
        </w:rPr>
        <w:t>39</w:t>
      </w:r>
      <w:r>
        <w:rPr/>
        <w:t>].</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 xml:space="preserve">Charles Luk’s The Śūraṅgama Sūtra published in 1966 </w:t>
      </w:r>
      <w:r>
        <w:rPr/>
        <w:t>[</w:t>
      </w:r>
      <w:r>
        <w:rPr>
          <w:rStyle w:val="wwc-sesame-zot-reference"/>
        </w:rPr>
        <w:t>Luk 1966</w:t>
      </w:r>
      <w:r>
        <w:rPr/>
        <w:t xml:space="preserve">] </w:t>
      </w:r>
      <w:r>
        <w:rPr/>
        <w:t xml:space="preserve">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0"/>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 xml:space="preserve">Thubten </w:t>
      </w:r>
      <w:r>
        <w:rPr>
          <w:rStyle w:val="wwc-sesame-zot-reference"/>
          <w:color w:val="000000"/>
        </w:rPr>
        <w:t>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1"/>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2"/>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3"/>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4"/>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15"/>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16"/>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17"/>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18"/>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19"/>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0"/>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1"/>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2"/>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3"/>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4"/>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b/>
          <w:color w:val="000000"/>
          <w:sz w:val="32"/>
          <w:szCs w:val="32"/>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Sangha,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7">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 xml:space="preserve">Lamotte </w:t>
      </w:r>
      <w:r>
        <w:rPr>
          <w:rStyle w:val="wwc-sesame-zot-reference"/>
        </w:rPr>
        <w:t>1</w:t>
      </w:r>
      <w:r>
        <w:rPr>
          <w:rStyle w:val="wwc-sesame-zot-reference"/>
        </w:rPr>
        <w:t>998</w:t>
      </w:r>
      <w:r>
        <w:rPr/>
        <w:t xml:space="preserve">, p.98.  </w:t>
      </w:r>
    </w:p>
  </w:footnote>
  <w:footnote w:id="11">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i/>
        </w:rPr>
        <w:t>Karma and Rebirth</w:t>
      </w:r>
      <w:r>
        <w:rPr/>
        <w:t>, 1994, p.16.</w:t>
      </w:r>
    </w:p>
  </w:footnote>
  <w:footnote w:id="12">
    <w:p>
      <w:pPr>
        <w:pStyle w:val="FootnoteText"/>
        <w:spacing w:before="170" w:after="0"/>
        <w:rPr>
          <w:lang w:val="en-MY"/>
        </w:rPr>
      </w:pPr>
      <w:r>
        <w:rPr>
          <w:rStyle w:val="FootnoteCharacters"/>
        </w:rPr>
        <w:footnoteRef/>
      </w:r>
      <w:r>
        <w:rPr/>
        <w:t xml:space="preserve"> </w:t>
      </w:r>
      <w:r>
        <w:rPr>
          <w:i/>
        </w:rPr>
        <w:t>The Theory of Karma</w:t>
      </w:r>
      <w:r>
        <w:rPr/>
        <w:t>, p.3.</w:t>
      </w:r>
    </w:p>
  </w:footnote>
  <w:footnote w:id="13">
    <w:p>
      <w:pPr>
        <w:pStyle w:val="FootnoteText"/>
        <w:spacing w:before="170" w:after="0"/>
        <w:rPr>
          <w:lang w:val="en-MY"/>
        </w:rPr>
      </w:pPr>
      <w:r>
        <w:rPr>
          <w:rStyle w:val="FootnoteCharacters"/>
        </w:rPr>
        <w:footnoteRef/>
      </w:r>
      <w:r>
        <w:rPr/>
        <w:t xml:space="preserve"> </w:t>
      </w:r>
      <w:r>
        <w:rPr>
          <w:i/>
        </w:rPr>
        <w:t>Fruit of Karma</w:t>
      </w:r>
      <w:r>
        <w:rPr/>
        <w:t xml:space="preserve">, 1994, p.113.  </w:t>
      </w:r>
    </w:p>
  </w:footnote>
  <w:footnote w:id="14">
    <w:p>
      <w:pPr>
        <w:pStyle w:val="FootnoteText"/>
        <w:spacing w:before="170" w:after="0"/>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15">
    <w:p>
      <w:pPr>
        <w:pStyle w:val="FootnoteText"/>
        <w:spacing w:before="170" w:after="0"/>
        <w:rPr>
          <w:lang w:val="en-MY"/>
        </w:rPr>
      </w:pPr>
      <w:r>
        <w:rPr>
          <w:rStyle w:val="FootnoteCharacters"/>
        </w:rPr>
        <w:footnoteRef/>
      </w:r>
      <w:r>
        <w:rPr/>
        <w:t xml:space="preserve"> </w:t>
      </w:r>
      <w:r>
        <w:rPr>
          <w:i/>
        </w:rPr>
        <w:t>Money Sex War Karma</w:t>
      </w:r>
      <w:r>
        <w:rPr/>
        <w:t>, 2008, p.55.</w:t>
      </w:r>
    </w:p>
  </w:footnote>
  <w:footnote w:id="1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1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i/>
        </w:rPr>
        <w:t>The God Delusion</w:t>
      </w:r>
      <w:r>
        <w:rPr/>
        <w:t>, 2006 p.394.</w:t>
      </w:r>
    </w:p>
  </w:footnote>
  <w:footnote w:id="18">
    <w:p>
      <w:pPr>
        <w:pStyle w:val="FootnoteText"/>
        <w:spacing w:lineRule="auto" w:line="240" w:before="170" w:after="0"/>
        <w:rPr>
          <w:lang w:val="en-MY"/>
        </w:rPr>
      </w:pPr>
      <w:r>
        <w:rPr>
          <w:rStyle w:val="FootnoteCharacters"/>
        </w:rPr>
        <w:footnoteRef/>
      </w:r>
      <w:r>
        <w:rPr/>
        <w:t xml:space="preserve"> </w:t>
      </w:r>
      <w:r>
        <w:rPr>
          <w:i/>
        </w:rPr>
        <w:t>Idib.</w:t>
      </w:r>
      <w:r>
        <w:rPr/>
        <w:t>p.55.</w:t>
      </w:r>
      <w:r>
        <w:rPr>
          <w:lang w:val="en-MY"/>
        </w:rPr>
        <w:t xml:space="preserve"> </w:t>
      </w:r>
    </w:p>
  </w:footnote>
  <w:footnote w:id="1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i/>
        </w:rPr>
        <w:t>There is more to Dying than Death</w:t>
      </w:r>
      <w:r>
        <w:rPr/>
        <w:t>, 2006, p.62.</w:t>
      </w:r>
    </w:p>
  </w:footnote>
  <w:footnote w:id="20">
    <w:p>
      <w:pPr>
        <w:pStyle w:val="FootnoteText"/>
        <w:spacing w:before="170" w:after="0"/>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1">
    <w:p>
      <w:pPr>
        <w:pStyle w:val="FootnoteText"/>
        <w:spacing w:lineRule="auto" w:line="240" w:before="170" w:after="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2">
    <w:p>
      <w:pPr>
        <w:pStyle w:val="FootnoteText"/>
        <w:spacing w:before="170" w:after="0"/>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3">
    <w:p>
      <w:pPr>
        <w:pStyle w:val="FootnoteText"/>
        <w:spacing w:before="170" w:after="0"/>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6781</TotalTime>
  <Application>LibreOffice/25.2.4.3$Windows_X86_64 LibreOffice_project/33e196637044ead23f5c3226cde09b47731f7e27</Application>
  <AppVersion>15.0000</AppVersion>
  <Pages>77</Pages>
  <Words>32650</Words>
  <Characters>158055</Characters>
  <CharactersWithSpaces>190640</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2025-07-25T14:18:20Z</dcterms:modified>
  <cp:revision>872</cp:revision>
  <dc:subject/>
  <dc:title/>
</cp:coreProperties>
</file>

<file path=docProps/custom.xml><?xml version="1.0" encoding="utf-8"?>
<Properties xmlns="http://schemas.openxmlformats.org/officeDocument/2006/custom-properties" xmlns:vt="http://schemas.openxmlformats.org/officeDocument/2006/docPropsVTypes"/>
</file>