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Milindapañha written perhaps 400 or 500 years after the Buddha, of Buddhaghosa, who lived some 900 after him, or Anuruddha, the author of the </w:t>
      </w:r>
      <w:r>
        <w:rPr>
          <w:rStyle w:val="wwc-sesame"/>
        </w:rPr>
        <w:t>Abhidhammatthasaṅgaha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Pāḷi </w:t>
      </w:r>
      <w:r>
        <w:rPr>
          <w:rStyle w:val="wwc-sesame"/>
        </w:rPr>
        <w:t>Tipiṭaka</w:t>
      </w:r>
      <w:r>
        <w:rPr/>
        <w:t xml:space="preserve">, the oldest and most authentic record we have of the Buddha’s teaching. </w:t>
      </w:r>
    </w:p>
    <w:p>
      <w:pPr>
        <w:pStyle w:val="WW-paragraph"/>
        <w:rPr/>
      </w:pPr>
      <w:r>
        <w:rPr/>
        <w:t xml:space="preserve">The small numbers in the text refer to the notes at the bottom of each page.   The larger numbers in bold and square brackets refer to discourses of the Buddha at the end of the book which further explain the text. 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
        </w:rPr>
        <w:t>Śūraṅgama Sūtra</w:t>
      </w:r>
      <w:r>
        <w:rPr/>
        <w:t xml:space="preserve"> with me.</w:t>
      </w:r>
      <w:r>
        <w:br w:type="page"/>
      </w:r>
    </w:p>
    <w:p>
      <w:pPr>
        <w:pStyle w:val="WW-Chapter"/>
        <w:spacing w:before="0" w:after="567"/>
        <w:ind w:hanging="0" w:start="0"/>
        <w:rPr/>
      </w:pP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w:t>
      </w:r>
      <w:r>
        <w:rPr>
          <w:rStyle w:val="wwc-sesame-zot-reference"/>
        </w:rPr>
        <w:t>Kau.</w:t>
      </w:r>
      <w:r>
        <w:rPr/>
        <w:t xml:space="preserve">1.2).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Upanisad</w:t>
      </w:r>
      <w:r>
        <w:rPr/>
        <w:t xml:space="preserve"> </w:t>
      </w:r>
      <w:r>
        <w:rPr>
          <w:rStyle w:val="wwc-sesame"/>
        </w:rPr>
        <w:t>Yājnavalkya</w:t>
      </w:r>
      <w:r>
        <w:rPr/>
        <w:t xml:space="preserve"> makes it clear that kamma in the sense of moral causation is a secret teaching only to be revealed to the initiated (</w:t>
      </w:r>
      <w:r>
        <w:rPr>
          <w:rStyle w:val="wwc-sesame-zot-reference"/>
        </w:rPr>
        <w:t>Br.</w:t>
      </w:r>
      <w:r>
        <w:rPr/>
        <w:t xml:space="preserve">3.2).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w:t>
      </w:r>
      <w:r>
        <w:rPr>
          <w:rStyle w:val="wwc-sesame-zot-reference"/>
        </w:rPr>
        <w:t>Kath.</w:t>
      </w:r>
      <w:r>
        <w:rPr/>
        <w:t>1.20).</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While some rejected kamma and rebirth as relatively new and non-traditional ideas others such as Prince Pāyāsi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Prince Pāyāsi must have been fairly well-known as he is also mentioned in the Jain scriptures.</w:t>
      </w:r>
    </w:p>
    <w:p>
      <w:pPr>
        <w:pStyle w:val="WW-paragraph"/>
        <w:rPr/>
      </w:pPr>
      <w:r>
        <w:rPr/>
        <w:t>The earliest unambiguous and detailed mention of kamma is in the Jain scriptures. Jainism pre-dates Buddhism by perhaps a decade or more and its founder, Mahāvīra,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pp.217ff].  It is certainly possible that the Buddha was influenced by the Jain doctrines of kamma and rebirth but clearly he did not simply take them for granted and unthinkingly and uncritically adopt them. It is much more likely that Mahāvīra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zot-reference"/>
        </w:rPr>
        <w:t>Śvetāsvatara Upaniṣad</w:t>
      </w:r>
      <w:r>
        <w:rPr/>
        <w:t xml:space="preserve"> rejects a variety of explanations including kamma, saying that ultimately everything is controlled by God (</w:t>
      </w:r>
      <w:r>
        <w:rPr>
          <w:rStyle w:val="wwc-sesame-zot-reference"/>
        </w:rPr>
        <w:t>Śs.</w:t>
      </w:r>
      <w:r>
        <w:rPr/>
        <w:t xml:space="preserve"> v.2-3). Many passages in the </w:t>
      </w:r>
      <w:r>
        <w:rPr>
          <w:rStyle w:val="wwc-sesame-zot-referenc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pali"/>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[3]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t xml:space="preserve">(f)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w:t>
      </w: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w:t>
      </w:r>
      <w:r>
        <w:rPr/>
        <w:t>In many ways, karma in the Buddhist tradition, is almost equivalent to what general expression calls the Will of God.”</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6.63:33.1–33.5</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M.I,318).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w:t>
      </w:r>
    </w:p>
    <w:p>
      <w:pPr>
        <w:pStyle w:val="WW-tight-right-cite"/>
        <w:rPr/>
      </w:pPr>
      <w:hyperlink r:id="rId18">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realised them for myself with direct knowledge. </w:t>
      </w:r>
    </w:p>
    <w:p>
      <w:pPr>
        <w:pStyle w:val="WW-tight-right-cite"/>
        <w:rPr/>
      </w:pPr>
      <w:hyperlink r:id="rId19">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0">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Mahāvīra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A.V,213).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rStyle w:val="Hyperlink"/>
        </w:rPr>
        <w:t>22</w:t>
      </w:r>
    </w:p>
    <w:p>
      <w:pPr>
        <w:pStyle w:val="WW-blockquote"/>
        <w:rPr/>
      </w:pPr>
      <w:r>
        <w:rPr/>
        <w:t xml:space="preserve">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rStyle w:val="Emphasis"/>
        </w:rPr>
        <w:t>Schindler’s Ark</w:t>
      </w:r>
      <w:r>
        <w:rPr/>
        <w:t xml:space="preserve"> and the film </w:t>
      </w:r>
      <w:r>
        <w:rPr>
          <w:rStyle w:val="Emphasi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t xml:space="preserve">(a)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t xml:space="preserve">(i)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t xml:space="preserve">(a)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WW-blockquote"/>
        <w:rPr/>
      </w:pPr>
      <w:r>
        <w:rPr/>
        <w:t xml:space="preserve">(b)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In this way that impurity by speech is fourfold. </w:t>
      </w:r>
    </w:p>
    <w:p>
      <w:pPr>
        <w:pStyle w:val="WW-blockquote"/>
        <w:rPr/>
      </w:pPr>
      <w:r>
        <w:rPr/>
        <w:t xml:space="preserve">(c)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2"/>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t>(a)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WW-blockquote"/>
        <w:rPr/>
      </w:pPr>
      <w:r>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3"/>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A.V,300), and of the body being the result of “old kamma” (</w:t>
      </w:r>
      <w:r>
        <w:rPr>
          <w:rStyle w:val="wwc-pali"/>
        </w:rPr>
        <w:t>purāṇakamma</w:t>
      </w:r>
      <w:r>
        <w:rPr/>
        <w:t xml:space="preserve"> S.IV,132)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r>
        <w:rPr/>
        <w:t xml:space="preserve">S.IV,132.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xml:space="preserve">).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(D.III,142).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 xml:space="preserve">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(D.I,50) and Pukkusāti sat talking to the Buddha for hours before realising who he was (M.III,238).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(M.I,170).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1">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 xml:space="preserve">Another example of kamma influencing the physical might be where certain mental states influence the countenance. The Buddha said that a loving disposition or profound inner peace can give the face a radiant complexion (S.I,5; S.III,236; S.V,301). However, as such physical attributes may change when the mental states change, it is not certain whether they can be considered </w:t>
      </w:r>
      <w:r>
        <w:rPr>
          <w:rStyle w:val="wwc-pali"/>
        </w:rPr>
        <w:t>vipāka</w:t>
      </w:r>
      <w:r>
        <w:rPr/>
        <w:t xml:space="preserve">. </w:t>
      </w:r>
    </w:p>
    <w:p>
      <w:pPr>
        <w:pStyle w:val="Normal"/>
        <w:spacing w:lineRule="auto" w:line="240" w:before="0" w:after="120"/>
        <w:contextualSpacing/>
        <w:jc w:val="both"/>
        <w:rPr>
          <w:b/>
          <w:color w:val="000000"/>
          <w:sz w:val="32"/>
          <w:szCs w:val="32"/>
        </w:rPr>
      </w:pPr>
      <w:r>
        <w:rPr>
          <w:b/>
          <w:color w:val="000000"/>
          <w:sz w:val="32"/>
          <w:szCs w:val="32"/>
        </w:rPr>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4"/>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5"/>
      </w:r>
      <w:r>
        <w:rPr/>
        <w:t xml:space="preserve"> the result of kamma, and the origin of the world. One should not ponder over these four things, for trying to do so will result in either madness or frustration.</w:t>
      </w:r>
    </w:p>
    <w:p>
      <w:pPr>
        <w:pStyle w:val="WW-tight-right-cite"/>
        <w:rPr/>
      </w:pPr>
      <w:r>
        <w:rPr/>
        <w:t xml:space="preserve">A.II,80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6"/>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t>(b) Then let’s say there is a person who is mild, a good companion, one liked by his fellows. He is learned in the teachings, he has some understanding of them and has occasional meditation attainment.</w:t>
      </w:r>
      <w:r>
        <w:rPr>
          <w:rStyle w:val="FootnoteReference"/>
        </w:rPr>
        <w:footnoteReference w:id="7"/>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t>(f)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A.III,73</w:t>
      </w:r>
    </w:p>
    <w:p>
      <w:pPr>
        <w:pStyle w:val="WW-blockquote"/>
        <w:rPr/>
      </w:pPr>
      <w:r>
        <w:rPr/>
        <w:t xml:space="preserve">(a)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t>(c)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8"/>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WW-paragraph"/>
        <w:rPr/>
      </w:pPr>
      <w:r>
        <w:rPr/>
        <w:t xml:space="preserve">According to the Buddha, the continual process of being born, dying and being born again, which he called </w:t>
      </w:r>
      <w:r>
        <w:rPr>
          <w:rStyle w:val="wwc-pali"/>
        </w:rPr>
        <w:t>saṁsāra</w:t>
      </w:r>
      <w:r>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WW-paragraph"/>
        <w:rPr/>
      </w:pPr>
      <w:r>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rStyle w:val="wwc-pali"/>
        </w:rPr>
        <w:t>punabbhava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4.50:12.4</w:t>
      </w:r>
      <w:r>
        <w:rPr>
          <w:rStyle w:val="Hyperlink"/>
        </w:rPr>
        <w:fldChar w:fldCharType="end"/>
      </w:r>
      <w:r>
        <w:rPr/>
        <w:t xml:space="preserve"> </w:t>
      </w:r>
      <w:r>
        <w:rPr>
          <w:rStyle w:val="wwc-PTS-reference"/>
        </w:rPr>
        <w:t>A.II,54</w:t>
      </w:r>
      <w:r>
        <w:rPr/>
        <w:t>), “moving from womb to womb” (</w:t>
      </w:r>
      <w:r>
        <w:rPr>
          <w:rStyle w:val="wwc-pali"/>
        </w:rPr>
        <w:t>gabbhā gabbhaṁ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278</w:t>
      </w:r>
      <w:r>
        <w:rPr>
          <w:rStyle w:val="Hyperlink"/>
        </w:rPr>
        <w:fldChar w:fldCharType="end"/>
      </w:r>
      <w:r>
        <w:rPr/>
        <w:t>), “future birth” (</w:t>
      </w:r>
      <w:r>
        <w:rPr>
          <w:rStyle w:val="wwc-pali"/>
        </w:rPr>
        <w:t>āyatiṃjāti</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12.40:2.6</w:t>
      </w:r>
      <w:r>
        <w:rPr>
          <w:rStyle w:val="Hyperlink"/>
        </w:rPr>
        <w:fldChar w:fldCharType="end"/>
      </w:r>
      <w:r>
        <w:rPr/>
        <w:t xml:space="preserve"> </w:t>
      </w:r>
      <w:r>
        <w:rPr>
          <w:rStyle w:val="wwc-PTS-reference"/>
        </w:rPr>
        <w:t>S,II,67</w:t>
      </w:r>
      <w:r>
        <w:rPr/>
        <w:t>), “existence after existence” (</w:t>
      </w:r>
      <w:r>
        <w:rPr>
          <w:rStyle w:val="wwc-pali"/>
        </w:rPr>
        <w:t>bhavābhavaṁ</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w:t>
      </w:r>
      <w:r>
        <w:rPr>
          <w:rStyle w:val="Hyperlink"/>
        </w:rPr>
        <w:fldChar w:fldCharType="end"/>
      </w:r>
      <w:r>
        <w:rPr>
          <w:rStyle w:val="Hyperlink"/>
        </w:rPr>
        <w:t xml:space="preserve"> 5.55:9.3</w:t>
      </w:r>
      <w:r>
        <w:rPr/>
        <w:t xml:space="preserve"> </w:t>
      </w:r>
      <w:r>
        <w:rPr>
          <w:rStyle w:val="wwc-PTS-reference"/>
        </w:rPr>
        <w:t>A.III,69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1060</w:t>
      </w:r>
      <w:r>
        <w:rPr>
          <w:rStyle w:val="Hyperlink"/>
        </w:rPr>
        <w:fldChar w:fldCharType="end"/>
      </w:r>
      <w:r>
        <w:rPr/>
        <w:t>) or sometimes “beyond to beyond” (</w:t>
      </w:r>
      <w:r>
        <w:rPr>
          <w:rStyle w:val="wwc-pali"/>
        </w:rPr>
        <w:t xml:space="preserve">hurā hurāṁ </w:t>
      </w:r>
      <w:r>
        <w:fldChar w:fldCharType="begin"/>
      </w:r>
      <w:r>
        <w:rPr>
          <w:rStyle w:val="Hyperlink"/>
        </w:rPr>
        <w:instrText xml:space="preserve"> HYPERLINK "https://suttacentral.net/XXX/en/sujato" \l "YYY"</w:instrText>
      </w:r>
      <w:r>
        <w:rPr>
          <w:rStyle w:val="Hyperlink"/>
        </w:rPr>
        <w:fldChar w:fldCharType="separate"/>
      </w:r>
      <w:r>
        <w:rPr>
          <w:rStyle w:val="Hyperlink"/>
        </w:rPr>
        <w:t>Dhp 334</w:t>
      </w:r>
      <w:r>
        <w:rPr>
          <w:rStyle w:val="Hyperlink"/>
        </w:rPr>
        <w:fldChar w:fldCharType="end"/>
      </w:r>
      <w:r>
        <w:rPr/>
        <w:t xml:space="preserve">). </w:t>
      </w:r>
    </w:p>
    <w:p>
      <w:pPr>
        <w:pStyle w:val="WW-paragraph"/>
        <w:rPr/>
      </w:pPr>
      <w:r>
        <w:rPr/>
        <w:t xml:space="preserve">Like kamma, the idea of rebirth or reincarnation was not a widespread one at the time of the Buddha. The Vedas do not mention it nor do most of the early </w:t>
      </w:r>
      <w:r>
        <w:rPr>
          <w:rStyle w:val="wwc-sesame"/>
        </w:rPr>
        <w:t>Upaniṣads</w:t>
      </w:r>
      <w:r>
        <w:rPr/>
        <w:t xml:space="preserve">. The </w:t>
      </w:r>
      <w:r>
        <w:rPr>
          <w:rStyle w:val="wwc-sesame"/>
        </w:rPr>
        <w:t>Taittirīya Upaniṣad</w:t>
      </w:r>
      <w:r>
        <w:rPr/>
        <w:t xml:space="preserve"> for example, teaches that “after departing from this world his self becomes food, the life-principle… the mind, understanding or bliss” (Tai.3.10.5). The idea of some kind of rebirth may have been current mainly amongst some of the non-Vedic teachers of the Buddha’s time, although others rejected the idea in favour of either materialism or heaven.  </w:t>
      </w:r>
    </w:p>
    <w:p>
      <w:pPr>
        <w:pStyle w:val="WW-paragraph"/>
        <w:rPr/>
      </w:pPr>
      <w:r>
        <w:rPr/>
        <w:t>As well as imparting moral value to our actions and conditioning the quality of our experience, the other important effect of kamma is causing us to be reborn. From one point of view it could be said that kamma is of two types—positive or negative. From another point of view all kamma is negative in that it causes us to be reborn. At the deepest level, all our intentional actions are rooted in clinging and craving (</w:t>
      </w:r>
      <w:r>
        <w:rPr>
          <w:rStyle w:val="wwc-pali"/>
        </w:rPr>
        <w:t>upādāna</w:t>
      </w:r>
      <w:r>
        <w:rPr/>
        <w:t xml:space="preserve"> and </w:t>
      </w:r>
      <w:r>
        <w:rPr>
          <w:rStyle w:val="wwc-pali"/>
        </w:rPr>
        <w:t>taṇhā</w:t>
      </w:r>
      <w:r>
        <w:rPr/>
        <w:t>) and so kamma is equivalent to craving.</w:t>
      </w:r>
    </w:p>
    <w:p>
      <w:pPr>
        <w:pStyle w:val="WW-blockquote"/>
        <w:rPr/>
      </w:pPr>
      <w:r>
        <w:rPr/>
        <w:t>The origin of suffering is this: it is the craving that leads to renewed existence (</w:t>
      </w:r>
      <w:r>
        <w:rPr>
          <w:rStyle w:val="wwc-pali"/>
        </w:rPr>
        <w:t>taṇhā ponobbhavikā</w:t>
      </w:r>
      <w:r>
        <w:rPr/>
        <w:t xml:space="preserve">); accompanied by delight and lust; seeking delight here and there;  that is to say;  the craving for sensual pleasures  the craving for existence and the craving for non-existence.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56.11:4.4</w:t>
      </w:r>
      <w:r>
        <w:rPr>
          <w:rStyle w:val="Hyperlink"/>
        </w:rPr>
        <w:fldChar w:fldCharType="end"/>
      </w:r>
      <w:r>
        <w:rPr/>
        <w:br/>
      </w:r>
      <w:r>
        <w:rPr>
          <w:rStyle w:val="wwc-PTS-reference"/>
        </w:rPr>
        <w:t>S.V,421</w:t>
      </w:r>
    </w:p>
    <w:p>
      <w:pPr>
        <w:pStyle w:val="WW-blockquote"/>
        <w:rPr/>
      </w:pPr>
      <w:r>
        <w:rPr/>
        <w:t xml:space="preserve">By kamma the world goes on, </w:t>
        <w:br/>
        <w:t xml:space="preserve">by kamma people go on. </w:t>
        <w:br/>
        <w:t xml:space="preserve">Beings have kamma as their bond, </w:t>
        <w:br/>
        <w:t xml:space="preserve">as the linchpin that keeps the turning wheel in place.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3.9:66.1–66.4</w:t>
      </w:r>
      <w:r>
        <w:rPr>
          <w:rStyle w:val="Hyperlink"/>
        </w:rPr>
        <w:fldChar w:fldCharType="end"/>
      </w:r>
      <w:r>
        <w:rPr/>
        <w:br/>
      </w:r>
      <w:r>
        <w:rPr>
          <w:rStyle w:val="wwc-PTS-reference"/>
        </w:rPr>
        <w:t>Sn.654</w:t>
      </w:r>
    </w:p>
    <w:p>
      <w:pPr>
        <w:pStyle w:val="Normal"/>
        <w:spacing w:lineRule="auto" w:line="240" w:before="0" w:after="120"/>
        <w:contextualSpacing/>
        <w:jc w:val="both"/>
        <w:rPr>
          <w:color w:val="000000"/>
          <w:sz w:val="28"/>
          <w:szCs w:val="28"/>
        </w:rPr>
      </w:pPr>
      <w:r>
        <w:rPr>
          <w:color w:val="000000"/>
          <w:sz w:val="28"/>
          <w:szCs w:val="28"/>
        </w:rPr>
      </w:r>
    </w:p>
    <w:p>
      <w:pPr>
        <w:pStyle w:val="WW-blockquote"/>
        <w:rPr/>
      </w:pPr>
      <w:r>
        <w:rPr/>
        <w:t xml:space="preserve">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WW-blockquote"/>
        <w:rPr/>
      </w:pPr>
      <w:r>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WW-blockquote"/>
        <w:rPr/>
      </w:pPr>
      <w:r>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w:t>
      </w:r>
    </w:p>
    <w:p>
      <w:pPr>
        <w:pStyle w:val="WW-blockquote"/>
        <w:rPr/>
      </w:pPr>
      <w:r>
        <w:rPr/>
        <w:t xml:space="preserve">(d)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WW-blockquote"/>
        <w:rPr/>
      </w:pPr>
      <w:r>
        <w:rPr/>
        <w:t>(e &amp; f) And one does the same with things which in the future might give rise to desire and lust and things which in the present are giving rise to desire and lust.</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3.112</w:t>
      </w:r>
      <w:r>
        <w:rPr>
          <w:rStyle w:val="Hyperlink"/>
        </w:rPr>
        <w:fldChar w:fldCharType="end"/>
      </w:r>
      <w:r>
        <w:rPr/>
        <w:br/>
      </w:r>
      <w:r>
        <w:rPr>
          <w:rStyle w:val="wwc-PTS-reference"/>
        </w:rPr>
        <w:t>A.I,265</w:t>
      </w:r>
    </w:p>
    <w:p>
      <w:pPr>
        <w:pStyle w:val="WW-paragraph"/>
        <w:rPr/>
      </w:pPr>
      <w:r>
        <w:rPr/>
        <w:t>Craving creates the energy that both compels and propels us into a new life. Kamma keeps us going through a succession of lives just as material food keeps us going through the present life.</w:t>
      </w:r>
    </w:p>
    <w:p>
      <w:pPr>
        <w:pStyle w:val="WW-blockquote"/>
        <w:rPr/>
      </w:pPr>
      <w:r>
        <w:rPr/>
        <w:t>There are four kinds of nutriment for the maintenance of beings that have come to be (i.e. already born), and the moving forward beings that are to be (i.e. about to be reborn). What four? Edible food both coarse and fine, contact, mental intention (</w:t>
      </w:r>
      <w:r>
        <w:rPr>
          <w:rStyle w:val="wwc-pali"/>
        </w:rPr>
        <w:t>manosañcetanā</w:t>
      </w:r>
      <w:r>
        <w:rPr/>
        <w:t>) and consciousness. These four types of nutriment have craving as their source, craving as their origin, they are born of and produced by craving.</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38:15.1–15.3</w:t>
      </w:r>
      <w:r>
        <w:rPr>
          <w:rStyle w:val="Hyperlink"/>
        </w:rPr>
        <w:fldChar w:fldCharType="end"/>
      </w:r>
      <w:r>
        <w:rPr/>
        <w:br/>
      </w:r>
      <w:r>
        <w:rPr>
          <w:rStyle w:val="wwc-PTS-reference"/>
        </w:rPr>
        <w:t>M.I,261</w:t>
      </w:r>
    </w:p>
    <w:p>
      <w:pPr>
        <w:pStyle w:val="WW-paragraph"/>
        <w:rPr/>
      </w:pPr>
      <w:r>
        <w:rPr/>
        <w:t>How does rebirth take place? According to the Buddha, death can be said to have occurred when vitality (</w:t>
      </w:r>
      <w:r>
        <w:rPr>
          <w:rStyle w:val="wwc-pali"/>
        </w:rPr>
        <w:t>āyu</w:t>
      </w:r>
      <w:r>
        <w:rPr/>
        <w:t>), heat (</w:t>
      </w:r>
      <w:r>
        <w:rPr>
          <w:rStyle w:val="wwc-pali"/>
        </w:rPr>
        <w:t>usmā</w:t>
      </w:r>
      <w:r>
        <w:rPr/>
        <w:t>) and consciousness (</w:t>
      </w:r>
      <w:r>
        <w:rPr>
          <w:rStyle w:val="wwc-pali"/>
        </w:rPr>
        <w:t>viññāṇa</w:t>
      </w:r>
      <w:r>
        <w:rPr/>
        <w:t>) leave the body.</w:t>
      </w:r>
    </w:p>
    <w:p>
      <w:pPr>
        <w:pStyle w:val="WW-blockquote"/>
        <w:rPr/>
      </w:pPr>
      <w:r>
        <w:rPr/>
        <w:t xml:space="preserve">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43:24.1–25.4</w:t>
      </w:r>
      <w:r>
        <w:rPr>
          <w:rStyle w:val="Hyperlink"/>
        </w:rPr>
        <w:fldChar w:fldCharType="end"/>
      </w:r>
      <w:r>
        <w:rPr/>
        <w:br/>
      </w:r>
      <w:r>
        <w:rPr>
          <w:rStyle w:val="wwc-PTS-reference"/>
        </w:rPr>
        <w:t>M.I,296</w:t>
      </w:r>
    </w:p>
    <w:p>
      <w:pPr>
        <w:pStyle w:val="WW-paragraph"/>
        <w:rPr/>
      </w:pPr>
      <w:r>
        <w:rPr/>
        <w:t>The conditions necessary for rebirth to take place are the parent’s coitus (</w:t>
      </w:r>
      <w:r>
        <w:rPr>
          <w:rStyle w:val="wwc-pali"/>
        </w:rPr>
        <w:t>sannipatita</w:t>
      </w:r>
      <w:r>
        <w:rPr/>
        <w:t>), the mother’s fertility, (</w:t>
      </w:r>
      <w:r>
        <w:rPr>
          <w:rStyle w:val="wwc-pali"/>
        </w:rPr>
        <w:t>utunī</w:t>
      </w:r>
      <w:r>
        <w:rPr/>
        <w:t>) and the presence of the consciousness to be reborn (</w:t>
      </w:r>
      <w:r>
        <w:rPr>
          <w:rStyle w:val="wwc-pali"/>
        </w:rPr>
        <w:t>gandhabba</w:t>
      </w:r>
      <w:r>
        <w:rPr/>
        <w:t>).</w:t>
      </w:r>
    </w:p>
    <w:p>
      <w:pPr>
        <w:pStyle w:val="WW-blockquote"/>
        <w:rPr/>
      </w:pPr>
      <w:r>
        <w:rPr/>
        <w:t xml:space="preserve">When there is a coming together of three things the conception of the embryo in the womb takes place: the union of the mother and father; the mother’s fertility; and the presence of the being to be born.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38:26.4</w:t>
      </w:r>
      <w:r>
        <w:rPr>
          <w:rStyle w:val="Hyperlink"/>
        </w:rPr>
        <w:fldChar w:fldCharType="end"/>
      </w:r>
      <w:r>
        <w:rPr/>
        <w:br/>
      </w:r>
      <w:r>
        <w:rPr>
          <w:rStyle w:val="wwc-PTS-reference"/>
        </w:rPr>
        <w:t>M.I,266</w:t>
      </w:r>
    </w:p>
    <w:p>
      <w:pPr>
        <w:pStyle w:val="WW-paragraph"/>
        <w:rPr/>
      </w:pPr>
      <w:r>
        <w:rPr/>
        <w:t>This consciousness “moves upwards” (</w:t>
      </w:r>
      <w:r>
        <w:rPr>
          <w:rStyle w:val="wwc-pali"/>
        </w:rPr>
        <w:t>uddhagāmi</w:t>
      </w:r>
      <w:r>
        <w:rPr/>
        <w:t>), then “descends” (</w:t>
      </w:r>
      <w:r>
        <w:rPr>
          <w:rStyle w:val="wwc-pali"/>
        </w:rPr>
        <w:t>avakkanti</w:t>
      </w:r>
      <w:r>
        <w:rPr/>
        <w:t>) unconsciously (</w:t>
      </w:r>
      <w:r>
        <w:rPr>
          <w:rStyle w:val="wwc-pali"/>
        </w:rPr>
        <w:t>asampajāña</w:t>
      </w:r>
      <w:r>
        <w:rPr/>
        <w:t>) into the newly fertilised egg and “settles down (</w:t>
      </w:r>
      <w:r>
        <w:rPr>
          <w:rStyle w:val="wwc-pali"/>
        </w:rPr>
        <w:t>okkamissathā</w:t>
      </w:r>
      <w:r>
        <w:rPr/>
        <w:t>)  in the mother’s womb (</w:t>
      </w:r>
      <w:r>
        <w:rPr>
          <w:rStyle w:val="wwc-pali"/>
        </w:rPr>
        <w:t>matu kucchim</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 xml:space="preserve"> </w:t>
      </w:r>
      <w:r>
        <w:rPr>
          <w:rStyle w:val="wwc-PTS-reference"/>
        </w:rPr>
        <w:t>D.II,63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28:5.1–5.7</w:t>
      </w:r>
      <w:r>
        <w:rPr>
          <w:rStyle w:val="Hyperlink"/>
        </w:rPr>
        <w:fldChar w:fldCharType="end"/>
      </w:r>
      <w:r>
        <w:rPr/>
        <w:t xml:space="preserve"> </w:t>
      </w:r>
      <w:r>
        <w:rPr>
          <w:rStyle w:val="wwc-PTS-reference"/>
        </w:rPr>
        <w:t>D.III,103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93:18.61</w:t>
      </w:r>
      <w:r>
        <w:rPr>
          <w:rStyle w:val="Hyperlink"/>
        </w:rPr>
        <w:fldChar w:fldCharType="end"/>
      </w:r>
      <w:r>
        <w:rPr/>
        <w:t xml:space="preserve"> </w:t>
      </w:r>
      <w:r>
        <w:rPr>
          <w:rStyle w:val="wwc-PTS-reference"/>
        </w:rPr>
        <w:t>M.II,156-157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55.21</w:t>
      </w:r>
      <w:r>
        <w:rPr>
          <w:rStyle w:val="Hyperlink"/>
        </w:rPr>
        <w:fldChar w:fldCharType="end"/>
      </w:r>
      <w:r>
        <w:rPr/>
        <w:t xml:space="preserve"> </w:t>
      </w:r>
      <w:r>
        <w:rPr>
          <w:rStyle w:val="wwc-PTS-reference"/>
        </w:rPr>
        <w:t>S.V,370</w:t>
      </w:r>
      <w:r>
        <w:rPr/>
        <w:t>. These spatial descriptions are probably metaphorical. The detailed and complicated descriptions of how rebirth takes place evolved in the centuries after the Buddha and are to be found mainly in the commentaries.</w:t>
      </w:r>
      <w:r>
        <w:br w:type="page"/>
      </w:r>
    </w:p>
    <w:p>
      <w:pPr>
        <w:pStyle w:val="WW-Chapter"/>
        <w:spacing w:before="0" w:after="567"/>
        <w:rPr/>
      </w:pPr>
      <w:r>
        <w:rPr/>
        <w:t>The In-between State</w:t>
      </w:r>
    </w:p>
    <w:p>
      <w:pPr>
        <w:pStyle w:val="WW-paragraph"/>
        <w:rPr/>
      </w:pPr>
      <w:r>
        <w:rPr/>
        <w:t>Some schools of Buddhism teach that after death, consciousness hovers or pauses in an in-between state (</w:t>
      </w:r>
      <w:r>
        <w:rPr>
          <w:rStyle w:val="wwc-pali"/>
        </w:rPr>
        <w:t>antarābhava</w:t>
      </w:r>
      <w:r>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w:t>
      </w:r>
      <w:r>
        <w:fldChar w:fldCharType="begin"/>
      </w:r>
      <w:r>
        <w:rPr>
          <w:rStyle w:val="Hyperlink"/>
        </w:rPr>
        <w:instrText xml:space="preserve"> HYPERLINK "https://suttacentral.net/XXX/en/sujato" \l "YYY"</w:instrText>
      </w:r>
      <w:r>
        <w:rPr>
          <w:rStyle w:val="Hyperlink"/>
        </w:rPr>
        <w:fldChar w:fldCharType="separate"/>
      </w:r>
      <w:r>
        <w:rPr>
          <w:rStyle w:val="Hyperlink"/>
        </w:rPr>
        <w:t>SN 44.9:6.5</w:t>
      </w:r>
      <w:r>
        <w:rPr>
          <w:rStyle w:val="Hyperlink"/>
        </w:rPr>
        <w:fldChar w:fldCharType="end"/>
      </w:r>
      <w:r>
        <w:rPr/>
        <w:t xml:space="preserve"> </w:t>
      </w:r>
      <w:r>
        <w:rPr>
          <w:rStyle w:val="wwc-PTS-reference"/>
        </w:rPr>
        <w:t>S.IV,400</w:t>
      </w:r>
      <w:r>
        <w:rPr/>
        <w:t xml:space="preserve">). On several other occasions he said that for one who has attained Nirvana there is “no here, no there, no in-between” (e.g. </w:t>
      </w:r>
      <w:r>
        <w:fldChar w:fldCharType="begin"/>
      </w:r>
      <w:r>
        <w:rPr>
          <w:rStyle w:val="Hyperlink"/>
        </w:rPr>
        <w:instrText xml:space="preserve"> HYPERLINK "https://suttacentral.net/XXX/en/sujato" \l "YYY"</w:instrText>
      </w:r>
      <w:r>
        <w:rPr>
          <w:rStyle w:val="Hyperlink"/>
        </w:rPr>
        <w:fldChar w:fldCharType="separate"/>
      </w:r>
      <w:r>
        <w:rPr>
          <w:rStyle w:val="Hyperlink"/>
        </w:rPr>
        <w:t>SN 35.95:10.7</w:t>
      </w:r>
      <w:r>
        <w:rPr>
          <w:rStyle w:val="Hyperlink"/>
        </w:rPr>
        <w:fldChar w:fldCharType="end"/>
      </w:r>
      <w:r>
        <w:rPr/>
        <w:t xml:space="preserve"> </w:t>
      </w:r>
      <w:r>
        <w:rPr>
          <w:rStyle w:val="wwc-PTS-reference"/>
        </w:rPr>
        <w:t>S.IV,73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1.10:8.9</w:t>
      </w:r>
      <w:r>
        <w:rPr>
          <w:rStyle w:val="Hyperlink"/>
        </w:rPr>
        <w:fldChar w:fldCharType="end"/>
      </w:r>
      <w:r>
        <w:rPr/>
        <w:t xml:space="preserve"> </w:t>
      </w:r>
      <w:r>
        <w:rPr>
          <w:rStyle w:val="wwc-PTS-reference"/>
        </w:rPr>
        <w:t>Ud.8</w:t>
      </w:r>
      <w:r>
        <w:rPr/>
        <w:t xml:space="preserve">), referring to this life, the next life and presumably, the in-between state. While the </w:t>
      </w:r>
      <w:r>
        <w:rPr>
          <w:rStyle w:val="wwc-pali"/>
        </w:rPr>
        <w:t>gandhabba</w:t>
      </w:r>
      <w:r>
        <w:rPr/>
        <w:t xml:space="preserve"> is in this in-between state apparently the thing that sustains it is the latent craving (</w:t>
      </w:r>
      <w:r>
        <w:rPr>
          <w:rStyle w:val="wwc-pali"/>
        </w:rPr>
        <w:t>taṇhā</w:t>
      </w:r>
      <w:r>
        <w:rPr/>
        <w:t>), which is described as its fuel (</w:t>
      </w:r>
      <w:r>
        <w:rPr>
          <w:rStyle w:val="wwc-pali"/>
        </w:rPr>
        <w:t>upādāna</w:t>
      </w:r>
      <w:r>
        <w:rPr/>
        <w:t>).</w:t>
      </w:r>
    </w:p>
    <w:p>
      <w:pPr>
        <w:pStyle w:val="WW-blockquote"/>
        <w:rPr/>
      </w:pPr>
      <w:r>
        <w:rPr/>
        <w:t>“</w:t>
      </w:r>
      <w:r>
        <w:rPr/>
        <w:t>Just as a fire burns with fuel, cannot burn without fuel, so too, I say that rebirth happens for one who has fuel, not for one without fuel.”</w:t>
      </w:r>
    </w:p>
    <w:p>
      <w:pPr>
        <w:pStyle w:val="WW-blockquote"/>
        <w:rPr/>
      </w:pPr>
      <w:r>
        <w:rPr/>
        <w:t>“</w:t>
      </w:r>
      <w:r>
        <w:rPr/>
        <w:t xml:space="preserve">But good Gotama, when a flame is flung some distance by the wind, what do you say is its fuel then?” </w:t>
      </w:r>
    </w:p>
    <w:p>
      <w:pPr>
        <w:pStyle w:val="WW-blockquote"/>
        <w:rPr/>
      </w:pPr>
      <w:r>
        <w:rPr/>
        <w:t>“</w:t>
      </w:r>
      <w:r>
        <w:rPr/>
        <w:t>When a flame is flung some distance by the wind I say that it is fuelled by the wind, the wind is its fuel.”</w:t>
      </w:r>
    </w:p>
    <w:p>
      <w:pPr>
        <w:pStyle w:val="WW-blockquote"/>
        <w:rPr/>
      </w:pPr>
      <w:r>
        <w:rPr/>
        <w:t>“</w:t>
      </w:r>
      <w:r>
        <w:rPr/>
        <w:t xml:space="preserve">Well good Gotama, when a being has laid down the body but has not yet been reborn, what do you say is its fuel then?” </w:t>
      </w:r>
    </w:p>
    <w:p>
      <w:pPr>
        <w:pStyle w:val="WW-blockquote"/>
        <w:rPr/>
      </w:pPr>
      <w:r>
        <w:rPr/>
        <w:t>“</w:t>
      </w:r>
      <w:r>
        <w:rPr/>
        <w:t xml:space="preserve">When a being has laid down the body but not yet been reborn I say that it is fuelled by craving, craving is its fuel.”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44.9:5.3–6.6</w:t>
      </w:r>
      <w:r>
        <w:rPr>
          <w:rStyle w:val="Hyperlink"/>
        </w:rPr>
        <w:fldChar w:fldCharType="end"/>
      </w:r>
      <w:r>
        <w:rPr/>
        <w:br/>
      </w:r>
      <w:r>
        <w:rPr>
          <w:rStyle w:val="wwc-PTS-reference"/>
        </w:rPr>
        <w:t>S.IV,399–400</w:t>
      </w:r>
      <w:r>
        <w:br w:type="page"/>
      </w:r>
    </w:p>
    <w:p>
      <w:pPr>
        <w:pStyle w:val="WW-Chapter"/>
        <w:spacing w:before="0" w:after="567"/>
        <w:rPr/>
      </w:pPr>
      <w:r>
        <w:rPr/>
        <w:t xml:space="preserve">Stopping Kamma, Ending Rebirth </w:t>
      </w:r>
    </w:p>
    <w:p>
      <w:pPr>
        <w:pStyle w:val="WW-paragraph"/>
        <w:rPr/>
      </w:pPr>
      <w:r>
        <w:rPr/>
        <w:t>As a person’s practice of the Dhamma matures they gradually learn to become more detached from contact (</w:t>
      </w:r>
      <w:r>
        <w:rPr>
          <w:rStyle w:val="wwc-pali"/>
        </w:rPr>
        <w:t>phassa</w:t>
      </w:r>
      <w:r>
        <w:rPr/>
        <w:t xml:space="preserve">), i.e. the various pleasant and unpleasant experiences that impinge on them in the normal process of living. </w:t>
      </w:r>
    </w:p>
    <w:p>
      <w:pPr>
        <w:pStyle w:val="WW-blockquote"/>
        <w:rPr/>
      </w:pPr>
      <w:r>
        <w:rPr/>
        <w:t xml:space="preserve">When it was said: “Kamma should be understood, the way leading to the cessation of kamma should be understood,” for what reason was this said? </w:t>
      </w:r>
    </w:p>
    <w:p>
      <w:pPr>
        <w:pStyle w:val="WW-blockquote"/>
        <w:rPr/>
      </w:pPr>
      <w:r>
        <w:rPr/>
        <w:t>(a) It is intention (</w:t>
      </w:r>
      <w:r>
        <w:rPr>
          <w:rStyle w:val="wwc-pali"/>
        </w:rPr>
        <w:t>cetanā</w:t>
      </w:r>
      <w:r>
        <w:rPr/>
        <w:t xml:space="preserve">) that I call kamma. For having intended, one acts by body, speech, or mind. </w:t>
      </w:r>
    </w:p>
    <w:p>
      <w:pPr>
        <w:pStyle w:val="WW-blockquote"/>
        <w:rPr/>
      </w:pPr>
      <w:r>
        <w:rPr/>
        <w:t>(b) And what is the source and origin of kamma? Contact (</w:t>
      </w:r>
      <w:r>
        <w:rPr>
          <w:rStyle w:val="wwc-pali"/>
        </w:rPr>
        <w:t>phassa</w:t>
      </w:r>
      <w:r>
        <w:rPr/>
        <w:t xml:space="preserve">) is its source and origin. </w:t>
      </w:r>
    </w:p>
    <w:p>
      <w:pPr>
        <w:pStyle w:val="WW-blockquote"/>
        <w:rPr/>
      </w:pPr>
      <w:r>
        <w:rPr/>
        <w:t xml:space="preserve">(c) 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 </w:t>
      </w:r>
    </w:p>
    <w:p>
      <w:pPr>
        <w:pStyle w:val="WW-blockquote"/>
        <w:rPr/>
      </w:pPr>
      <w:r>
        <w:rPr/>
        <w:t xml:space="preserve">(d) And what is the result of kamma? I say that result of kamma is threefold, that to be experienced in this life, or in the next life, or on some subsequent occasion. This is called the result of kamma. </w:t>
      </w:r>
    </w:p>
    <w:p>
      <w:pPr>
        <w:pStyle w:val="WW-blockquote"/>
        <w:rPr/>
      </w:pPr>
      <w:r>
        <w:rPr/>
        <w:t xml:space="preserve">(e) And what is the cessation of kamma? With the cessation of contact there is cessation of kamma. </w:t>
      </w:r>
    </w:p>
    <w:p>
      <w:pPr>
        <w:pStyle w:val="WW-blockquote"/>
        <w:rPr/>
      </w:pPr>
      <w:r>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rStyle w:val="wwc-pali"/>
        </w:rPr>
        <w:t>nibbedhika brahmacariya</w:t>
      </w:r>
      <w:r>
        <w:rPr/>
        <w:t xml:space="preserve">) is said to be the cessation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6.63:33.1–38.3</w:t>
      </w:r>
      <w:r>
        <w:rPr>
          <w:rStyle w:val="Hyperlink"/>
        </w:rPr>
        <w:fldChar w:fldCharType="end"/>
      </w:r>
      <w:r>
        <w:rPr/>
        <w:br/>
      </w:r>
      <w:r>
        <w:rPr>
          <w:rStyle w:val="wwc-PTS-reference"/>
        </w:rPr>
        <w:t>A.III,415</w:t>
      </w:r>
    </w:p>
    <w:p>
      <w:pPr>
        <w:pStyle w:val="WW-paragraph"/>
        <w:rPr/>
      </w:pPr>
      <w:r>
        <w:rPr/>
        <w:t>In the early stages of spiritual practice, guarding the sense doors (</w:t>
      </w:r>
      <w:r>
        <w:rPr>
          <w:rStyle w:val="wwc-pali"/>
        </w:rPr>
        <w:t>indriyasaṁvara</w:t>
      </w:r>
      <w:r>
        <w:rPr/>
        <w:t>), moral restraint (</w:t>
      </w:r>
      <w:r>
        <w:rPr>
          <w:rStyle w:val="wwc-pali"/>
        </w:rPr>
        <w:t>sīla</w:t>
      </w:r>
      <w:r>
        <w:rPr/>
        <w:t>) and mindful attention (</w:t>
      </w:r>
      <w:r>
        <w:rPr>
          <w:rStyle w:val="wwc-pali"/>
        </w:rPr>
        <w:t>sati</w:t>
      </w:r>
      <w:r>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rStyle w:val="wwc-pali"/>
        </w:rPr>
        <w:t>kāmāsava</w:t>
      </w:r>
      <w:r>
        <w:rPr/>
        <w:t>), for becoming (</w:t>
      </w:r>
      <w:r>
        <w:rPr>
          <w:rStyle w:val="wwc-pali"/>
        </w:rPr>
        <w:t>bhavāsana</w:t>
      </w:r>
      <w:r>
        <w:rPr/>
        <w:t>) and for wilful ignorance (</w:t>
      </w:r>
      <w:r>
        <w:rPr>
          <w:rStyle w:val="wwc-pali"/>
        </w:rPr>
        <w:t>avijjāsava</w:t>
      </w:r>
      <w:r>
        <w:rPr/>
        <w:t>). Sometimes he also mentioned craving for non-existence (</w:t>
      </w:r>
      <w:r>
        <w:rPr>
          <w:rStyle w:val="wwc-pali"/>
        </w:rPr>
        <w:t>vibhavāsava</w:t>
      </w:r>
      <w:r>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rStyle w:val="wwc-pali"/>
        </w:rPr>
        <w:t>bodhi</w:t>
      </w:r>
      <w:r>
        <w:rPr/>
        <w:t xml:space="preserve"> or </w:t>
      </w:r>
      <w:r>
        <w:rPr>
          <w:rStyle w:val="wwc-pali"/>
        </w:rPr>
        <w:t>vimutti</w:t>
      </w:r>
      <w:r>
        <w:rPr/>
        <w:t xml:space="preserve">) that one sees and is able to neutralise the propensity for craving. </w:t>
      </w:r>
    </w:p>
    <w:p>
      <w:pPr>
        <w:pStyle w:val="WW-blockquote"/>
        <w:rPr/>
      </w:pPr>
      <w:r>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12.23:6.9–6.21</w:t>
      </w:r>
      <w:r>
        <w:rPr>
          <w:rStyle w:val="Hyperlink"/>
        </w:rPr>
        <w:fldChar w:fldCharType="end"/>
      </w:r>
      <w:r>
        <w:rPr/>
        <w:br/>
      </w:r>
      <w:r>
        <w:rPr>
          <w:rStyle w:val="wwc-PTS-reference"/>
        </w:rPr>
        <w:t>S.II,31–2</w:t>
      </w:r>
    </w:p>
    <w:p>
      <w:pPr>
        <w:pStyle w:val="WW-paragraph"/>
        <w:rPr/>
      </w:pPr>
      <w:r>
        <w:rPr/>
        <w:t>Sometimes the Buddha likened craving to seeds (</w:t>
      </w:r>
      <w:r>
        <w:rPr>
          <w:rStyle w:val="wwc-pali"/>
        </w:rPr>
        <w:t>bīja</w:t>
      </w:r>
      <w:r>
        <w:rPr/>
        <w:t>) that may lie dormant for an extended period but germinate and spring into life given the right conditions.</w:t>
      </w:r>
    </w:p>
    <w:p>
      <w:pPr>
        <w:pStyle w:val="WW-line-block"/>
        <w:rPr/>
      </w:pPr>
      <w:r>
        <w:rPr/>
        <w:t xml:space="preserve">The old is destroyed and the new does not arise </w:t>
        <w:br/>
        <w:t xml:space="preserve">for those whose minds are disinterested in future existence, </w:t>
        <w:br/>
        <w:t xml:space="preserve">their seeds destroyed and with no more desire for growth. </w:t>
        <w:br/>
        <w:t xml:space="preserve">The wise are quenched like a lamp.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r>
        <w:rPr/>
        <w:br/>
      </w:r>
      <w:r>
        <w:rPr>
          <w:rStyle w:val="wwc-PTS-reference"/>
        </w:rPr>
        <w:t>Sn.235</w:t>
      </w:r>
    </w:p>
    <w:p>
      <w:pPr>
        <w:pStyle w:val="WW-blockquote"/>
        <w:rPr/>
      </w:pPr>
      <w:r>
        <w:rPr/>
        <w:t xml:space="preserve">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br/>
      </w:r>
      <w:r>
        <w:rPr>
          <w:rStyle w:val="wwc-PTS-reference"/>
        </w:rPr>
        <w:t>A.I,135</w:t>
      </w:r>
    </w:p>
    <w:p>
      <w:pPr>
        <w:pStyle w:val="WW-paragraph"/>
        <w:rPr/>
      </w:pPr>
      <w:r>
        <w:rPr/>
        <w:t>An awakened person’s insight has destroyed even the tiniest seeds of this craving and thus is no longer reborn. They no longer react, they just act—without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w:t>
      </w:r>
      <w:r>
        <w:fldChar w:fldCharType="begin"/>
      </w:r>
      <w:r>
        <w:rPr>
          <w:rStyle w:val="Hyperlink"/>
        </w:rPr>
        <w:instrText xml:space="preserve"> HYPERLINK "https://suttacentral.net/XXX/en/sujato" \l "YYY"</w:instrText>
      </w:r>
      <w:r>
        <w:rPr>
          <w:rStyle w:val="Hyperlink"/>
        </w:rPr>
        <w:fldChar w:fldCharType="separate"/>
      </w:r>
      <w:r>
        <w:rPr>
          <w:rStyle w:val="Hyperlink"/>
        </w:rPr>
        <w:t>Dhp 203</w:t>
      </w:r>
      <w:r>
        <w:rPr>
          <w:rStyle w:val="Hyperlink"/>
        </w:rPr>
        <w:fldChar w:fldCharType="end"/>
      </w:r>
      <w:r>
        <w:rPr/>
        <w:t xml:space="preserve">). </w:t>
      </w:r>
    </w:p>
    <w:p>
      <w:pPr>
        <w:pStyle w:val="WW-paragraph"/>
        <w:rPr/>
      </w:pPr>
      <w:r>
        <w:rPr/>
        <w:t xml:space="preserve">It is interesting to note that while the awakened person does not make any new kamma, either positive or negative, they may still experience the </w:t>
      </w:r>
      <w:r>
        <w:rPr>
          <w:rStyle w:val="wwc-pali"/>
        </w:rPr>
        <w:t>vipāka</w:t>
      </w:r>
      <w:r>
        <w:rPr/>
        <w:t xml:space="preserve"> of any kamma they made earlier; what might be called residual </w:t>
      </w:r>
      <w:r>
        <w:rPr>
          <w:rStyle w:val="wwc-pali"/>
        </w:rPr>
        <w:t>vipāka</w:t>
      </w:r>
      <w:r>
        <w:rPr/>
        <w:t xml:space="preserve">. However, in the lead up to their awakening experience it is unlikely that they would have done much kamma the </w:t>
      </w:r>
      <w:r>
        <w:rPr>
          <w:rStyle w:val="wwc-pali"/>
        </w:rPr>
        <w:t>vipāka</w:t>
      </w:r>
      <w:r>
        <w:rPr/>
        <w:t xml:space="preserve"> of which would be unpleasant, because while they had been developing wisdom and detachment they would have also at the same time been developing the positive states, particularly gentleness and kindness, fellow-feeling and compassion. </w:t>
      </w:r>
    </w:p>
    <w:p>
      <w:pPr>
        <w:pStyle w:val="WW-blockquote"/>
        <w:rPr/>
      </w:pPr>
      <w:r>
        <w:rPr/>
        <w:t>“</w:t>
      </w:r>
      <w:r>
        <w:rPr/>
        <w:t>That noble disciple who is without longing or hatred, who is unconfused, with all-around awareness (</w:t>
      </w:r>
      <w:r>
        <w:rPr>
          <w:rStyle w:val="wwc-pali"/>
        </w:rPr>
        <w:t>sampajāno</w:t>
      </w:r>
      <w:r>
        <w:rPr/>
        <w:t>) and constant mindfulness (</w:t>
      </w:r>
      <w:r>
        <w:rPr>
          <w:rStyle w:val="wwc-pali"/>
        </w:rPr>
        <w:t>patissato</w:t>
      </w:r>
      <w:r>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WW-blockquote"/>
        <w:rPr/>
      </w:pPr>
      <w:r>
        <w:rPr/>
        <w:t>“</w:t>
      </w:r>
      <w:r>
        <w:rPr/>
        <w:t xml:space="preserve">No Lord.” </w:t>
      </w:r>
    </w:p>
    <w:p>
      <w:pPr>
        <w:pStyle w:val="WW-blockquote"/>
        <w:rPr/>
      </w:pPr>
      <w:r>
        <w:rPr/>
        <w:t>“</w:t>
      </w:r>
      <w:r>
        <w:rPr/>
        <w:t xml:space="preserve">And could suffering affect him if he did no bad kamma?” </w:t>
      </w:r>
    </w:p>
    <w:p>
      <w:pPr>
        <w:pStyle w:val="WW-blockquote"/>
        <w:rPr/>
      </w:pPr>
      <w:r>
        <w:rPr/>
        <w:t>“</w:t>
      </w:r>
      <w:r>
        <w:rPr/>
        <w:t xml:space="preserve">No Lord. For how could one who does no bad kamma suffer?” </w:t>
      </w:r>
    </w:p>
    <w:p>
      <w:pPr>
        <w:pStyle w:val="WW-blockquote"/>
        <w:rPr/>
      </w:pPr>
      <w:r>
        <w:rPr/>
        <w:t>“</w:t>
      </w:r>
      <w:r>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rPr>
        <w:footnoteReference w:id="9"/>
      </w:r>
      <w:r>
        <w:rPr/>
        <w:t xml:space="preserve">   should he not reach a higher attainment.”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10.219:1.1–6.7</w:t>
      </w:r>
      <w:r>
        <w:rPr>
          <w:rStyle w:val="Hyperlink"/>
        </w:rPr>
        <w:fldChar w:fldCharType="end"/>
      </w:r>
      <w:r>
        <w:rPr/>
        <w:br/>
      </w:r>
      <w:r>
        <w:rPr>
          <w:rStyle w:val="wwc-PTS-reference"/>
        </w:rPr>
        <w:t>A.V,299-300</w:t>
      </w:r>
      <w:r>
        <w:rPr/>
        <w:t xml:space="preserve"> </w:t>
      </w:r>
      <w:r>
        <w:br w:type="page"/>
      </w:r>
    </w:p>
    <w:p>
      <w:pPr>
        <w:pStyle w:val="WW-Chapter"/>
        <w:spacing w:before="0" w:after="567"/>
        <w:rPr/>
      </w:pPr>
      <w:r>
        <w:rPr/>
        <w:t>Rebirth and Special Attainments</w:t>
      </w:r>
    </w:p>
    <w:p>
      <w:pPr>
        <w:pStyle w:val="WW-paragraph"/>
        <w:rPr/>
      </w:pPr>
      <w:r>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rStyle w:val="wwc-pali"/>
        </w:rPr>
        <w:t>sampajañña</w:t>
      </w:r>
      <w:r>
        <w:rPr/>
        <w:t xml:space="preserve">) during the whole process. </w:t>
      </w:r>
    </w:p>
    <w:p>
      <w:pPr>
        <w:pStyle w:val="WW-blockquote"/>
        <w:rPr/>
      </w:pPr>
      <w:r>
        <w:rPr/>
        <w:t>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DN 28:5.1–5.7</w:t>
      </w:r>
      <w:r>
        <w:rPr>
          <w:rStyle w:val="Hyperlink"/>
        </w:rPr>
        <w:fldChar w:fldCharType="end"/>
      </w:r>
      <w:r>
        <w:rPr/>
        <w:br/>
      </w:r>
      <w:r>
        <w:rPr>
          <w:rStyle w:val="wwc-PTS-reference"/>
        </w:rPr>
        <w:t>D.III,103</w:t>
      </w:r>
    </w:p>
    <w:p>
      <w:pPr>
        <w:pStyle w:val="WW-paragraph"/>
        <w:rPr/>
      </w:pPr>
      <w:r>
        <w:rPr/>
        <w:t>Some are even able to attain awakening while suspended in the in-between state. The Buddha called such a person “a Nirvanaized in-between type” (</w:t>
      </w:r>
      <w:r>
        <w:rPr>
          <w:rStyle w:val="wwc-pali"/>
        </w:rPr>
        <w:t>antarāparinibbāyī</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46.3:9.5–9.9</w:t>
      </w:r>
      <w:r>
        <w:rPr>
          <w:rStyle w:val="Hyperlink"/>
        </w:rPr>
        <w:fldChar w:fldCharType="end"/>
      </w:r>
      <w:r>
        <w:rPr/>
        <w:t xml:space="preserve"> </w:t>
      </w:r>
      <w:r>
        <w:rPr>
          <w:rStyle w:val="wwc-PTS-reference"/>
        </w:rPr>
        <w:t>S.V,69</w:t>
      </w:r>
      <w:r>
        <w:rPr/>
        <w:t>).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WW-paragraph"/>
        <w:rPr/>
      </w:pPr>
      <w:r>
        <w:rPr/>
        <w:t>Let us now examine some developments of the Buddha’s doctrine of kamma and rebirth that may well distort them rather than be in harmony with them. While the Buddha understood the mind to be a “flow” or “stream” of mental events (</w:t>
      </w:r>
      <w:r>
        <w:rPr>
          <w:rStyle w:val="wwc-pali"/>
        </w:rPr>
        <w:t>viññāṇasota</w:t>
      </w:r>
      <w:r>
        <w:rPr/>
        <w:t>), later thinkers speculated that it was actually a string of individual and separate thought moments (</w:t>
      </w:r>
      <w:r>
        <w:rPr>
          <w:rStyle w:val="wwc-pali"/>
        </w:rPr>
        <w:t>cittavīthi</w:t>
      </w:r>
      <w:r>
        <w:rPr/>
        <w:t>) arising and passing away with great rapidity. Later still, the theory developed that the last of these thought moments (</w:t>
      </w:r>
      <w:r>
        <w:rPr>
          <w:rStyle w:val="wwc-pali"/>
        </w:rPr>
        <w:t>cuticitta</w:t>
      </w:r>
      <w:r>
        <w:rPr/>
        <w:t xml:space="preserve">) before a person dies will, not condition, but determine their next life. The theory of the importance of the last thought moment is not mentioned in any of the Buddha’s discourses or even in the later </w:t>
      </w:r>
      <w:r>
        <w:rPr>
          <w:rStyle w:val="wwc-sesame"/>
        </w:rPr>
        <w:t>Abhidhamma Piṭaka</w:t>
      </w:r>
      <w:r>
        <w:rPr/>
        <w:t>.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rStyle w:val="wwc-pali"/>
        </w:rPr>
        <w:t>musati</w:t>
      </w:r>
      <w:r>
        <w:rPr/>
        <w:t xml:space="preserve">), thinking it might result in him having a negative rebirth. The Buddha reassured him that because he had developed various spiritual qualities for a long time, he had nothing to fear if such a thing should happen. </w:t>
      </w:r>
    </w:p>
    <w:p>
      <w:pPr>
        <w:pStyle w:val="WW-blockquote"/>
        <w:rPr/>
      </w:pPr>
      <w:r>
        <w:rPr/>
        <w:t>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w:t>
      </w:r>
      <w:r>
        <w:rPr/>
        <w:t>ṅ</w:t>
      </w:r>
      <w:r>
        <w:rPr/>
        <w:t xml:space="preserve">gha, becomes completely bewildered. And I think: ‘If I were to die at that time, where would I be reborn?  What would be my rebirth’?” </w:t>
      </w:r>
    </w:p>
    <w:p>
      <w:pPr>
        <w:pStyle w:val="WW-blockquote"/>
        <w:rPr/>
      </w:pPr>
      <w:r>
        <w:rPr/>
        <w:t>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55.21:1.4–2.5</w:t>
      </w:r>
      <w:r>
        <w:rPr>
          <w:rStyle w:val="Hyperlink"/>
        </w:rPr>
        <w:fldChar w:fldCharType="end"/>
      </w:r>
      <w:r>
        <w:rPr/>
        <w:br/>
        <w:t>S.V,369</w:t>
      </w:r>
    </w:p>
    <w:p>
      <w:pPr>
        <w:pStyle w:val="WW-paragraph"/>
        <w:rPr/>
      </w:pPr>
      <w:r>
        <w:rPr/>
        <w:t xml:space="preserve">Two brief and similar discourses of the Buddha have been translated in such a way and interpreted to mean that one’s post-mortem state is determined by the last thought moment. The relevant texts say: </w:t>
      </w:r>
    </w:p>
    <w:p>
      <w:pPr>
        <w:pStyle w:val="WW-blockquote"/>
        <w:rPr/>
      </w:pPr>
      <w:r>
        <w:rPr/>
        <w:t>“</w:t>
      </w:r>
      <w:r>
        <w:rPr/>
        <w:t>Here monks, some person has a pure mind (</w:t>
      </w:r>
      <w:r>
        <w:rPr>
          <w:rStyle w:val="wwc-pali"/>
        </w:rPr>
        <w:t>pasannacittaṁ</w:t>
      </w:r>
      <w:r>
        <w:rPr/>
        <w:t>) and knowing his mind with my own, I know that if he were to come to the end of his time at that time (</w:t>
      </w:r>
      <w:r>
        <w:rPr>
          <w:rStyle w:val="wwc-pali"/>
        </w:rPr>
        <w:t>imamhi cāyaṁ samaye puggalo kālaṁ</w:t>
      </w:r>
      <w:r>
        <w:rPr/>
        <w:t>) he would be reborn in a heaven realm. And why? Because of his pure mind.”</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21:2.1–2.5</w:t>
      </w:r>
      <w:r>
        <w:rPr>
          <w:rStyle w:val="Hyperlink"/>
        </w:rPr>
        <w:fldChar w:fldCharType="end"/>
      </w:r>
      <w:r>
        <w:rPr/>
        <w:br/>
        <w:t>It.14</w:t>
      </w:r>
    </w:p>
    <w:p>
      <w:pPr>
        <w:pStyle w:val="WW-paragraph"/>
        <w:rPr/>
      </w:pPr>
      <w:r>
        <w:rPr/>
        <w:t xml:space="preserve">   </w:t>
      </w:r>
      <w:r>
        <w:rPr/>
        <w:t xml:space="preserve">The subsequent verses reiterate the point: </w:t>
      </w:r>
    </w:p>
    <w:p>
      <w:pPr>
        <w:pStyle w:val="WW-blockquote"/>
        <w:rPr/>
      </w:pPr>
      <w:r>
        <w:rPr/>
        <w:t>“</w:t>
      </w:r>
      <w:r>
        <w:rPr/>
        <w:t>A person who would come to the end of his time at that time, (</w:t>
      </w:r>
      <w:r>
        <w:rPr>
          <w:rStyle w:val="wwc-pali"/>
        </w:rPr>
        <w:t>Imamhi cāyaṁ samaye kālaṁ kayirātha puggalo</w:t>
      </w:r>
      <w:r>
        <w:rPr/>
        <w:t>) would be reborn in a heaven realm, because of his pure mind” (</w:t>
      </w:r>
      <w:r>
        <w:rPr>
          <w:rStyle w:val="wwc-pali"/>
        </w:rPr>
        <w:t>sugatiṁ upapajjeyya, cittañ-hissa pasādikaṁ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Iti 21:4.1–5.4</w:t>
      </w:r>
      <w:r>
        <w:rPr>
          <w:rStyle w:val="Hyperlink"/>
        </w:rPr>
        <w:fldChar w:fldCharType="end"/>
      </w:r>
      <w:r>
        <w:rPr/>
        <w:br/>
        <w:t>It.14</w:t>
      </w:r>
    </w:p>
    <w:p>
      <w:pPr>
        <w:pStyle w:val="WW-paragraph"/>
        <w:rPr/>
      </w:pPr>
      <w:r>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WW-paragraph"/>
        <w:rPr/>
      </w:pPr>
      <w:r>
        <w:rPr/>
        <w:t xml:space="preserve">The theory of the importance of the supposed last thought moment first appears in an undeveloped form in the </w:t>
      </w:r>
      <w:r>
        <w:rPr>
          <w:rStyle w:val="wwc-sesame"/>
        </w:rPr>
        <w:t>Milindapañha</w:t>
      </w:r>
      <w:r>
        <w:rPr/>
        <w:t xml:space="preserve"> (circa 1</w:t>
      </w:r>
      <w:r>
        <w:rPr>
          <w:vertAlign w:val="superscript"/>
        </w:rPr>
        <w:t>st</w:t>
      </w:r>
      <w:r>
        <w:rPr/>
        <w:t xml:space="preserve"> century BCE – 2</w:t>
      </w:r>
      <w:r>
        <w:rPr>
          <w:vertAlign w:val="superscript"/>
        </w:rPr>
        <w:t>nd</w:t>
      </w:r>
      <w:r>
        <w:rPr/>
        <w:t xml:space="preserve"> century CE) which says: “If someone did unskilful things for a hundred years but at the time of death was mindful of the Buddha for one moment, he would be reborn amongst the gods” (</w:t>
      </w:r>
      <w:hyperlink r:id="rId22">
        <w:r>
          <w:rPr>
            <w:rStyle w:val="Hyperlink"/>
          </w:rPr>
          <w:t>Mil 3.7.2</w:t>
        </w:r>
      </w:hyperlink>
      <w:r>
        <w:rPr/>
        <w:t xml:space="preserve"> </w:t>
      </w:r>
      <w:r>
        <w:rPr>
          <w:rStyle w:val="wwc-PTS-reference"/>
        </w:rPr>
        <w:t>Mil. 80</w:t>
      </w:r>
      <w:r>
        <w:rPr/>
        <w:t xml:space="preserve">). By the time the </w:t>
      </w:r>
      <w:r>
        <w:rPr>
          <w:rStyle w:val="wwc-sesame"/>
        </w:rPr>
        <w:t>Visuddhimagga</w:t>
      </w:r>
      <w:r>
        <w:rPr/>
        <w:t xml:space="preserve"> was composed (5</w:t>
      </w:r>
      <w:r>
        <w:rPr>
          <w:vertAlign w:val="superscript"/>
        </w:rPr>
        <w:t>th</w:t>
      </w:r>
      <w:r>
        <w:rPr/>
        <w:t xml:space="preserve"> century CE), this idea had been worked out in detail and had come to be considered orthodox in Theravada (</w:t>
      </w:r>
      <w:r>
        <w:rPr>
          <w:rStyle w:val="wwc-sesame"/>
        </w:rPr>
        <w:t>Vism.</w:t>
      </w:r>
      <w:r>
        <w:rPr/>
        <w:t xml:space="preserve"> 458–60). Apart from not having been taught by the Buddha, there are several philosophical, ethical and logical problems with the theory that the last thought moment is the determining factor in one’s circumstances in the next life.</w:t>
      </w:r>
    </w:p>
    <w:p>
      <w:pPr>
        <w:pStyle w:val="WW-paragraph"/>
        <w:rPr/>
      </w:pPr>
      <w:r>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rStyle w:val="wwc-pali"/>
        </w:rPr>
        <w:t>khaṇa</w:t>
      </w:r>
      <w:r>
        <w:rPr/>
        <w:t xml:space="preserve">), can cancel out perhaps many years of good or evil thoughts, speech and actions. </w:t>
      </w:r>
    </w:p>
    <w:p>
      <w:pPr>
        <w:pStyle w:val="WW-paragraph"/>
        <w:rPr/>
      </w:pPr>
      <w:r>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emphasise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WW-paragraph"/>
        <w:rPr/>
      </w:pPr>
      <w:r>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WW-paragraph"/>
        <w:rPr/>
      </w:pPr>
      <w:r>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rStyle w:val="wwc-sesame"/>
        </w:rPr>
        <w:t>Abhidharmakośabhāsya</w:t>
      </w:r>
      <w:r>
        <w:rPr/>
        <w:t xml:space="preserve">, Vasubandhu has a comment that could be, and has been, interpreted as suggesting collective kamma. He said: </w:t>
      </w:r>
    </w:p>
    <w:p>
      <w:pPr>
        <w:pStyle w:val="WW-blockquote"/>
        <w:rPr/>
      </w:pPr>
      <w:r>
        <w:rPr/>
        <w:t>“</w:t>
      </w:r>
      <w:r>
        <w:rPr/>
        <w:t>When many persons are united with the intention to kill, either in war, or in the hunt, or in banditry, who is guilty of murder, if only one of them kills? As soldiers, etc., concur in the realisation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p>
    <w:p>
      <w:pPr>
        <w:pStyle w:val="WW-tight-right-cite"/>
        <w:rPr/>
      </w:pPr>
      <w:r>
        <w:rPr>
          <w:rStyle w:val="wwc-sesame-zot-reference"/>
        </w:rPr>
        <w:t>Pruden 1991</w:t>
      </w:r>
      <w:r>
        <w:rPr/>
        <w:t>, p. 649.</w:t>
      </w:r>
    </w:p>
    <w:p>
      <w:pPr>
        <w:pStyle w:val="WW-paragraph"/>
        <w:rPr/>
      </w:pPr>
      <w:r>
        <w:rPr/>
        <w:t>A word for word breakdown of the crucial part of this passage is: (</w:t>
      </w:r>
      <w:r>
        <w:rPr>
          <w:rStyle w:val="wwc-sanskrit"/>
        </w:rPr>
        <w:t>senādiṣu</w:t>
      </w:r>
      <w:r>
        <w:rPr/>
        <w:t>, loc. pl.): in armies et cetera (</w:t>
      </w:r>
      <w:r>
        <w:rPr>
          <w:rStyle w:val="wwc-sanskrit"/>
        </w:rPr>
        <w:t>eka-kārya-tvāt</w:t>
      </w:r>
      <w:r>
        <w:rPr/>
        <w:t>, abl. sg.): because of the one-task-ness (</w:t>
      </w:r>
      <w:r>
        <w:rPr>
          <w:rStyle w:val="wwc-sanskrit"/>
        </w:rPr>
        <w:t>sarve</w:t>
      </w:r>
      <w:r>
        <w:rPr/>
        <w:t>, nom. pl. m.): all (</w:t>
      </w:r>
      <w:r>
        <w:rPr>
          <w:rStyle w:val="wwc-sanskrit"/>
        </w:rPr>
        <w:t>katṛvad-anvitāḥ</w:t>
      </w:r>
      <w:r>
        <w:rPr/>
        <w:t>, nom. pl. m.): gone along with the one who did it (</w:t>
      </w:r>
      <w:r>
        <w:rPr>
          <w:rStyle w:val="wwc-sanskrit"/>
        </w:rPr>
        <w:t>kṛtavat</w:t>
      </w:r>
      <w:r>
        <w:rPr/>
        <w:t>, (perf.p.p.√kṛ) one who has done or made anything (</w:t>
      </w:r>
      <w:r>
        <w:rPr>
          <w:rStyle w:val="wwc-sanskrit"/>
        </w:rPr>
        <w:t>anv-ita</w:t>
      </w:r>
      <w:r>
        <w:rPr/>
        <w:t xml:space="preserve">): gone along with, possessed of. This could be better translated as; “In armies et cetera, because of all being in it together, all have gone along with the one who did it.”  </w:t>
      </w:r>
    </w:p>
    <w:p>
      <w:pPr>
        <w:pStyle w:val="WW-paragraph"/>
        <w:rPr/>
      </w:pPr>
      <w:r>
        <w:rPr/>
        <w:t xml:space="preserve">If Vasubandhu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rStyle w:val="wwc-pali"/>
        </w:rPr>
        <w:t>vipāka</w:t>
      </w:r>
      <w:r>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WW-paragraph"/>
        <w:rPr/>
      </w:pPr>
      <w:r>
        <w:rPr/>
        <w:t>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authorised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w:t>
      </w:r>
      <w:r>
        <w:rPr>
          <w:rStyle w:val="wwc-PTS-reference"/>
        </w:rPr>
        <w:t>Ja.IV,152</w:t>
      </w:r>
      <w:r>
        <w:rPr/>
        <w:t xml:space="preserve">).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rStyle w:val="wwc-sesame"/>
        </w:rPr>
        <w:t>Mahāvaṁsa Ṭīkā</w:t>
      </w:r>
      <w:r>
        <w:rPr/>
        <w:t xml:space="preserve">, says that there were survivors of the massacre, thus undermining that claim that “all Sakyans” suffered the negative </w:t>
      </w:r>
      <w:r>
        <w:rPr>
          <w:rStyle w:val="wwc-pali"/>
        </w:rPr>
        <w:t>vipāka</w:t>
      </w:r>
      <w:r>
        <w:rPr/>
        <w:t xml:space="preserve"> of the kamma created by others. </w:t>
      </w:r>
    </w:p>
    <w:p>
      <w:pPr>
        <w:pStyle w:val="WW-paragraph"/>
        <w:rPr/>
      </w:pPr>
      <w:r>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WW-paragraph"/>
        <w:rPr/>
      </w:pPr>
      <w:r>
        <w:rPr/>
        <w:t xml:space="preserve">The earliest unambiguous mention of collective kamma that I have been able to find anywhere is in the writings of the 19th century occultist Helena Blavatsky. In </w:t>
      </w:r>
      <w:r>
        <w:rPr>
          <w:rStyle w:val="wwc-sesame-zot-reference"/>
        </w:rPr>
        <w:t>Blavatsky 1889</w:t>
      </w:r>
      <w:r>
        <w:rPr/>
        <w:t xml:space="preserve">,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WW-paragraph"/>
        <w:rPr/>
      </w:pPr>
      <w:r>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WW-blockquote"/>
        <w:rPr/>
      </w:pPr>
      <w:r>
        <w:rPr/>
        <w:t>“</w:t>
      </w:r>
      <w:r>
        <w:rPr/>
        <w:t>No man lives to himself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w:t>
      </w:r>
    </w:p>
    <w:p>
      <w:pPr>
        <w:pStyle w:val="WW-tight-right-cite"/>
        <w:rPr/>
      </w:pPr>
      <w:r>
        <w:rPr>
          <w:rStyle w:val="wwc-sesame-zot-reference"/>
        </w:rPr>
        <w:t>Coomaraswamy 1916</w:t>
      </w:r>
      <w:r>
        <w:rPr/>
        <w:t>, p.231–2</w:t>
      </w:r>
    </w:p>
    <w:p>
      <w:pPr>
        <w:pStyle w:val="WW-paragraph"/>
        <w:rPr/>
      </w:pPr>
      <w:r>
        <w:rPr/>
        <w:t>Some decades later the English monk Sīlācāra theorised that there might be something he called an ‘kammic overflow’. By this, he meant that the potent kamma of an exceptionally virtuous or exceptionally immoral leader—a king, an officer in charge of a platoon, an employer, the head of an extended family, etc., might ‘overflow’ from them to their underlings [</w:t>
      </w:r>
      <w:r>
        <w:rPr>
          <w:rStyle w:val="wwc-sesame-zot-reference"/>
        </w:rPr>
        <w:t>Sīlācāra 1939</w:t>
      </w:r>
      <w:r>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WW-paragraph"/>
        <w:rPr/>
      </w:pPr>
      <w:r>
        <w:rPr/>
        <w:t xml:space="preserve">More recently the Buddhist scholar Garma C. C. Chang had this to say about collective kamma. </w:t>
      </w:r>
    </w:p>
    <w:p>
      <w:pPr>
        <w:pStyle w:val="WW-blockquote"/>
        <w:rPr/>
      </w:pPr>
      <w:r>
        <w:rPr/>
        <w:t>“</w:t>
      </w:r>
      <w:r>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p>
    <w:p>
      <w:pPr>
        <w:pStyle w:val="WW-tight-right-cite"/>
        <w:rPr/>
      </w:pPr>
      <w:r>
        <w:rPr>
          <w:rStyle w:val="wwc-sesame-zot-reference"/>
        </w:rPr>
        <w:t>Chang 1971</w:t>
      </w:r>
      <w:r>
        <w:rPr/>
        <w:t xml:space="preserve">, </w:t>
        <w:br/>
        <w:t>pp.xxiii-xxiv</w:t>
      </w:r>
    </w:p>
    <w:p>
      <w:pPr>
        <w:pStyle w:val="WW-paragraph"/>
        <w:rPr/>
      </w:pPr>
      <w:r>
        <w:rPr/>
        <w:t xml:space="preserve">Evidence for collective kamma may not be lacking in the world but it is lacking in the Buddhist scriptures, and Chang was unable to marshal a single quotation from them to corroborate his other highly dubious “evidence” for it.  </w:t>
      </w:r>
    </w:p>
    <w:p>
      <w:pPr>
        <w:pStyle w:val="WW-paragraph"/>
        <w:rPr/>
      </w:pPr>
      <w:r>
        <w:rPr/>
        <w:t>Charles Luk’s The Śūraṅgama Sūtra published in 1966 [</w:t>
      </w:r>
      <w:r>
        <w:rPr>
          <w:rStyle w:val="wwc-sesame-zot-reference"/>
        </w:rPr>
        <w:t>Luk 1966</w:t>
      </w:r>
      <w:r>
        <w:rPr/>
        <w:t xml:space="preserve">] and several times since, purports to be a translation of this discourse from the Chinese Tipiṭaka. Pages 49 to 51 discuss what Luk calls individual and collective karma and explains the differences between them. But the term he translates as individual karma is </w:t>
      </w:r>
      <w:r>
        <w:rPr/>
        <w:t>別業妄見</w:t>
      </w:r>
      <w:r>
        <w:rPr/>
        <w:t xml:space="preserve">, which the authoritative </w:t>
      </w:r>
      <w:r>
        <w:rPr>
          <w:rStyle w:val="wwc-sesame-zot-reference"/>
        </w:rPr>
        <w:t>Foguang Dictionary</w:t>
      </w:r>
      <w:r>
        <w:rPr/>
        <w:t xml:space="preserve"> defines as: “Refers to beings being confused about the true nature [of dharmas], giving rise to deluded views, perceiving all states of delusion, be they painful or pleasurable…” What Luk calls collective karma is </w:t>
      </w:r>
      <w:r>
        <w:rPr/>
        <w:t>同分妄見</w:t>
      </w:r>
      <w:r>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rPr>
        <w:footnoteReference w:id="10"/>
      </w:r>
      <w:r>
        <w:rPr/>
        <w:t xml:space="preserve"> </w:t>
      </w:r>
    </w:p>
    <w:p>
      <w:pPr>
        <w:pStyle w:val="WW-paragraph"/>
        <w:rPr/>
      </w:pPr>
      <w:r>
        <w:rPr/>
        <w:t xml:space="preserve">The Tibetan teacher Anam Thubten recently came up with yet another version of this notion—that everyone shares everyone else’s kamma. </w:t>
      </w:r>
    </w:p>
    <w:p>
      <w:pPr>
        <w:pStyle w:val="WW-blockquote"/>
        <w:rPr/>
      </w:pPr>
      <w:r>
        <w:rPr/>
        <w:t>“</w:t>
      </w:r>
      <w:r>
        <w:rPr/>
        <w:t>From the point of view of collective karma, everything that is happening in the world is no longer someone else’s karma. It’s our karma. In the end, your karma is my karma, and my karma is your karma. We all share the same fate.”</w:t>
      </w:r>
    </w:p>
    <w:p>
      <w:pPr>
        <w:pStyle w:val="WW-tight-right-cite"/>
        <w:rPr/>
      </w:pPr>
      <w:r>
        <w:rPr>
          <w:rStyle w:val="wwc-sesame-zot-reference"/>
          <w:color w:val="000000"/>
        </w:rPr>
        <w:t>Thubten 2020</w:t>
      </w:r>
    </w:p>
    <w:p>
      <w:pPr>
        <w:pStyle w:val="WW-paragraph"/>
        <w:rPr/>
      </w:pPr>
      <w:r>
        <w:rPr/>
        <w:t xml:space="preserve">It is surprising how many Buddhist teachers, learned and otherwise, speak of collective kamma as if it were a part of authentic Dhamma, despite its recent origin and it having no precedence in traditional Buddhism. </w:t>
      </w:r>
    </w:p>
    <w:p>
      <w:pPr>
        <w:pStyle w:val="WW-paragraph"/>
        <w:rPr/>
      </w:pPr>
      <w:r>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WW-paragraph"/>
        <w:rPr/>
      </w:pPr>
      <w:r>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rStyle w:val="wwc-pali"/>
        </w:rPr>
        <w:t>vipāka</w:t>
      </w:r>
      <w:r>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rStyle w:val="wwc-pali"/>
        </w:rPr>
        <w:t>vipāka</w:t>
      </w:r>
      <w:r>
        <w:rPr/>
        <w:t xml:space="preserve"> for that evil.</w:t>
      </w:r>
    </w:p>
    <w:p>
      <w:pPr>
        <w:pStyle w:val="WW-paragraph"/>
        <w:rPr/>
      </w:pPr>
      <w:r>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WW-paragraph"/>
        <w:rPr/>
      </w:pPr>
      <w:r>
        <w:rPr/>
        <w:t xml:space="preserve">There are numerous doctrinal, logical, evidential, moral and even common sense problems with the collective kamma idea in any of its forms. Let us examine some of them. Proponents of collective kamma are long on generalisations but noticeably short on details. How, for example, does kamma organise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WW-paragraph"/>
        <w:rPr/>
      </w:pPr>
      <w:r>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traumatised (kammic parallelism is of course operating), kamma would then have had to arrange and manipulate innumerable complex causes and effects in such ways that the war ended when everyone had got their just deserts.  </w:t>
      </w:r>
    </w:p>
    <w:p>
      <w:pPr>
        <w:pStyle w:val="WW-paragraph"/>
        <w:rPr/>
      </w:pPr>
      <w:r>
        <w:rPr/>
        <w:t xml:space="preserve">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26th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rStyle w:val="wwc-pali"/>
        </w:rPr>
        <w:t>vipāka</w:t>
      </w:r>
      <w:r>
        <w:rPr/>
        <w:t>. There seems to be no end to the extraordinary abilities that ignorance of the Dhamma and idle speculation is able to attribute to kamma. And of course all this may well be true. Just let it be known that nothing even remotely like collective kamma was taught by the Buddha.</w:t>
      </w:r>
      <w:r>
        <w:br w:type="page"/>
      </w:r>
    </w:p>
    <w:p>
      <w:pPr>
        <w:pStyle w:val="WW-Chapter"/>
        <w:spacing w:before="0" w:after="567"/>
        <w:rPr/>
      </w:pPr>
      <w:r>
        <w:rPr/>
        <w:t>The Realms of Existence</w:t>
      </w:r>
    </w:p>
    <w:p>
      <w:pPr>
        <w:pStyle w:val="WW-paragraph"/>
        <w:rPr/>
      </w:pPr>
      <w:r>
        <w:rPr/>
        <w:t xml:space="preserve">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p>
    <w:p>
      <w:pPr>
        <w:pStyle w:val="WW-blockquote"/>
        <w:rPr/>
      </w:pPr>
      <w:r>
        <w:rPr/>
        <w:t>And what is the diversity of kamma? There is kamma to be experienced in purgatory; there is kamma to be experienced in the animal realm; there is kamma to be experienced in the realm of afflicted spirits; there is kamma to be experienced in the human world; and there is kamma to be experienced in a heaven world. This is called the diversity of kamma.</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6.63:35.1–35.3</w:t>
      </w:r>
      <w:r>
        <w:rPr>
          <w:rStyle w:val="Hyperlink"/>
        </w:rPr>
        <w:fldChar w:fldCharType="end"/>
      </w:r>
      <w:r>
        <w:rPr/>
        <w:br/>
      </w:r>
      <w:r>
        <w:rPr>
          <w:rStyle w:val="wwc-PTS-reference"/>
        </w:rPr>
        <w:t>A.III,415</w:t>
      </w:r>
    </w:p>
    <w:p>
      <w:pPr>
        <w:pStyle w:val="WW-paragraph"/>
        <w:rPr/>
      </w:pPr>
      <w:r>
        <w:rPr/>
        <w:t>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rStyle w:val="wwc-pali"/>
        </w:rPr>
        <w:t>apāya</w:t>
      </w:r>
      <w:r>
        <w:rPr/>
        <w:t>), ‘the difficult road’ (</w:t>
      </w:r>
      <w:r>
        <w:rPr>
          <w:rStyle w:val="wwc-pali"/>
        </w:rPr>
        <w:t>duggati</w:t>
      </w:r>
      <w:r>
        <w:rPr/>
        <w:t>), ‘to descend’ (</w:t>
      </w:r>
      <w:r>
        <w:rPr>
          <w:rStyle w:val="wwc-pali"/>
        </w:rPr>
        <w:t>niraya</w:t>
      </w:r>
      <w:r>
        <w:rPr/>
        <w:t>) and ‘ruin (</w:t>
      </w:r>
      <w:r>
        <w:rPr>
          <w:rStyle w:val="wwc-pali"/>
        </w:rPr>
        <w:t>vinipāta</w:t>
      </w:r>
      <w:r>
        <w:rPr/>
        <w:t xml:space="preserve">).   </w:t>
      </w:r>
    </w:p>
    <w:p>
      <w:pPr>
        <w:pStyle w:val="WW-paragraph"/>
        <w:rPr/>
      </w:pPr>
      <w:r>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w:t>
      </w:r>
      <w:r>
        <w:rPr/>
        <w:t>s</w:t>
      </w:r>
      <w:r>
        <w:rPr/>
        <w:t>’ (</w:t>
      </w:r>
      <w:r>
        <w:rPr>
          <w:rStyle w:val="wwc-pali"/>
        </w:rPr>
        <w:t>pātāla</w:t>
      </w:r>
      <w:r>
        <w:rPr/>
        <w:t xml:space="preserve">), was that it was at the bottom of the ocean and concerning this the Buddha commented: “When the ordinary uninstructed person says: ‘Purgatory is under the great ocean’ he says something that is not true or real. Purgatory is actually a name for painful feeling” </w:t>
      </w:r>
      <w:r>
        <w:rPr/>
        <w:t>(</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r>
        <w:rPr/>
        <w:t xml:space="preserve"> </w:t>
      </w:r>
      <w:r>
        <w:rPr>
          <w:rStyle w:val="wwc-PTS-reference"/>
        </w:rPr>
        <w:t>S.IV,206</w:t>
      </w:r>
      <w:r>
        <w:rPr/>
        <w:t xml:space="preserve">)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(Dhp 1;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1.62</w:t>
      </w:r>
      <w:r>
        <w:rPr>
          <w:rStyle w:val="Hyperlink"/>
        </w:rPr>
        <w:fldChar w:fldCharType="end"/>
      </w:r>
      <w:r>
        <w:rPr/>
        <w:t xml:space="preserve"> </w:t>
      </w:r>
      <w:r>
        <w:rPr>
          <w:rStyle w:val="wwc-PTS-reference"/>
        </w:rPr>
        <w:t>S.I,39</w:t>
      </w:r>
      <w:r>
        <w:rPr/>
        <w:t>). Thus heaven can be conceived of as a human existence that is predominantly one of ease, comfort, pleasure and delight; purgatory as one characterised as distressful and unfulfilled, and so on.</w:t>
      </w:r>
      <w:r>
        <w:br w:type="page"/>
      </w:r>
    </w:p>
    <w:p>
      <w:pPr>
        <w:pStyle w:val="WW-Chapter"/>
        <w:spacing w:before="0" w:after="567"/>
        <w:rPr/>
      </w:pPr>
      <w:r>
        <w:rPr/>
        <w:t xml:space="preserve">Why So Much Misunderstanding? </w:t>
      </w:r>
    </w:p>
    <w:p>
      <w:pPr>
        <w:pStyle w:val="WW-paragraph"/>
        <w:rPr/>
      </w:pPr>
      <w:r>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rStyle w:val="wwc-sesame"/>
        </w:rPr>
        <w:t>Vimānavatthu</w:t>
      </w:r>
      <w:r>
        <w:rPr/>
        <w:t xml:space="preserve">, </w:t>
      </w:r>
      <w:r>
        <w:rPr>
          <w:rStyle w:val="wwc-sesame"/>
        </w:rPr>
        <w:t>Petavatthu</w:t>
      </w:r>
      <w:r>
        <w:rPr/>
        <w:t xml:space="preserve"> (circa 3</w:t>
      </w:r>
      <w:r>
        <w:rPr>
          <w:vertAlign w:val="superscript"/>
        </w:rPr>
        <w:t>rd</w:t>
      </w:r>
      <w:r>
        <w:rPr/>
        <w:t xml:space="preserve"> or 2</w:t>
      </w:r>
      <w:r>
        <w:rPr>
          <w:vertAlign w:val="superscript"/>
        </w:rPr>
        <w:t>nd</w:t>
      </w:r>
      <w:r>
        <w:rPr/>
        <w:t xml:space="preserve"> century BCE), and the </w:t>
      </w:r>
      <w:r>
        <w:rPr>
          <w:rStyle w:val="wwc-sesame"/>
        </w:rPr>
        <w:t>Dhammapada Aṭṭhakathā</w:t>
      </w:r>
      <w:r>
        <w:rPr/>
        <w:t xml:space="preserve"> (4</w:t>
      </w:r>
      <w:r>
        <w:rPr>
          <w:vertAlign w:val="superscript"/>
        </w:rPr>
        <w:t>th</w:t>
      </w:r>
      <w:r>
        <w:rPr/>
        <w:t xml:space="preserve"> or 5</w:t>
      </w:r>
      <w:r>
        <w:rPr>
          <w:vertAlign w:val="superscript"/>
        </w:rPr>
        <w:t>th</w:t>
      </w:r>
      <w:r>
        <w:rPr/>
        <w:t xml:space="preserve"> century CE) and Sanskrit works such as the </w:t>
      </w:r>
      <w:r>
        <w:rPr>
          <w:rStyle w:val="wwc-sesame"/>
        </w:rPr>
        <w:t>Kammavibhaṅga</w:t>
      </w:r>
      <w:r>
        <w:rPr/>
        <w:t xml:space="preserve"> would be examples of this. Another work in a similar vain to these is the Buddha Teaches the Sutra Cause and Effect in the Three Times (</w:t>
      </w:r>
      <w:r>
        <w:rPr>
          <w:rStyle w:val="wwc-sesame"/>
        </w:rPr>
        <w:t>Fo Shuo San-shi Yinguo Jing</w:t>
      </w:r>
      <w:r>
        <w:rPr/>
        <w:t xml:space="preserve">). This text was supposedly spoken by the Buddha and translated into Chinese by </w:t>
      </w:r>
      <w:r>
        <w:rPr>
          <w:rStyle w:val="wwc-sesame"/>
        </w:rPr>
        <w:t>Kumārajīva</w:t>
      </w:r>
      <w:r>
        <w:rPr/>
        <w:t xml:space="preserve"> (344-413). In fact, all the evidence points to it being composed in China many centuries after </w:t>
      </w:r>
      <w:r>
        <w:rPr>
          <w:rStyle w:val="wwc-sesame"/>
        </w:rPr>
        <w:t>Kumārajīva</w:t>
      </w:r>
      <w:r>
        <w:rPr/>
        <w:t xml:space="preserve">.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WW-paragraph"/>
        <w:rPr/>
      </w:pPr>
      <w:r>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rStyle w:val="wwc-sesame"/>
        </w:rPr>
        <w:t>Fo Shuo San-shi Yinguo Jing</w:t>
      </w:r>
      <w:r>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WW-paragraph"/>
        <w:rPr/>
      </w:pPr>
      <w:r>
        <w:rPr/>
        <w:t xml:space="preserve">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20th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WW-paragraph"/>
        <w:rPr/>
      </w:pPr>
      <w:r>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WW-paragraph"/>
        <w:rPr/>
      </w:pPr>
      <w:r>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WW-blockquote"/>
        <w:rPr/>
      </w:pPr>
      <w:r>
        <w:rPr/>
        <w:t>“</w:t>
      </w:r>
      <w:r>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p>
    <w:p>
      <w:pPr>
        <w:pStyle w:val="WW-tight-right-cite"/>
        <w:rPr/>
      </w:pPr>
      <w:r>
        <w:rPr>
          <w:rStyle w:val="wwc-sesame"/>
        </w:rPr>
        <w:t xml:space="preserve">Humphreys </w:t>
      </w:r>
      <w:r>
        <w:rPr>
          <w:rStyle w:val="wwc-sesame"/>
        </w:rPr>
        <w:t>1995</w:t>
      </w:r>
      <w:r>
        <w:rPr/>
        <w:t>, p.16</w:t>
      </w:r>
    </w:p>
    <w:p>
      <w:pPr>
        <w:pStyle w:val="WW-paragraph"/>
        <w:rPr/>
      </w:pPr>
      <w:r>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WW-paragraph"/>
        <w:rPr/>
      </w:pPr>
      <w:r>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WW-paragraph"/>
        <w:rPr/>
      </w:pPr>
      <w:r>
        <w:rPr/>
        <w:t xml:space="preserve">Mahasi Sayadaw, probably modern Burma’s most revered Buddhist scholar and meditation master, summed up this attitude well when he wrote: </w:t>
      </w:r>
    </w:p>
    <w:p>
      <w:pPr>
        <w:pStyle w:val="WW-blockquote"/>
        <w:rPr/>
      </w:pPr>
      <w:r>
        <w:rPr/>
        <w:t>In this world nothing happens to a person that he does not for some reason or other deserve.</w:t>
      </w:r>
    </w:p>
    <w:p>
      <w:pPr>
        <w:pStyle w:val="WW-tight-right-cite"/>
        <w:rPr/>
      </w:pPr>
      <w:r>
        <w:rPr>
          <w:rStyle w:val="wwc-sesame"/>
        </w:rPr>
        <w:t>Mahasi 2013</w:t>
      </w:r>
      <w:r>
        <w:rPr/>
        <w:t xml:space="preserve"> p.3</w:t>
      </w:r>
    </w:p>
    <w:p>
      <w:pPr>
        <w:pStyle w:val="WW-paragraph"/>
        <w:rPr/>
      </w:pPr>
      <w:r>
        <w:rPr/>
        <w:t xml:space="preserve">As shown above, this claim is directly contrary to what the Buddha taught. In her novel </w:t>
      </w:r>
      <w:r>
        <w:rPr>
          <w:i/>
          <w:iCs/>
        </w:rPr>
        <w:t>Fruit of Karma</w:t>
      </w:r>
      <w:r>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WW-blockquote"/>
        <w:rPr/>
      </w:pPr>
      <w:r>
        <w:rPr/>
        <w:t>‘</w:t>
      </w:r>
      <w:r>
        <w:rPr/>
        <w:t xml:space="preserve">How can we help to improve the situation?’ </w:t>
      </w:r>
    </w:p>
    <w:p>
      <w:pPr>
        <w:pStyle w:val="WW-blockquote"/>
        <w:rPr/>
      </w:pPr>
      <w:r>
        <w:rPr/>
        <w:t>‘</w:t>
      </w:r>
      <w:r>
        <w:rPr/>
        <w:t>Pardon me. Did you say we? No, we cannot do anything. We are only a drop in the ocean. Neither can those with political power, who are many thousands of times more mighty than we are. We have to leave it to the process of karma,’ said Ven. Phra Khru sorrowfully.”</w:t>
      </w:r>
    </w:p>
    <w:p>
      <w:pPr>
        <w:pStyle w:val="WW-tight-right-cite"/>
        <w:rPr/>
      </w:pPr>
      <w:r>
        <w:rPr>
          <w:rStyle w:val="wwc-sesame"/>
        </w:rPr>
        <w:t xml:space="preserve">Onkom </w:t>
      </w:r>
      <w:r>
        <w:rPr>
          <w:rStyle w:val="wwc-sesame"/>
        </w:rPr>
        <w:t>1994</w:t>
      </w:r>
      <w:r>
        <w:rPr/>
        <w:t>, p.113</w:t>
      </w:r>
    </w:p>
    <w:p>
      <w:pPr>
        <w:pStyle w:val="WW-paragraph"/>
        <w:rPr/>
      </w:pPr>
      <w:r>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WW-paragraph"/>
        <w:rPr/>
      </w:pPr>
      <w:r>
        <w:rPr/>
        <w:t xml:space="preserve">Prof. Dale S. Wright, a scholar of Buddhism, writes: </w:t>
      </w:r>
    </w:p>
    <w:p>
      <w:pPr>
        <w:pStyle w:val="WW-blockquote"/>
        <w:rPr/>
      </w:pPr>
      <w:r>
        <w:rPr/>
        <w:t>“</w:t>
      </w:r>
      <w:r>
        <w:rPr/>
        <w:t>Karma may be socially and politically disempowering in its cultural effect, that without intending to do this, karma may in fact support social passivity or acquiescence in the face of oppression of various kinds.”</w:t>
      </w:r>
    </w:p>
    <w:p>
      <w:pPr>
        <w:pStyle w:val="WW-tight-right-cite"/>
        <w:rPr/>
      </w:pPr>
      <w:r>
        <w:rPr>
          <w:rStyle w:val="wwc-sesame"/>
        </w:rPr>
        <w:t>Wright 2004</w:t>
      </w:r>
    </w:p>
    <w:p>
      <w:pPr>
        <w:pStyle w:val="WW-paragraph"/>
        <w:rPr/>
      </w:pPr>
      <w:r>
        <w:rPr/>
        <w:t xml:space="preserve">Prof. David Loy, both a Buddhist and a scholar of Buddhism, writes: </w:t>
      </w:r>
    </w:p>
    <w:p>
      <w:pPr>
        <w:pStyle w:val="WW-blockquote"/>
        <w:rPr/>
      </w:pPr>
      <w:r>
        <w:rPr/>
        <w:t xml:space="preserve">Karma has been used to </w:t>
      </w:r>
      <w:r>
        <w:rPr>
          <w:rFonts w:ascii="Source Serif Pro" w:hAnsi="Source Serif Pro"/>
          <w:b w:val="false"/>
          <w:i w:val="false"/>
          <w:caps w:val="false"/>
          <w:smallCaps w:val="false"/>
          <w:color w:val="13036C"/>
          <w:spacing w:val="0"/>
          <w:sz w:val="24"/>
        </w:rPr>
        <w:t>rationalize sexism, racism</w:t>
      </w:r>
      <w:r>
        <w:rPr/>
        <w:t>,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p>
    <w:p>
      <w:pPr>
        <w:pStyle w:val="WW-tight-right-cite"/>
        <w:rPr/>
      </w:pPr>
      <w:r>
        <w:rPr>
          <w:rStyle w:val="wwc-sesame"/>
        </w:rPr>
        <w:t>Loy 2008</w:t>
      </w:r>
      <w:r>
        <w:rPr/>
        <w:t>, p.55</w:t>
      </w:r>
    </w:p>
    <w:p>
      <w:pPr>
        <w:pStyle w:val="WW-paragraph"/>
        <w:rPr/>
      </w:pPr>
      <w:r>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rStyle w:val="wwc-sesame"/>
        </w:rPr>
        <w:t>Milindapañha</w:t>
      </w:r>
      <w:r>
        <w:rPr/>
        <w:t>. In a dialogue with the monk Nāgasena, King Milinda quoted two passages from the Tipiṭaka: “By harming none in the world you will be loved and cherished,” and “Punish that which deserves punishment and encourage that which is good” (</w:t>
      </w:r>
      <w:r>
        <w:rPr>
          <w:rStyle w:val="wwc-PTS-reference"/>
        </w:rPr>
        <w:t>Ja.IV,71</w:t>
      </w:r>
      <w:r>
        <w:rPr/>
        <w:t xml:space="preserve"> and </w:t>
      </w:r>
      <w:r>
        <w:rPr>
          <w:rStyle w:val="wwc-PTS-reference"/>
        </w:rPr>
        <w:t>Ja.V,116</w:t>
      </w:r>
      <w:r>
        <w:rPr/>
        <w:t xml:space="preserve">). The king then pointed out that just punishment might require harming, even to the extent of amputating limbs of or executing wrongdoers, and that this would contradict the Buddha’s praise of not harming anyone. Nāgasena, supposedly an </w:t>
      </w:r>
      <w:r>
        <w:rPr>
          <w:rStyle w:val="wwc-pali"/>
        </w:rPr>
        <w:t>arahant</w:t>
      </w:r>
      <w:r>
        <w:rPr/>
        <w:t>, replied that someone who inflicts punishment on a wrongdoer is not responsible for the harm they do. Rather, the wrongdoer would be suffering because of their own evil kamma and the person administering the punishment would incur no blame (</w:t>
      </w:r>
      <w:r>
        <w:rPr>
          <w:rStyle w:val="wwc-PTS-reference"/>
        </w:rPr>
        <w:t>Mil.185-6</w:t>
      </w:r>
      <w:r>
        <w:rPr/>
        <w:t>).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rPr>
        <w:footnoteReference w:id="11"/>
      </w:r>
      <w:r>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rStyle w:val="wwc-pali"/>
        </w:rPr>
        <w:t>vipāka</w:t>
      </w:r>
      <w:r>
        <w:rPr/>
        <w:t xml:space="preserve"> for a murder Evans had committed in a previous life. </w:t>
      </w:r>
    </w:p>
    <w:p>
      <w:pPr>
        <w:pStyle w:val="WW-paragraph"/>
        <w:rPr/>
      </w:pPr>
      <w:r>
        <w:rPr/>
        <w:t xml:space="preserve">Of course people have always distorted religious beliefs to suit their own ends, justify their actions and put a pious gloss on them. But doing this is one thing; incorporating such distortions into the sacred literature is another. The </w:t>
      </w:r>
      <w:r>
        <w:rPr>
          <w:rStyle w:val="wwc-sesame"/>
        </w:rPr>
        <w:t>Milindapañha</w:t>
      </w:r>
      <w:r>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rStyle w:val="wwc-sesame"/>
        </w:rPr>
        <w:t>Milindapañha</w:t>
      </w:r>
      <w:r>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WW-paragraph"/>
        <w:rPr>
          <w:color w:val="000000"/>
          <w:sz w:val="28"/>
          <w:szCs w:val="28"/>
        </w:rPr>
      </w:pPr>
      <w:r>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WW-paragraph"/>
        <w:rPr>
          <w:color w:val="000000"/>
          <w:sz w:val="28"/>
          <w:szCs w:val="28"/>
        </w:rPr>
      </w:pPr>
      <w:r>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WW-paragraph"/>
        <w:rPr>
          <w:color w:val="000000"/>
          <w:sz w:val="28"/>
          <w:szCs w:val="28"/>
        </w:rPr>
      </w:pPr>
      <w:r>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WW-paragraph"/>
        <w:rPr/>
      </w:pPr>
      <w:r>
        <w:rPr/>
        <w:t xml:space="preserve">One of but many examples of such criticism appears in Dr. Richard Dawkins’ book </w:t>
      </w:r>
      <w:r>
        <w:rPr>
          <w:i/>
          <w:iCs/>
        </w:rPr>
        <w:t>The God Delusion</w:t>
      </w:r>
      <w:r>
        <w:rPr/>
        <w:t xml:space="preserve">, a trenchant critique of religion. Dawkins makes only one reference to Buddhism in his book and predictably it is about kamma. He writes: </w:t>
      </w:r>
    </w:p>
    <w:p>
      <w:pPr>
        <w:pStyle w:val="WW-blockquote"/>
        <w:rPr/>
      </w:pPr>
      <w:r>
        <w:rPr/>
        <w:t>Julia Sweeney is also right on target when she briefly mentions Buddhism… Buddhism is often cracked up to be the nicest of all [religions]. But the doctrine of demotion on the reincarnation ladder because of sins in a past life is pretty unpleasant. Julia Sweeney: ‘I went to Thailand and happened to visit a woman who was taking care of a terribly deformed boy. I said to his caretaker, “It’s so good of you to be taking care of this poor boy.” She said, “Don’t say poor boy. He must have done something terrible in his past life to be born this way”.’</w:t>
      </w:r>
    </w:p>
    <w:p>
      <w:pPr>
        <w:pStyle w:val="WW-tight-right-cite"/>
        <w:rPr/>
      </w:pPr>
      <w:r>
        <w:rPr>
          <w:rStyle w:val="wwc-sesame"/>
        </w:rPr>
        <w:t>Dawkins</w:t>
      </w:r>
      <w:r>
        <w:rPr>
          <w:rStyle w:val="wwc-sesame"/>
        </w:rPr>
        <w:t xml:space="preserve"> 2006</w:t>
      </w:r>
      <w:r>
        <w:rPr/>
        <w:t>, p.394</w:t>
      </w:r>
    </w:p>
    <w:p>
      <w:pPr>
        <w:pStyle w:val="WW-paragraph"/>
        <w:rPr/>
      </w:pPr>
      <w:r>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WW-paragraph"/>
        <w:rPr/>
      </w:pPr>
      <w:r>
        <w:rPr/>
        <w:t xml:space="preserve">Some Buddhists have even suggested that we should scrap the doctrine of kamma altogether. David Loy again: </w:t>
      </w:r>
    </w:p>
    <w:p>
      <w:pPr>
        <w:pStyle w:val="WW-blockquote"/>
        <w:rPr/>
      </w:pPr>
      <w:r>
        <w:rPr/>
        <w:t xml:space="preserve">What are we going to do about karma? There’s no point in pretending that karma hasn’t become a problem for contemporary Buddhism… </w:t>
      </w:r>
    </w:p>
    <w:p>
      <w:pPr>
        <w:pStyle w:val="WW-blockquote"/>
        <w:rPr/>
      </w:pPr>
      <w:r>
        <w:rPr/>
        <w:t>Buddhism can fit quite nicely into modern ways of understanding. But not traditional views of karma.</w:t>
      </w:r>
    </w:p>
    <w:p>
      <w:pPr>
        <w:pStyle w:val="WW-tight-right-cite"/>
        <w:rPr/>
      </w:pPr>
      <w:r>
        <w:rPr>
          <w:rStyle w:val="wwc-sesame"/>
        </w:rPr>
        <w:t>Loy 2008</w:t>
      </w:r>
      <w:r>
        <w:rPr/>
        <w:t>, p.53</w:t>
      </w:r>
    </w:p>
    <w:p>
      <w:pPr>
        <w:pStyle w:val="WW-paragraph"/>
        <w:rPr/>
      </w:pPr>
      <w:r>
        <w:rPr/>
        <w:t xml:space="preserve">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w:t>
      </w:r>
    </w:p>
    <w:p>
      <w:pPr>
        <w:pStyle w:val="WW-blockquote"/>
        <w:rPr/>
      </w:pPr>
      <w:r>
        <w:rPr/>
        <w:t>…</w:t>
      </w:r>
      <w:r>
        <w:rPr/>
        <w:t>the idea of karma is untrue, it is just ‘a provisional truth’ that is only helpful when we are caught up in confusion. It is not ultimately true…</w:t>
      </w:r>
    </w:p>
    <w:p>
      <w:pPr>
        <w:pStyle w:val="WW-tight-right-cite"/>
        <w:rPr/>
      </w:pPr>
      <w:r>
        <w:rPr>
          <w:rStyle w:val="wwc-sesame"/>
        </w:rPr>
        <w:t>Hookham 2006</w:t>
      </w:r>
      <w:r>
        <w:rPr/>
        <w:t>, p.62</w:t>
      </w:r>
    </w:p>
    <w:p>
      <w:pPr>
        <w:pStyle w:val="WW-paragraph"/>
        <w:rPr/>
      </w:pPr>
      <w:r>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recognisable as anything the Buddha taught.</w:t>
      </w:r>
      <w:r>
        <w:rPr>
          <w:rStyle w:val="FootnoteReference"/>
        </w:rPr>
        <w:footnoteReference w:id="12"/>
      </w:r>
      <w:r>
        <w:br w:type="page"/>
      </w:r>
    </w:p>
    <w:p>
      <w:pPr>
        <w:pStyle w:val="WW-Chapter"/>
        <w:spacing w:before="0" w:after="567"/>
        <w:rPr/>
      </w:pPr>
      <w:r>
        <w:rPr/>
        <w:t xml:space="preserve">Transferring Merit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 issue related to the doctrine of kamma is that of transference of merit. This is the idea that it is possible to do good and then ‘transfer’ the </w:t>
      </w:r>
      <w:r>
        <w:rPr>
          <w:i/>
          <w:color w:val="000000"/>
          <w:sz w:val="28"/>
          <w:szCs w:val="28"/>
        </w:rPr>
        <w:t>vipāka</w:t>
      </w:r>
      <w:r>
        <w:rPr>
          <w:color w:val="000000"/>
          <w:sz w:val="28"/>
          <w:szCs w:val="28"/>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i/>
          <w:color w:val="000000"/>
          <w:sz w:val="28"/>
          <w:szCs w:val="28"/>
        </w:rPr>
        <w:t>śaddha</w:t>
      </w:r>
      <w:r>
        <w:rPr>
          <w:color w:val="000000"/>
          <w:sz w:val="28"/>
          <w:szCs w:val="28"/>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Carvaka school quite rightly poked fun at the </w:t>
      </w:r>
      <w:r>
        <w:rPr>
          <w:i/>
          <w:color w:val="000000"/>
          <w:sz w:val="28"/>
          <w:szCs w:val="28"/>
        </w:rPr>
        <w:t>śaddha</w:t>
      </w:r>
      <w:r>
        <w:rPr>
          <w:color w:val="000000"/>
          <w:sz w:val="28"/>
          <w:szCs w:val="28"/>
        </w:rPr>
        <w:t xml:space="preserve"> ritual saying: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If the </w:t>
      </w:r>
      <w:r>
        <w:rPr>
          <w:i/>
          <w:color w:val="000000"/>
          <w:sz w:val="28"/>
          <w:szCs w:val="28"/>
        </w:rPr>
        <w:t>śaddha</w:t>
      </w:r>
      <w:r>
        <w:rPr>
          <w:color w:val="000000"/>
          <w:sz w:val="28"/>
          <w:szCs w:val="28"/>
        </w:rPr>
        <w:t xml:space="preserve"> can really satisfy beings who are dead, then in this world when travellers embark on a journey it would not be necessary to provide them with provisions because their relatives back home could eat for them.”</w:t>
      </w:r>
      <w:r>
        <w:rPr>
          <w:rStyle w:val="FootnoteReference"/>
          <w:color w:val="000000"/>
          <w:sz w:val="28"/>
          <w:szCs w:val="28"/>
        </w:rPr>
        <w:footnoteReference w:id="13"/>
      </w:r>
      <w:r>
        <w:rPr>
          <w:color w:val="000000"/>
          <w:sz w:val="28"/>
          <w:szCs w:val="28"/>
        </w:rPr>
        <w:t xml:space="preserv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“By oneself is evil done, by oneself is evil shunned, by oneself is one purified. Purity and impurity depend on oneself. No one can purify another” (Dhp.165). In the Sutta Nipāta he said: “When they are overcome by death and are going from here to the next world, the father cannot assist the son, any more than other relatives can” (Sn.579). Even the denizens of Purgatory have a better understanding of kamma than those who believe they can transfer their merit to someone else. The Buddha said that a person who dies and finds himself in Purgatory will be reproached by Yama like this: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This evil deed was not done by your mother or father, by your brother or  sister, by your friends and companions, by your kinsmen and relatives, by ascetics and brahmins, or by the gods. It was done by you yourself, and you yourself will feel its result” (M.I,179-180).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The Jātakas seem to represent a period when early Buddhism was being influenced by the Brahaminical </w:t>
      </w:r>
      <w:r>
        <w:rPr>
          <w:i/>
          <w:color w:val="000000"/>
          <w:sz w:val="28"/>
          <w:szCs w:val="28"/>
        </w:rPr>
        <w:t>śaddha</w:t>
      </w:r>
      <w:r>
        <w:rPr>
          <w:color w:val="000000"/>
          <w:sz w:val="28"/>
          <w:szCs w:val="28"/>
        </w:rPr>
        <w:t xml:space="preserve"> notion. True to the original Dhamma, one Jātaka says: “One makes one’s own good fortune. One makes one’s own misfortune. For good fortune or lack of it cannot be made for another by another” (Ja.III,263). But in another story a virtuous man says he will give all the merit he has accumulated to a man lacking virtue (Ja.II,112). By the time of the </w:t>
      </w:r>
      <w:r>
        <w:rPr>
          <w:i/>
          <w:iCs/>
          <w:color w:val="000000"/>
          <w:sz w:val="28"/>
          <w:szCs w:val="28"/>
        </w:rPr>
        <w:t>Dhammapada Atthakathā</w:t>
      </w:r>
      <w:r>
        <w:rPr>
          <w:color w:val="000000"/>
          <w:sz w:val="28"/>
          <w:szCs w:val="28"/>
        </w:rPr>
        <w:t> the notion had come to be believed that it was actually possible to buy someone’s merit from them or sell your own (Dhp-a.III,12a). But even after the transferring of merit had become widely accepted, there were voices still holding out against this popular superstition. In the 2</w:t>
      </w:r>
      <w:r>
        <w:rPr>
          <w:color w:val="000000"/>
          <w:sz w:val="28"/>
          <w:szCs w:val="28"/>
          <w:vertAlign w:val="superscript"/>
        </w:rPr>
        <w:t>nd</w:t>
      </w:r>
      <w:r>
        <w:rPr>
          <w:color w:val="000000"/>
          <w:sz w:val="28"/>
          <w:szCs w:val="28"/>
        </w:rPr>
        <w:t xml:space="preserve"> century CE Aśvaghoṣa wrote: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It is impossible for one to do good and then give it to another, even if one wants to the other cannot receive it.  The result of one’s own acts are not destroyed, they are experienced by oneself, but that the effect of what one had not done can be experienced is not factual” (</w:t>
      </w:r>
      <w:r>
        <w:rPr>
          <w:i/>
          <w:iCs/>
          <w:color w:val="000000"/>
          <w:sz w:val="28"/>
          <w:szCs w:val="28"/>
        </w:rPr>
        <w:t>Buddhacarita</w:t>
      </w:r>
      <w:r>
        <w:rPr>
          <w:color w:val="000000"/>
          <w:sz w:val="28"/>
          <w:szCs w:val="28"/>
        </w:rPr>
        <w:t xml:space="preserve"> XX,28).  </w:t>
      </w:r>
    </w:p>
    <w:p>
      <w:pPr>
        <w:pStyle w:val="Normal"/>
        <w:spacing w:lineRule="auto" w:line="240" w:before="0" w:after="120"/>
        <w:ind w:firstLine="720" w:start="284"/>
        <w:contextualSpacing/>
        <w:jc w:val="both"/>
        <w:rPr>
          <w:bCs/>
          <w:color w:val="000000"/>
          <w:sz w:val="28"/>
          <w:szCs w:val="28"/>
        </w:rPr>
      </w:pPr>
      <w:r>
        <w:rPr>
          <w:color w:val="000000"/>
          <w:sz w:val="28"/>
          <w:szCs w:val="28"/>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w:t>
      </w:r>
      <w:r>
        <w:rPr>
          <w:bCs/>
          <w:color w:val="000000"/>
          <w:sz w:val="28"/>
          <w:szCs w:val="28"/>
        </w:rPr>
        <w:t xml:space="preserve">Unfortunately, some sects of Buddhism have not been immune to this sort of thing either. The  well-known Tibetan teacher Lama Zopa has written: </w:t>
      </w:r>
    </w:p>
    <w:p>
      <w:pPr>
        <w:pStyle w:val="Normal"/>
        <w:spacing w:lineRule="auto" w:line="240" w:before="0" w:after="120"/>
        <w:ind w:firstLine="720" w:start="284"/>
        <w:contextualSpacing/>
        <w:jc w:val="both"/>
        <w:rPr>
          <w:color w:val="0070C0"/>
          <w:sz w:val="28"/>
          <w:szCs w:val="28"/>
        </w:rPr>
      </w:pPr>
      <w:r>
        <w:rPr>
          <w:bCs/>
          <w:color w:val="0070C0"/>
          <w:sz w:val="28"/>
          <w:szCs w:val="28"/>
        </w:rPr>
        <w:t>“</w:t>
      </w:r>
      <w:r>
        <w:rPr>
          <w:bCs/>
          <w:color w:val="0070C0"/>
          <w:sz w:val="28"/>
          <w:szCs w:val="28"/>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bCs/>
          <w:color w:val="0070C0"/>
          <w:sz w:val="28"/>
          <w:szCs w:val="28"/>
        </w:rPr>
        <w:footnoteReference w:id="14"/>
      </w:r>
      <w:r>
        <w:rPr>
          <w:color w:val="0070C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b/>
          <w:color w:val="000000"/>
          <w:sz w:val="28"/>
          <w:szCs w:val="28"/>
        </w:rPr>
      </w:pPr>
      <w:r>
        <w:rPr>
          <w:color w:val="000000"/>
          <w:sz w:val="28"/>
          <w:szCs w:val="28"/>
        </w:rPr>
        <w:t xml:space="preserve">While it is not possible to transfer merit to another it is possible to give them the opportunity to rejoice in good and virtuous actions done on their behalf, a practice called </w:t>
      </w:r>
      <w:r>
        <w:rPr>
          <w:i/>
          <w:color w:val="000000"/>
          <w:sz w:val="28"/>
          <w:szCs w:val="28"/>
        </w:rPr>
        <w:t>puñña anumodana</w:t>
      </w:r>
      <w:r>
        <w:rPr>
          <w:color w:val="000000"/>
          <w:sz w:val="28"/>
          <w:szCs w:val="28"/>
        </w:rPr>
        <w:t xml:space="preserve"> (Sinhala, </w:t>
      </w:r>
      <w:r>
        <w:rPr>
          <w:i/>
          <w:color w:val="000000"/>
          <w:sz w:val="28"/>
          <w:szCs w:val="28"/>
        </w:rPr>
        <w:t>pin anumodanaya</w:t>
      </w:r>
      <w:r>
        <w:rPr>
          <w:color w:val="000000"/>
          <w:sz w:val="28"/>
          <w:szCs w:val="28"/>
        </w:rPr>
        <w:t xml:space="preserve">). The two words in this term are </w:t>
      </w:r>
      <w:r>
        <w:rPr>
          <w:i/>
          <w:color w:val="000000"/>
          <w:sz w:val="28"/>
          <w:szCs w:val="28"/>
        </w:rPr>
        <w:t>puñña</w:t>
      </w:r>
      <w:r>
        <w:rPr>
          <w:color w:val="000000"/>
          <w:sz w:val="28"/>
          <w:szCs w:val="28"/>
        </w:rPr>
        <w:t xml:space="preserve"> = merit and </w:t>
      </w:r>
      <w:r>
        <w:rPr>
          <w:i/>
          <w:color w:val="000000"/>
          <w:sz w:val="28"/>
          <w:szCs w:val="28"/>
        </w:rPr>
        <w:t>anumodana</w:t>
      </w:r>
      <w:r>
        <w:rPr>
          <w:color w:val="000000"/>
          <w:sz w:val="28"/>
          <w:szCs w:val="28"/>
        </w:rPr>
        <w:t xml:space="preserve"> = to rejoice in or to feel joyful about,  although  Asian</w:t>
      </w:r>
      <w:r>
        <w:rPr>
          <w:color w:val="FF0000"/>
          <w:sz w:val="28"/>
          <w:szCs w:val="28"/>
        </w:rPr>
        <w:t xml:space="preserve"> </w:t>
      </w:r>
      <w:r>
        <w:rPr>
          <w:color w:val="000000"/>
          <w:sz w:val="28"/>
          <w:szCs w:val="28"/>
        </w:rPr>
        <w:t>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i/>
          <w:color w:val="000000"/>
          <w:sz w:val="28"/>
          <w:szCs w:val="28"/>
        </w:rPr>
        <w:t>antarabhava</w:t>
      </w:r>
      <w:r>
        <w:rPr>
          <w:color w:val="000000"/>
          <w:sz w:val="28"/>
          <w:szCs w:val="28"/>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i/>
          <w:color w:val="000000"/>
          <w:sz w:val="28"/>
          <w:szCs w:val="28"/>
        </w:rPr>
        <w:t>Puñña anumodana</w:t>
      </w:r>
      <w:r>
        <w:rPr>
          <w:color w:val="000000"/>
          <w:sz w:val="28"/>
          <w:szCs w:val="28"/>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We will finish this exploration of the Buddha’s doctrine of kamma and rebirth by looking at some of implications of them and attempting to answer some of the questions often raised about them.</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A</w:t>
      </w:r>
      <w:r>
        <w:rPr>
          <w:color w:val="000000"/>
          <w:sz w:val="28"/>
          <w:szCs w:val="28"/>
        </w:rPr>
        <w:t>)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color w:val="000000"/>
          <w:sz w:val="28"/>
          <w:szCs w:val="28"/>
        </w:rPr>
        <w:footnoteReference w:id="15"/>
      </w:r>
      <w:r>
        <w:rPr>
          <w:color w:val="000000"/>
          <w:sz w:val="28"/>
          <w:szCs w:val="28"/>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w:t>
      </w:r>
      <w:r>
        <w:rPr>
          <w:bCs/>
          <w:color w:val="000000"/>
          <w:sz w:val="28"/>
          <w:szCs w:val="28"/>
        </w:rPr>
        <w:t xml:space="preserve">Erlendur Haraldsson. </w:t>
      </w:r>
      <w:r>
        <w:rPr>
          <w:color w:val="000000"/>
          <w:sz w:val="28"/>
          <w:szCs w:val="28"/>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(D.I,76).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B</w:t>
      </w:r>
      <w:r>
        <w:rPr>
          <w:color w:val="000000"/>
          <w:sz w:val="28"/>
          <w:szCs w:val="28"/>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But others like philosophers C. J. Ducasse and J. M. E. McTaggart and academics such as </w:t>
      </w:r>
      <w:r>
        <w:rPr>
          <w:color w:val="000000"/>
          <w:sz w:val="28"/>
          <w:szCs w:val="28"/>
          <w:lang w:val="en-US"/>
        </w:rPr>
        <w:t>Susan Blackmore consider rebirth to be a plausible post-mortem explanation.</w:t>
      </w:r>
      <w:r>
        <w:rPr>
          <w:rStyle w:val="FootnoteReference"/>
          <w:color w:val="000000"/>
          <w:sz w:val="28"/>
          <w:szCs w:val="28"/>
          <w:lang w:val="en-US"/>
        </w:rPr>
        <w:footnoteReference w:id="16"/>
      </w:r>
      <w:r>
        <w:rPr>
          <w:color w:val="000000"/>
          <w:sz w:val="28"/>
          <w:szCs w:val="28"/>
          <w:lang w:val="en-US"/>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C</w:t>
      </w:r>
      <w:r>
        <w:rPr>
          <w:color w:val="000000"/>
          <w:sz w:val="28"/>
          <w:szCs w:val="28"/>
        </w:rPr>
        <w:t>) According to the Buddha, the three characteristics of existence are suffering (</w:t>
      </w:r>
      <w:r>
        <w:rPr>
          <w:i/>
          <w:color w:val="000000"/>
          <w:sz w:val="28"/>
          <w:szCs w:val="28"/>
        </w:rPr>
        <w:t>dukkha</w:t>
      </w:r>
      <w:r>
        <w:rPr>
          <w:color w:val="000000"/>
          <w:sz w:val="28"/>
          <w:szCs w:val="28"/>
        </w:rPr>
        <w:t>), impermanence (</w:t>
      </w:r>
      <w:r>
        <w:rPr>
          <w:i/>
          <w:color w:val="000000"/>
          <w:sz w:val="28"/>
          <w:szCs w:val="28"/>
        </w:rPr>
        <w:t>anicca</w:t>
      </w:r>
      <w:r>
        <w:rPr>
          <w:color w:val="000000"/>
          <w:sz w:val="28"/>
          <w:szCs w:val="28"/>
        </w:rPr>
        <w:t>) and not-self (</w:t>
      </w:r>
      <w:r>
        <w:rPr>
          <w:i/>
          <w:color w:val="000000"/>
          <w:sz w:val="28"/>
          <w:szCs w:val="28"/>
        </w:rPr>
        <w:t>anatta</w:t>
      </w:r>
      <w:r>
        <w:rPr>
          <w:color w:val="000000"/>
          <w:sz w:val="28"/>
          <w:szCs w:val="28"/>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color w:val="000000"/>
          <w:sz w:val="28"/>
          <w:szCs w:val="28"/>
        </w:rPr>
        <w:t>permanent</w:t>
      </w:r>
      <w:r>
        <w:rPr>
          <w:color w:val="000000"/>
          <w:sz w:val="28"/>
          <w:szCs w:val="28"/>
        </w:rPr>
        <w:t xml:space="preserve">, </w:t>
      </w:r>
      <w:r>
        <w:rPr>
          <w:i/>
          <w:color w:val="000000"/>
          <w:sz w:val="28"/>
          <w:szCs w:val="28"/>
        </w:rPr>
        <w:t>unchanging</w:t>
      </w:r>
      <w:r>
        <w:rPr>
          <w:color w:val="000000"/>
          <w:sz w:val="28"/>
          <w:szCs w:val="28"/>
        </w:rPr>
        <w:t xml:space="preserve">, </w:t>
      </w:r>
      <w:r>
        <w:rPr>
          <w:i/>
          <w:color w:val="000000"/>
          <w:sz w:val="28"/>
          <w:szCs w:val="28"/>
        </w:rPr>
        <w:t>metaphysical</w:t>
      </w:r>
      <w:r>
        <w:rPr>
          <w:color w:val="000000"/>
          <w:sz w:val="28"/>
          <w:szCs w:val="28"/>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Normal"/>
        <w:spacing w:lineRule="auto" w:line="240" w:before="0" w:after="120"/>
        <w:ind w:firstLine="720" w:start="284"/>
        <w:contextualSpacing/>
        <w:jc w:val="both"/>
        <w:rPr>
          <w:color w:val="000000"/>
          <w:sz w:val="28"/>
          <w:szCs w:val="28"/>
        </w:rPr>
      </w:pPr>
      <w:r>
        <w:rPr>
          <w:color w:val="000000"/>
          <w:sz w:val="28"/>
          <w:szCs w:val="28"/>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i/>
          <w:color w:val="000000"/>
          <w:sz w:val="28"/>
          <w:szCs w:val="28"/>
        </w:rPr>
        <w:t>anicca</w:t>
      </w:r>
      <w:r>
        <w:rPr>
          <w:color w:val="000000"/>
          <w:sz w:val="28"/>
          <w:szCs w:val="28"/>
        </w:rPr>
        <w:t xml:space="preserve">). It is not this, but the idea that a soul or spirit can go from one location or dimension to another </w:t>
      </w:r>
      <w:r>
        <w:rPr>
          <w:i/>
          <w:color w:val="000000"/>
          <w:sz w:val="28"/>
          <w:szCs w:val="28"/>
        </w:rPr>
        <w:t>without changing</w:t>
      </w:r>
      <w:r>
        <w:rPr>
          <w:color w:val="000000"/>
          <w:sz w:val="28"/>
          <w:szCs w:val="28"/>
        </w:rPr>
        <w:t xml:space="preserve"> that is difficult to explain. </w:t>
      </w:r>
    </w:p>
    <w:p>
      <w:pPr>
        <w:pStyle w:val="Normal"/>
        <w:spacing w:lineRule="auto" w:line="240" w:before="0" w:after="120"/>
        <w:ind w:firstLine="720" w:start="284"/>
        <w:contextualSpacing/>
        <w:jc w:val="both"/>
        <w:rPr>
          <w:color w:val="000000"/>
          <w:sz w:val="28"/>
          <w:szCs w:val="28"/>
        </w:rPr>
      </w:pPr>
      <w:r>
        <w:rPr>
          <w:color w:val="000000"/>
          <w:sz w:val="28"/>
          <w:szCs w:val="28"/>
        </w:rPr>
        <w:t>(</w:t>
      </w:r>
      <w:r>
        <w:rPr>
          <w:b/>
          <w:color w:val="000000"/>
          <w:sz w:val="28"/>
          <w:szCs w:val="28"/>
        </w:rPr>
        <w:t>D</w:t>
      </w:r>
      <w:r>
        <w:rPr>
          <w:color w:val="000000"/>
          <w:sz w:val="28"/>
          <w:szCs w:val="28"/>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i/>
          <w:color w:val="000000"/>
          <w:sz w:val="28"/>
          <w:szCs w:val="28"/>
        </w:rPr>
        <w:t>vip</w:t>
      </w:r>
      <w:r>
        <w:rPr>
          <w:i/>
          <w:iCs/>
          <w:color w:val="000000"/>
          <w:sz w:val="28"/>
          <w:szCs w:val="28"/>
        </w:rPr>
        <w:t>ā</w:t>
      </w:r>
      <w:r>
        <w:rPr>
          <w:i/>
          <w:color w:val="000000"/>
          <w:sz w:val="28"/>
          <w:szCs w:val="28"/>
        </w:rPr>
        <w:t>ka</w:t>
      </w:r>
      <w:r>
        <w:rPr>
          <w:color w:val="000000"/>
          <w:sz w:val="28"/>
          <w:szCs w:val="28"/>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 (</w:t>
      </w:r>
      <w:r>
        <w:rPr>
          <w:b/>
          <w:color w:val="000000"/>
          <w:sz w:val="28"/>
          <w:szCs w:val="28"/>
        </w:rPr>
        <w:t>42</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Using an analogy</w:t>
      </w:r>
      <w:r>
        <w:rPr>
          <w:b/>
          <w:color w:val="000000"/>
          <w:sz w:val="28"/>
          <w:szCs w:val="28"/>
        </w:rPr>
        <w:t xml:space="preserve"> </w:t>
      </w:r>
      <w:r>
        <w:rPr>
          <w:color w:val="000000"/>
          <w:sz w:val="28"/>
          <w:szCs w:val="28"/>
        </w:rPr>
        <w:t>might help clarify what the Buddha meant.</w:t>
      </w:r>
      <w:r>
        <w:rPr>
          <w:b/>
          <w:color w:val="000000"/>
          <w:sz w:val="28"/>
          <w:szCs w:val="28"/>
        </w:rPr>
        <w:t xml:space="preserve"> </w:t>
      </w:r>
      <w:r>
        <w:rPr>
          <w:color w:val="000000"/>
          <w:sz w:val="28"/>
          <w:szCs w:val="28"/>
        </w:rPr>
        <w:t xml:space="preserve">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recognizable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color w:val="000000"/>
          <w:sz w:val="28"/>
          <w:szCs w:val="28"/>
        </w:rPr>
        <w:t>esprit de corps</w:t>
      </w:r>
      <w:r>
        <w:rPr>
          <w:color w:val="000000"/>
          <w:sz w:val="28"/>
          <w:szCs w:val="28"/>
        </w:rPr>
        <w:t xml:space="preserve">, etc. Despite continual change it is recognized as a 60-year-old institution.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 – 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i/>
          <w:color w:val="000000"/>
          <w:sz w:val="28"/>
          <w:szCs w:val="28"/>
        </w:rPr>
        <w:t>vipāka</w:t>
      </w:r>
      <w:r>
        <w:rPr>
          <w:color w:val="000000"/>
          <w:sz w:val="28"/>
          <w:szCs w:val="28"/>
        </w:rPr>
        <w:t xml:space="preserve"> of kamma done in the previous life.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E</w:t>
      </w:r>
      <w:r>
        <w:rPr>
          <w:color w:val="000000"/>
          <w:sz w:val="28"/>
          <w:szCs w:val="28"/>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(A.III,289), and we should shun evil out of compassion for others and because its kammic consequences can be very unpleasant.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How did he arrive at these and other high ethical principles without a divine law-giver? He used several means but one of them that would enable  anyone to determine right from wrong he called </w:t>
      </w:r>
      <w:r>
        <w:rPr>
          <w:i/>
          <w:color w:val="000000"/>
          <w:sz w:val="28"/>
          <w:szCs w:val="28"/>
        </w:rPr>
        <w:t>anumāna</w:t>
      </w:r>
      <w:r>
        <w:rPr>
          <w:color w:val="000000"/>
          <w:sz w:val="28"/>
          <w:szCs w:val="28"/>
        </w:rPr>
        <w:t>, or what in the West is called the Golden Rule. He advised: “Starting with oneself one should make this inference (</w:t>
      </w:r>
      <w:r>
        <w:rPr>
          <w:i/>
          <w:color w:val="000000"/>
          <w:sz w:val="28"/>
          <w:szCs w:val="28"/>
        </w:rPr>
        <w:t>anuminitabbaṃ</w:t>
      </w:r>
      <w:r>
        <w:rPr>
          <w:color w:val="000000"/>
          <w:sz w:val="28"/>
          <w:szCs w:val="28"/>
        </w:rPr>
        <w:t xml:space="preserve">): ‘I find those who are dominated by evil wishes to be unpleasant and nasty. If I was dominated by evil wishes others would find me unpleasant and nasty. Therefore, I will not allow evil wishes to dominate me” (M.I,197-8). On another occasion the Buddha put it this way: “Think like this: ‘As am I so are others; as are others so am I’ and harm none nor have them harmed”(Sn.705).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rStyle w:val="Strong"/>
          <w:b w:val="false"/>
          <w:color w:val="000000"/>
          <w:sz w:val="28"/>
          <w:szCs w:val="28"/>
        </w:rPr>
      </w:pPr>
      <w:r>
        <w:rPr>
          <w:color w:val="000000"/>
          <w:sz w:val="28"/>
          <w:szCs w:val="28"/>
        </w:rPr>
        <w:t>(</w:t>
      </w:r>
      <w:r>
        <w:rPr>
          <w:b/>
          <w:color w:val="000000"/>
          <w:sz w:val="28"/>
          <w:szCs w:val="28"/>
        </w:rPr>
        <w:t>F</w:t>
      </w:r>
      <w:r>
        <w:rPr>
          <w:color w:val="000000"/>
          <w:sz w:val="28"/>
          <w:szCs w:val="28"/>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(A.I,115), a goal he considered decidedly inferior to Nirvana. Even eternal life in heaven, if such a thing were possible, must, sooner or later, entail boredom and a sense of meaninglessness. The </w:t>
      </w:r>
      <w:r>
        <w:rPr>
          <w:i/>
          <w:color w:val="000000"/>
          <w:sz w:val="28"/>
          <w:szCs w:val="28"/>
        </w:rPr>
        <w:t>raison d’etre</w:t>
      </w:r>
      <w:r>
        <w:rPr>
          <w:color w:val="000000"/>
          <w:sz w:val="28"/>
          <w:szCs w:val="28"/>
        </w:rPr>
        <w:t xml:space="preserve"> of Buddhism is to end </w:t>
      </w:r>
      <w:r>
        <w:rPr>
          <w:i/>
          <w:color w:val="000000"/>
          <w:sz w:val="28"/>
          <w:szCs w:val="28"/>
        </w:rPr>
        <w:t>saṃsāra</w:t>
      </w:r>
      <w:r>
        <w:rPr>
          <w:color w:val="000000"/>
          <w:sz w:val="28"/>
          <w:szCs w:val="28"/>
        </w:rPr>
        <w:t>, the process of birth, death and being reborn. So however much the wish-fulfilment theory may apply to other post-mortem theories it could not apply to Buddhism.</w:t>
      </w:r>
    </w:p>
    <w:p>
      <w:pPr>
        <w:pStyle w:val="Normal"/>
        <w:spacing w:lineRule="auto" w:line="240" w:before="0" w:after="120"/>
        <w:ind w:firstLine="720" w:start="284"/>
        <w:contextualSpacing/>
        <w:jc w:val="both"/>
        <w:rPr>
          <w:color w:val="000000"/>
          <w:sz w:val="28"/>
          <w:szCs w:val="28"/>
        </w:rPr>
      </w:pPr>
      <w:r>
        <w:rPr>
          <w:rStyle w:val="Strong"/>
          <w:b w:val="false"/>
          <w:color w:val="000000"/>
          <w:sz w:val="28"/>
          <w:szCs w:val="28"/>
        </w:rPr>
        <w:t>(</w:t>
      </w:r>
      <w:r>
        <w:rPr>
          <w:rStyle w:val="Strong"/>
          <w:color w:val="000000"/>
          <w:sz w:val="28"/>
          <w:szCs w:val="28"/>
        </w:rPr>
        <w:t>G</w:t>
      </w:r>
      <w:r>
        <w:rPr>
          <w:rStyle w:val="Strong"/>
          <w:b w:val="false"/>
          <w:color w:val="000000"/>
          <w:sz w:val="28"/>
          <w:szCs w:val="28"/>
        </w:rPr>
        <w:t xml:space="preserve">) </w:t>
      </w:r>
      <w:r>
        <w:rPr>
          <w:color w:val="000000"/>
          <w:sz w:val="28"/>
          <w:szCs w:val="28"/>
        </w:rPr>
        <w:t xml:space="preserve">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i/>
          <w:color w:val="000000"/>
          <w:sz w:val="28"/>
          <w:szCs w:val="28"/>
        </w:rPr>
        <w:t>vipāka</w:t>
      </w:r>
      <w:r>
        <w:rPr>
          <w:color w:val="000000"/>
          <w:sz w:val="28"/>
          <w:szCs w:val="28"/>
        </w:rPr>
        <w:t xml:space="preserve"> we experience for the kamma we do is, by contrast, approximately proportionate. The picture on the cover of this book is of a relief from the great Borobudur temple in Java depicting a scene from the </w:t>
      </w:r>
      <w:r>
        <w:rPr>
          <w:i/>
          <w:color w:val="000000"/>
          <w:sz w:val="28"/>
          <w:szCs w:val="28"/>
        </w:rPr>
        <w:t>Karmavibhaṅga</w:t>
      </w:r>
      <w:r>
        <w:rPr>
          <w:color w:val="000000"/>
          <w:sz w:val="28"/>
          <w:szCs w:val="28"/>
        </w:rPr>
        <w:t xml:space="preserve">. 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i/>
          <w:color w:val="000000"/>
          <w:sz w:val="28"/>
          <w:szCs w:val="28"/>
        </w:rPr>
        <w:t>vipāka</w:t>
      </w:r>
      <w:r>
        <w:rPr>
          <w:color w:val="000000"/>
          <w:sz w:val="28"/>
          <w:szCs w:val="28"/>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bad whatever religion they belong to or whatever deity they worship. Kamma can also be seen as embodying a form of restorative justice. The </w:t>
      </w:r>
      <w:r>
        <w:rPr>
          <w:i/>
          <w:color w:val="000000"/>
          <w:sz w:val="28"/>
          <w:szCs w:val="28"/>
        </w:rPr>
        <w:t>vipāka</w:t>
      </w:r>
      <w:r>
        <w:rPr>
          <w:color w:val="000000"/>
          <w:sz w:val="28"/>
          <w:szCs w:val="28"/>
        </w:rPr>
        <w:t xml:space="preserve"> of even the evillest people - Jeffrey Dahmer; Idi Amin; Pol Pot; Heinrich Himmler; Lavrenity Beria and others - will eventually peter out and they will have another chance to redeem themselves. In every sense the doctrine of kamma is equitable, fair and just.  </w:t>
      </w:r>
    </w:p>
    <w:p>
      <w:pPr>
        <w:pStyle w:val="Normal"/>
        <w:spacing w:lineRule="auto" w:line="276" w:before="0" w:after="120"/>
        <w:ind w:firstLine="720" w:start="284"/>
        <w:contextualSpacing/>
        <w:jc w:val="center"/>
        <w:rPr>
          <w:b/>
          <w:color w:val="000000"/>
          <w:sz w:val="32"/>
          <w:szCs w:val="32"/>
        </w:rPr>
      </w:pPr>
      <w:r>
        <w:rPr>
          <w:b/>
          <w:color w:val="000000"/>
          <w:sz w:val="32"/>
          <w:szCs w:val="32"/>
        </w:rPr>
      </w:r>
      <w:r>
        <w:br w:type="page"/>
      </w:r>
    </w:p>
    <w:p>
      <w:pPr>
        <w:pStyle w:val="WW-Chapter"/>
        <w:spacing w:before="0" w:after="567"/>
        <w:rPr/>
      </w:pPr>
      <w:r>
        <w:rPr/>
        <w:t>Pāḷi Text on Kamma</w:t>
      </w:r>
    </w:p>
    <w:p>
      <w:pPr>
        <w:pStyle w:val="Normal"/>
        <w:spacing w:lineRule="auto" w:line="240" w:before="0" w:after="120"/>
        <w:ind w:firstLine="720" w:start="284"/>
        <w:contextualSpacing/>
        <w:jc w:val="both"/>
        <w:rPr>
          <w:b/>
          <w:color w:val="000000"/>
          <w:sz w:val="32"/>
          <w:szCs w:val="32"/>
        </w:rPr>
      </w:pPr>
      <w:r>
        <w:rPr>
          <w:b/>
          <w:color w:val="000000"/>
          <w:sz w:val="32"/>
          <w:szCs w:val="32"/>
        </w:rPr>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42</w:t>
      </w:r>
      <w:r>
        <w:rPr>
          <w:color w:val="000000"/>
          <w:sz w:val="28"/>
          <w:szCs w:val="28"/>
        </w:rPr>
        <w:t>] “How is it good Gotama; is the one who acts the same as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That is one extreme.”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Then is the one who acts different from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That is another extreme. Without adhering to either of these extremes the Tathāgata     teaches Dhamma by the middle.” S.I,7-6.</w:t>
      </w:r>
      <w:r>
        <w:rPr>
          <w:color w:val="000000"/>
          <w:lang w:val="en-GB"/>
        </w:rPr>
        <w:t xml:space="preserve">   </w:t>
      </w:r>
      <w:r>
        <w:br w:type="page"/>
      </w:r>
    </w:p>
    <w:p>
      <w:pPr>
        <w:pStyle w:val="WW-Chapter"/>
        <w:spacing w:before="0" w:after="567"/>
        <w:rPr>
          <w:color w:val="000000"/>
          <w:sz w:val="32"/>
          <w:szCs w:val="32"/>
        </w:rPr>
      </w:pPr>
      <w:r>
        <w:rPr/>
        <w:t>Appendix: The Tsunami, A Buddhist View</w:t>
      </w:r>
    </w:p>
    <w:p>
      <w:pPr>
        <w:pStyle w:val="Normal"/>
        <w:spacing w:lineRule="auto" w:line="240" w:before="0" w:after="120"/>
        <w:ind w:firstLine="720"/>
        <w:contextualSpacing/>
        <w:jc w:val="both"/>
        <w:rPr>
          <w:color w:val="000000"/>
          <w:sz w:val="28"/>
          <w:szCs w:val="28"/>
        </w:rPr>
      </w:pPr>
      <w:r>
        <w:rPr>
          <w:color w:val="000000"/>
          <w:sz w:val="28"/>
          <w:szCs w:val="28"/>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 – being caught in a rainstorm can give us a bad cold. But suffering from a cold has nothing to do with moral or immoral past actions – 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w:t>
      </w:r>
      <w:r>
        <w:rPr>
          <w:rStyle w:val="Strong"/>
          <w:b w:val="false"/>
          <w:color w:val="000000"/>
          <w:sz w:val="28"/>
          <w:szCs w:val="28"/>
        </w:rPr>
        <w:t>“</w:t>
      </w:r>
      <w:r>
        <w:rPr>
          <w:color w:val="000000"/>
          <w:sz w:val="28"/>
          <w:szCs w:val="28"/>
        </w:rPr>
        <w:t>rewarded</w:t>
      </w:r>
      <w:r>
        <w:rPr>
          <w:rStyle w:val="Strong"/>
          <w:b w:val="false"/>
          <w:color w:val="000000"/>
          <w:sz w:val="28"/>
          <w:szCs w:val="28"/>
        </w:rPr>
        <w:t>”</w:t>
      </w:r>
      <w:r>
        <w:rPr>
          <w:color w:val="000000"/>
          <w:sz w:val="28"/>
          <w:szCs w:val="28"/>
        </w:rPr>
        <w:t xml:space="preserve"> or </w:t>
      </w:r>
      <w:r>
        <w:rPr>
          <w:rStyle w:val="Strong"/>
          <w:b w:val="false"/>
          <w:color w:val="000000"/>
          <w:sz w:val="28"/>
          <w:szCs w:val="28"/>
        </w:rPr>
        <w:t>“</w:t>
      </w:r>
      <w:r>
        <w:rPr>
          <w:color w:val="000000"/>
          <w:sz w:val="28"/>
          <w:szCs w:val="28"/>
        </w:rPr>
        <w:t>punished</w:t>
      </w:r>
      <w:r>
        <w:rPr>
          <w:rStyle w:val="Strong"/>
          <w:b w:val="false"/>
          <w:color w:val="000000"/>
          <w:sz w:val="28"/>
          <w:szCs w:val="28"/>
        </w:rPr>
        <w:t>”</w:t>
      </w:r>
      <w:r>
        <w:rPr>
          <w:color w:val="000000"/>
          <w:sz w:val="28"/>
          <w:szCs w:val="28"/>
        </w:rPr>
        <w:t xml:space="preserve"> for their actions, their happiness or discomfort is simply a result of their actions. Now let us have a look at the recent tsunami in the light of the doctrine of kamma. </w:t>
      </w:r>
    </w:p>
    <w:p>
      <w:pPr>
        <w:pStyle w:val="Normal"/>
        <w:spacing w:lineRule="auto" w:line="240" w:before="0" w:after="120"/>
        <w:ind w:firstLine="720"/>
        <w:contextualSpacing/>
        <w:jc w:val="both"/>
        <w:rPr>
          <w:color w:val="000000"/>
          <w:sz w:val="28"/>
          <w:szCs w:val="28"/>
        </w:rPr>
      </w:pPr>
      <w:r>
        <w:rPr>
          <w:color w:val="000000"/>
          <w:sz w:val="28"/>
          <w:szCs w:val="28"/>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 – 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Normal"/>
        <w:spacing w:lineRule="auto" w:line="240" w:before="0" w:after="120"/>
        <w:contextualSpacing/>
        <w:jc w:val="both"/>
        <w:rPr>
          <w:color w:val="000000"/>
          <w:sz w:val="28"/>
          <w:szCs w:val="28"/>
        </w:rPr>
      </w:pPr>
      <w:r>
        <w:rPr>
          <w:color w:val="000000"/>
          <w:sz w:val="28"/>
          <w:szCs w:val="28"/>
        </w:rPr>
        <w:t>Kamma concerns peoples’ intentional thoughts, speech and actions (</w:t>
      </w:r>
      <w:r>
        <w:rPr>
          <w:rStyle w:val="Emphasis"/>
          <w:color w:val="000000"/>
          <w:sz w:val="28"/>
          <w:szCs w:val="28"/>
        </w:rPr>
        <w:t>kamma</w:t>
      </w:r>
      <w:r>
        <w:rPr>
          <w:color w:val="000000"/>
          <w:sz w:val="28"/>
          <w:szCs w:val="28"/>
        </w:rPr>
        <w:t>) and the effects of those reactions (</w:t>
      </w:r>
      <w:r>
        <w:rPr>
          <w:rStyle w:val="Emphasis"/>
          <w:color w:val="000000"/>
          <w:sz w:val="28"/>
          <w:szCs w:val="28"/>
        </w:rPr>
        <w:t>vipāka</w:t>
      </w:r>
      <w:r>
        <w:rPr>
          <w:color w:val="000000"/>
          <w:sz w:val="28"/>
          <w:szCs w:val="28"/>
        </w:rPr>
        <w:t xml:space="preserve">). I will give examples of different ways people could react to the tsunami and the effects they could have. Let’s say there are two people – a man and women – both are injured in the tsunami and lose their home and means of livelihood. The man falls into despair, </w:t>
      </w:r>
      <w:r>
        <w:rPr>
          <w:rStyle w:val="Strong"/>
          <w:b w:val="false"/>
          <w:color w:val="000000"/>
          <w:sz w:val="28"/>
          <w:szCs w:val="28"/>
        </w:rPr>
        <w:t>“</w:t>
      </w:r>
      <w:r>
        <w:rPr>
          <w:color w:val="000000"/>
          <w:sz w:val="28"/>
          <w:szCs w:val="28"/>
        </w:rPr>
        <w:t>Why me?</w:t>
      </w:r>
      <w:r>
        <w:rPr>
          <w:rStyle w:val="Strong"/>
          <w:b w:val="false"/>
          <w:color w:val="000000"/>
          <w:sz w:val="28"/>
          <w:szCs w:val="28"/>
        </w:rPr>
        <w:t>”</w:t>
      </w:r>
      <w:r>
        <w:rPr>
          <w:color w:val="000000"/>
          <w:sz w:val="28"/>
          <w:szCs w:val="28"/>
        </w:rPr>
        <w:t xml:space="preserve"> he cries. </w:t>
      </w:r>
      <w:r>
        <w:rPr>
          <w:rStyle w:val="Strong"/>
          <w:b w:val="false"/>
          <w:color w:val="000000"/>
          <w:sz w:val="28"/>
          <w:szCs w:val="28"/>
        </w:rPr>
        <w:t>“</w:t>
      </w:r>
      <w:r>
        <w:rPr>
          <w:color w:val="000000"/>
          <w:sz w:val="28"/>
          <w:szCs w:val="28"/>
        </w:rPr>
        <w:t>If only I had been out of town today</w:t>
      </w:r>
      <w:r>
        <w:rPr>
          <w:rStyle w:val="Strong"/>
          <w:b w:val="false"/>
          <w:color w:val="000000"/>
          <w:sz w:val="28"/>
          <w:szCs w:val="28"/>
        </w:rPr>
        <w:t>”</w:t>
      </w:r>
      <w:r>
        <w:rPr>
          <w:color w:val="000000"/>
          <w:sz w:val="28"/>
          <w:szCs w:val="28"/>
        </w:rPr>
        <w:t xml:space="preserve">, he says in anger and regret. By thinking like this he compounds his suffering. But soon his thoughts change. He notices that his neighbour’s home is little damaged and he thinks: </w:t>
      </w:r>
      <w:r>
        <w:rPr>
          <w:rStyle w:val="Strong"/>
          <w:b w:val="false"/>
          <w:color w:val="000000"/>
          <w:sz w:val="28"/>
          <w:szCs w:val="28"/>
        </w:rPr>
        <w:t>“</w:t>
      </w:r>
      <w:r>
        <w:rPr>
          <w:color w:val="000000"/>
          <w:sz w:val="28"/>
          <w:szCs w:val="28"/>
        </w:rPr>
        <w:t>That dog! I never liked him. It’s a pity his house wasn’t destroyed.</w:t>
      </w:r>
      <w:r>
        <w:rPr>
          <w:rStyle w:val="Strong"/>
          <w:b w:val="false"/>
          <w:color w:val="000000"/>
          <w:sz w:val="28"/>
          <w:szCs w:val="28"/>
        </w:rPr>
        <w:t>”</w:t>
      </w:r>
      <w:r>
        <w:rPr>
          <w:color w:val="000000"/>
          <w:sz w:val="28"/>
          <w:szCs w:val="28"/>
        </w:rPr>
        <w:t xml:space="preserve"> He is further compounding his suffering as well as reinforcing ugly and negative states of mind. Later he thinks: </w:t>
      </w:r>
      <w:r>
        <w:rPr>
          <w:rStyle w:val="Strong"/>
          <w:b w:val="false"/>
          <w:color w:val="000000"/>
          <w:sz w:val="28"/>
          <w:szCs w:val="28"/>
        </w:rPr>
        <w:t>“</w:t>
      </w:r>
      <w:r>
        <w:rPr>
          <w:color w:val="000000"/>
          <w:sz w:val="28"/>
          <w:szCs w:val="28"/>
        </w:rPr>
        <w:t>Well, it’s every man for himself</w:t>
      </w:r>
      <w:r>
        <w:rPr>
          <w:rStyle w:val="Strong"/>
          <w:b w:val="false"/>
          <w:color w:val="000000"/>
          <w:sz w:val="28"/>
          <w:szCs w:val="28"/>
        </w:rPr>
        <w:t>”</w:t>
      </w:r>
      <w:r>
        <w:rPr>
          <w:color w:val="000000"/>
          <w:sz w:val="28"/>
          <w:szCs w:val="28"/>
        </w:rPr>
        <w:t xml:space="preserve">,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Normal"/>
        <w:spacing w:lineRule="auto" w:line="240" w:before="0" w:after="120"/>
        <w:contextualSpacing/>
        <w:jc w:val="both"/>
        <w:rPr>
          <w:color w:val="000000"/>
          <w:sz w:val="28"/>
          <w:szCs w:val="28"/>
        </w:rPr>
      </w:pPr>
      <w:r>
        <w:rPr>
          <w:color w:val="000000"/>
          <w:sz w:val="28"/>
          <w:szCs w:val="28"/>
        </w:rPr>
        <w:t xml:space="preserve">Now let us have a look at the woman’s reactions. After she recovers from the initial trauma her first thought is: </w:t>
      </w:r>
      <w:r>
        <w:rPr>
          <w:rStyle w:val="Strong"/>
          <w:b w:val="false"/>
          <w:color w:val="000000"/>
          <w:sz w:val="28"/>
          <w:szCs w:val="28"/>
        </w:rPr>
        <w:t>“</w:t>
      </w:r>
      <w:r>
        <w:rPr>
          <w:color w:val="000000"/>
          <w:sz w:val="28"/>
          <w:szCs w:val="28"/>
        </w:rPr>
        <w:t>How fortunate I am to have survived.</w:t>
      </w:r>
      <w:r>
        <w:rPr>
          <w:rStyle w:val="Strong"/>
          <w:b w:val="false"/>
          <w:color w:val="000000"/>
          <w:sz w:val="28"/>
          <w:szCs w:val="28"/>
        </w:rPr>
        <w:t>”</w:t>
      </w:r>
      <w:r>
        <w:rPr>
          <w:color w:val="000000"/>
          <w:sz w:val="28"/>
          <w:szCs w:val="28"/>
        </w:rPr>
        <w:t xml:space="preserve"> She has suffered but she has not added to her suffering by being regretful, despairing or angry. Then she thinks: </w:t>
      </w:r>
      <w:r>
        <w:rPr>
          <w:rStyle w:val="Strong"/>
          <w:b w:val="false"/>
          <w:color w:val="000000"/>
          <w:sz w:val="28"/>
          <w:szCs w:val="28"/>
        </w:rPr>
        <w:t>“</w:t>
      </w:r>
      <w:r>
        <w:rPr>
          <w:color w:val="000000"/>
          <w:sz w:val="28"/>
          <w:szCs w:val="28"/>
        </w:rPr>
        <w:t>There must be others much worse off than me. I</w:t>
      </w:r>
      <w:r>
        <w:rPr>
          <w:rStyle w:val="Strong"/>
          <w:b w:val="false"/>
          <w:color w:val="000000"/>
          <w:sz w:val="28"/>
          <w:szCs w:val="28"/>
        </w:rPr>
        <w:t>’</w:t>
      </w:r>
      <w:r>
        <w:rPr>
          <w:color w:val="000000"/>
          <w:sz w:val="28"/>
          <w:szCs w:val="28"/>
        </w:rPr>
        <w:t>ll</w:t>
      </w:r>
      <w:r>
        <w:rPr>
          <w:rStyle w:val="Strong"/>
          <w:b w:val="false"/>
          <w:color w:val="000000"/>
          <w:sz w:val="28"/>
          <w:szCs w:val="28"/>
        </w:rPr>
        <w:t xml:space="preserve"> </w:t>
      </w:r>
      <w:r>
        <w:rPr>
          <w:color w:val="000000"/>
          <w:sz w:val="28"/>
          <w:szCs w:val="28"/>
        </w:rPr>
        <w:t>see what I can do to help,</w:t>
      </w:r>
      <w:r>
        <w:rPr>
          <w:rStyle w:val="Strong"/>
          <w:b w:val="false"/>
          <w:color w:val="000000"/>
          <w:sz w:val="28"/>
          <w:szCs w:val="28"/>
        </w:rPr>
        <w:t>”</w:t>
      </w:r>
      <w:r>
        <w:rPr>
          <w:color w:val="000000"/>
          <w:sz w:val="28"/>
          <w:szCs w:val="28"/>
        </w:rPr>
        <w:t xml:space="preserve">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Normal"/>
        <w:spacing w:lineRule="auto" w:line="240" w:before="0" w:after="120"/>
        <w:ind w:firstLine="720"/>
        <w:contextualSpacing/>
        <w:jc w:val="both"/>
        <w:rPr>
          <w:color w:val="000000"/>
          <w:sz w:val="28"/>
          <w:szCs w:val="28"/>
        </w:rPr>
      </w:pPr>
      <w:r>
        <w:rPr>
          <w:color w:val="000000"/>
          <w:sz w:val="28"/>
          <w:szCs w:val="28"/>
        </w:rPr>
        <w:t>Now why did the man react in one way and the woman in another? Because of how they have reacted to their various experiences in the past, i.e. because of their past kamma. The man’s negative mental habits in the past (</w:t>
      </w:r>
      <w:r>
        <w:rPr>
          <w:rStyle w:val="Emphasis"/>
          <w:color w:val="000000"/>
          <w:sz w:val="28"/>
          <w:szCs w:val="28"/>
        </w:rPr>
        <w:t>kamma</w:t>
      </w:r>
      <w:r>
        <w:rPr>
          <w:color w:val="000000"/>
          <w:sz w:val="28"/>
          <w:szCs w:val="28"/>
        </w:rPr>
        <w:t>) have meant that he has negative mental habits now and these in turn make it more likely that he will have negative mental habits in the future. These mental habits make him suffer more than he would have otherwise (</w:t>
      </w:r>
      <w:r>
        <w:rPr>
          <w:rStyle w:val="Emphasis"/>
          <w:color w:val="000000"/>
          <w:sz w:val="28"/>
          <w:szCs w:val="28"/>
        </w:rPr>
        <w:t>vipāka</w:t>
      </w:r>
      <w:r>
        <w:rPr>
          <w:color w:val="000000"/>
          <w:sz w:val="28"/>
          <w:szCs w:val="28"/>
        </w:rPr>
        <w:t>). The woman (she might be a Buddhist, a Christian,   or of no religion) has been taught and has always believed that it is important to have a good thoughts and actions and has always tried to cultivate them. Her positive mental habits in the past (</w:t>
      </w:r>
      <w:r>
        <w:rPr>
          <w:rStyle w:val="Emphasis"/>
          <w:color w:val="000000"/>
          <w:sz w:val="28"/>
          <w:szCs w:val="28"/>
        </w:rPr>
        <w:t>kamma</w:t>
      </w:r>
      <w:r>
        <w:rPr>
          <w:color w:val="000000"/>
          <w:sz w:val="28"/>
          <w:szCs w:val="28"/>
        </w:rPr>
        <w:t>) have meant that she has positive mental habits now, and these in turn make it more likely that she will have positive mental habits in the future. These mental habits minimized her suffering and led to her being looked after by the father of the child. In other words, her positive past actions (</w:t>
      </w:r>
      <w:r>
        <w:rPr>
          <w:rStyle w:val="Emphasis"/>
          <w:color w:val="000000"/>
          <w:sz w:val="28"/>
          <w:szCs w:val="28"/>
        </w:rPr>
        <w:t>kamma</w:t>
      </w:r>
      <w:r>
        <w:rPr>
          <w:color w:val="000000"/>
          <w:sz w:val="28"/>
          <w:szCs w:val="28"/>
        </w:rPr>
        <w:t>) have had a positive effect (</w:t>
      </w:r>
      <w:r>
        <w:rPr>
          <w:rStyle w:val="Emphasis"/>
          <w:color w:val="000000"/>
          <w:sz w:val="28"/>
          <w:szCs w:val="28"/>
        </w:rPr>
        <w:t>vipāka</w:t>
      </w:r>
      <w:r>
        <w:rPr>
          <w:color w:val="000000"/>
          <w:sz w:val="28"/>
          <w:szCs w:val="28"/>
        </w:rPr>
        <w:t>) now.</w:t>
      </w:r>
    </w:p>
    <w:p>
      <w:pPr>
        <w:pStyle w:val="Normal"/>
        <w:spacing w:lineRule="auto" w:line="240" w:before="0" w:after="120"/>
        <w:ind w:firstLine="720"/>
        <w:contextualSpacing/>
        <w:jc w:val="both"/>
        <w:rPr>
          <w:color w:val="000000"/>
          <w:sz w:val="28"/>
          <w:szCs w:val="28"/>
        </w:rPr>
      </w:pPr>
      <w:r>
        <w:rPr>
          <w:color w:val="000000"/>
          <w:sz w:val="28"/>
          <w:szCs w:val="28"/>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Emphasis"/>
          <w:color w:val="000000"/>
          <w:sz w:val="28"/>
          <w:szCs w:val="28"/>
        </w:rPr>
        <w:t>vipāka</w:t>
      </w:r>
      <w:r>
        <w:rPr>
          <w:color w:val="000000"/>
          <w:sz w:val="28"/>
          <w:szCs w:val="28"/>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Normal"/>
        <w:spacing w:lineRule="auto" w:line="240" w:before="0" w:after="120"/>
        <w:ind w:firstLine="720"/>
        <w:contextualSpacing/>
        <w:jc w:val="both"/>
        <w:rPr>
          <w:color w:val="000000"/>
          <w:sz w:val="28"/>
          <w:szCs w:val="28"/>
        </w:rPr>
      </w:pPr>
      <w:r>
        <w:rPr>
          <w:color w:val="000000"/>
          <w:sz w:val="28"/>
          <w:szCs w:val="28"/>
        </w:rPr>
        <w:t xml:space="preserve">The news is full of examples of both. People ask: </w:t>
      </w:r>
      <w:r>
        <w:rPr>
          <w:rStyle w:val="Strong"/>
          <w:b w:val="false"/>
          <w:color w:val="000000"/>
          <w:sz w:val="28"/>
          <w:szCs w:val="28"/>
        </w:rPr>
        <w:t>“</w:t>
      </w:r>
      <w:r>
        <w:rPr>
          <w:color w:val="000000"/>
          <w:sz w:val="28"/>
          <w:szCs w:val="28"/>
        </w:rPr>
        <w:t>How is it possible to remain free from grief, anxiety and fear under such terrible circumstances?</w:t>
      </w:r>
      <w:r>
        <w:rPr>
          <w:rStyle w:val="Strong"/>
          <w:b w:val="false"/>
          <w:color w:val="000000"/>
          <w:sz w:val="28"/>
          <w:szCs w:val="28"/>
        </w:rPr>
        <w:t>”</w:t>
      </w:r>
      <w:r>
        <w:rPr>
          <w:color w:val="000000"/>
          <w:sz w:val="28"/>
          <w:szCs w:val="28"/>
        </w:rPr>
        <w:t xml:space="preserve"> But some people do. A man in Sri Lanka lost his wife and two children and of course must have been devastated. However, being a practicing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t>
      </w:r>
      <w:r>
        <w:rPr>
          <w:rStyle w:val="Strong"/>
          <w:b w:val="false"/>
          <w:color w:val="000000"/>
          <w:sz w:val="28"/>
          <w:szCs w:val="28"/>
        </w:rPr>
        <w:t>“</w:t>
      </w:r>
      <w:r>
        <w:rPr>
          <w:color w:val="000000"/>
          <w:sz w:val="28"/>
          <w:szCs w:val="28"/>
        </w:rPr>
        <w:t>Why did he suffer despite his good deeds?</w:t>
      </w:r>
      <w:r>
        <w:rPr>
          <w:rStyle w:val="Strong"/>
          <w:b w:val="false"/>
          <w:color w:val="000000"/>
          <w:sz w:val="28"/>
          <w:szCs w:val="28"/>
        </w:rPr>
        <w:t>”</w:t>
      </w:r>
      <w:r>
        <w:rPr>
          <w:color w:val="000000"/>
          <w:sz w:val="28"/>
          <w:szCs w:val="28"/>
        </w:rPr>
        <w:t xml:space="preserve">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 – it was a result of natural causation – 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Devadaha Sutta (M.II,214, also A.I,173) the Buddha says that the belief that every experience we have is due to past kamma (</w:t>
      </w:r>
      <w:r>
        <w:rPr>
          <w:rStyle w:val="Emphasis"/>
          <w:color w:val="000000"/>
          <w:sz w:val="28"/>
          <w:szCs w:val="28"/>
        </w:rPr>
        <w:t>sabba</w:t>
      </w:r>
      <w:r>
        <w:rPr>
          <w:i/>
          <w:color w:val="000000"/>
          <w:sz w:val="28"/>
          <w:szCs w:val="28"/>
        </w:rPr>
        <w:t>ṁ</w:t>
      </w:r>
      <w:r>
        <w:rPr>
          <w:rStyle w:val="Emphasis"/>
          <w:color w:val="000000"/>
          <w:sz w:val="28"/>
          <w:szCs w:val="28"/>
        </w:rPr>
        <w:t xml:space="preserve"> ta</w:t>
      </w:r>
      <w:r>
        <w:rPr>
          <w:i/>
          <w:color w:val="000000"/>
          <w:sz w:val="28"/>
          <w:szCs w:val="28"/>
        </w:rPr>
        <w:t>ṁ</w:t>
      </w:r>
      <w:r>
        <w:rPr>
          <w:rStyle w:val="Emphasis"/>
          <w:color w:val="000000"/>
          <w:sz w:val="28"/>
          <w:szCs w:val="28"/>
        </w:rPr>
        <w:t xml:space="preserve"> pubbe katahetu</w:t>
      </w:r>
      <w:r>
        <w:rPr>
          <w:color w:val="000000"/>
          <w:sz w:val="28"/>
          <w:szCs w:val="28"/>
        </w:rPr>
        <w:t xml:space="preserve">) is a wrong and false view. In the Sivaka Sutta (S. IV,228)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Normal"/>
        <w:spacing w:lineRule="auto" w:line="240" w:before="0" w:after="120"/>
        <w:ind w:firstLine="720"/>
        <w:contextualSpacing/>
        <w:jc w:val="both"/>
        <w:rPr>
          <w:color w:val="000000"/>
          <w:sz w:val="28"/>
          <w:szCs w:val="28"/>
        </w:rPr>
      </w:pPr>
      <w:r>
        <w:rPr>
          <w:color w:val="000000"/>
          <w:sz w:val="28"/>
          <w:szCs w:val="28"/>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she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Emphasis"/>
          <w:color w:val="000000"/>
          <w:sz w:val="28"/>
          <w:szCs w:val="28"/>
        </w:rPr>
        <w:t>dukkha</w:t>
      </w:r>
      <w:r>
        <w:rPr>
          <w:color w:val="000000"/>
          <w:sz w:val="28"/>
          <w:szCs w:val="28"/>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Chapter"/>
        <w:spacing w:before="0" w:after="567"/>
        <w:ind w:hanging="0" w:start="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 w:name="Source Serif Pro">
    <w:charset w:val="00" w:characterSet="windows-125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Although killing one’s parents or an </w:t>
      </w:r>
      <w:r>
        <w:rPr>
          <w:rStyle w:val="wwc-pali"/>
        </w:rPr>
        <w:t>arahant</w:t>
      </w:r>
      <w:r>
        <w:rPr/>
        <w:t>, injuring a Buddha or causing a schism in the Sa</w:t>
      </w:r>
      <w:r>
        <w:rPr/>
        <w:t>ṅ</w:t>
      </w:r>
      <w:r>
        <w:rPr/>
        <w:t>gha, are mentioned in the Nikāyas as very negative kamma, they are nowhere specifically said to be deeds of immediate and fixed consequence (</w:t>
      </w:r>
      <w:r>
        <w:rPr>
          <w:rStyle w:val="wwc-pali"/>
        </w:rPr>
        <w:t>ānantariya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 xml:space="preserve">AN </w:t>
      </w:r>
      <w:r>
        <w:rPr>
          <w:rStyle w:val="Hyperlink"/>
        </w:rPr>
        <w:fldChar w:fldCharType="end"/>
      </w:r>
      <w:r>
        <w:rPr>
          <w:rStyle w:val="Hyperlink"/>
        </w:rPr>
        <w:t>1.268-277</w:t>
      </w:r>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3">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4">
    <w:p>
      <w:pPr>
        <w:pStyle w:val="FootnoteText"/>
        <w:spacing w:before="170" w:after="0"/>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5">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A profound spiritual state experienced through intensive meditation. The Buddha divided it into four stages, each one more refined than the one before it.</w:t>
      </w:r>
    </w:p>
  </w:footnote>
  <w:footnote w:id="6">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 second of the four stages leading to awakening.</w:t>
      </w:r>
    </w:p>
  </w:footnote>
  <w:footnote w:id="7">
    <w:p>
      <w:pPr>
        <w:pStyle w:val="FootnoteText"/>
        <w:spacing w:before="170" w:after="0"/>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8">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9">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The third of the four states leading to awakening.</w:t>
      </w:r>
    </w:p>
  </w:footnote>
  <w:footnote w:id="10">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The Śūraṅgama Sūtra is an 8th century Chinese forgery and should not be confused with the Śūraṁgamasamādhi Sūtra. See </w:t>
      </w:r>
      <w:r>
        <w:rPr>
          <w:rStyle w:val="wwc-sesame-zot-reference"/>
        </w:rPr>
        <w:t>Lamotte 1998</w:t>
      </w:r>
      <w:r>
        <w:rPr/>
        <w:t xml:space="preserve">, p.98.  </w:t>
      </w:r>
    </w:p>
  </w:footnote>
  <w:footnote w:id="11">
    <w:p>
      <w:pPr>
        <w:pStyle w:val="FootnoteText"/>
        <w:bidi w:val="0"/>
        <w:spacing w:before="170" w:after="0"/>
        <w:rPr/>
      </w:pPr>
      <w:r>
        <w:rPr>
          <w:rStyle w:val="FootnoteCharacters"/>
        </w:rPr>
        <w:footnoteRef/>
      </w:r>
      <w:r>
        <w:rPr>
          <w:rStyle w:val="wwc-sesame"/>
        </w:rPr>
        <w:t>Humphreys 1978</w:t>
      </w:r>
      <w:r>
        <w:rPr/>
        <w:t xml:space="preserve">,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honors the sword so highly that he says that he himself has instituted it (Rom.13:1) and does not want men to say or think that they have invented it or instituted it. For the hand that wields this sword and kills with it is not man’s hand, but God’s; and it is not man, but God, who hangs, tortures, beheads, kills, and fights. All these are God’s works and judgments.” </w:t>
      </w:r>
      <w:r>
        <w:rPr>
          <w:rStyle w:val="wwc-sesame"/>
        </w:rPr>
        <w:t>Luther</w:t>
      </w:r>
      <w:r>
        <w:rPr>
          <w:rStyle w:val="wwc-sesame"/>
        </w:rPr>
        <w:t xml:space="preserve"> 1526</w:t>
      </w:r>
      <w:r>
        <w:rPr/>
        <w:t>.</w:t>
      </w:r>
    </w:p>
    <w:p>
      <w:pPr>
        <w:pStyle w:val="FootnoteText"/>
        <w:rPr/>
      </w:pPr>
      <w:r>
        <w:rPr/>
      </w:r>
    </w:p>
  </w:footnote>
  <w:footnote w:id="12">
    <w:p>
      <w:pPr>
        <w:pStyle w:val="FootnoteText"/>
        <w:spacing w:before="170" w:after="0"/>
        <w:rPr>
          <w:lang w:val="en-GB"/>
        </w:rPr>
      </w:pPr>
      <w:r>
        <w:rPr>
          <w:rStyle w:val="FootnoteCharacters"/>
        </w:rPr>
        <w:footnoteRef/>
      </w:r>
      <w:r>
        <w:rPr/>
        <w:t xml:space="preserve"> </w:t>
      </w:r>
      <w:r>
        <w:rPr/>
        <w:t>See</w:t>
      </w:r>
      <w:r>
        <w:rPr/>
        <w:t xml:space="preserve"> </w:t>
      </w:r>
      <w:r>
        <w:rPr>
          <w:rStyle w:val="wwc-sesame"/>
        </w:rPr>
        <w:t xml:space="preserve">Jackson </w:t>
      </w:r>
      <w:r>
        <w:rPr>
          <w:rStyle w:val="wwc-sesame"/>
        </w:rPr>
        <w:t>2003</w:t>
      </w:r>
    </w:p>
  </w:footnote>
  <w:footnote w:id="13">
    <w:p>
      <w:pPr>
        <w:pStyle w:val="FootnoteText"/>
        <w:spacing w:lineRule="auto" w:line="240" w:before="170" w:after="0"/>
        <w:rPr>
          <w:lang w:val="en-MY"/>
        </w:rPr>
      </w:pPr>
      <w:r>
        <w:rPr>
          <w:rStyle w:val="FootnoteCharacters"/>
        </w:rPr>
        <w:footnoteRef/>
      </w:r>
      <w:r>
        <w:rPr/>
        <w:t xml:space="preserve"> </w:t>
      </w:r>
      <w:r>
        <w:rPr/>
        <w:t xml:space="preserve">Sarvadarśanasaṁgraha, </w:t>
      </w:r>
      <w:r>
        <w:rPr>
          <w:i/>
        </w:rPr>
        <w:t>Bibilotheca Indica</w:t>
      </w:r>
      <w:r>
        <w:rPr/>
        <w:t xml:space="preserve">, 1858, p.10.  </w:t>
      </w:r>
    </w:p>
  </w:footnote>
  <w:footnote w:id="14">
    <w:p>
      <w:pPr>
        <w:pStyle w:val="FootnoteText"/>
        <w:spacing w:before="170" w:after="0"/>
        <w:rPr>
          <w:color w:val="000000"/>
          <w:lang w:val="en-MY"/>
        </w:rPr>
      </w:pPr>
      <w:r>
        <w:rPr>
          <w:rStyle w:val="FootnoteCharacters"/>
        </w:rPr>
        <w:footnoteRef/>
      </w:r>
      <w:r>
        <w:rPr>
          <w:color w:val="000000"/>
        </w:rPr>
        <w:t xml:space="preserve"> </w:t>
      </w:r>
      <w:r>
        <w:rPr>
          <w:i/>
          <w:color w:val="000000"/>
        </w:rPr>
        <w:t>Wheel of Great Compassion: The Practice of the Prayer Wheel in Tibetan Buddhism</w:t>
      </w:r>
      <w:r>
        <w:rPr>
          <w:color w:val="000000"/>
        </w:rPr>
        <w:t>, Lorna Ladner, 2000, p.ix. Breaking the four root vows (</w:t>
      </w:r>
      <w:r>
        <w:rPr>
          <w:i/>
          <w:color w:val="000000"/>
        </w:rPr>
        <w:t>pārājika</w:t>
      </w:r>
      <w:r>
        <w:rPr>
          <w:color w:val="000000"/>
        </w:rPr>
        <w:t>) involves committing murder, sexual intercourse, theft and creating a schism in the Sa</w:t>
      </w:r>
      <w:r>
        <w:rPr>
          <w:color w:val="000000"/>
        </w:rPr>
        <w:t>ṅ</w:t>
      </w:r>
      <w:r>
        <w:rPr>
          <w:color w:val="000000"/>
        </w:rPr>
        <w:t>gha.</w:t>
      </w:r>
    </w:p>
  </w:footnote>
  <w:footnote w:id="15">
    <w:p>
      <w:pPr>
        <w:pStyle w:val="FootnoteText"/>
        <w:spacing w:before="170" w:after="0"/>
        <w:rPr>
          <w:lang w:val="en-MY"/>
        </w:rPr>
      </w:pPr>
      <w:r>
        <w:rPr>
          <w:rStyle w:val="FootnoteCharacters"/>
        </w:rPr>
        <w:footnoteRef/>
      </w:r>
      <w:r>
        <w:rPr/>
        <w:t xml:space="preserve"> </w:t>
      </w:r>
      <w:r>
        <w:rPr/>
        <w:t xml:space="preserve">On crypto-amnesia see Ian Wilson’s </w:t>
      </w:r>
      <w:r>
        <w:rPr>
          <w:i/>
        </w:rPr>
        <w:t>Mind Out of Time: Reincarnation Investigated</w:t>
      </w:r>
      <w:r>
        <w:rPr/>
        <w:t>, 1981.</w:t>
      </w:r>
    </w:p>
  </w:footnote>
  <w:footnote w:id="16">
    <w:p>
      <w:pPr>
        <w:pStyle w:val="FootnoteText"/>
        <w:widowControl/>
        <w:suppressLineNumbers/>
        <w:suppressAutoHyphens w:val="true"/>
        <w:overflowPunct w:val="false"/>
        <w:bidi w:val="0"/>
        <w:spacing w:before="170" w:after="0"/>
        <w:ind w:hanging="340" w:start="340"/>
        <w:jc w:val="start"/>
        <w:rPr/>
      </w:pPr>
      <w:r>
        <w:rPr>
          <w:rStyle w:val="FootnoteCharacters"/>
        </w:rPr>
        <w:footnoteRef/>
      </w:r>
      <w:r>
        <w:rPr/>
        <w:t xml:space="preserve"> </w:t>
      </w:r>
      <w:r>
        <w:rPr/>
        <w:t xml:space="preserve">Paul Edwards, </w:t>
      </w:r>
      <w:r>
        <w:rPr>
          <w:i/>
        </w:rPr>
        <w:t>Reincarnation: A Critical Examination</w:t>
      </w:r>
      <w:r>
        <w:rPr/>
        <w:t xml:space="preserve">, 1996; C. J. Ducasse, </w:t>
      </w:r>
      <w:r>
        <w:rPr>
          <w:i/>
        </w:rPr>
        <w:t>A Critical Examination of the Belief in a Life after Death</w:t>
      </w:r>
      <w:r>
        <w:rPr/>
        <w:t xml:space="preserve">, 1961; John McTaggart, </w:t>
      </w:r>
      <w:r>
        <w:rPr>
          <w:i/>
        </w:rPr>
        <w:t>Human Immortality and Pre-existence</w:t>
      </w:r>
      <w:r>
        <w:rPr/>
        <w:t xml:space="preserve">, 1916; Susan Blackmore, </w:t>
      </w:r>
      <w:r>
        <w:rPr>
          <w:i/>
        </w:rPr>
        <w:t>Dying to Live: Science and the Near-death Experience</w:t>
      </w:r>
      <w:r>
        <w:rPr/>
        <w:t>,1993.</w:t>
      </w:r>
    </w:p>
  </w:footnote>
</w:footnotes>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17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entrydetail">
    <w:name w:val="entrydetail"/>
    <w:basedOn w:val="Normal"/>
    <w:qFormat/>
    <w:pPr>
      <w:spacing w:lineRule="auto" w:line="240" w:beforeAutospacing="1" w:afterAutospacing="1"/>
    </w:pPr>
    <w:rPr>
      <w:color w:val="F10D0C"/>
      <w:sz w:val="32"/>
      <w:szCs w:val="24"/>
    </w:rPr>
  </w:style>
  <w:style w:type="numbering" w:styleId="Bullet">
    <w:name w:val="Bullet •"/>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an4.135/en/sujato"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https://suttacentral.net/" TargetMode="External"/><Relationship Id="rId22" Type="http://schemas.openxmlformats.org/officeDocument/2006/relationships/hyperlink" Target="https://suttacentral.net/mil3.7.2" TargetMode="External"/><Relationship Id="rId23" Type="http://schemas.openxmlformats.org/officeDocument/2006/relationships/footnotes" Target="footnotes.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6948</TotalTime>
  <Application>LibreOffice/25.2.4.3$Windows_X86_64 LibreOffice_project/33e196637044ead23f5c3226cde09b47731f7e27</Application>
  <AppVersion>15.0000</AppVersion>
  <Pages>76</Pages>
  <Words>32611</Words>
  <Characters>157813</Characters>
  <CharactersWithSpaces>190324</CharactersWithSpaces>
  <Paragraphs>497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2025-07-28T15:18:55Z</dcterms:modified>
  <cp:revision>881</cp:revision>
  <dc:subject/>
  <dc:title/>
</cp:coreProperties>
</file>

<file path=docProps/custom.xml><?xml version="1.0" encoding="utf-8"?>
<Properties xmlns="http://schemas.openxmlformats.org/officeDocument/2006/custom-properties" xmlns:vt="http://schemas.openxmlformats.org/officeDocument/2006/docPropsVTypes"/>
</file>