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sanskrit"/>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 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rStyle w:val="wwc-list-margin"/>
        </w:rPr>
        <w:t>1</w:t>
      </w:r>
      <w:r>
        <w:rPr/>
        <w:t xml:space="preserve">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rStyle w:val="wwc-list-margin"/>
        </w:rPr>
        <w:t>2</w:t>
      </w:r>
      <w:r>
        <w:rPr/>
        <w:t xml:space="preserve">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rStyle w:val="wwc-list-margin"/>
        </w:rPr>
        <w:t>3</w:t>
      </w:r>
      <w:r>
        <w:rPr/>
        <w:t xml:space="preserve">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rStyle w:val="wwc-list-margin"/>
        </w:rPr>
        <w:t>4</w:t>
      </w:r>
      <w:r>
        <w:rPr/>
        <w:t xml:space="preserve">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rStyle w:val="wwc-list-margin"/>
        </w:rPr>
        <w:t>5</w:t>
      </w:r>
      <w:r>
        <w:rPr/>
        <w:t xml:space="preserv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rStyle w:val="wwc-list-margin"/>
        </w:rPr>
        <w:t>6</w:t>
      </w:r>
      <w:r>
        <w:rPr/>
        <w:t xml:space="preserve">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6.63:36.1–36.4</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xml:space="preserve">, </w:t>
      </w:r>
      <w:hyperlink r:id="rId18">
        <w:r>
          <w:rPr>
            <w:rStyle w:val="Hyperlink"/>
          </w:rPr>
          <w:t>MN 47:5.1–5.5, 12.1–12.3</w:t>
        </w:r>
      </w:hyperlink>
      <w:r>
        <w:rPr/>
        <w:t xml:space="preserve"> </w:t>
      </w:r>
      <w:r>
        <w:rPr>
          <w:rStyle w:val="wwc-PTS-reference"/>
        </w:rPr>
        <w:t>M.I,318</w:t>
      </w:r>
      <w:r>
        <w:rPr/>
        <w:t>).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w:t>
      </w:r>
    </w:p>
    <w:p>
      <w:pPr>
        <w:pStyle w:val="WW-blockquote"/>
        <w:rPr/>
      </w:pPr>
      <w:r>
        <w:rPr>
          <w:rStyle w:val="wwc-list-margin"/>
        </w:rPr>
        <w:t>1</w:t>
      </w:r>
      <w:r>
        <w:rPr/>
        <w:t xml:space="preserve"> And how is a person blameworthy? Here, a person engages in blameworthy bodily, verbal and mental kamma. </w:t>
      </w:r>
    </w:p>
    <w:p>
      <w:pPr>
        <w:pStyle w:val="WW-blockquote"/>
        <w:rPr/>
      </w:pPr>
      <w:r>
        <w:rPr>
          <w:rStyle w:val="wwc-list-margin"/>
        </w:rPr>
        <w:t>2</w:t>
      </w:r>
      <w:r>
        <w:rPr>
          <w:rStyle w:val="Emphasis"/>
        </w:rPr>
        <w:t xml:space="preserve"> </w:t>
      </w:r>
      <w:r>
        <w:rPr/>
        <w:t xml:space="preserve">And how is a person mostly blameworthy? Here, at person engages in bodily, verbal and mental kamma that is mainly blameworthy. </w:t>
      </w:r>
    </w:p>
    <w:p>
      <w:pPr>
        <w:pStyle w:val="WW-blockquote"/>
        <w:rPr/>
      </w:pPr>
      <w:r>
        <w:rPr>
          <w:rStyle w:val="wwc-list-margin"/>
        </w:rPr>
        <w:t>3</w:t>
      </w:r>
      <w:r>
        <w:rPr/>
        <w:t xml:space="preserve"> And how is a person slightly blameworthy? Here, a person engages in bodily verbal and mental kamma that is slightly blameworthy. </w:t>
      </w:r>
    </w:p>
    <w:p>
      <w:pPr>
        <w:pStyle w:val="WW-blockquote"/>
        <w:rPr/>
      </w:pPr>
      <w:r>
        <w:rPr>
          <w:rStyle w:val="wwc-list-margin"/>
        </w:rPr>
        <w:t>4</w:t>
      </w:r>
      <w:r>
        <w:rPr/>
        <w:t xml:space="preserve"> And how is a person blameless? Here, a person engages in blameless bodily, blameless verbal and blameless mental action. </w:t>
      </w:r>
    </w:p>
    <w:p>
      <w:pPr>
        <w:pStyle w:val="WW-blockquote"/>
        <w:rPr/>
      </w:pPr>
      <w:r>
        <w:rPr/>
        <w:t xml:space="preserve">These are the four kinds of persons found existing in the world. </w:t>
      </w:r>
    </w:p>
    <w:p>
      <w:pPr>
        <w:pStyle w:val="WW-tight-right-cite"/>
        <w:rPr/>
      </w:pPr>
      <w:hyperlink r:id="rId19">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that leads to the destruction of kamma. These are the four kinds of kamma proclaimed by me after I realised them for myself with direct knowledge. </w:t>
      </w:r>
    </w:p>
    <w:p>
      <w:pPr>
        <w:pStyle w:val="WW-tight-right-cite"/>
        <w:rPr/>
      </w:pPr>
      <w:hyperlink r:id="rId20">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1">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w:t>
      </w:r>
      <w:hyperlink r:id="rId22">
        <w:r>
          <w:rPr>
            <w:rStyle w:val="Hyperlink"/>
          </w:rPr>
          <w:t>AN 10.104</w:t>
        </w:r>
      </w:hyperlink>
      <w:r>
        <w:rPr/>
        <w:t xml:space="preserve"> </w:t>
      </w:r>
      <w:r>
        <w:rPr>
          <w:rStyle w:val="wwc-PTS-reference"/>
        </w:rPr>
        <w:t>A.V,213</w:t>
      </w:r>
      <w:r>
        <w:rPr/>
        <w:t xml:space="preserve">).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122</w:t>
      </w:r>
      <w:r>
        <w:rPr>
          <w:rStyle w:val="Hyperlink"/>
        </w:rPr>
        <w:fldChar w:fldCharType="end"/>
      </w:r>
    </w:p>
    <w:p>
      <w:pPr>
        <w:pStyle w:val="WW-blockquote"/>
        <w:rPr/>
      </w:pPr>
      <w:r>
        <w:rPr/>
        <w:t xml:space="preserve">Whatever one thinks about and ruminates over often the mind gets a leaning in that way. If one frequently thinks about and ruminates over desire, ill-will or cruelty, thoughts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rStyle w:val="wwc-list-margin"/>
        </w:rPr>
        <w:t>(a)</w:t>
      </w:r>
      <w:r>
        <w:rPr/>
        <w:t xml:space="preserve">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rStyle w:val="wwc-list-margin"/>
        </w:rPr>
        <w:t>(b)</w:t>
      </w:r>
      <w:r>
        <w:rPr/>
        <w:t xml:space="preserve">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rStyle w:val="wwc-list-margin"/>
        </w:rPr>
        <w:t>(c)</w:t>
      </w:r>
      <w:r>
        <w:rPr/>
        <w:t xml:space="preserve">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rStyle w:val="wwc-list-margin"/>
        </w:rPr>
        <w:t>(d)</w:t>
      </w:r>
      <w:r>
        <w:rPr/>
        <w:t xml:space="preserve">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rStyle w:val="wwc-list-margin"/>
        </w:rPr>
        <w:t>(e)</w:t>
      </w:r>
      <w:r>
        <w:rPr/>
        <w:t xml:space="preserv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rStyle w:val="wwc-list-margin"/>
        </w:rPr>
        <w:t>(f)</w:t>
      </w:r>
      <w:r>
        <w:rPr/>
        <w:t xml:space="preserve">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rStyle w:val="wwc-list-margin"/>
        </w:rPr>
        <w:t>(g)</w:t>
      </w:r>
      <w:r>
        <w:rPr/>
        <w:t xml:space="preserve">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rStyle w:val="wwc-list-margin"/>
        </w:rPr>
        <w:t>(h)</w:t>
      </w:r>
      <w:r>
        <w:rPr/>
        <w:t xml:space="preserve">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rStyle w:val="wwc-list-margin"/>
        </w:rPr>
        <w:t>(i)</w:t>
      </w:r>
      <w:r>
        <w:rPr/>
        <w:t xml:space="preserve">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rStyle w:val="wwc-list-margin"/>
        </w:rPr>
        <w:t>1</w:t>
      </w:r>
      <w:r>
        <w:rPr/>
        <w:t xml:space="preserve">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It is in this way that impurity by body is threefold. </w:t>
      </w:r>
    </w:p>
    <w:p>
      <w:pPr>
        <w:pStyle w:val="WW-blockquote"/>
        <w:rPr/>
      </w:pPr>
      <w:r>
        <w:rPr>
          <w:rStyle w:val="wwc-list-margin"/>
        </w:rPr>
        <w:t>2</w:t>
      </w:r>
      <w:r>
        <w:rPr/>
        <w:t xml:space="preserve">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It is in this way that impurity by speech is fourfold. </w:t>
      </w:r>
    </w:p>
    <w:p>
      <w:pPr>
        <w:pStyle w:val="WW-blockquote"/>
        <w:rPr/>
      </w:pPr>
      <w:r>
        <w:rPr>
          <w:rStyle w:val="wwc-list-margin"/>
        </w:rPr>
        <w:t>3</w:t>
      </w:r>
      <w:r>
        <w:rPr/>
        <w:t xml:space="preserve">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rStyle w:val="wwc-list-margin"/>
        </w:rPr>
        <w:t>(a)</w:t>
      </w:r>
      <w:r>
        <w:rPr/>
        <w:t xml:space="preserve">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be short-lived. This is the way that leads to short life, namely, killing, being murderous, bloody-handed, given to blows and violence and merciless.</w:t>
      </w:r>
    </w:p>
    <w:p>
      <w:pPr>
        <w:pStyle w:val="WW-blockquote"/>
        <w:rPr/>
      </w:pPr>
      <w:r>
        <w:rPr>
          <w:rStyle w:val="wwc-list-margin"/>
        </w:rPr>
        <w:t>(b)</w:t>
      </w:r>
      <w:r>
        <w:rPr/>
        <w:t xml:space="preserve">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xml:space="preserve">, </w:t>
      </w:r>
      <w:hyperlink r:id="rId23">
        <w:r>
          <w:rPr>
            <w:rStyle w:val="Hyperlink"/>
          </w:rPr>
          <w:t>AN 10.219:6.5, 11.5</w:t>
        </w:r>
      </w:hyperlink>
      <w:r>
        <w:rPr/>
        <w:t xml:space="preserve"> </w:t>
      </w:r>
      <w:r>
        <w:rPr>
          <w:rStyle w:val="wwc-PTS-reference"/>
        </w:rPr>
        <w:t>A.V,300</w:t>
      </w:r>
      <w:r>
        <w:rPr/>
        <w:t>), and of the body being the result of “old kamma” (</w:t>
      </w:r>
      <w:r>
        <w:rPr>
          <w:rStyle w:val="wwc-pali"/>
        </w:rPr>
        <w:t>purāṇakamma</w:t>
      </w:r>
      <w:r>
        <w:rPr/>
        <w:t xml:space="preserve"> </w:t>
      </w:r>
      <w:hyperlink r:id="rId24">
        <w:r>
          <w:rPr>
            <w:rStyle w:val="Hyperlink"/>
          </w:rPr>
          <w:t>SN 35.146</w:t>
        </w:r>
      </w:hyperlink>
      <w:r>
        <w:rPr/>
        <w:t xml:space="preserve"> </w:t>
      </w:r>
      <w:r>
        <w:rPr>
          <w:rStyle w:val="wwc-PTS-reference"/>
        </w:rPr>
        <w:t>S.IV,132</w:t>
      </w:r>
      <w:r>
        <w:rPr/>
        <w:t xml:space="preserve">)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hyperlink r:id="rId25">
        <w:r>
          <w:rPr>
            <w:rStyle w:val="Hyperlink"/>
          </w:rPr>
          <w:t>SN 35.146:1.4–1.6</w:t>
        </w:r>
      </w:hyperlink>
      <w:r>
        <w:rPr/>
        <w:br/>
      </w:r>
      <w:r>
        <w:rPr>
          <w:rStyle w:val="wwc-PTS-reference"/>
        </w:rPr>
        <w:t>S.IV,132</w:t>
      </w:r>
      <w:r>
        <w:rPr/>
        <w:t xml:space="preserve">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w:t>
      </w:r>
      <w:hyperlink r:id="rId26">
        <w:r>
          <w:rPr>
            <w:rStyle w:val="Hyperlink"/>
          </w:rPr>
          <w:t>DN 30</w:t>
        </w:r>
      </w:hyperlink>
      <w:r>
        <w:rPr/>
        <w:t xml:space="preserve"> </w:t>
      </w:r>
      <w:r>
        <w:rPr>
          <w:rStyle w:val="wwc-PTS-reference"/>
        </w:rPr>
        <w:t>D.III,142</w:t>
      </w:r>
      <w:r>
        <w:rPr/>
        <w:t xml:space="preserve">).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w:t>
      </w:r>
      <w:r>
        <w:fldChar w:fldCharType="begin"/>
      </w:r>
      <w:r>
        <w:rPr>
          <w:rStyle w:val="Hyperlink"/>
        </w:rPr>
        <w:instrText xml:space="preserve"> HYPERLINK "https://suttacentral.net/XXX/en/sujato" \l "YYY"</w:instrText>
      </w:r>
      <w:r>
        <w:rPr>
          <w:rStyle w:val="Hyperlink"/>
        </w:rPr>
        <w:fldChar w:fldCharType="separate"/>
      </w:r>
      <w:r>
        <w:rPr>
          <w:rStyle w:val="Hyperlink"/>
        </w:rPr>
        <w:t>DN 2:11.1</w:t>
      </w:r>
      <w:r>
        <w:rPr>
          <w:rStyle w:val="Hyperlink"/>
        </w:rPr>
        <w:fldChar w:fldCharType="end"/>
      </w:r>
      <w:r>
        <w:rPr/>
        <w:t xml:space="preserve"> </w:t>
      </w:r>
      <w:r>
        <w:rPr>
          <w:rStyle w:val="wwc-PTS-reference"/>
        </w:rPr>
        <w:t>D.I,50</w:t>
      </w:r>
      <w:r>
        <w:rPr/>
        <w:t>) and Pukkusāti sat talking to the Buddha for hours before realising who he was (</w:t>
      </w:r>
      <w:r>
        <w:fldChar w:fldCharType="begin"/>
      </w:r>
      <w:r>
        <w:rPr>
          <w:rStyle w:val="Hyperlink"/>
        </w:rPr>
        <w:instrText xml:space="preserve"> HYPERLINK "https://suttacentral.net/XXX/en/sujato" \l "YYY"</w:instrText>
      </w:r>
      <w:r>
        <w:rPr>
          <w:rStyle w:val="Hyperlink"/>
        </w:rPr>
        <w:fldChar w:fldCharType="separate"/>
      </w:r>
      <w:r>
        <w:rPr>
          <w:rStyle w:val="Hyperlink"/>
        </w:rPr>
        <w:t>MN 140</w:t>
      </w:r>
      <w:r>
        <w:rPr>
          <w:rStyle w:val="Hyperlink"/>
        </w:rPr>
        <w:fldChar w:fldCharType="end"/>
      </w:r>
      <w:r>
        <w:rPr/>
        <w:t xml:space="preserve"> </w:t>
      </w:r>
      <w:r>
        <w:rPr>
          <w:rStyle w:val="wwc-PTS-reference"/>
        </w:rPr>
        <w:t>M.III,238</w:t>
      </w:r>
      <w:r>
        <w:rPr/>
        <w:t>).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MN 26:25.3</w:t>
      </w:r>
      <w:r>
        <w:rPr>
          <w:rStyle w:val="Hyperlink"/>
        </w:rPr>
        <w:fldChar w:fldCharType="end"/>
      </w:r>
      <w:r>
        <w:rPr/>
        <w:t xml:space="preserve"> </w:t>
      </w:r>
      <w:r>
        <w:rPr>
          <w:rStyle w:val="wwc-PTS-reference"/>
        </w:rPr>
        <w:t>M.I,170</w:t>
      </w:r>
      <w:r>
        <w:rPr/>
        <w:t xml:space="preserve">).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7">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Another example of kamma influencing the physical might be where certain mental states influence the countenance. The Buddha said that a loving disposition or profound inner peace can give the face a radiant complexion (</w:t>
      </w:r>
      <w:r>
        <w:fldChar w:fldCharType="begin"/>
      </w:r>
      <w:r>
        <w:rPr>
          <w:rStyle w:val="Hyperlink"/>
        </w:rPr>
        <w:instrText xml:space="preserve"> HYPERLINK "https://suttacentral.net/XXX/en/sujato" \l "YYY"</w:instrText>
      </w:r>
      <w:r>
        <w:rPr>
          <w:rStyle w:val="Hyperlink"/>
        </w:rPr>
        <w:fldChar w:fldCharType="separate"/>
      </w:r>
      <w:r>
        <w:rPr>
          <w:rStyle w:val="Hyperlink"/>
        </w:rPr>
        <w:t>SN 1.10</w:t>
      </w:r>
      <w:r>
        <w:rPr>
          <w:rStyle w:val="Hyperlink"/>
        </w:rPr>
        <w:fldChar w:fldCharType="end"/>
      </w:r>
      <w:r>
        <w:rPr/>
        <w:t xml:space="preserve"> </w:t>
      </w:r>
      <w:r>
        <w:rPr>
          <w:rStyle w:val="wwc-PTS-reference"/>
        </w:rPr>
        <w:t>S.I,5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28.3</w:t>
      </w:r>
      <w:r>
        <w:rPr>
          <w:rStyle w:val="Hyperlink"/>
        </w:rPr>
        <w:fldChar w:fldCharType="end"/>
      </w:r>
      <w:r>
        <w:rPr/>
        <w:t xml:space="preserve"> </w:t>
      </w:r>
      <w:r>
        <w:rPr>
          <w:rStyle w:val="wwc-PTS-reference"/>
        </w:rPr>
        <w:t>S.III,236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52.9</w:t>
      </w:r>
      <w:r>
        <w:rPr>
          <w:rStyle w:val="Hyperlink"/>
        </w:rPr>
        <w:fldChar w:fldCharType="end"/>
      </w:r>
      <w:r>
        <w:rPr/>
        <w:t xml:space="preserve"> </w:t>
      </w:r>
      <w:r>
        <w:rPr>
          <w:rStyle w:val="wwc-PTS-reference"/>
        </w:rPr>
        <w:t>S.V,301</w:t>
      </w:r>
      <w:r>
        <w:rPr/>
        <w:t xml:space="preserve">).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4.77</w:t>
      </w:r>
      <w:r>
        <w:rPr>
          <w:rStyle w:val="Hyperlink"/>
        </w:rPr>
        <w:fldChar w:fldCharType="end"/>
      </w:r>
      <w:r>
        <w:rPr/>
        <w:br/>
      </w:r>
      <w:r>
        <w:rPr>
          <w:rStyle w:val="wwc-PTS-reference"/>
        </w:rPr>
        <w:t>A.II,80</w:t>
      </w:r>
      <w:r>
        <w:rPr/>
        <w:t xml:space="preserve">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rStyle w:val="wwc-list-margin"/>
        </w:rPr>
        <w:t>1</w:t>
      </w:r>
      <w:r>
        <w:rPr/>
        <w:t xml:space="preserve">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rStyle w:val="wwc-list-margin"/>
        </w:rPr>
        <w:t>2</w:t>
      </w:r>
      <w:r>
        <w:rPr/>
        <w:t xml:space="preserve">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3</w:t>
      </w:r>
      <w:r>
        <w:rPr/>
        <w:t xml:space="preserve">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rStyle w:val="wwc-list-margin"/>
        </w:rPr>
        <w:t>4</w:t>
      </w:r>
      <w:r>
        <w:rPr/>
        <w:t xml:space="preserve">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rStyle w:val="wwc-list-margin"/>
        </w:rPr>
        <w:t>5</w:t>
      </w:r>
      <w:r>
        <w:rPr/>
        <w:t xml:space="preserv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rStyle w:val="wwc-list-margin"/>
        </w:rPr>
        <w:t>6</w:t>
      </w:r>
      <w:r>
        <w:rPr/>
        <w:t xml:space="preserve">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rStyle w:val="wwc-list-margin"/>
        </w:rPr>
        <w:t>(a)</w:t>
      </w:r>
      <w:r>
        <w:rPr/>
        <w:t xml:space="preserve">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rStyle w:val="wwc-list-margin"/>
        </w:rPr>
        <w:t>(b)</w:t>
      </w:r>
      <w:r>
        <w:rPr/>
        <w:t xml:space="preserve">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rStyle w:val="wwc-list-margin"/>
        </w:rPr>
        <w:t>(c)</w:t>
      </w:r>
      <w:r>
        <w:rPr/>
        <w:t xml:space="preserve">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Snp 2.6:5.2</w:t>
      </w:r>
      <w:r>
        <w:rPr>
          <w:rStyle w:val="Hyperlink"/>
        </w:rPr>
        <w:fldChar w:fldCharType="end"/>
      </w:r>
      <w:r>
        <w:rPr/>
        <w:t xml:space="preserve"> </w:t>
      </w:r>
      <w:r>
        <w:rPr>
          <w:rStyle w:val="wwc-PTS-reference"/>
        </w:rPr>
        <w:t>Sn. 278</w:t>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5.55:9.3</w:t>
      </w:r>
      <w:r>
        <w:rPr>
          <w:rStyle w:val="Hyperlink"/>
        </w:rPr>
        <w:fldChar w:fldCharType="end"/>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5.5:12.2</w:t>
      </w:r>
      <w:r>
        <w:rPr>
          <w:rStyle w:val="Hyperlink"/>
        </w:rPr>
        <w:fldChar w:fldCharType="end"/>
      </w:r>
      <w:r>
        <w:rPr/>
        <w:t xml:space="preserve"> </w:t>
      </w:r>
      <w:r>
        <w:rPr>
          <w:rStyle w:val="wwc-PTS-reference"/>
        </w:rPr>
        <w:t>Sn. 1060</w:t>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rStyle w:val="wwc-list-margin"/>
        </w:rPr>
        <w:t>(a)</w:t>
      </w:r>
      <w:r>
        <w:rPr/>
        <w:t xml:space="preserve">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rStyle w:val="wwc-list-margin"/>
        </w:rPr>
        <w:t>(b&amp;c)</w:t>
      </w:r>
      <w:r>
        <w:rPr/>
        <w:t xml:space="preserve">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rStyle w:val="wwc-list-margin"/>
        </w:rPr>
        <w:t>(d)</w:t>
      </w:r>
      <w:r>
        <w:rPr/>
        <w:t xml:space="preserve">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rStyle w:val="wwc-list-margin"/>
        </w:rPr>
        <w:t>(e&amp;f)</w:t>
      </w:r>
      <w:r>
        <w:rPr/>
        <w:t xml:space="preserve">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rStyle w:val="wwc-list-margin"/>
        </w:rPr>
        <w:t>(a)</w:t>
      </w:r>
      <w:r>
        <w:rPr/>
        <w:t xml:space="preserve"> It is intention (</w:t>
      </w:r>
      <w:r>
        <w:rPr>
          <w:rStyle w:val="wwc-pali"/>
        </w:rPr>
        <w:t>cetanā</w:t>
      </w:r>
      <w:r>
        <w:rPr/>
        <w:t xml:space="preserve">) that I call kamma. For having intended, one acts by body, speech, or mind. </w:t>
      </w:r>
    </w:p>
    <w:p>
      <w:pPr>
        <w:pStyle w:val="WW-blockquote"/>
        <w:rPr/>
      </w:pPr>
      <w:r>
        <w:rPr>
          <w:rStyle w:val="wwc-list-margin"/>
        </w:rPr>
        <w:t>(b)</w:t>
      </w:r>
      <w:r>
        <w:rPr/>
        <w:t xml:space="preserve"> And what is the source and origin of kamma? Contact (</w:t>
      </w:r>
      <w:r>
        <w:rPr>
          <w:rStyle w:val="wwc-pali"/>
        </w:rPr>
        <w:t>phassa</w:t>
      </w:r>
      <w:r>
        <w:rPr/>
        <w:t xml:space="preserve">) is its source and origin. </w:t>
      </w:r>
    </w:p>
    <w:p>
      <w:pPr>
        <w:pStyle w:val="WW-blockquote"/>
        <w:rPr/>
      </w:pPr>
      <w:r>
        <w:rPr>
          <w:rStyle w:val="wwc-list-margin"/>
        </w:rPr>
        <w:t>(c)</w:t>
      </w:r>
      <w:r>
        <w:rPr/>
        <w:t xml:space="preserve">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rStyle w:val="wwc-list-margin"/>
        </w:rPr>
        <w:t>(d)</w:t>
      </w:r>
      <w:r>
        <w:rPr/>
        <w:t xml:space="preserve"> And what is the result of kamma? I say that result of kamma is threefold, that to be experienced in this life, or in the next life, or on some subsequent occasion. This is called the result of kamma. </w:t>
      </w:r>
    </w:p>
    <w:p>
      <w:pPr>
        <w:pStyle w:val="WW-blockquote"/>
        <w:rPr/>
      </w:pPr>
      <w:r>
        <w:rPr>
          <w:rStyle w:val="wwc-list-margin"/>
        </w:rPr>
        <w:t>(e)</w:t>
      </w:r>
      <w:r>
        <w:rPr/>
        <w:t xml:space="preserve"> And what is the cessation of kamma? With the cessation of contact there is cessation of kamma. </w:t>
      </w:r>
    </w:p>
    <w:p>
      <w:pPr>
        <w:pStyle w:val="WW-blockquote"/>
        <w:rPr/>
      </w:pPr>
      <w:r>
        <w:rPr>
          <w:rStyle w:val="wwc-list-margin"/>
        </w:rPr>
        <w:t>(f)</w:t>
      </w:r>
      <w:r>
        <w:rPr/>
        <w:t xml:space="preserve">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8">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Mahāvaṁsa Ṭīkā,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zot-referenc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9">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w:t>
      </w:r>
      <w:r>
        <w:rPr>
          <w:rStyle w:val="wwc-sesame"/>
        </w:rPr>
        <w:t>ṭṭ</w:t>
      </w:r>
      <w:r>
        <w:rPr>
          <w:rStyle w:val="wwc-sesame"/>
        </w:rPr>
        <w: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hyperlink r:id="rId1">
        <w:r>
          <w:rPr>
            <w:rStyle w:val="Hyperlink"/>
          </w:rPr>
          <w:t>AN 1.268-277</w:t>
        </w:r>
      </w:hyperlink>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an4.135/en/sujato"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https://suttacentral.net/" TargetMode="External"/><Relationship Id="rId28" Type="http://schemas.openxmlformats.org/officeDocument/2006/relationships/hyperlink" Target="https://suttacentral.net/mil3.7.2" TargetMode="External"/><Relationship Id="rId29" Type="http://schemas.openxmlformats.org/officeDocument/2006/relationships/hyperlink" Target="https://suttacentral.net/ja382" TargetMode="External"/><Relationship Id="rId30" Type="http://schemas.openxmlformats.org/officeDocument/2006/relationships/footnotes" Target="footnotes.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8151</TotalTime>
  <Application>LibreOffice/25.2.5.2$Windows_X86_64 LibreOffice_project/03d19516eb2e1dd5d4ccd751a0d6f35f35e08022</Application>
  <AppVersion>15.0000</AppVersion>
  <Pages>75</Pages>
  <Words>32599</Words>
  <Characters>157659</Characters>
  <CharactersWithSpaces>190079</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2025-10-03T11:26:34Z</dcterms:modified>
  <cp:revision>963</cp:revision>
  <dc:subject/>
  <dc:title/>
</cp:coreProperties>
</file>

<file path=docProps/custom.xml><?xml version="1.0" encoding="utf-8"?>
<Properties xmlns="http://schemas.openxmlformats.org/officeDocument/2006/custom-properties" xmlns:vt="http://schemas.openxmlformats.org/officeDocument/2006/docPropsVTypes"/>
</file>