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sdhammika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 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w:t>
      </w:r>
      <w:r>
        <w:rPr>
          <w:rStyle w:val="wwc-sesame"/>
        </w:rPr>
        <w:t>Milindapañha</w:t>
      </w:r>
      <w:r>
        <w:rPr/>
        <w:t xml:space="preserve"> written perhaps 400 or 500 years after the Buddha, of Buddhaghosa, who lived some 900 after him, or Anuruddha, the author of the </w:t>
      </w:r>
      <w:r>
        <w:rPr>
          <w:rStyle w:val="wwc-sesame"/>
        </w:rPr>
        <w:t>Abhidhammattha 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w:t>
      </w:r>
      <w:r>
        <w:rPr>
          <w:rStyle w:val="wwc-sesame"/>
        </w:rPr>
        <w:t>Pāḷi Tipiṭaka</w:t>
      </w:r>
      <w:r>
        <w:rPr/>
        <w:t xml:space="preserve">, the oldest and most authentic record we have of the Buddha’s teaching. </w:t>
      </w:r>
    </w:p>
    <w:p>
      <w:pPr>
        <w:pStyle w:val="WW-paragraph"/>
        <w:rPr/>
      </w:pPr>
      <w:r>
        <w:rPr/>
        <w:t xml:space="preserve">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zot-referenc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(Kau.1.2)</w:t>
      </w:r>
      <w:r>
        <w:rPr>
          <w:rStyle w:val="FootnoteReference"/>
        </w:rPr>
        <w:footnoteReference w:id="2"/>
      </w:r>
      <w:r>
        <w:rPr/>
        <w:t xml:space="preserve">.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Upaniṣad</w:t>
      </w:r>
      <w:r>
        <w:rPr/>
        <w:t xml:space="preserve"> </w:t>
      </w:r>
      <w:r>
        <w:rPr>
          <w:rStyle w:val="wwc-sesame"/>
        </w:rPr>
        <w:t>Yājnavalkya</w:t>
      </w:r>
      <w:r>
        <w:rPr/>
        <w:t xml:space="preserve"> makes it clear that kamma in the sense of moral causation is a secret teaching only to be revealed to the initiated (Br.3.2)</w:t>
      </w:r>
      <w:r>
        <w:rPr>
          <w:rStyle w:val="FootnoteReference"/>
        </w:rPr>
        <w:footnoteReference w:id="3"/>
      </w:r>
      <w:r>
        <w:rPr/>
        <w:t xml:space="preserve">.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(Kath.1.20)</w:t>
      </w:r>
      <w:r>
        <w:rPr>
          <w:rStyle w:val="FootnoteReference"/>
        </w:rPr>
        <w:footnoteReference w:id="4"/>
      </w:r>
      <w:r>
        <w:rPr/>
        <w:t>.</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xml:space="preserve">).  While some rejected kamma and rebirth as relatively new and non-traditional ideas others such as Prince </w:t>
      </w:r>
      <w:r>
        <w:rPr>
          <w:rStyle w:val="wwc-sesame"/>
        </w:rPr>
        <w:t>Pāyāsi</w:t>
      </w:r>
      <w:r>
        <w:rPr/>
        <w:t xml:space="preserve">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xml:space="preserve">). Prince </w:t>
      </w:r>
      <w:r>
        <w:rPr>
          <w:rStyle w:val="wwc-sesame"/>
        </w:rPr>
        <w:t>Pāyāsi</w:t>
      </w:r>
      <w:r>
        <w:rPr/>
        <w:t xml:space="preserve"> must have been fairly well-known as he is also mentioned in the Jain scriptures.</w:t>
      </w:r>
    </w:p>
    <w:p>
      <w:pPr>
        <w:pStyle w:val="WW-paragraph"/>
        <w:rPr/>
      </w:pPr>
      <w:r>
        <w:rPr/>
        <w:t xml:space="preserve">The earliest unambiguous and detailed mention of kamma is in the Jain scriptures. Jainism pre-dates Buddhism by perhaps a decade or more and its founder, </w:t>
      </w:r>
      <w:r>
        <w:rPr>
          <w:rStyle w:val="wwc-sesame"/>
        </w:rPr>
        <w:t>Mahāvīra</w:t>
      </w:r>
      <w:r>
        <w:rPr/>
        <w:t>,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xml:space="preserve">, pp.217ff].  It is certainly possible that the Buddha was influenced by the Jain doctrines of kamma and rebirth but clearly he did not simply take them for granted and unthinkingly and uncritically adopt them. It is much more likely that </w:t>
      </w:r>
      <w:r>
        <w:rPr>
          <w:rStyle w:val="wwc-sesame"/>
        </w:rPr>
        <w:t>Mahāvīra</w:t>
      </w:r>
      <w:r>
        <w:rPr/>
        <w:t xml:space="preserve">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
        </w:rPr>
        <w:t>Śvetāsvatara Upaniṣad</w:t>
      </w:r>
      <w:r>
        <w:rPr/>
        <w:t xml:space="preserve"> rejects a variety of explanations including kamma, saying that ultimately everything is controlled by God (Śs. v.2-3)</w:t>
      </w:r>
      <w:r>
        <w:rPr>
          <w:rStyle w:val="FootnoteReference"/>
        </w:rPr>
        <w:footnoteReference w:id="5"/>
      </w:r>
      <w:r>
        <w:rPr/>
        <w:t xml:space="preserve">. Many passages in the </w:t>
      </w:r>
      <w:r>
        <w:rPr>
          <w:rStyle w:val="wwc-sesam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sanskrit"/>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 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rStyle w:val="wwc-list-margin"/>
        </w:rPr>
        <w:t>1</w:t>
      </w:r>
      <w:r>
        <w:rPr/>
        <w:t xml:space="preserve">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rStyle w:val="wwc-list-margin"/>
        </w:rPr>
        <w:t>2</w:t>
      </w:r>
      <w:r>
        <w:rPr/>
        <w:t xml:space="preserve">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rStyle w:val="wwc-list-margin"/>
        </w:rPr>
        <w:t>3</w:t>
      </w:r>
      <w:r>
        <w:rPr/>
        <w:t xml:space="preserve">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rStyle w:val="wwc-list-margin"/>
        </w:rPr>
        <w:t>4</w:t>
      </w:r>
      <w:r>
        <w:rPr/>
        <w:t xml:space="preserve">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rStyle w:val="wwc-list-margin"/>
        </w:rPr>
        <w:t>5</w:t>
      </w:r>
      <w:r>
        <w:rPr/>
        <w:t xml:space="preserv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rStyle w:val="wwc-list-margin"/>
        </w:rPr>
        <w:t>6</w:t>
      </w:r>
      <w:r>
        <w:rPr/>
        <w:t xml:space="preserve">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6.63:36.1–36.4</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xml:space="preserve">, </w:t>
      </w:r>
      <w:hyperlink r:id="rId18">
        <w:r>
          <w:rPr>
            <w:rStyle w:val="Hyperlink"/>
          </w:rPr>
          <w:t>MN 47:5.1–5.5, 12.1–12.3</w:t>
        </w:r>
      </w:hyperlink>
      <w:r>
        <w:rPr/>
        <w:t xml:space="preserve"> </w:t>
      </w:r>
      <w:r>
        <w:rPr>
          <w:rStyle w:val="wwc-PTS-reference"/>
        </w:rPr>
        <w:t>M.I,318</w:t>
      </w:r>
      <w:r>
        <w:rPr/>
        <w:t>).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w:t>
      </w:r>
    </w:p>
    <w:p>
      <w:pPr>
        <w:pStyle w:val="WW-blockquote"/>
        <w:rPr/>
      </w:pPr>
      <w:r>
        <w:rPr>
          <w:rStyle w:val="wwc-list-margin"/>
        </w:rPr>
        <w:t>1</w:t>
      </w:r>
      <w:r>
        <w:rPr/>
        <w:t xml:space="preserve"> And how is a person blameworthy? Here, a person engages in blameworthy bodily, verbal and mental kamma. </w:t>
      </w:r>
    </w:p>
    <w:p>
      <w:pPr>
        <w:pStyle w:val="WW-blockquote"/>
        <w:rPr/>
      </w:pPr>
      <w:r>
        <w:rPr>
          <w:rStyle w:val="wwc-list-margin"/>
        </w:rPr>
        <w:t>2</w:t>
      </w:r>
      <w:r>
        <w:rPr>
          <w:rStyle w:val="Emphasis"/>
        </w:rPr>
        <w:t xml:space="preserve"> </w:t>
      </w:r>
      <w:r>
        <w:rPr/>
        <w:t xml:space="preserve">And how is a person mostly blameworthy? Here, at person engages in bodily, verbal and mental kamma that is mainly blameworthy. </w:t>
      </w:r>
    </w:p>
    <w:p>
      <w:pPr>
        <w:pStyle w:val="WW-blockquote"/>
        <w:rPr/>
      </w:pPr>
      <w:r>
        <w:rPr>
          <w:rStyle w:val="wwc-list-margin"/>
        </w:rPr>
        <w:t>3</w:t>
      </w:r>
      <w:r>
        <w:rPr/>
        <w:t xml:space="preserve"> And how is a person slightly blameworthy? Here, a person engages in bodily verbal and mental kamma that is slightly blameworthy. </w:t>
      </w:r>
    </w:p>
    <w:p>
      <w:pPr>
        <w:pStyle w:val="WW-blockquote"/>
        <w:rPr/>
      </w:pPr>
      <w:r>
        <w:rPr>
          <w:rStyle w:val="wwc-list-margin"/>
        </w:rPr>
        <w:t>4</w:t>
      </w:r>
      <w:r>
        <w:rPr/>
        <w:t xml:space="preserve"> And how is a person blameless? Here, a person engages in blameless bodily, blameless verbal and blameless mental action. </w:t>
      </w:r>
    </w:p>
    <w:p>
      <w:pPr>
        <w:pStyle w:val="WW-blockquote"/>
        <w:rPr/>
      </w:pPr>
      <w:r>
        <w:rPr/>
        <w:t xml:space="preserve">These are the four kinds of persons found existing in the world. </w:t>
      </w:r>
    </w:p>
    <w:p>
      <w:pPr>
        <w:pStyle w:val="WW-tight-right-cite"/>
        <w:rPr/>
      </w:pPr>
      <w:hyperlink r:id="rId19">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that leads to the destruction of kamma. These are the four kinds of kamma proclaimed by me after I realised them for myself with direct knowledge. </w:t>
      </w:r>
    </w:p>
    <w:p>
      <w:pPr>
        <w:pStyle w:val="WW-tight-right-cite"/>
        <w:rPr/>
      </w:pPr>
      <w:hyperlink r:id="rId20">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1">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w:t>
      </w:r>
      <w:r>
        <w:rPr>
          <w:rStyle w:val="wwc-sesame"/>
        </w:rPr>
        <w:t>Mahāvīra</w:t>
      </w:r>
      <w:r>
        <w:rPr/>
        <w:t xml:space="preserve">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w:t>
      </w:r>
      <w:hyperlink r:id="rId22">
        <w:r>
          <w:rPr>
            <w:rStyle w:val="Hyperlink"/>
          </w:rPr>
          <w:t>AN 10.104</w:t>
        </w:r>
      </w:hyperlink>
      <w:r>
        <w:rPr/>
        <w:t xml:space="preserve"> </w:t>
      </w:r>
      <w:r>
        <w:rPr>
          <w:rStyle w:val="wwc-PTS-reference"/>
        </w:rPr>
        <w:t>A.V,213</w:t>
      </w:r>
      <w:r>
        <w:rPr/>
        <w:t xml:space="preserve">).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122</w:t>
      </w:r>
      <w:r>
        <w:rPr>
          <w:rStyle w:val="Hyperlink"/>
        </w:rPr>
        <w:fldChar w:fldCharType="end"/>
      </w:r>
    </w:p>
    <w:p>
      <w:pPr>
        <w:pStyle w:val="WW-blockquote"/>
        <w:rPr/>
      </w:pPr>
      <w:r>
        <w:rPr/>
        <w:t xml:space="preserve">Whatever one thinks about and ruminates over often the mind gets a leaning in that way. If one frequently thinks about and ruminates over desire, ill-will or cruelty, thoughts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i/>
          <w:iCs/>
        </w:rPr>
        <w:t>Schindler’s Ark</w:t>
      </w:r>
      <w:r>
        <w:rPr/>
        <w:t xml:space="preserve"> and the film </w:t>
      </w:r>
      <w:r>
        <w:rPr>
          <w:i/>
          <w:iC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rStyle w:val="wwc-list-margin"/>
        </w:rPr>
        <w:t>(a)</w:t>
      </w:r>
      <w:r>
        <w:rPr/>
        <w:t xml:space="preserve">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rStyle w:val="wwc-list-margin"/>
        </w:rPr>
        <w:t>(b)</w:t>
      </w:r>
      <w:r>
        <w:rPr/>
        <w:t xml:space="preserve">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rStyle w:val="wwc-list-margin"/>
        </w:rPr>
        <w:t>(c)</w:t>
      </w:r>
      <w:r>
        <w:rPr/>
        <w:t xml:space="preserve">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rStyle w:val="wwc-list-margin"/>
        </w:rPr>
        <w:t>(d)</w:t>
      </w:r>
      <w:r>
        <w:rPr/>
        <w:t xml:space="preserve">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rStyle w:val="wwc-list-margin"/>
        </w:rPr>
        <w:t>(e)</w:t>
      </w:r>
      <w:r>
        <w:rPr/>
        <w:t xml:space="preserv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rStyle w:val="wwc-list-margin"/>
        </w:rPr>
        <w:t>(f)</w:t>
      </w:r>
      <w:r>
        <w:rPr/>
        <w:t xml:space="preserve">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rStyle w:val="wwc-list-margin"/>
        </w:rPr>
        <w:t>(g)</w:t>
      </w:r>
      <w:r>
        <w:rPr/>
        <w:t xml:space="preserve">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rStyle w:val="wwc-list-margin"/>
        </w:rPr>
        <w:t>(h)</w:t>
      </w:r>
      <w:r>
        <w:rPr/>
        <w:t xml:space="preserve">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rStyle w:val="wwc-list-margin"/>
        </w:rPr>
        <w:t>(i)</w:t>
      </w:r>
      <w:r>
        <w:rPr/>
        <w:t xml:space="preserve">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rStyle w:val="wwc-list-margin"/>
        </w:rPr>
        <w:t>1</w:t>
      </w:r>
      <w:r>
        <w:rPr/>
        <w:t xml:space="preserve">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It is in this way that impurity by body is threefold. </w:t>
      </w:r>
    </w:p>
    <w:p>
      <w:pPr>
        <w:pStyle w:val="WW-blockquote"/>
        <w:rPr/>
      </w:pPr>
      <w:r>
        <w:rPr>
          <w:rStyle w:val="wwc-list-margin"/>
        </w:rPr>
        <w:t>2</w:t>
      </w:r>
      <w:r>
        <w:rPr/>
        <w:t xml:space="preserve">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It is in this way that impurity by speech is fourfold. </w:t>
      </w:r>
    </w:p>
    <w:p>
      <w:pPr>
        <w:pStyle w:val="WW-blockquote"/>
        <w:rPr/>
      </w:pPr>
      <w:r>
        <w:rPr>
          <w:rStyle w:val="wwc-list-margin"/>
        </w:rPr>
        <w:t>3</w:t>
      </w:r>
      <w:r>
        <w:rPr/>
        <w:t xml:space="preserve">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6"/>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rStyle w:val="wwc-list-margin"/>
        </w:rPr>
        <w:t>(a)</w:t>
      </w:r>
      <w:r>
        <w:rPr/>
        <w:t xml:space="preserve">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be short-lived. This is the way that leads to short life, namely, killing, being murderous, bloody-handed, given to blows and violence and merciless.</w:t>
      </w:r>
    </w:p>
    <w:p>
      <w:pPr>
        <w:pStyle w:val="WW-blockquote"/>
        <w:rPr/>
      </w:pPr>
      <w:r>
        <w:rPr>
          <w:rStyle w:val="wwc-list-margin"/>
        </w:rPr>
        <w:t>(b)</w:t>
      </w:r>
      <w:r>
        <w:rPr/>
        <w:t xml:space="preserve">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7"/>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xml:space="preserve">, </w:t>
      </w:r>
      <w:hyperlink r:id="rId23">
        <w:r>
          <w:rPr>
            <w:rStyle w:val="Hyperlink"/>
          </w:rPr>
          <w:t>AN 10.219:6.5, 11.5</w:t>
        </w:r>
      </w:hyperlink>
      <w:r>
        <w:rPr/>
        <w:t xml:space="preserve"> </w:t>
      </w:r>
      <w:r>
        <w:rPr>
          <w:rStyle w:val="wwc-PTS-reference"/>
        </w:rPr>
        <w:t>A.V,300</w:t>
      </w:r>
      <w:r>
        <w:rPr/>
        <w:t>), and of the body being the result of “old kamma” (</w:t>
      </w:r>
      <w:r>
        <w:rPr>
          <w:rStyle w:val="wwc-pali"/>
        </w:rPr>
        <w:t>purāṇakamma</w:t>
      </w:r>
      <w:r>
        <w:rPr/>
        <w:t xml:space="preserve"> </w:t>
      </w:r>
      <w:hyperlink r:id="rId24">
        <w:r>
          <w:rPr>
            <w:rStyle w:val="Hyperlink"/>
          </w:rPr>
          <w:t xml:space="preserve">SN </w:t>
        </w:r>
        <w:r>
          <w:rPr>
            <w:rStyle w:val="Hyperlink"/>
          </w:rPr>
          <w:t>35.146</w:t>
        </w:r>
      </w:hyperlink>
      <w:r>
        <w:rPr/>
        <w:t xml:space="preserve"> </w:t>
      </w:r>
      <w:r>
        <w:rPr>
          <w:rStyle w:val="wwc-PTS-reference"/>
        </w:rPr>
        <w:t>S.IV,132</w:t>
      </w:r>
      <w:r>
        <w:rPr/>
        <w:t xml:space="preserve">)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hyperlink r:id="rId25">
        <w:r>
          <w:rPr>
            <w:rStyle w:val="Hyperlink"/>
          </w:rPr>
          <w:t>SN 35.146:1.4–1.6</w:t>
        </w:r>
      </w:hyperlink>
      <w:r>
        <w:rPr/>
        <w:br/>
      </w:r>
      <w:r>
        <w:rPr>
          <w:rStyle w:val="wwc-PTS-reference"/>
        </w:rPr>
        <w:t>S.IV,132</w:t>
      </w:r>
      <w:r>
        <w:rPr/>
        <w:t xml:space="preserve">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w:t>
      </w:r>
      <w:hyperlink r:id="rId26">
        <w:r>
          <w:rPr>
            <w:rStyle w:val="Hyperlink"/>
          </w:rPr>
          <w:t>DN 30</w:t>
        </w:r>
      </w:hyperlink>
      <w:r>
        <w:rPr/>
        <w:t xml:space="preserve"> </w:t>
      </w:r>
      <w:r>
        <w:rPr>
          <w:rStyle w:val="wwc-PTS-reference"/>
        </w:rPr>
        <w:t>D.III,142</w:t>
      </w:r>
      <w:r>
        <w:rPr/>
        <w:t xml:space="preserve">).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w:t>
      </w:r>
      <w:r>
        <w:fldChar w:fldCharType="begin"/>
      </w:r>
      <w:r>
        <w:rPr>
          <w:rStyle w:val="Hyperlink"/>
        </w:rPr>
        <w:instrText xml:space="preserve"> HYPERLINK "https://suttacentral.net/XXX/en/sujato" \l "YYY"</w:instrText>
      </w:r>
      <w:r>
        <w:rPr>
          <w:rStyle w:val="Hyperlink"/>
        </w:rPr>
        <w:fldChar w:fldCharType="separate"/>
      </w:r>
      <w:r>
        <w:rPr>
          <w:rStyle w:val="Hyperlink"/>
        </w:rPr>
        <w:t>DN 2:11.1</w:t>
      </w:r>
      <w:r>
        <w:rPr>
          <w:rStyle w:val="Hyperlink"/>
        </w:rPr>
        <w:fldChar w:fldCharType="end"/>
      </w:r>
      <w:r>
        <w:rPr/>
        <w:t xml:space="preserve"> </w:t>
      </w:r>
      <w:r>
        <w:rPr>
          <w:rStyle w:val="wwc-PTS-reference"/>
        </w:rPr>
        <w:t>D.I,50</w:t>
      </w:r>
      <w:r>
        <w:rPr/>
        <w:t>) and Pukkusāti sat talking to the Buddha for hours before realising who he was (</w:t>
      </w:r>
      <w:r>
        <w:fldChar w:fldCharType="begin"/>
      </w:r>
      <w:r>
        <w:rPr>
          <w:rStyle w:val="Hyperlink"/>
        </w:rPr>
        <w:instrText xml:space="preserve"> HYPERLINK "https://suttacentral.net/XXX/en/sujato" \l "YYY"</w:instrText>
      </w:r>
      <w:r>
        <w:rPr>
          <w:rStyle w:val="Hyperlink"/>
        </w:rPr>
        <w:fldChar w:fldCharType="separate"/>
      </w:r>
      <w:r>
        <w:rPr>
          <w:rStyle w:val="Hyperlink"/>
        </w:rPr>
        <w:t>MN 140</w:t>
      </w:r>
      <w:r>
        <w:rPr>
          <w:rStyle w:val="Hyperlink"/>
        </w:rPr>
        <w:fldChar w:fldCharType="end"/>
      </w:r>
      <w:r>
        <w:rPr/>
        <w:t xml:space="preserve"> </w:t>
      </w:r>
      <w:r>
        <w:rPr>
          <w:rStyle w:val="wwc-PTS-reference"/>
        </w:rPr>
        <w:t>M.III,238</w:t>
      </w:r>
      <w:r>
        <w:rPr/>
        <w:t>).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w:t>
      </w:r>
      <w:r>
        <w:fldChar w:fldCharType="begin"/>
      </w:r>
      <w:r>
        <w:rPr>
          <w:rStyle w:val="Hyperlink"/>
        </w:rPr>
        <w:instrText xml:space="preserve"> HYPERLINK "https://suttacentral.net/XXX/en/sujato" \l "YYY"</w:instrText>
      </w:r>
      <w:r>
        <w:rPr>
          <w:rStyle w:val="Hyperlink"/>
        </w:rPr>
        <w:fldChar w:fldCharType="separate"/>
      </w:r>
      <w:r>
        <w:rPr>
          <w:rStyle w:val="Hyperlink"/>
        </w:rPr>
        <w:t>MN 26:25.3</w:t>
      </w:r>
      <w:r>
        <w:rPr>
          <w:rStyle w:val="Hyperlink"/>
        </w:rPr>
        <w:fldChar w:fldCharType="end"/>
      </w:r>
      <w:r>
        <w:rPr/>
        <w:t xml:space="preserve"> </w:t>
      </w:r>
      <w:r>
        <w:rPr>
          <w:rStyle w:val="wwc-PTS-reference"/>
        </w:rPr>
        <w:t>M.I,170</w:t>
      </w:r>
      <w:r>
        <w:rPr/>
        <w:t xml:space="preserve">).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7">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Another example of kamma influencing the physical might be where certain mental states influence the countenance. The Buddha said that a loving disposition or profound inner peace can give the face a radiant complexion (</w:t>
      </w:r>
      <w:r>
        <w:fldChar w:fldCharType="begin"/>
      </w:r>
      <w:r>
        <w:rPr>
          <w:rStyle w:val="Hyperlink"/>
        </w:rPr>
        <w:instrText xml:space="preserve"> HYPERLINK "https://suttacentral.net/XXX/en/sujato" \l "YYY"</w:instrText>
      </w:r>
      <w:r>
        <w:rPr>
          <w:rStyle w:val="Hyperlink"/>
        </w:rPr>
        <w:fldChar w:fldCharType="separate"/>
      </w:r>
      <w:r>
        <w:rPr>
          <w:rStyle w:val="Hyperlink"/>
        </w:rPr>
        <w:t>SN 1.10</w:t>
      </w:r>
      <w:r>
        <w:rPr>
          <w:rStyle w:val="Hyperlink"/>
        </w:rPr>
        <w:fldChar w:fldCharType="end"/>
      </w:r>
      <w:r>
        <w:rPr/>
        <w:t xml:space="preserve"> </w:t>
      </w:r>
      <w:r>
        <w:rPr>
          <w:rStyle w:val="wwc-PTS-reference"/>
        </w:rPr>
        <w:t>S.I,5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28.3</w:t>
      </w:r>
      <w:r>
        <w:rPr>
          <w:rStyle w:val="Hyperlink"/>
        </w:rPr>
        <w:fldChar w:fldCharType="end"/>
      </w:r>
      <w:r>
        <w:rPr/>
        <w:t xml:space="preserve"> </w:t>
      </w:r>
      <w:r>
        <w:rPr>
          <w:rStyle w:val="wwc-PTS-reference"/>
        </w:rPr>
        <w:t>S.III,236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52.9</w:t>
      </w:r>
      <w:r>
        <w:rPr>
          <w:rStyle w:val="Hyperlink"/>
        </w:rPr>
        <w:fldChar w:fldCharType="end"/>
      </w:r>
      <w:r>
        <w:rPr/>
        <w:t xml:space="preserve"> </w:t>
      </w:r>
      <w:r>
        <w:rPr>
          <w:rStyle w:val="wwc-PTS-reference"/>
        </w:rPr>
        <w:t>S.V,301</w:t>
      </w:r>
      <w:r>
        <w:rPr/>
        <w:t xml:space="preserve">). However, as such physical attributes may change when the mental states change, it is not certain whether they can be considered </w:t>
      </w:r>
      <w:r>
        <w:rPr>
          <w:rStyle w:val="wwc-pali"/>
        </w:rPr>
        <w:t>vipāka</w:t>
      </w:r>
      <w:r>
        <w:rPr/>
        <w:t xml:space="preserve">. </w:t>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zot-referenc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8"/>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9"/>
      </w:r>
      <w:r>
        <w:rPr/>
        <w:t xml:space="preserve"> the result of kamma, and the origin of the world. One should not ponder over these four things, for trying to do so will result in either madness or frustration.</w:t>
      </w:r>
    </w:p>
    <w:p>
      <w:pPr>
        <w:pStyle w:val="WW-tight-right-cite"/>
        <w:rPr/>
      </w:pPr>
      <w:r>
        <w:rPr/>
        <w:t xml:space="preserve">A.II,80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10"/>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t>(b) Then let’s say there is a person who is mild, a good companion, one liked by his fellows. He is learned in the teachings, he has some understanding of them and has occasional meditation attainment.</w:t>
      </w:r>
      <w:r>
        <w:rPr>
          <w:rStyle w:val="FootnoteReference"/>
        </w:rPr>
        <w:footnoteReference w:id="11"/>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t>(f)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t xml:space="preserve">(a)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t>(c)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12"/>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278</w:t>
      </w:r>
      <w:r>
        <w:rPr>
          <w:rStyle w:val="Hyperlink"/>
        </w:rPr>
        <w:fldChar w:fldCharType="end"/>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w:t>
      </w:r>
      <w:r>
        <w:rPr>
          <w:rStyle w:val="Hyperlink"/>
        </w:rPr>
        <w:fldChar w:fldCharType="end"/>
      </w:r>
      <w:r>
        <w:rPr>
          <w:rStyle w:val="Hyperlink"/>
        </w:rPr>
        <w:t xml:space="preserve"> 5.55:9.3</w:t>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1060</w:t>
      </w:r>
      <w:r>
        <w:rPr>
          <w:rStyle w:val="Hyperlink"/>
        </w:rPr>
        <w:fldChar w:fldCharType="end"/>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t xml:space="preserve">(d)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t>(e &amp; f)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t>(a) It is intention (</w:t>
      </w:r>
      <w:r>
        <w:rPr>
          <w:rStyle w:val="wwc-pali"/>
        </w:rPr>
        <w:t>cetanā</w:t>
      </w:r>
      <w:r>
        <w:rPr/>
        <w:t xml:space="preserve">) that I call kamma. For having intended, one acts by body, speech, or mind. </w:t>
      </w:r>
    </w:p>
    <w:p>
      <w:pPr>
        <w:pStyle w:val="WW-blockquote"/>
        <w:rPr/>
      </w:pPr>
      <w:r>
        <w:rPr/>
        <w:t>(b) And what is the source and origin of kamma? Contact (</w:t>
      </w:r>
      <w:r>
        <w:rPr>
          <w:rStyle w:val="wwc-pali"/>
        </w:rPr>
        <w:t>phassa</w:t>
      </w:r>
      <w:r>
        <w:rPr/>
        <w:t xml:space="preserve">) is its source and origin. </w:t>
      </w:r>
    </w:p>
    <w:p>
      <w:pPr>
        <w:pStyle w:val="WW-blockquote"/>
        <w:rPr/>
      </w:pPr>
      <w:r>
        <w:rPr/>
        <w:t xml:space="preserve">(c)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t xml:space="preserve">(d) And what is the result of kamma? I say that result of kamma is threefold, that to be experienced in this life, or in the next life, or on some subsequent occasion. This is called the result of kamma. </w:t>
      </w:r>
    </w:p>
    <w:p>
      <w:pPr>
        <w:pStyle w:val="WW-blockquote"/>
        <w:rPr/>
      </w:pPr>
      <w:r>
        <w:rPr/>
        <w:t xml:space="preserve">(e) And what is the cessation of kamma? With the cessation of contact there is cessation of kamma. </w:t>
      </w:r>
    </w:p>
    <w:p>
      <w:pPr>
        <w:pStyle w:val="WW-blockquote"/>
        <w:rPr/>
      </w:pPr>
      <w:r>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13"/>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w:t>
      </w:r>
      <w:r>
        <w:rPr/>
        <w:t xml:space="preserve">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Saṅgha,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8">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 xml:space="preserve">If Vasubandhu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rStyle w:val="wwc-sesame"/>
        </w:rPr>
        <w:t>Mahāvaṁsa Ṭīkā</w:t>
      </w:r>
      <w:r>
        <w:rPr/>
        <w:t xml:space="preserve">,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No man lives to himself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leader—a king, an officer in charge of a platoon, an employer, the head of an extended family, etc., might ‘overflow’ from them to their underlings [</w:t>
      </w:r>
      <w:r>
        <w:rPr>
          <w:rStyle w:val="wwc-sesame-zot-reference"/>
        </w:rPr>
        <w:t>Sīlācāra 1939</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Charles Luk’s The Śūraṅgama Sūtra published in 1966 [</w:t>
      </w:r>
      <w:r>
        <w:rPr>
          <w:rStyle w:val="wwc-sesame-zot-reference"/>
        </w:rPr>
        <w:t>Luk 1966</w:t>
      </w:r>
      <w:r>
        <w:rPr/>
        <w:t xml:space="preserve">] 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4"/>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Thubten 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WW-paragraph"/>
        <w:rPr/>
      </w:pPr>
      <w:r>
        <w:rPr/>
        <w:t xml:space="preserve">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p>
    <w:p>
      <w:pPr>
        <w:pStyle w:val="WW-blockquote"/>
        <w:rPr/>
      </w:pPr>
      <w:r>
        <w:rPr/>
        <w:t>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6.63:35.1–35.3</w:t>
      </w:r>
      <w:r>
        <w:rPr>
          <w:rStyle w:val="Hyperlink"/>
        </w:rPr>
        <w:fldChar w:fldCharType="end"/>
      </w:r>
      <w:r>
        <w:rPr/>
        <w:br/>
      </w:r>
      <w:r>
        <w:rPr>
          <w:rStyle w:val="wwc-PTS-reference"/>
        </w:rPr>
        <w:t>A.III,415</w:t>
      </w:r>
    </w:p>
    <w:p>
      <w:pPr>
        <w:pStyle w:val="WW-paragraph"/>
        <w:rPr/>
      </w:pPr>
      <w:r>
        <w:rPr/>
        <w:t>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rStyle w:val="wwc-pali"/>
        </w:rPr>
        <w:t>apāya</w:t>
      </w:r>
      <w:r>
        <w:rPr/>
        <w:t>), ‘the difficult road’ (</w:t>
      </w:r>
      <w:r>
        <w:rPr>
          <w:rStyle w:val="wwc-pali"/>
        </w:rPr>
        <w:t>duggati</w:t>
      </w:r>
      <w:r>
        <w:rPr/>
        <w:t>), ‘to descend’ (</w:t>
      </w:r>
      <w:r>
        <w:rPr>
          <w:rStyle w:val="wwc-pali"/>
        </w:rPr>
        <w:t>niraya</w:t>
      </w:r>
      <w:r>
        <w:rPr/>
        <w:t>) and ‘ruin (</w:t>
      </w:r>
      <w:r>
        <w:rPr>
          <w:rStyle w:val="wwc-pali"/>
        </w:rPr>
        <w:t>vinipāta</w:t>
      </w:r>
      <w:r>
        <w:rPr/>
        <w:t xml:space="preserve">).   </w:t>
      </w:r>
    </w:p>
    <w:p>
      <w:pPr>
        <w:pStyle w:val="WW-paragraph"/>
        <w:rPr/>
      </w:pPr>
      <w:r>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rStyle w:val="wwc-pali"/>
        </w:rPr>
        <w:t>pātāla</w:t>
      </w:r>
      <w:r>
        <w:rPr/>
        <w:t>), was that it was at the bottom of the ocean and concerning this the Buddha commented: “When the ordinary uninstructed person says: ‘Purgatory is under the great ocean’ he says something that is not true or real. Purgatory is actually a name for painful feeling”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r>
        <w:rPr/>
        <w:t xml:space="preserve"> </w:t>
      </w:r>
      <w:r>
        <w:rPr>
          <w:rStyle w:val="wwc-PTS-reference"/>
        </w:rPr>
        <w:t>S.IV,206</w:t>
      </w:r>
      <w:r>
        <w:rPr/>
        <w:t>)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w:t>
      </w: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1.62</w:t>
      </w:r>
      <w:r>
        <w:rPr>
          <w:rStyle w:val="Hyperlink"/>
        </w:rPr>
        <w:fldChar w:fldCharType="end"/>
      </w:r>
      <w:r>
        <w:rPr/>
        <w:t xml:space="preserve"> </w:t>
      </w:r>
      <w:r>
        <w:rPr>
          <w:rStyle w:val="wwc-PTS-reference"/>
        </w:rPr>
        <w:t>S.I,39</w:t>
      </w:r>
      <w:r>
        <w:rPr/>
        <w:t>). Thus heaven can be conceived of as a human existence that is predominantly one of ease, comfort, pleasure and delight; purgatory as one characterised as distressful and unfulfilled, and so on.</w:t>
      </w:r>
      <w:r>
        <w:br w:type="page"/>
      </w:r>
    </w:p>
    <w:p>
      <w:pPr>
        <w:pStyle w:val="WW-Chapter"/>
        <w:spacing w:before="0" w:after="567"/>
        <w:rPr/>
      </w:pPr>
      <w:r>
        <w:rPr/>
        <w:t xml:space="preserve">Why So Much Misunderstanding? </w:t>
      </w:r>
    </w:p>
    <w:p>
      <w:pPr>
        <w:pStyle w:val="WW-paragraph"/>
        <w:rPr/>
      </w:pPr>
      <w:r>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rStyle w:val="wwc-sesame"/>
        </w:rPr>
        <w:t>Vimānavatthu</w:t>
      </w:r>
      <w:r>
        <w:rPr/>
        <w:t xml:space="preserve">, </w:t>
      </w:r>
      <w:r>
        <w:rPr>
          <w:rStyle w:val="wwc-sesame"/>
        </w:rPr>
        <w:t>Petavatthu</w:t>
      </w:r>
      <w:r>
        <w:rPr/>
        <w:t xml:space="preserve"> (circa 3</w:t>
      </w:r>
      <w:r>
        <w:rPr>
          <w:vertAlign w:val="superscript"/>
        </w:rPr>
        <w:t>rd</w:t>
      </w:r>
      <w:r>
        <w:rPr/>
        <w:t xml:space="preserve"> or 2</w:t>
      </w:r>
      <w:r>
        <w:rPr>
          <w:vertAlign w:val="superscript"/>
        </w:rPr>
        <w:t>nd</w:t>
      </w:r>
      <w:r>
        <w:rPr/>
        <w:t xml:space="preserve"> century BCE), and the </w:t>
      </w:r>
      <w:r>
        <w:rPr>
          <w:rStyle w:val="wwc-sesame"/>
        </w:rPr>
        <w:t>Dhammapada Aṭṭhakathā</w:t>
      </w:r>
      <w:r>
        <w:rPr/>
        <w:t xml:space="preserve"> (4</w:t>
      </w:r>
      <w:r>
        <w:rPr>
          <w:vertAlign w:val="superscript"/>
        </w:rPr>
        <w:t>th</w:t>
      </w:r>
      <w:r>
        <w:rPr/>
        <w:t xml:space="preserve"> or 5</w:t>
      </w:r>
      <w:r>
        <w:rPr>
          <w:vertAlign w:val="superscript"/>
        </w:rPr>
        <w:t>th</w:t>
      </w:r>
      <w:r>
        <w:rPr/>
        <w:t xml:space="preserve"> century CE) and Sanskrit works such as the </w:t>
      </w:r>
      <w:r>
        <w:rPr>
          <w:rStyle w:val="wwc-sesame"/>
        </w:rPr>
        <w:t>Kammavibhaṅga</w:t>
      </w:r>
      <w:r>
        <w:rPr/>
        <w:t xml:space="preserve"> would be examples of this. Another work in a similar vain to these is the Buddha Teaches the Sutra Cause and Effect in the Three Times (</w:t>
      </w:r>
      <w:r>
        <w:rPr>
          <w:rStyle w:val="wwc-sesame-zot-reference"/>
        </w:rPr>
        <w:t>Fo Shuo San-shi Yinguo Jing</w:t>
      </w:r>
      <w:r>
        <w:rPr/>
        <w:t xml:space="preserve">). This text was supposedly spoken by the Buddha and translated into Chinese by </w:t>
      </w:r>
      <w:r>
        <w:rPr>
          <w:rStyle w:val="wwc-sesame"/>
        </w:rPr>
        <w:t>Kumārajīva</w:t>
      </w:r>
      <w:r>
        <w:rPr/>
        <w:t xml:space="preserve"> (344-413). In fact, all the evidence points to it being composed in China many centuries after </w:t>
      </w:r>
      <w:r>
        <w:rPr>
          <w:rStyle w:val="wwc-sesame"/>
        </w:rPr>
        <w:t>Kumārajīva</w:t>
      </w:r>
      <w:r>
        <w:rPr/>
        <w:t xml:space="preserve">.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WW-paragraph"/>
        <w:rPr/>
      </w:pPr>
      <w:r>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rStyle w:val="wwc-sesame"/>
        </w:rPr>
        <w:t>Fo Shuo San-shi Yinguo Jing</w:t>
      </w:r>
      <w:r>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WW-paragraph"/>
        <w:rPr/>
      </w:pPr>
      <w:r>
        <w:rPr/>
        <w:t xml:space="preserve">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20th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WW-paragraph"/>
        <w:rPr/>
      </w:pPr>
      <w:r>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WW-paragraph"/>
        <w:rPr/>
      </w:pPr>
      <w:r>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WW-blockquote"/>
        <w:rPr/>
      </w:pPr>
      <w:r>
        <w:rPr/>
        <w:t>“</w:t>
      </w:r>
      <w:r>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p>
    <w:p>
      <w:pPr>
        <w:pStyle w:val="WW-tight-right-cite"/>
        <w:rPr/>
      </w:pPr>
      <w:r>
        <w:rPr>
          <w:rStyle w:val="wwc-sesame-zot-reference"/>
        </w:rPr>
        <w:t>Humphreys 1995</w:t>
      </w:r>
      <w:r>
        <w:rPr/>
        <w:t>, p.16</w:t>
      </w:r>
    </w:p>
    <w:p>
      <w:pPr>
        <w:pStyle w:val="WW-paragraph"/>
        <w:rPr/>
      </w:pPr>
      <w:r>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WW-paragraph"/>
        <w:rPr/>
      </w:pPr>
      <w:r>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WW-paragraph"/>
        <w:rPr/>
      </w:pPr>
      <w:r>
        <w:rPr/>
        <w:t xml:space="preserve">Mahasi Sayadaw, probably modern Burma’s most revered Buddhist scholar and meditation master, summed up this attitude well when he wrote: </w:t>
      </w:r>
    </w:p>
    <w:p>
      <w:pPr>
        <w:pStyle w:val="WW-blockquote"/>
        <w:rPr/>
      </w:pPr>
      <w:r>
        <w:rPr/>
        <w:t>In this world nothing happens to a person that he does not for some reason or other deserve.</w:t>
      </w:r>
    </w:p>
    <w:p>
      <w:pPr>
        <w:pStyle w:val="WW-tight-right-cite"/>
        <w:rPr/>
      </w:pPr>
      <w:r>
        <w:rPr>
          <w:rStyle w:val="wwc-sesame-zot-reference"/>
        </w:rPr>
        <w:t>Mahasi 2013</w:t>
      </w:r>
      <w:r>
        <w:rPr/>
        <w:t xml:space="preserve"> p.3</w:t>
      </w:r>
    </w:p>
    <w:p>
      <w:pPr>
        <w:pStyle w:val="WW-paragraph"/>
        <w:rPr/>
      </w:pPr>
      <w:r>
        <w:rPr/>
        <w:t xml:space="preserve">As shown above, this claim is directly contrary to what the Buddha taught. In her novel </w:t>
      </w:r>
      <w:r>
        <w:rPr>
          <w:i/>
          <w:iCs/>
        </w:rPr>
        <w:t>Fruit of Karma</w:t>
      </w:r>
      <w:r>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WW-blockquote"/>
        <w:rPr/>
      </w:pPr>
      <w:r>
        <w:rPr/>
        <w:t>‘</w:t>
      </w:r>
      <w:r>
        <w:rPr/>
        <w:t xml:space="preserve">How can we help to improve the situation?’ </w:t>
      </w:r>
    </w:p>
    <w:p>
      <w:pPr>
        <w:pStyle w:val="WW-blockquote"/>
        <w:rPr/>
      </w:pPr>
      <w:r>
        <w:rPr/>
        <w:t>‘</w:t>
      </w:r>
      <w:r>
        <w:rPr/>
        <w:t>Pardon me. Did you say we? No, we cannot do anything. We are only a drop in the ocean. Neither can those with political power, who are many thousands of times more mighty than we are. We have to leave it to the process of karma,’ said Ven. Phra Khru sorrowfully.”</w:t>
      </w:r>
    </w:p>
    <w:p>
      <w:pPr>
        <w:pStyle w:val="WW-tight-right-cite"/>
        <w:rPr/>
      </w:pPr>
      <w:r>
        <w:rPr>
          <w:rStyle w:val="wwc-sesame-zot-reference"/>
        </w:rPr>
        <w:t>Onkom 1994</w:t>
      </w:r>
      <w:r>
        <w:rPr/>
        <w:t>, p.113</w:t>
      </w:r>
    </w:p>
    <w:p>
      <w:pPr>
        <w:pStyle w:val="WW-paragraph"/>
        <w:rPr/>
      </w:pPr>
      <w:r>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WW-paragraph"/>
        <w:rPr/>
      </w:pPr>
      <w:r>
        <w:rPr/>
        <w:t xml:space="preserve">Prof. Dale S. Wright, a scholar of Buddhism, writes: </w:t>
      </w:r>
    </w:p>
    <w:p>
      <w:pPr>
        <w:pStyle w:val="WW-blockquote"/>
        <w:rPr/>
      </w:pPr>
      <w:r>
        <w:rPr/>
        <w:t>“</w:t>
      </w:r>
      <w:r>
        <w:rPr/>
        <w:t>Karma may be socially and politically disempowering in its cultural effect, that without intending to do this, karma may in fact support social passivity or acquiescence in the face of oppression of various kinds.”</w:t>
      </w:r>
    </w:p>
    <w:p>
      <w:pPr>
        <w:pStyle w:val="WW-tight-right-cite"/>
        <w:rPr/>
      </w:pPr>
      <w:r>
        <w:rPr>
          <w:rStyle w:val="wwc-sesame-zot-reference"/>
        </w:rPr>
        <w:t>Wright 2004</w:t>
      </w:r>
      <w:r>
        <w:rPr/>
        <w:t xml:space="preserve"> P.81</w:t>
      </w:r>
    </w:p>
    <w:p>
      <w:pPr>
        <w:pStyle w:val="WW-paragraph"/>
        <w:rPr/>
      </w:pPr>
      <w:r>
        <w:rPr/>
        <w:t xml:space="preserve">Prof. David Loy, both a Buddhist and a scholar of Buddhism, writes: </w:t>
      </w:r>
    </w:p>
    <w:p>
      <w:pPr>
        <w:pStyle w:val="WW-blockquote"/>
        <w:rPr/>
      </w:pPr>
      <w:r>
        <w:rPr/>
        <w:t xml:space="preserve">Karma has been used to </w:t>
      </w:r>
      <w:r>
        <w:rPr>
          <w:rFonts w:ascii="Source Serif Pro" w:hAnsi="Source Serif Pro"/>
          <w:b w:val="false"/>
          <w:i w:val="false"/>
          <w:caps w:val="false"/>
          <w:smallCaps w:val="false"/>
          <w:color w:val="13036C"/>
          <w:spacing w:val="0"/>
          <w:sz w:val="24"/>
        </w:rPr>
        <w:t>rationalize sexism, racism</w:t>
      </w:r>
      <w:r>
        <w:rPr/>
        <w:t>,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p>
    <w:p>
      <w:pPr>
        <w:pStyle w:val="WW-tight-right-cite"/>
        <w:rPr/>
      </w:pPr>
      <w:r>
        <w:rPr>
          <w:rStyle w:val="wwc-sesame-zot-reference"/>
        </w:rPr>
        <w:t>Loy 2008</w:t>
      </w:r>
      <w:r>
        <w:rPr/>
        <w:t>, p.55</w:t>
      </w:r>
    </w:p>
    <w:p>
      <w:pPr>
        <w:pStyle w:val="WW-paragraph"/>
        <w:rPr/>
      </w:pPr>
      <w:r>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rStyle w:val="wwc-sesame"/>
        </w:rPr>
        <w:t>Milindapañha</w:t>
      </w:r>
      <w:r>
        <w:rPr/>
        <w:t>. In a dialogue with the monk Nāgasena, King Milinda quoted two passages from the Tipiṭaka: “By harming none in the world you will be loved and cherished,” and “Punish that which deserves punishment and encourage that which is good” (</w:t>
      </w:r>
      <w:r>
        <w:rPr>
          <w:rStyle w:val="wwc-PTS-reference"/>
        </w:rPr>
        <w:t>Ja.IV,71</w:t>
      </w:r>
      <w:r>
        <w:rPr/>
        <w:t xml:space="preserve"> and </w:t>
      </w:r>
      <w:r>
        <w:rPr>
          <w:rStyle w:val="wwc-PTS-reference"/>
        </w:rPr>
        <w:t>Ja.V,116</w:t>
      </w:r>
      <w:r>
        <w:rPr/>
        <w:t xml:space="preserve">). The king then pointed out that just punishment might require harming, even to the extent of amputating limbs of or executing wrongdoers, and that this would contradict the Buddha’s praise of not harming anyone. Nāgasena, supposedly an </w:t>
      </w:r>
      <w:r>
        <w:rPr>
          <w:rStyle w:val="wwc-pali"/>
        </w:rPr>
        <w:t>arahant</w:t>
      </w:r>
      <w:r>
        <w:rPr/>
        <w:t>, replied that someone who inflicts punishment on a wrongdoer is not responsible for the harm they do. Rather, the wrongdoer would be suffering because of their own evil kamma and the person administering the punishment would incur no blame (</w:t>
      </w:r>
      <w:r>
        <w:rPr>
          <w:rStyle w:val="wwc-PTS-reference"/>
        </w:rPr>
        <w:t>Mil.185-6</w:t>
      </w:r>
      <w:r>
        <w:rPr/>
        <w:t>).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rPr>
        <w:footnoteReference w:id="15"/>
      </w:r>
      <w:r>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rStyle w:val="wwc-pali"/>
        </w:rPr>
        <w:t>vipāka</w:t>
      </w:r>
      <w:r>
        <w:rPr/>
        <w:t xml:space="preserve"> for a murder Evans had committed in a previous life. </w:t>
      </w:r>
    </w:p>
    <w:p>
      <w:pPr>
        <w:pStyle w:val="WW-paragraph"/>
        <w:rPr/>
      </w:pPr>
      <w:r>
        <w:rPr/>
        <w:t xml:space="preserve">Of course people have always distorted religious beliefs to suit their own ends, justify their actions and put a pious gloss on them. But doing this is one thing; incorporating such distortions into the sacred literature is another. The </w:t>
      </w:r>
      <w:r>
        <w:rPr>
          <w:rStyle w:val="wwc-sesame"/>
        </w:rPr>
        <w:t>Milindapañha</w:t>
      </w:r>
      <w:r>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rStyle w:val="wwc-sesame"/>
        </w:rPr>
        <w:t>Milindapañha</w:t>
      </w:r>
      <w:r>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WW-paragraph"/>
        <w:rPr>
          <w:color w:val="000000"/>
          <w:sz w:val="28"/>
          <w:szCs w:val="28"/>
        </w:rPr>
      </w:pPr>
      <w:r>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WW-paragraph"/>
        <w:rPr>
          <w:color w:val="000000"/>
          <w:sz w:val="28"/>
          <w:szCs w:val="28"/>
        </w:rPr>
      </w:pPr>
      <w:r>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WW-paragraph"/>
        <w:rPr>
          <w:color w:val="000000"/>
          <w:sz w:val="28"/>
          <w:szCs w:val="28"/>
        </w:rPr>
      </w:pPr>
      <w:r>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WW-paragraph"/>
        <w:rPr/>
      </w:pPr>
      <w:r>
        <w:rPr/>
        <w:t xml:space="preserve">One of but many examples of such criticism appears in Dr. Richard Dawkins’ book </w:t>
      </w:r>
      <w:r>
        <w:rPr>
          <w:i/>
          <w:iCs/>
        </w:rPr>
        <w:t>The God Delusion</w:t>
      </w:r>
      <w:r>
        <w:rPr/>
        <w:t xml:space="preserve">, a trenchant critique of religion. Dawkins makes only one reference to Buddhism in his book and predictably it is about kamma. He writes: </w:t>
      </w:r>
    </w:p>
    <w:p>
      <w:pPr>
        <w:pStyle w:val="WW-blockquote"/>
        <w:rPr/>
      </w:pPr>
      <w:r>
        <w:rPr/>
        <w:t>Julia Sweeney is also right on target when she briefly mentions Buddhism… Buddhism is often cracked up to be the nicest of all [religions]. But the doctrine of demotion on the reincarnation ladder because of sins in a past life is pretty unpleasant. Julia Sweeney: ‘I went to Thailand and happened to visit a woman who was taking care of a terribly deformed boy. I said to his caretaker, “It’s so good of you to be taking care of this poor boy.” She said, “Don’t say poor boy. He must have done something terrible in his past life to be born this way”.’</w:t>
      </w:r>
    </w:p>
    <w:p>
      <w:pPr>
        <w:pStyle w:val="WW-tight-right-cite"/>
        <w:rPr/>
      </w:pPr>
      <w:r>
        <w:rPr>
          <w:rStyle w:val="wwc-sesame-zot-reference"/>
        </w:rPr>
        <w:t>Dawkins 2006</w:t>
      </w:r>
      <w:r>
        <w:rPr/>
        <w:t>, p.394</w:t>
      </w:r>
    </w:p>
    <w:p>
      <w:pPr>
        <w:pStyle w:val="WW-paragraph"/>
        <w:rPr/>
      </w:pPr>
      <w:r>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WW-paragraph"/>
        <w:rPr/>
      </w:pPr>
      <w:r>
        <w:rPr/>
        <w:t xml:space="preserve">Some Buddhists have even suggested that we should scrap the doctrine of kamma altogether. David Loy again: </w:t>
      </w:r>
    </w:p>
    <w:p>
      <w:pPr>
        <w:pStyle w:val="WW-blockquote"/>
        <w:rPr/>
      </w:pPr>
      <w:r>
        <w:rPr/>
        <w:t xml:space="preserve">What are we going to do about karma? There’s no point in pretending that karma hasn’t become a problem for contemporary Buddhism… </w:t>
      </w:r>
    </w:p>
    <w:p>
      <w:pPr>
        <w:pStyle w:val="WW-blockquote"/>
        <w:rPr/>
      </w:pPr>
      <w:r>
        <w:rPr/>
        <w:t>Buddhism can fit quite nicely into modern ways of understanding. But not traditional views of karma.</w:t>
      </w:r>
    </w:p>
    <w:p>
      <w:pPr>
        <w:pStyle w:val="WW-tight-right-cite"/>
        <w:rPr/>
      </w:pPr>
      <w:r>
        <w:rPr>
          <w:rStyle w:val="wwc-sesame-zot-reference"/>
        </w:rPr>
        <w:t>Loy 2008</w:t>
      </w:r>
      <w:r>
        <w:rPr/>
        <w:t>, p.53</w:t>
      </w:r>
    </w:p>
    <w:p>
      <w:pPr>
        <w:pStyle w:val="WW-paragraph"/>
        <w:rPr/>
      </w:pPr>
      <w:r>
        <w:rPr/>
        <w:t xml:space="preserve">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w:t>
      </w:r>
    </w:p>
    <w:p>
      <w:pPr>
        <w:pStyle w:val="WW-blockquote"/>
        <w:rPr/>
      </w:pPr>
      <w:r>
        <w:rPr/>
        <w:t>…</w:t>
      </w:r>
      <w:r>
        <w:rPr/>
        <w:t>the idea of karma is untrue, it is just ‘a provisional truth’ that is only helpful when we are caught up in confusion. It is not ultimately true…</w:t>
      </w:r>
    </w:p>
    <w:p>
      <w:pPr>
        <w:pStyle w:val="WW-tight-right-cite"/>
        <w:rPr/>
      </w:pPr>
      <w:r>
        <w:rPr>
          <w:rStyle w:val="wwc-sesame-zot-reference"/>
        </w:rPr>
        <w:t>Hookham 2006</w:t>
      </w:r>
      <w:r>
        <w:rPr/>
        <w:t>, p.62</w:t>
      </w:r>
    </w:p>
    <w:p>
      <w:pPr>
        <w:pStyle w:val="WW-paragraph"/>
        <w:rPr/>
      </w:pPr>
      <w:r>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recognisable as anything the Buddha taught.</w:t>
      </w:r>
      <w:r>
        <w:rPr>
          <w:rStyle w:val="FootnoteReference"/>
        </w:rPr>
        <w:footnoteReference w:id="16"/>
      </w:r>
      <w:r>
        <w:br w:type="page"/>
      </w:r>
    </w:p>
    <w:p>
      <w:pPr>
        <w:pStyle w:val="WW-Chapter"/>
        <w:spacing w:before="0" w:after="567"/>
        <w:rPr/>
      </w:pPr>
      <w:r>
        <w:rPr/>
        <w:t xml:space="preserve">Transferring Merit </w:t>
      </w:r>
    </w:p>
    <w:p>
      <w:pPr>
        <w:pStyle w:val="WW-paragraph"/>
        <w:rPr/>
      </w:pPr>
      <w:r>
        <w:rPr/>
        <w:t xml:space="preserve">An issue related to the doctrine of kamma is that of transference of merit. This is the idea that it is possible to do good and then ‘transfer’ the </w:t>
      </w:r>
      <w:r>
        <w:rPr>
          <w:rStyle w:val="wwc-pali"/>
        </w:rPr>
        <w:t>vipāka</w:t>
      </w:r>
      <w:r>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rStyle w:val="wwc-sanskrit"/>
        </w:rPr>
        <w:t>śaddha</w:t>
      </w:r>
      <w:r>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w:t>
      </w:r>
      <w:r>
        <w:rPr>
          <w:rStyle w:val="wwc-sesame"/>
        </w:rPr>
        <w:t>Carvaka</w:t>
      </w:r>
      <w:r>
        <w:rPr/>
        <w:t xml:space="preserve"> school quite rightly poked fun at the </w:t>
      </w:r>
      <w:r>
        <w:rPr>
          <w:rStyle w:val="wwc-sanskrit"/>
        </w:rPr>
        <w:t>śaddha</w:t>
      </w:r>
      <w:r>
        <w:rPr/>
        <w:t xml:space="preserve"> ritual saying: </w:t>
      </w:r>
    </w:p>
    <w:p>
      <w:pPr>
        <w:pStyle w:val="WW-blockquote"/>
        <w:rPr/>
      </w:pPr>
      <w:r>
        <w:rPr/>
        <w:t xml:space="preserve">If the </w:t>
      </w:r>
      <w:r>
        <w:rPr>
          <w:rStyle w:val="wwc-sanskrit"/>
        </w:rPr>
        <w:t>śaddha</w:t>
      </w:r>
      <w:r>
        <w:rPr/>
        <w:t xml:space="preserve"> can really satisfy beings who are dead, then in this world when travellers embark on a journey it would not be necessary to provide them with provisions because their relatives back home could eat for them.”</w:t>
      </w:r>
    </w:p>
    <w:p>
      <w:pPr>
        <w:pStyle w:val="WW-tight-right-cite"/>
        <w:rPr/>
      </w:pPr>
      <w:r>
        <w:rPr>
          <w:rStyle w:val="wwc-sesame-zot-reference"/>
        </w:rPr>
        <w:t>Visdyasagara 1858</w:t>
      </w:r>
      <w:r>
        <w:rPr/>
        <w:t>, p.10</w:t>
      </w:r>
    </w:p>
    <w:p>
      <w:pPr>
        <w:pStyle w:val="WW-paragraph"/>
        <w:rPr/>
      </w:pPr>
      <w:r>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w:t>
      </w:r>
    </w:p>
    <w:p>
      <w:pPr>
        <w:pStyle w:val="WW-line-block"/>
        <w:rPr/>
      </w:pPr>
      <w:r>
        <w:rPr/>
        <w:t xml:space="preserve">By oneself is evil done, </w:t>
        <w:br/>
        <w:t xml:space="preserve">by oneself is evil shunned, </w:t>
        <w:br/>
        <w:t xml:space="preserve">by oneself is one purified. </w:t>
        <w:br/>
        <w:t xml:space="preserve">Purity and impurity depend on oneself. </w:t>
        <w:br/>
        <w:t xml:space="preserve">No one can purify another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165</w:t>
      </w:r>
      <w:r>
        <w:rPr>
          <w:rStyle w:val="Hyperlink"/>
        </w:rPr>
        <w:fldChar w:fldCharType="end"/>
      </w:r>
      <w:r>
        <w:rPr/>
        <w:t xml:space="preserve"> </w:t>
      </w:r>
    </w:p>
    <w:p>
      <w:pPr>
        <w:pStyle w:val="WW-paragraph"/>
        <w:rPr/>
      </w:pPr>
      <w:r>
        <w:rPr/>
        <w:t xml:space="preserve">In the </w:t>
      </w:r>
      <w:r>
        <w:rPr>
          <w:rStyle w:val="wwc-sesame"/>
        </w:rPr>
        <w:t>Sutta Nipāta</w:t>
      </w:r>
      <w:r>
        <w:rPr/>
        <w:t xml:space="preserve"> he said: </w:t>
      </w:r>
    </w:p>
    <w:p>
      <w:pPr>
        <w:pStyle w:val="WW-line-block"/>
        <w:rPr/>
      </w:pPr>
      <w:r>
        <w:rPr/>
        <w:t xml:space="preserve">When they are overcome by death </w:t>
        <w:br/>
        <w:t xml:space="preserve">and are going from here to the next world, </w:t>
        <w:br/>
        <w:t xml:space="preserve">the father cannot assist the son, </w:t>
        <w:br/>
        <w:t>any more than other relatives can.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3.8:6.1–6.4</w:t>
      </w:r>
      <w:r>
        <w:rPr>
          <w:rStyle w:val="Hyperlink"/>
        </w:rPr>
        <w:fldChar w:fldCharType="end"/>
      </w:r>
      <w:r>
        <w:rPr/>
        <w:br/>
      </w:r>
      <w:r>
        <w:rPr>
          <w:rStyle w:val="wwc-PTS-reference"/>
        </w:rPr>
        <w:t xml:space="preserve">Sn.579 </w:t>
      </w:r>
    </w:p>
    <w:p>
      <w:pPr>
        <w:pStyle w:val="WW-paragraph"/>
        <w:rPr/>
      </w:pPr>
      <w:r>
        <w:rPr/>
        <w:t xml:space="preserve">Even the denizens of Purgatory have a better understanding of kamma than those who believe they can transfer their merit to someone else. The Buddha said that a person who dies and finds himself in Purgatory will be reproached by Yama like this:   </w:t>
      </w:r>
    </w:p>
    <w:p>
      <w:pPr>
        <w:pStyle w:val="WW-blockquote"/>
        <w:rPr/>
      </w:pPr>
      <w:r>
        <w:rPr/>
        <w:t>This evil deed was not done by your mother or father, by your brother or sister, by your friends and companions, by your kinsmen and relatives, by ascetics and brahmins, or by the gods. It was done by you yourself, and you yourself will feel its result.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130:4.10–4.13</w:t>
      </w:r>
      <w:r>
        <w:rPr>
          <w:rStyle w:val="Hyperlink"/>
        </w:rPr>
        <w:fldChar w:fldCharType="end"/>
      </w:r>
      <w:r>
        <w:rPr/>
        <w:br/>
      </w:r>
      <w:r>
        <w:rPr>
          <w:rStyle w:val="wwc-PTS-reference"/>
        </w:rPr>
        <w:t>M.III,180</w:t>
      </w:r>
    </w:p>
    <w:p>
      <w:pPr>
        <w:pStyle w:val="WW-paragraph"/>
        <w:rPr/>
      </w:pPr>
      <w:r>
        <w:rPr/>
        <w:t xml:space="preserve">The </w:t>
      </w:r>
      <w:r>
        <w:rPr>
          <w:rStyle w:val="wwc-sesame"/>
        </w:rPr>
        <w:t>Jātakas</w:t>
      </w:r>
      <w:r>
        <w:rPr/>
        <w:t xml:space="preserve"> seem to represent a period when early Buddhism was being influenced by the Brahmanical </w:t>
      </w:r>
      <w:r>
        <w:rPr>
          <w:rStyle w:val="wwc-sanskrit"/>
        </w:rPr>
        <w:t>śaddha</w:t>
      </w:r>
      <w:r>
        <w:rPr/>
        <w:t xml:space="preserve"> notion. True to the original Dhamma, one </w:t>
      </w:r>
      <w:r>
        <w:rPr>
          <w:rStyle w:val="wwc-sesame"/>
        </w:rPr>
        <w:t>Jātaka</w:t>
      </w:r>
      <w:r>
        <w:rPr/>
        <w:t xml:space="preserve"> says: </w:t>
      </w:r>
    </w:p>
    <w:p>
      <w:pPr>
        <w:pStyle w:val="WW-line-block"/>
        <w:rPr/>
      </w:pPr>
      <w:r>
        <w:rPr/>
        <w:t xml:space="preserve">One makes one’s own good fortune. One makes one’s own misfortune. </w:t>
        <w:br/>
        <w:t>For good fortune or lack of it cannot be made for another by another.</w:t>
      </w:r>
    </w:p>
    <w:p>
      <w:pPr>
        <w:pStyle w:val="WW-tight-right-cite"/>
        <w:rPr/>
      </w:pPr>
      <w:hyperlink r:id="rId29">
        <w:r>
          <w:rPr>
            <w:rStyle w:val="Hyperlink"/>
          </w:rPr>
          <w:t>Ja 382</w:t>
        </w:r>
      </w:hyperlink>
      <w:r>
        <w:rPr/>
        <w:br/>
        <w:t>Ja.III,263</w:t>
      </w:r>
    </w:p>
    <w:p>
      <w:pPr>
        <w:pStyle w:val="WW-paragraph"/>
        <w:rPr/>
      </w:pPr>
      <w:r>
        <w:rPr/>
        <w:t xml:space="preserve">But in another story a virtuous man says he will give all the merit he has accumulated to a man lacking virtue (Ja.II,112). By the time of the </w:t>
      </w:r>
      <w:r>
        <w:rPr>
          <w:rStyle w:val="wwc-sesame"/>
        </w:rPr>
        <w:t>Dhammapada Atthakathā</w:t>
      </w:r>
      <w:r>
        <w:rPr/>
        <w:t> the notion had come to be believed that it was actually possible to buy someone’s merit from them or sell your own (</w:t>
      </w:r>
      <w:r>
        <w:rPr>
          <w:rStyle w:val="wwc-PTS-reference"/>
        </w:rPr>
        <w:t>Dhp-a.III,12a</w:t>
      </w:r>
      <w:r>
        <w:rPr/>
        <w:t>). But even after the transferring of merit had become widely accepted, there were voices still holding out against this popular superstition. In the 2</w:t>
      </w:r>
      <w:r>
        <w:rPr>
          <w:vertAlign w:val="superscript"/>
        </w:rPr>
        <w:t>nd</w:t>
      </w:r>
      <w:r>
        <w:rPr/>
        <w:t xml:space="preserve"> century CE Aśvaghoṣa wrote: </w:t>
      </w:r>
    </w:p>
    <w:p>
      <w:pPr>
        <w:pStyle w:val="WW-blockquote"/>
        <w:rPr/>
      </w:pPr>
      <w:r>
        <w:rPr/>
        <w:t>It is impossible for one to do good and then give it to another, even if one wants to the other cannot receive it.  The result of one’s own acts are not destroyed, they are experienced by oneself, but that the effect of what one had not done can be experienced is not factual.</w:t>
      </w:r>
    </w:p>
    <w:p>
      <w:pPr>
        <w:pStyle w:val="WW-tight-right-cite"/>
        <w:rPr/>
      </w:pPr>
      <w:r>
        <w:rPr/>
        <w:t>Buddhacarita XX,28)</w:t>
      </w:r>
    </w:p>
    <w:p>
      <w:pPr>
        <w:pStyle w:val="WW-paragraph"/>
        <w:rPr/>
      </w:pPr>
      <w:r>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Unfortunately, some sects of Buddhism have not been immune to this sort of thing either. The well-known Tibetan teacher Lama Zopa has written: </w:t>
      </w:r>
    </w:p>
    <w:p>
      <w:pPr>
        <w:pStyle w:val="WW-blockquote"/>
        <w:rPr/>
      </w:pPr>
      <w:r>
        <w:rPr/>
        <w:t>“</w:t>
      </w:r>
      <w:r>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rPr>
        <w:footnoteReference w:id="17"/>
      </w:r>
      <w:r>
        <w:rPr/>
        <w:t xml:space="preserve"> </w:t>
      </w:r>
    </w:p>
    <w:p>
      <w:pPr>
        <w:pStyle w:val="WW-paragraph"/>
        <w:rPr/>
      </w:pPr>
      <w:r>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WW-paragraph"/>
        <w:rPr/>
      </w:pPr>
      <w:r>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WW-paragraph"/>
        <w:rPr/>
      </w:pPr>
      <w:r>
        <w:rPr/>
        <w:t xml:space="preserve">While it is not possible to transfer merit to another it is possible to give them the opportunity to rejoice in good and virtuous actions done on their behalf, a practice called </w:t>
      </w:r>
      <w:r>
        <w:rPr>
          <w:rStyle w:val="wwc-pali"/>
        </w:rPr>
        <w:t>puñña anumodana</w:t>
      </w:r>
      <w:r>
        <w:rPr/>
        <w:t xml:space="preserve"> (Sinhala, </w:t>
      </w:r>
      <w:r>
        <w:rPr>
          <w:i/>
          <w:iCs/>
        </w:rPr>
        <w:t>pin anumodanaya</w:t>
      </w:r>
      <w:r>
        <w:rPr/>
        <w:t xml:space="preserve">). The two words in this term are </w:t>
      </w:r>
      <w:r>
        <w:rPr>
          <w:rStyle w:val="wwc-pali"/>
        </w:rPr>
        <w:t>puñña</w:t>
      </w:r>
      <w:r>
        <w:rPr/>
        <w:t xml:space="preserve"> = merit and </w:t>
      </w:r>
      <w:r>
        <w:rPr>
          <w:rStyle w:val="wwc-pali"/>
        </w:rPr>
        <w:t>anumodana</w:t>
      </w:r>
      <w:r>
        <w:rPr/>
        <w:t xml:space="preserve"> = to rejoice in or to feel joyful about, although Asian 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rStyle w:val="wwc-pali"/>
        </w:rPr>
        <w:t>antarabhava</w:t>
      </w:r>
      <w:r>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rStyle w:val="wwc-pali"/>
        </w:rPr>
        <w:t>Puñña anumodana</w:t>
      </w:r>
      <w:r>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WW-paragraph"/>
        <w:rPr/>
      </w:pPr>
      <w:r>
        <w:rPr/>
        <w:t>We will finish this exploration of the Buddha’s doctrine of kamma and rebirth by looking at some of implications of them and attempting to answer some of the questions often raised about them.</w:t>
      </w:r>
    </w:p>
    <w:p>
      <w:pPr>
        <w:pStyle w:val="WW-paragraph"/>
        <w:rPr/>
      </w:pPr>
      <w:r>
        <w:rPr>
          <w:b/>
          <w:bCs/>
        </w:rPr>
        <w:t>(A)</w:t>
      </w:r>
      <w:r>
        <w:rPr/>
        <w:t xml:space="preserve">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rPr>
        <w:footnoteReference w:id="18"/>
      </w:r>
      <w:r>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Erlendur Haraldsson.   </w:t>
      </w:r>
    </w:p>
    <w:p>
      <w:pPr>
        <w:pStyle w:val="WW-paragraph"/>
        <w:rPr/>
      </w:pPr>
      <w:r>
        <w:rPr/>
        <w:t>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w:t>
      </w:r>
      <w:r>
        <w:fldChar w:fldCharType="begin"/>
      </w:r>
      <w:r>
        <w:rPr>
          <w:rStyle w:val="Hyperlink"/>
        </w:rPr>
        <w:instrText xml:space="preserve"> HYPERLINK "https://suttacentral.net/XXX/en/sujato" \l "YYY"</w:instrText>
      </w:r>
      <w:r>
        <w:rPr>
          <w:rStyle w:val="Hyperlink"/>
        </w:rPr>
        <w:fldChar w:fldCharType="separate"/>
      </w:r>
      <w:r>
        <w:rPr>
          <w:rStyle w:val="Hyperlink"/>
        </w:rPr>
        <w:t>DN 2:83.1</w:t>
      </w:r>
      <w:r>
        <w:rPr>
          <w:rStyle w:val="Hyperlink"/>
        </w:rPr>
        <w:fldChar w:fldCharType="end"/>
      </w:r>
      <w:r>
        <w:rPr/>
        <w:t xml:space="preserve"> </w:t>
      </w:r>
      <w:r>
        <w:rPr>
          <w:rStyle w:val="wwc-PTS-reference"/>
        </w:rPr>
        <w:t>D.I,76</w:t>
      </w:r>
      <w:r>
        <w:rPr/>
        <w:t xml:space="preserve">). </w:t>
      </w:r>
    </w:p>
    <w:p>
      <w:pPr>
        <w:pStyle w:val="WW-paragraph"/>
        <w:rPr/>
      </w:pPr>
      <w:r>
        <w:rPr>
          <w:b/>
          <w:bCs/>
        </w:rPr>
        <w:t>(B)</w:t>
      </w:r>
      <w:r>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w:t>
      </w:r>
      <w:r>
        <w:rPr>
          <w:rStyle w:val="wwc-sesame-zot-reference"/>
        </w:rPr>
        <w:t>Edwards 1996</w:t>
      </w:r>
      <w:r>
        <w:rPr/>
        <w:t>]. But others like philosophers C. J. Ducasse [</w:t>
      </w:r>
      <w:r>
        <w:rPr>
          <w:rStyle w:val="wwc-sesame-zot-reference"/>
        </w:rPr>
        <w:t>Ducasse 1961</w:t>
      </w:r>
      <w:r>
        <w:rPr/>
        <w:t>] and J. M. E. McTaggart [</w:t>
      </w:r>
      <w:r>
        <w:rPr>
          <w:rStyle w:val="wwc-sesame-zot-reference"/>
        </w:rPr>
        <w:t>McTaggart 1916</w:t>
      </w:r>
      <w:r>
        <w:rPr/>
        <w:t xml:space="preserve">] and academics such as </w:t>
      </w:r>
      <w:r>
        <w:rPr>
          <w:lang w:val="en-US"/>
        </w:rPr>
        <w:t>Susan Blackmore [</w:t>
      </w:r>
      <w:r>
        <w:rPr>
          <w:rStyle w:val="wwc-sesame-zot-reference"/>
          <w:lang w:val="en-US"/>
        </w:rPr>
        <w:t>Blackmore 1993</w:t>
      </w:r>
      <w:r>
        <w:rPr>
          <w:lang w:val="en-US"/>
        </w:rPr>
        <w:t>] consider rebirth to be a plausible postmortem explanation.</w:t>
      </w:r>
    </w:p>
    <w:p>
      <w:pPr>
        <w:pStyle w:val="WW-paragraph"/>
        <w:rPr/>
      </w:pPr>
      <w:r>
        <w:rPr>
          <w:b/>
          <w:bCs/>
        </w:rPr>
        <w:t>(C)</w:t>
      </w:r>
      <w:r>
        <w:rPr/>
        <w:t xml:space="preserve"> According to the Buddha, the three characteristics of existence are suffering (</w:t>
      </w:r>
      <w:r>
        <w:rPr>
          <w:rStyle w:val="wwc-pali"/>
        </w:rPr>
        <w:t>dukkha</w:t>
      </w:r>
      <w:r>
        <w:rPr/>
        <w:t>), impermanence (</w:t>
      </w:r>
      <w:r>
        <w:rPr>
          <w:rStyle w:val="wwc-pali"/>
        </w:rPr>
        <w:t>anicca</w:t>
      </w:r>
      <w:r>
        <w:rPr/>
        <w:t>) and not-self (</w:t>
      </w:r>
      <w:r>
        <w:rPr>
          <w:rStyle w:val="wwc-pali"/>
        </w:rPr>
        <w:t>anatta</w:t>
      </w:r>
      <w:r>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iCs/>
        </w:rPr>
        <w:t>permanent, unchanging, metaphysical</w:t>
      </w:r>
      <w:r>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WW-paragraph"/>
        <w:rPr/>
      </w:pPr>
      <w:r>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rStyle w:val="wwc-pali"/>
        </w:rPr>
        <w:t>anicca</w:t>
      </w:r>
      <w:r>
        <w:rPr/>
        <w:t xml:space="preserve">). It is not this, but the idea that a soul or spirit can go from one location or dimension to another without changing that is difficult to explain. </w:t>
      </w:r>
    </w:p>
    <w:p>
      <w:pPr>
        <w:pStyle w:val="WW-paragraph"/>
        <w:rPr/>
      </w:pPr>
      <w:r>
        <w:rPr>
          <w:b/>
          <w:bCs/>
        </w:rPr>
        <w:t>(D)</w:t>
      </w:r>
      <w:r>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rStyle w:val="wwc-pali"/>
        </w:rPr>
        <w:t>vipāka</w:t>
      </w:r>
      <w:r>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w:t>
      </w:r>
    </w:p>
    <w:p>
      <w:pPr>
        <w:pStyle w:val="WW-blockquote"/>
        <w:rPr/>
      </w:pPr>
      <w:r>
        <w:rPr/>
        <w:t>“</w:t>
      </w:r>
      <w:r>
        <w:rPr/>
        <w:t>How is it good Gotama; is the one who acts the same as the one who experiences the result of the act?”</w:t>
      </w:r>
    </w:p>
    <w:p>
      <w:pPr>
        <w:pStyle w:val="WW-blockquote"/>
        <w:rPr/>
      </w:pPr>
      <w:r>
        <w:rPr/>
        <w:t>“</w:t>
      </w:r>
      <w:r>
        <w:rPr/>
        <w:t>That is one extreme.”</w:t>
      </w:r>
    </w:p>
    <w:p>
      <w:pPr>
        <w:pStyle w:val="WW-blockquote"/>
        <w:rPr/>
      </w:pPr>
      <w:r>
        <w:rPr/>
        <w:t>“</w:t>
      </w:r>
      <w:r>
        <w:rPr/>
        <w:t>Then is the one who acts different from the one who experiences the result of the act?”</w:t>
      </w:r>
    </w:p>
    <w:p>
      <w:pPr>
        <w:pStyle w:val="WW-blockquote"/>
        <w:rPr/>
      </w:pPr>
      <w:r>
        <w:rPr/>
        <w:t>“</w:t>
      </w:r>
      <w:r>
        <w:rPr/>
        <w:t>That is another extreme. Without adhering to either of these extremes the Tathāgata teaches Dhamma by the middle.”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12.46</w:t>
      </w:r>
      <w:r>
        <w:rPr>
          <w:rStyle w:val="Hyperlink"/>
        </w:rPr>
        <w:fldChar w:fldCharType="end"/>
      </w:r>
      <w:r>
        <w:rPr/>
        <w:br/>
      </w:r>
      <w:r>
        <w:rPr>
          <w:rStyle w:val="wwc-PTS-reference"/>
        </w:rPr>
        <w:t>S.II,75–6</w:t>
      </w:r>
    </w:p>
    <w:p>
      <w:pPr>
        <w:pStyle w:val="WW-paragraph"/>
        <w:rPr/>
      </w:pPr>
      <w:r>
        <w:rPr/>
        <w:t xml:space="preserve">Using an analogy might help clarify what the Buddha meant. 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recognisable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iCs/>
        </w:rPr>
        <w:t>esprit de corps</w:t>
      </w:r>
      <w:r>
        <w:rPr/>
        <w:t xml:space="preserve">, etc. Despite continual change it is recognised as a 60-year-old institution.  </w:t>
      </w:r>
    </w:p>
    <w:p>
      <w:pPr>
        <w:pStyle w:val="WW-paragraph"/>
        <w:rPr/>
      </w:pPr>
      <w:r>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rStyle w:val="wwc-pali"/>
        </w:rPr>
        <w:t>vipāka</w:t>
      </w:r>
      <w:r>
        <w:rPr/>
        <w:t xml:space="preserve"> of kamma done in the previous life. </w:t>
      </w:r>
    </w:p>
    <w:p>
      <w:pPr>
        <w:pStyle w:val="WW-paragraph"/>
        <w:rPr/>
      </w:pPr>
      <w:r>
        <w:rPr>
          <w:b/>
          <w:bCs/>
        </w:rPr>
        <w:t>(E)</w:t>
      </w:r>
      <w:r>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WW-paragraph"/>
        <w:rPr/>
      </w:pPr>
      <w:r>
        <w:rPr/>
        <w:t>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6.12</w:t>
      </w:r>
      <w:r>
        <w:rPr>
          <w:rStyle w:val="Hyperlink"/>
        </w:rPr>
        <w:fldChar w:fldCharType="end"/>
      </w:r>
      <w:r>
        <w:rPr/>
        <w:t xml:space="preserve"> </w:t>
      </w:r>
      <w:r>
        <w:rPr>
          <w:rStyle w:val="wwc-PTS-reference"/>
        </w:rPr>
        <w:t>A.III,289</w:t>
      </w:r>
      <w:r>
        <w:rPr/>
        <w:t xml:space="preserve">), and we should shun evil out of compassion for others and because its kammic consequences can be very unpleasant. </w:t>
      </w:r>
    </w:p>
    <w:p>
      <w:pPr>
        <w:pStyle w:val="WW-paragraph"/>
        <w:rPr/>
      </w:pPr>
      <w:r>
        <w:rPr/>
        <w:t xml:space="preserve">How did he arrive at these and other high ethical principles without a divine law-giver? He used several means but one of them that would enable anyone to determine right from wrong he called </w:t>
      </w:r>
      <w:r>
        <w:rPr>
          <w:rStyle w:val="wwc-pali"/>
        </w:rPr>
        <w:t>anumāna</w:t>
      </w:r>
      <w:r>
        <w:rPr/>
        <w:t>, or what in the West is called the Golden Rule. He advised: “Starting with oneself one should make this inference (</w:t>
      </w:r>
      <w:r>
        <w:rPr>
          <w:rStyle w:val="wwc-pali"/>
        </w:rPr>
        <w:t>anuminitabbaṃ</w:t>
      </w:r>
      <w:r>
        <w:rPr/>
        <w:t xml:space="preserve">): </w:t>
      </w:r>
    </w:p>
    <w:p>
      <w:pPr>
        <w:pStyle w:val="WW-blockquote"/>
        <w:rPr/>
      </w:pPr>
      <w:r>
        <w:rPr/>
        <w:t>I find those who are dominated by evil wishes to be unpleasant and nasty. If I was dominated by evil wishes others would find me unpleasant and nasty. Therefore, I will not allow evil wishes to dominate me.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15:6.1–6.4</w:t>
      </w:r>
      <w:r>
        <w:rPr>
          <w:rStyle w:val="Hyperlink"/>
        </w:rPr>
        <w:fldChar w:fldCharType="end"/>
      </w:r>
      <w:r>
        <w:rPr/>
        <w:br/>
      </w:r>
      <w:r>
        <w:rPr>
          <w:rStyle w:val="wwc-PTS-reference"/>
        </w:rPr>
        <w:t>M.I,97–8</w:t>
      </w:r>
    </w:p>
    <w:p>
      <w:pPr>
        <w:pStyle w:val="WW-paragraph"/>
        <w:rPr/>
      </w:pPr>
      <w:r>
        <w:rPr/>
        <w:t xml:space="preserve">On another occasion the Buddha put it this way: </w:t>
      </w:r>
    </w:p>
    <w:p>
      <w:pPr>
        <w:pStyle w:val="WW-blockquote"/>
        <w:rPr/>
      </w:pPr>
      <w:r>
        <w:rPr/>
        <w:t>Think like this: ‘As am I so are others; as are others so am I’ and harm none nor have them harmed</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3.11:27.1–27.4</w:t>
      </w:r>
      <w:r>
        <w:rPr>
          <w:rStyle w:val="Hyperlink"/>
        </w:rPr>
        <w:fldChar w:fldCharType="end"/>
      </w:r>
      <w:r>
        <w:rPr/>
        <w:t xml:space="preserve"> </w:t>
        <w:br/>
      </w:r>
      <w:r>
        <w:rPr>
          <w:rStyle w:val="wwc-PTS-reference"/>
        </w:rPr>
        <w:t>Sn.705</w:t>
      </w:r>
      <w:r>
        <w:rPr/>
        <w:t xml:space="preserve"> </w:t>
      </w:r>
      <w:r>
        <w:rPr>
          <w:color w:val="000000"/>
          <w:sz w:val="28"/>
          <w:szCs w:val="28"/>
        </w:rPr>
        <w:t xml:space="preserve"> </w:t>
      </w:r>
    </w:p>
    <w:p>
      <w:pPr>
        <w:pStyle w:val="WW-paragraph"/>
        <w:rPr/>
      </w:pPr>
      <w:r>
        <w:rPr>
          <w:b/>
          <w:bCs/>
        </w:rPr>
        <w:t>(F)</w:t>
      </w:r>
      <w:r>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w:t>
      </w:r>
      <w:r>
        <w:fldChar w:fldCharType="begin"/>
      </w:r>
      <w:r>
        <w:rPr>
          <w:rStyle w:val="Hyperlink"/>
        </w:rPr>
        <w:instrText xml:space="preserve"> HYPERLINK "https://suttacentral.net/XXX/en/sujato" \l "YYY"</w:instrText>
      </w:r>
      <w:r>
        <w:rPr>
          <w:rStyle w:val="Hyperlink"/>
        </w:rPr>
        <w:fldChar w:fldCharType="separate"/>
      </w:r>
      <w:r>
        <w:rPr>
          <w:rStyle w:val="Hyperlink"/>
        </w:rPr>
        <w:t>AN 3.18</w:t>
      </w:r>
      <w:r>
        <w:rPr>
          <w:rStyle w:val="Hyperlink"/>
        </w:rPr>
        <w:fldChar w:fldCharType="end"/>
      </w:r>
      <w:r>
        <w:rPr/>
        <w:t xml:space="preserve"> </w:t>
      </w:r>
      <w:r>
        <w:rPr>
          <w:rStyle w:val="wwc-PTS-reference"/>
        </w:rPr>
        <w:t>A.I,115</w:t>
      </w:r>
      <w:r>
        <w:rPr/>
        <w:t xml:space="preserve">), a goal he considered decidedly inferior to Nirvana. Even eternal life in heaven, if such a thing were possible, must, sooner or later, entail boredom and a sense of meaninglessness. The </w:t>
      </w:r>
      <w:r>
        <w:rPr>
          <w:i/>
          <w:iCs/>
        </w:rPr>
        <w:t>raison d’etre</w:t>
      </w:r>
      <w:r>
        <w:rPr/>
        <w:t xml:space="preserve"> of Buddhism is to end </w:t>
      </w:r>
      <w:r>
        <w:rPr>
          <w:rStyle w:val="wwc-pali"/>
        </w:rPr>
        <w:t>saṁsāra</w:t>
      </w:r>
      <w:r>
        <w:rPr/>
        <w:t>, the process of birth, death and being reborn. So however much the wish-fulfilment theory may apply to other post-mortem theories it could not apply to Buddhism.</w:t>
      </w:r>
    </w:p>
    <w:p>
      <w:pPr>
        <w:pStyle w:val="WW-paragraph"/>
        <w:rPr/>
      </w:pPr>
      <w:r>
        <w:rPr>
          <w:b/>
          <w:bCs/>
        </w:rPr>
        <w:t>(G)</w:t>
      </w:r>
      <w:r>
        <w:rPr/>
        <w:t xml:space="preserve"> 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rStyle w:val="wwc-pali"/>
        </w:rPr>
        <w:t>vipāka</w:t>
      </w:r>
      <w:r>
        <w:rPr/>
        <w:t xml:space="preserve"> we experience for the kamma we do is, by contrast, approximately proportionate. The picture on the cover of this book is of a relief from the great Borobudur temple in Java depicting a scene from the </w:t>
      </w:r>
      <w:r>
        <w:rPr>
          <w:rStyle w:val="wwc-pali"/>
        </w:rPr>
        <w:t>Karmavibhaṅga</w:t>
      </w:r>
      <w:r>
        <w:rPr/>
        <w:t xml:space="preserve">. </w:t>
      </w:r>
    </w:p>
    <w:p>
      <w:pPr>
        <w:pStyle w:val="WW-figure"/>
        <w:rPr/>
      </w:pPr>
      <w:r>
        <w:rPr>
          <w:rStyle w:val="wwc-figure-image"/>
        </w:rPr>
        <w:t>./karmavibhanga.webp=Karmavibhaṅga=90=borderless</w:t>
      </w:r>
      <w:r>
        <w:rPr/>
        <w:t xml:space="preserve"> </w:t>
        <w:br/>
      </w:r>
      <w:r>
        <w:rPr>
          <w:rStyle w:val="wwc-figure-caption"/>
          <w:i/>
        </w:rPr>
        <w:t>Figure 1: Katmavibhaṅga—Borobudur, Java</w:t>
      </w:r>
    </w:p>
    <w:p>
      <w:pPr>
        <w:pStyle w:val="WW-paragraph"/>
        <w:rPr/>
      </w:pPr>
      <w:r>
        <w:rPr/>
        <w:t xml:space="preserve">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rStyle w:val="wwc-pali"/>
        </w:rPr>
        <w:t>vipāka</w:t>
      </w:r>
      <w:r>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experience bad—whatever religion they belong to or whatever deity they worship. Kamma can also be seen as embodying a form of restorative justice. The </w:t>
      </w:r>
      <w:r>
        <w:rPr>
          <w:rStyle w:val="wwc-pali"/>
        </w:rPr>
        <w:t>vipāka</w:t>
      </w:r>
      <w:r>
        <w:rPr/>
        <w:t xml:space="preserve"> of even the evillest people—Jeffrey Dahmer; Idi Amin; Pol Pot; Heinrich Himmler; Lavrenity Beria and others—will eventually peter out and they will have another chance to redeem themselves. In every sense the doctrine of kamma is equitable, fair and just.</w:t>
      </w:r>
      <w:r>
        <w:br w:type="page"/>
      </w:r>
    </w:p>
    <w:p>
      <w:pPr>
        <w:pStyle w:val="WW-Chapter"/>
        <w:spacing w:before="0" w:after="567"/>
        <w:rPr>
          <w:color w:val="000000"/>
          <w:sz w:val="32"/>
          <w:szCs w:val="32"/>
        </w:rPr>
      </w:pPr>
      <w:r>
        <w:rPr/>
        <w:t>Appendix: The Tsunami, A Buddhist View</w:t>
      </w:r>
    </w:p>
    <w:p>
      <w:pPr>
        <w:pStyle w:val="WW-paragraph"/>
        <w:rPr/>
      </w:pPr>
      <w:r>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us—being caught in a rainstorm can give us a bad cold. But suffering from a cold has nothing to do with moral or immoral past actions—it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“rewarded” or “punished” for their actions, their happiness or discomfort is simply a result of their actions. Now let us have a look at the recent tsunami in the light of the doctrine of kamma. </w:t>
      </w:r>
    </w:p>
    <w:p>
      <w:pPr>
        <w:pStyle w:val="WW-paragraph"/>
        <w:rPr/>
      </w:pPr>
      <w:r>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WW-paragraph"/>
        <w:rPr/>
      </w:pPr>
      <w:r>
        <w:rPr/>
        <w:t>Kamma concerns peoples’ intentional thoughts, speech and actions (kamma) and the effects of those reactions (</w:t>
      </w:r>
      <w:r>
        <w:rPr>
          <w:rStyle w:val="wwc-pali"/>
        </w:rPr>
        <w:t>vipāka</w:t>
      </w:r>
      <w:r>
        <w:rPr/>
        <w:t xml:space="preserve">). I will give examples of different ways people could react to the tsunami and the effects they could have. Let’s say there are two people—a man and women—both are injured in the tsunami and lose their home and means of livelihood. The man falls into despair, “Why me?” he cries. “If only I had been out of town today”, he says in anger and regret. By thinking like this he compounds his suffering. But soon his thoughts change. He notices that his neighbour’s home is little damaged and he thinks: “That dog! I never liked him. It’s a pity his house wasn’t destroyed.” He is further compounding his suffering as well as reinforcing ugly and negative states of mind. Later he thinks: “Well, it’s every man for himself”,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WW-paragraph"/>
        <w:rPr/>
      </w:pPr>
      <w:r>
        <w:rPr/>
        <w:t>Now let us have a look at the woman’s reactions. After she recovers from the initial trauma her first thought is: “How fortunate I am to have survived.” She has suffered but she has not added to her suffering by being regretful, despairing or angry. Then she thinks: “There must be others much worse off than me. I’ll see what I can do to help,”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WW-paragraph"/>
        <w:rPr/>
      </w:pPr>
      <w:r>
        <w:rPr/>
        <w:t>Now why did the man react in one way and the woman in another? Because of how they have reacted to their various experiences in the past, i.e. because of their past kamma. The man’s negative mental habits in the past (kamma) have meant that he has negative mental habits now and these in turn make it more likely that he will have negative mental habits in the future. These mental habits make him suffer more than he would have otherwise (</w:t>
      </w:r>
      <w:r>
        <w:rPr>
          <w:rStyle w:val="wwc-pali"/>
        </w:rPr>
        <w:t>vipāka</w:t>
      </w:r>
      <w:r>
        <w:rPr/>
        <w:t>). The woman (she might be a Buddhist, a Christian, or of no religion) has been taught and has always believed that it is important to have a good thoughts and actions and has always tried to cultivate them. Her positive mental habits in the past (kamma) have meant that she has positive mental habits now, and these in turn make it more likely that she will have positive mental habits in the future. These mental habits minimised her suffering and led to her being looked after by the father of the child. In other words, her positive past actions (kamma) have had a positive effect (</w:t>
      </w:r>
      <w:r>
        <w:rPr>
          <w:rStyle w:val="wwc-pali"/>
        </w:rPr>
        <w:t>vipāka</w:t>
      </w:r>
      <w:r>
        <w:rPr/>
        <w:t>) now.</w:t>
      </w:r>
    </w:p>
    <w:p>
      <w:pPr>
        <w:pStyle w:val="WW-paragraph"/>
        <w:rPr/>
      </w:pPr>
      <w:r>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wwc-pali"/>
        </w:rPr>
        <w:t>vipāka</w:t>
      </w:r>
      <w:r>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WW-paragraph"/>
        <w:rPr/>
      </w:pPr>
      <w:r>
        <w:rPr/>
        <w:t xml:space="preserve">The news is full of examples of both. People ask: “How is it possible to remain free from grief, anxiety and fear under such terrible circumstances?” But some people do. A man in Sri Lanka lost his wife and two children and of course must have been devastated. However, being a practising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“Why did he suffer despite his good deeds?”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deeds—it was a result of natural causation—a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w:t>
      </w:r>
      <w:r>
        <w:rPr>
          <w:rStyle w:val="Hyperlink"/>
        </w:rPr>
        <w:fldChar w:fldCharType="end"/>
      </w:r>
      <w:r>
        <w:rPr/>
        <w:t xml:space="preserve"> </w:t>
      </w:r>
      <w:r>
        <w:rPr>
          <w:rStyle w:val="wwc-PTS-reference"/>
        </w:rPr>
        <w:t>M.II,214</w:t>
      </w:r>
      <w:r>
        <w:rPr/>
        <w:t xml:space="preserv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r>
        <w:rPr/>
        <w:t xml:space="preserve"> </w:t>
      </w:r>
      <w:r>
        <w:rPr>
          <w:rStyle w:val="wwc-PTS-reference"/>
        </w:rPr>
        <w:t>A.I,173</w:t>
      </w:r>
      <w:r>
        <w:rPr/>
        <w:t>) the Buddha says that the belief that every experience we have is due to past kamma (</w:t>
      </w:r>
      <w:r>
        <w:rPr>
          <w:rStyle w:val="wwc-pali"/>
        </w:rPr>
        <w:t>sabbaṁ taṁ pubbe katahetu</w:t>
      </w:r>
      <w:r>
        <w:rPr/>
        <w:t xml:space="preserve">) is a wrong and false view. In the </w:t>
      </w:r>
      <w:r>
        <w:rPr>
          <w:rStyle w:val="wwc-sesame"/>
        </w:rPr>
        <w:t>Sivaka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36.21:3.1–3.15</w:t>
      </w:r>
      <w:r>
        <w:rPr>
          <w:rStyle w:val="Hyperlink"/>
        </w:rPr>
        <w:fldChar w:fldCharType="end"/>
      </w:r>
      <w:r>
        <w:rPr/>
        <w:t xml:space="preserve"> </w:t>
      </w:r>
      <w:r>
        <w:rPr>
          <w:rStyle w:val="wwc-PTS-reference"/>
        </w:rPr>
        <w:t>S.IV,231</w:t>
      </w:r>
      <w:r>
        <w:rPr/>
        <w:t xml:space="preserve">)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WW-paragraph"/>
        <w:rPr/>
      </w:pPr>
      <w:r>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of her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wwc-pali"/>
        </w:rPr>
        <w:t>dukkha</w:t>
      </w:r>
      <w:r>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ource Serif Pro">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170" w:after="0"/>
        <w:rPr/>
      </w:pPr>
      <w:r>
        <w:rPr>
          <w:rStyle w:val="FootnoteCharacters"/>
        </w:rPr>
        <w:footnoteRef/>
      </w:r>
      <w:r>
        <w:rPr/>
        <w:t xml:space="preserve">See </w:t>
      </w:r>
      <w:r>
        <w:rPr>
          <w:rStyle w:val="wwc-sesame-zot-reference"/>
        </w:rPr>
        <w:t>Olivelle 1998</w:t>
      </w:r>
      <w:r>
        <w:rPr/>
        <w:t xml:space="preserve"> p.327</w:t>
      </w:r>
    </w:p>
  </w:footnote>
  <w:footnote w:id="3">
    <w:p>
      <w:pPr>
        <w:pStyle w:val="FootnoteText"/>
        <w:spacing w:before="170" w:after="0"/>
        <w:rPr/>
      </w:pPr>
      <w:r>
        <w:rPr>
          <w:rStyle w:val="FootnoteCharacters"/>
        </w:rPr>
        <w:footnoteRef/>
      </w:r>
      <w:r>
        <w:rPr/>
        <w:t xml:space="preserve">See </w:t>
      </w:r>
      <w:r>
        <w:rPr>
          <w:rStyle w:val="wwc-sesame-zot-reference"/>
        </w:rPr>
        <w:t>Olivelle 1998</w:t>
      </w:r>
      <w:r>
        <w:rPr/>
        <w:t xml:space="preserve"> p.81</w:t>
      </w:r>
    </w:p>
  </w:footnote>
  <w:footnote w:id="4">
    <w:p>
      <w:pPr>
        <w:pStyle w:val="FootnoteText"/>
        <w:spacing w:before="170" w:after="0"/>
        <w:rPr/>
      </w:pPr>
      <w:r>
        <w:rPr>
          <w:rStyle w:val="FootnoteCharacters"/>
        </w:rPr>
        <w:footnoteRef/>
      </w:r>
      <w:r>
        <w:rPr/>
        <w:t xml:space="preserve">See </w:t>
      </w:r>
      <w:r>
        <w:rPr>
          <w:rStyle w:val="wwc-sesame-zot-reference"/>
        </w:rPr>
        <w:t>Olivelle 1998</w:t>
      </w:r>
      <w:r>
        <w:rPr/>
        <w:t xml:space="preserve"> p.379</w:t>
      </w:r>
    </w:p>
  </w:footnote>
  <w:footnote w:id="5">
    <w:p>
      <w:pPr>
        <w:pStyle w:val="FootnoteText"/>
        <w:spacing w:before="170" w:after="0"/>
        <w:rPr/>
      </w:pPr>
      <w:r>
        <w:rPr>
          <w:rStyle w:val="FootnoteCharacters"/>
        </w:rPr>
        <w:footnoteRef/>
      </w:r>
      <w:r>
        <w:rPr/>
        <w:t xml:space="preserve">See </w:t>
      </w:r>
      <w:r>
        <w:rPr>
          <w:rStyle w:val="wwc-sesame-zot-reference"/>
        </w:rPr>
        <w:t>Olivelle 1998</w:t>
      </w:r>
      <w:r>
        <w:rPr/>
        <w:t xml:space="preserve"> p.427</w:t>
      </w:r>
    </w:p>
  </w:footnote>
  <w:footnote w:id="6">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Saṅgha, are mentioned in the Nikāyas as very negative kamma, they are nowhere specifically said to be deeds of immediate and fixed consequence (</w:t>
      </w:r>
      <w:r>
        <w:rPr>
          <w:rStyle w:val="wwc-pali"/>
        </w:rPr>
        <w:t>ānantariya</w:t>
      </w:r>
      <w:r>
        <w:rPr/>
        <w:t xml:space="preserve">). See </w:t>
      </w:r>
      <w:hyperlink r:id="rId1">
        <w:r>
          <w:rPr>
            <w:rStyle w:val="Hyperlink"/>
          </w:rPr>
          <w:t>AN 1.268-277</w:t>
        </w:r>
      </w:hyperlink>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7">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8">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9">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10">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 second of the four stages leading to awakening.</w:t>
      </w:r>
    </w:p>
  </w:footnote>
  <w:footnote w:id="11">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12">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13">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 third of the four states leading to awakening.</w:t>
      </w:r>
    </w:p>
  </w:footnote>
  <w:footnote w:id="14">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Lamotte 1998</w:t>
      </w:r>
      <w:r>
        <w:rPr/>
        <w:t xml:space="preserve">, p.98.  </w:t>
      </w:r>
    </w:p>
  </w:footnote>
  <w:footnote w:id="15">
    <w:p>
      <w:pPr>
        <w:pStyle w:val="FootnoteText"/>
        <w:bidi w:val="0"/>
        <w:spacing w:before="170" w:after="0"/>
        <w:rPr/>
      </w:pPr>
      <w:r>
        <w:rPr>
          <w:rStyle w:val="FootnoteCharacters"/>
        </w:rPr>
        <w:footnoteRef/>
      </w:r>
      <w:r>
        <w:rPr>
          <w:rStyle w:val="wwc-sesame-zot-reference"/>
        </w:rPr>
        <w:t>Humphreys 1978</w:t>
      </w:r>
      <w:r>
        <w:rPr/>
        <w:t xml:space="preserve">,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honours the sword so highly that he says that he himself has instituted it (Rom.13:1) and does not want men to say or think that they have invented it or instituted it. For the hand that wields this sword and kills with it is not man’s hand, but God’s; and it is not man, but God, who hangs, tortures, beheads, kills, and fights. All these are God’s works and judgments.” </w:t>
      </w:r>
      <w:r>
        <w:rPr>
          <w:rStyle w:val="wwc-sesame-zot-reference"/>
        </w:rPr>
        <w:t>Luther 1526</w:t>
      </w:r>
      <w:r>
        <w:rPr/>
        <w:t>.</w:t>
      </w:r>
    </w:p>
    <w:p>
      <w:pPr>
        <w:pStyle w:val="FootnoteText"/>
        <w:rPr/>
      </w:pPr>
      <w:r>
        <w:rPr/>
      </w:r>
    </w:p>
  </w:footnote>
  <w:footnote w:id="16">
    <w:p>
      <w:pPr>
        <w:pStyle w:val="FootnoteText"/>
        <w:spacing w:before="170" w:after="0"/>
        <w:rPr>
          <w:lang w:val="en-GB"/>
        </w:rPr>
      </w:pPr>
      <w:r>
        <w:rPr>
          <w:rStyle w:val="FootnoteCharacters"/>
        </w:rPr>
        <w:footnoteRef/>
      </w:r>
      <w:r>
        <w:rPr/>
        <w:t xml:space="preserve"> </w:t>
      </w:r>
      <w:r>
        <w:rPr/>
        <w:t xml:space="preserve">See </w:t>
      </w:r>
      <w:r>
        <w:rPr>
          <w:rStyle w:val="wwc-sesame-zot-reference"/>
        </w:rPr>
        <w:t>Jackson 2003</w:t>
      </w:r>
    </w:p>
  </w:footnote>
  <w:footnote w:id="17">
    <w:p>
      <w:pPr>
        <w:pStyle w:val="FootnoteText"/>
        <w:spacing w:before="170" w:after="0"/>
        <w:rPr/>
      </w:pPr>
      <w:r>
        <w:rPr>
          <w:rStyle w:val="FootnoteCharacters"/>
        </w:rPr>
        <w:footnoteRef/>
      </w:r>
      <w:r>
        <w:rPr>
          <w:rStyle w:val="wwc-sesame-zot-reference"/>
        </w:rPr>
        <w:t>Ladner 2000</w:t>
      </w:r>
      <w:r>
        <w:rPr/>
        <w:t>, p.ix. Breaking the four root vows (</w:t>
      </w:r>
      <w:r>
        <w:rPr>
          <w:rStyle w:val="wwc-pali"/>
        </w:rPr>
        <w:t>pārājika</w:t>
      </w:r>
      <w:r>
        <w:rPr/>
        <w:t>) involves committing murder, sexual intercourse, theft and creating a schism in the Saṅgha.</w:t>
      </w:r>
    </w:p>
  </w:footnote>
  <w:footnote w:id="18">
    <w:p>
      <w:pPr>
        <w:pStyle w:val="FootnoteText"/>
        <w:spacing w:before="170" w:after="0"/>
        <w:rPr>
          <w:lang w:val="en-MY"/>
        </w:rPr>
      </w:pPr>
      <w:r>
        <w:rPr>
          <w:rStyle w:val="FootnoteCharacters"/>
        </w:rPr>
        <w:footnoteRef/>
      </w:r>
      <w:r>
        <w:rPr/>
        <w:t xml:space="preserve">On crypto-amnesia see </w:t>
      </w:r>
      <w:r>
        <w:rPr>
          <w:rStyle w:val="wwc-sesame-zot-reference"/>
        </w:rPr>
        <w:t>Wilson 1981</w:t>
      </w:r>
      <w:r>
        <w:rPr/>
        <w:t>.</w:t>
      </w:r>
    </w:p>
  </w:footnote>
</w:footnotes>
</file>

<file path=word/settings.xml><?xml version="1.0" encoding="utf-8"?>
<w:settings xmlns:w="http://schemas.openxmlformats.org/wordprocessingml/2006/main">
  <w:zoom w:percent="8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thickThinLargeGap" w:sz="2" w:space="57" w:color="000000"/>
        <w:left w:val="thickThinLargeGap" w:sz="2" w:space="57" w:color="000000"/>
        <w:bottom w:val="thickThinLargeGap" w:sz="2" w:space="57" w:color="000000"/>
        <w:right w:val="thickThinLargeGap" w:sz="2" w:space="57" w:color="000000"/>
      </w:pBdr>
      <w:suppressAutoHyphens w:val="true"/>
      <w:overflowPunct w:val="false"/>
      <w:bidi w:val="0"/>
      <w:spacing w:before="340" w:after="227"/>
      <w:ind w:start="340" w:end="340"/>
      <w:jc w:val="start"/>
    </w:pPr>
    <w:rPr>
      <w:rFonts w:ascii="Liberation Serif" w:hAnsi="Liberation Serif" w:eastAsia="NSimSun" w:cs="Lucida Sans"/>
      <w:color w:val="FFFFFF"/>
      <w:kern w:val="2"/>
      <w:sz w:val="192"/>
      <w:szCs w:val="24"/>
      <w:shd w:fill="F10D0C" w:val="clear"/>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qFormat/>
    <w:pPr>
      <w:keepNext w:val="true"/>
      <w:keepLines/>
      <w:spacing w:before="200" w:after="0"/>
      <w:ind w:start="340"/>
      <w:outlineLvl w:val="7"/>
    </w:pPr>
    <w:rPr>
      <w:rFonts w:ascii="Arial" w:hAnsi="Arial" w:eastAsia="DejaVu Sans" w:cs="DejaVu Sans"/>
      <w:color w:themeColor="accent1" w:val="4F81BD"/>
      <w:sz w:val="24"/>
      <w:szCs w:val="24"/>
    </w:rPr>
  </w:style>
  <w:style w:type="paragraph" w:styleId="Heading9">
    <w:name w:val="heading 9"/>
    <w:basedOn w:val="Normal"/>
    <w:next w:val="BodyText"/>
    <w:qFormat/>
    <w:pPr>
      <w:keepNext w:val="true"/>
      <w:keepLines/>
      <w:spacing w:before="200" w:after="0"/>
      <w:ind w:start="340"/>
      <w:outlineLvl w:val="8"/>
    </w:pPr>
    <w:rPr>
      <w:rFonts w:ascii="Arial" w:hAnsi="Arial" w:eastAsia="DejaVu Sans" w:cs="DejaVu Sans"/>
      <w:color w:themeColor="accent1" w:val="4F81BD"/>
      <w:sz w:val="24"/>
      <w:szCs w:val="24"/>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Comment">
    <w:name w:val="Comment"/>
    <w:basedOn w:val="Normal"/>
    <w:qFormat/>
    <w:pPr>
      <w:spacing w:before="56" w:after="0"/>
      <w:ind w:start="56" w:end="56"/>
    </w:pPr>
    <w:rPr>
      <w:sz w:val="20"/>
      <w:szCs w:val="20"/>
    </w:rPr>
  </w:style>
  <w:style w:type="paragraph" w:styleId="WW-additional-info-title">
    <w:name w:val="WW-additional-info-title"/>
    <w:qFormat/>
    <w:pPr>
      <w:widowControl/>
      <w:suppressAutoHyphens w:val="true"/>
      <w:overflowPunct w:val="fals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overflowPunct w:val="fals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FrameContentsuser">
    <w:name w:val="Frame Contents (user)"/>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numbering" w:styleId="Bullet">
    <w:name w:val="Bullet •"/>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an4.135/en/sujato"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https://suttacentral.net/" TargetMode="External"/><Relationship Id="rId28" Type="http://schemas.openxmlformats.org/officeDocument/2006/relationships/hyperlink" Target="https://suttacentral.net/mil3.7.2" TargetMode="External"/><Relationship Id="rId29" Type="http://schemas.openxmlformats.org/officeDocument/2006/relationships/hyperlink" Target="https://suttacentral.net/ja382" TargetMode="External"/><Relationship Id="rId30" Type="http://schemas.openxmlformats.org/officeDocument/2006/relationships/footnotes" Target="footnotes.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7839</TotalTime>
  <Application>LibreOffice/25.2.5.2$Windows_X86_64 LibreOffice_project/03d19516eb2e1dd5d4ccd751a0d6f35f35e08022</Application>
  <AppVersion>15.0000</AppVersion>
  <Pages>75</Pages>
  <Words>32597</Words>
  <Characters>157643</Characters>
  <CharactersWithSpaces>190061</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2025-09-29T10:13:56Z</dcterms:modified>
  <cp:revision>951</cp:revision>
  <dc:subject/>
  <dc:title/>
</cp:coreProperties>
</file>

<file path=docProps/custom.xml><?xml version="1.0" encoding="utf-8"?>
<Properties xmlns="http://schemas.openxmlformats.org/officeDocument/2006/custom-properties" xmlns:vt="http://schemas.openxmlformats.org/officeDocument/2006/docPropsVTypes"/>
</file>