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sdhammika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Visuddhimagga</w:t>
      </w:r>
      <w:r>
        <w:rPr/>
        <w:t xml:space="preserve"> and the </w:t>
      </w:r>
      <w:r>
        <w:rPr>
          <w:rStyle w:val="wwc-sesame"/>
        </w:rPr>
        <w:t>Abhidhammattha 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w:t>
      </w:r>
      <w:r>
        <w:rPr>
          <w:rStyle w:val="wwc-sesame"/>
        </w:rPr>
        <w:t>Milindapañha</w:t>
      </w:r>
      <w:r>
        <w:rPr/>
        <w:t xml:space="preserve"> written perhaps 400 or 500 years after the Buddha, of Buddhaghosa, who lived some 900 after him, or Anuruddha, the author of the </w:t>
      </w:r>
      <w:r>
        <w:rPr>
          <w:rStyle w:val="wwc-sesame"/>
        </w:rPr>
        <w:t>Abhidhammattha 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w:t>
      </w:r>
      <w:r>
        <w:rPr>
          <w:rStyle w:val="wwc-sesame"/>
        </w:rPr>
        <w:t>Pāḷi Tipiṭaka</w:t>
      </w:r>
      <w:r>
        <w:rPr/>
        <w:t xml:space="preserve">, the oldest and most authentic record we have of the Buddha’s teaching. </w:t>
      </w:r>
    </w:p>
    <w:p>
      <w:pPr>
        <w:pStyle w:val="WW-paragraph"/>
        <w:rPr/>
      </w:pPr>
      <w:r>
        <w:rPr/>
        <w:t xml:space="preserve">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zot-referenc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(Kau.1.2)</w:t>
      </w:r>
      <w:r>
        <w:rPr>
          <w:rStyle w:val="FootnoteReference"/>
        </w:rPr>
        <w:footnoteReference w:id="2"/>
      </w:r>
      <w:r>
        <w:rPr/>
        <w:t xml:space="preserve">.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Upaniṣad</w:t>
      </w:r>
      <w:r>
        <w:rPr/>
        <w:t xml:space="preserve"> </w:t>
      </w:r>
      <w:r>
        <w:rPr>
          <w:rStyle w:val="wwc-sesame"/>
        </w:rPr>
        <w:t>Yājnavalkya</w:t>
      </w:r>
      <w:r>
        <w:rPr/>
        <w:t xml:space="preserve"> makes it clear that kamma in the sense of moral causation is a secret teaching only to be revealed to the initiated (Br.3.2)</w:t>
      </w:r>
      <w:r>
        <w:rPr>
          <w:rStyle w:val="FootnoteReference"/>
        </w:rPr>
        <w:footnoteReference w:id="3"/>
      </w:r>
      <w:r>
        <w:rPr/>
        <w:t xml:space="preserve">.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(Kath.1.20)</w:t>
      </w:r>
      <w:r>
        <w:rPr>
          <w:rStyle w:val="FootnoteReference"/>
        </w:rPr>
        <w:footnoteReference w:id="4"/>
      </w:r>
      <w:r>
        <w:rPr/>
        <w:t>.</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xml:space="preserve">).  While some rejected kamma and rebirth as relatively new and non-traditional ideas others such as Prince </w:t>
      </w:r>
      <w:r>
        <w:rPr>
          <w:rStyle w:val="wwc-sesame"/>
        </w:rPr>
        <w:t>Pāyāsi</w:t>
      </w:r>
      <w:r>
        <w:rPr/>
        <w:t xml:space="preserve">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xml:space="preserve">). Prince </w:t>
      </w:r>
      <w:r>
        <w:rPr>
          <w:rStyle w:val="wwc-sesame"/>
        </w:rPr>
        <w:t>Pāyāsi</w:t>
      </w:r>
      <w:r>
        <w:rPr/>
        <w:t xml:space="preserve"> must have been fairly well-known as he is also mentioned in the Jain scriptures.</w:t>
      </w:r>
    </w:p>
    <w:p>
      <w:pPr>
        <w:pStyle w:val="WW-paragraph"/>
        <w:rPr/>
      </w:pPr>
      <w:r>
        <w:rPr/>
        <w:t xml:space="preserve">The earliest unambiguous and detailed mention of kamma is in the Jain scriptures. Jainism pre-dates Buddhism by perhaps a decade or more and its founder, </w:t>
      </w:r>
      <w:r>
        <w:rPr>
          <w:rStyle w:val="wwc-sesame"/>
        </w:rPr>
        <w:t>Mahāvīra</w:t>
      </w:r>
      <w:r>
        <w:rPr/>
        <w:t>,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xml:space="preserve">, pp.217ff].  It is certainly possible that the Buddha was influenced by the Jain doctrines of kamma and rebirth but clearly he did not simply take them for granted and unthinkingly and uncritically adopt them. It is much more likely that </w:t>
      </w:r>
      <w:r>
        <w:rPr>
          <w:rStyle w:val="wwc-sesame"/>
        </w:rPr>
        <w:t>Mahāvīra</w:t>
      </w:r>
      <w:r>
        <w:rPr/>
        <w:t xml:space="preserve">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
        </w:rPr>
        <w:t>Śvetāsvatara Upaniṣad</w:t>
      </w:r>
      <w:r>
        <w:rPr/>
        <w:t xml:space="preserve"> rejects a variety of explanations including kamma, saying that ultimately everything is controlled by God (Śs. v.2-3)</w:t>
      </w:r>
      <w:r>
        <w:rPr>
          <w:rStyle w:val="FootnoteReference"/>
        </w:rPr>
        <w:footnoteReference w:id="5"/>
      </w:r>
      <w:r>
        <w:rPr/>
        <w:t xml:space="preserve">. Many passages in the </w:t>
      </w:r>
      <w:r>
        <w:rPr>
          <w:rStyle w:val="wwc-sesam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sanskrit"/>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 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rStyle w:val="wwc-list-margin"/>
        </w:rPr>
        <w:t>1</w:t>
      </w:r>
      <w:r>
        <w:rPr/>
        <w:t xml:space="preserve">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rStyle w:val="wwc-list-margin"/>
        </w:rPr>
        <w:t>2</w:t>
      </w:r>
      <w:r>
        <w:rPr/>
        <w:t xml:space="preserve">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rStyle w:val="wwc-list-margin"/>
        </w:rPr>
        <w:t>3</w:t>
      </w:r>
      <w:r>
        <w:rPr/>
        <w:t xml:space="preserve">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rStyle w:val="wwc-list-margin"/>
        </w:rPr>
        <w:t>4</w:t>
      </w:r>
      <w:r>
        <w:rPr/>
        <w:t xml:space="preserve">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rStyle w:val="wwc-list-margin"/>
        </w:rPr>
        <w:t>5</w:t>
      </w:r>
      <w:r>
        <w:rPr/>
        <w:t xml:space="preserv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rStyle w:val="wwc-list-margin"/>
        </w:rPr>
        <w:t>6</w:t>
      </w:r>
      <w:r>
        <w:rPr/>
        <w:t xml:space="preserve">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6.63:36.1–36.4</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xml:space="preserve">, </w:t>
      </w:r>
      <w:hyperlink r:id="rId18">
        <w:r>
          <w:rPr>
            <w:rStyle w:val="Hyperlink"/>
          </w:rPr>
          <w:t>MN 47:5.1–5.5, 12.1–12.3</w:t>
        </w:r>
      </w:hyperlink>
      <w:r>
        <w:rPr/>
        <w:t xml:space="preserve"> </w:t>
      </w:r>
      <w:r>
        <w:rPr>
          <w:rStyle w:val="wwc-PTS-reference"/>
        </w:rPr>
        <w:t>M.I,318</w:t>
      </w:r>
      <w:r>
        <w:rPr/>
        <w:t>).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w:t>
      </w:r>
    </w:p>
    <w:p>
      <w:pPr>
        <w:pStyle w:val="WW-blockquote"/>
        <w:rPr/>
      </w:pPr>
      <w:r>
        <w:rPr>
          <w:rStyle w:val="wwc-list-margin"/>
        </w:rPr>
        <w:t>1</w:t>
      </w:r>
      <w:r>
        <w:rPr/>
        <w:t xml:space="preserve"> And how is a person blameworthy? Here, a person engages in blameworthy bodily, verbal and mental kamma. </w:t>
      </w:r>
    </w:p>
    <w:p>
      <w:pPr>
        <w:pStyle w:val="WW-blockquote"/>
        <w:rPr/>
      </w:pPr>
      <w:r>
        <w:rPr>
          <w:rStyle w:val="wwc-list-margin"/>
        </w:rPr>
        <w:t>2</w:t>
      </w:r>
      <w:r>
        <w:rPr>
          <w:rStyle w:val="Emphasis"/>
        </w:rPr>
        <w:t xml:space="preserve"> </w:t>
      </w:r>
      <w:r>
        <w:rPr/>
        <w:t xml:space="preserve">And how is a person mostly blameworthy? Here, at person engages in bodily, verbal and mental kamma that is mainly blameworthy. </w:t>
      </w:r>
    </w:p>
    <w:p>
      <w:pPr>
        <w:pStyle w:val="WW-blockquote"/>
        <w:rPr/>
      </w:pPr>
      <w:r>
        <w:rPr>
          <w:rStyle w:val="wwc-list-margin"/>
        </w:rPr>
        <w:t>3</w:t>
      </w:r>
      <w:r>
        <w:rPr/>
        <w:t xml:space="preserve"> And how is a person slightly blameworthy? Here, a person engages in bodily verbal and mental kamma that is slightly blameworthy. </w:t>
      </w:r>
    </w:p>
    <w:p>
      <w:pPr>
        <w:pStyle w:val="WW-blockquote"/>
        <w:rPr/>
      </w:pPr>
      <w:r>
        <w:rPr>
          <w:rStyle w:val="wwc-list-margin"/>
        </w:rPr>
        <w:t>4</w:t>
      </w:r>
      <w:r>
        <w:rPr/>
        <w:t xml:space="preserve"> And how is a person blameless? Here, a person engages in blameless bodily, blameless verbal and blameless mental action. </w:t>
      </w:r>
    </w:p>
    <w:p>
      <w:pPr>
        <w:pStyle w:val="WW-blockquote"/>
        <w:rPr/>
      </w:pPr>
      <w:r>
        <w:rPr/>
        <w:t xml:space="preserve">These are the four kinds of persons found existing in the world. </w:t>
      </w:r>
    </w:p>
    <w:p>
      <w:pPr>
        <w:pStyle w:val="WW-tight-right-cite"/>
        <w:rPr/>
      </w:pPr>
      <w:hyperlink r:id="rId19">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that leads to the destruction of kamma. These are the four kinds of kamma proclaimed by me after I realised them for myself with direct knowledge. </w:t>
      </w:r>
    </w:p>
    <w:p>
      <w:pPr>
        <w:pStyle w:val="WW-tight-right-cite"/>
        <w:rPr/>
      </w:pPr>
      <w:hyperlink r:id="rId20">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1">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w:t>
      </w:r>
      <w:r>
        <w:rPr>
          <w:rStyle w:val="wwc-sesame"/>
        </w:rPr>
        <w:t>Mahāvīra</w:t>
      </w:r>
      <w:r>
        <w:rPr/>
        <w:t xml:space="preserve">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w:t>
      </w:r>
      <w:hyperlink r:id="rId22">
        <w:r>
          <w:rPr>
            <w:rStyle w:val="Hyperlink"/>
          </w:rPr>
          <w:t>AN 10.104</w:t>
        </w:r>
      </w:hyperlink>
      <w:r>
        <w:rPr/>
        <w:t xml:space="preserve"> </w:t>
      </w:r>
      <w:r>
        <w:rPr>
          <w:rStyle w:val="wwc-PTS-reference"/>
        </w:rPr>
        <w:t>A.V,213</w:t>
      </w:r>
      <w:r>
        <w:rPr/>
        <w:t xml:space="preserve">).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122</w:t>
      </w:r>
      <w:r>
        <w:rPr>
          <w:rStyle w:val="Hyperlink"/>
        </w:rPr>
        <w:fldChar w:fldCharType="end"/>
      </w:r>
    </w:p>
    <w:p>
      <w:pPr>
        <w:pStyle w:val="WW-blockquote"/>
        <w:rPr/>
      </w:pPr>
      <w:r>
        <w:rPr/>
        <w:t xml:space="preserve">Whatever one thinks about and ruminates over often the mind gets a leaning in that way. If one frequently thinks about and ruminates over desire, ill-will or cruelty, thoughts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i/>
          <w:iCs/>
        </w:rPr>
        <w:t>Schindler’s Ark</w:t>
      </w:r>
      <w:r>
        <w:rPr/>
        <w:t xml:space="preserve"> and the film </w:t>
      </w:r>
      <w:r>
        <w:rPr>
          <w:i/>
          <w:iC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rStyle w:val="wwc-list-margin"/>
        </w:rPr>
        <w:t>(a)</w:t>
      </w:r>
      <w:r>
        <w:rPr/>
        <w:t xml:space="preserve">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rStyle w:val="wwc-list-margin"/>
        </w:rPr>
        <w:t>(b)</w:t>
      </w:r>
      <w:r>
        <w:rPr/>
        <w:t xml:space="preserve">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rStyle w:val="wwc-list-margin"/>
        </w:rPr>
        <w:t>(c)</w:t>
      </w:r>
      <w:r>
        <w:rPr/>
        <w:t xml:space="preserve">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rStyle w:val="wwc-list-margin"/>
        </w:rPr>
        <w:t>(d)</w:t>
      </w:r>
      <w:r>
        <w:rPr/>
        <w:t xml:space="preserve">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rStyle w:val="wwc-list-margin"/>
        </w:rPr>
        <w:t>(e)</w:t>
      </w:r>
      <w:r>
        <w:rPr/>
        <w:t xml:space="preserv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rStyle w:val="wwc-list-margin"/>
        </w:rPr>
        <w:t>(f)</w:t>
      </w:r>
      <w:r>
        <w:rPr/>
        <w:t xml:space="preserve">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rStyle w:val="wwc-list-margin"/>
        </w:rPr>
        <w:t>(g)</w:t>
      </w:r>
      <w:r>
        <w:rPr/>
        <w:t xml:space="preserve">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rStyle w:val="wwc-list-margin"/>
        </w:rPr>
        <w:t>(h)</w:t>
      </w:r>
      <w:r>
        <w:rPr/>
        <w:t xml:space="preserve">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rStyle w:val="wwc-list-margin"/>
        </w:rPr>
        <w:t>(i)</w:t>
      </w:r>
      <w:r>
        <w:rPr/>
        <w:t xml:space="preserve">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rStyle w:val="wwc-list-margin"/>
        </w:rPr>
        <w:t>1</w:t>
      </w:r>
      <w:r>
        <w:rPr/>
        <w:t xml:space="preserve">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It is in this way that impurity by body is threefold. </w:t>
      </w:r>
    </w:p>
    <w:p>
      <w:pPr>
        <w:pStyle w:val="WW-blockquote"/>
        <w:rPr/>
      </w:pPr>
      <w:r>
        <w:rPr>
          <w:rStyle w:val="wwc-list-margin"/>
        </w:rPr>
        <w:t>2</w:t>
      </w:r>
      <w:r>
        <w:rPr/>
        <w:t xml:space="preserve">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It is in this way that impurity by speech is fourfold. </w:t>
      </w:r>
    </w:p>
    <w:p>
      <w:pPr>
        <w:pStyle w:val="WW-blockquote"/>
        <w:rPr/>
      </w:pPr>
      <w:r>
        <w:rPr>
          <w:rStyle w:val="wwc-list-margin"/>
        </w:rPr>
        <w:t>3</w:t>
      </w:r>
      <w:r>
        <w:rPr/>
        <w:t xml:space="preserve">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6"/>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rStyle w:val="wwc-list-margin"/>
        </w:rPr>
        <w:t>(a)</w:t>
      </w:r>
      <w:r>
        <w:rPr/>
        <w:t xml:space="preserve">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be short-lived. This is the way that leads to short life, namely, killing, being murderous, bloody-handed, given to blows and violence and merciless.</w:t>
      </w:r>
    </w:p>
    <w:p>
      <w:pPr>
        <w:pStyle w:val="WW-blockquote"/>
        <w:rPr/>
      </w:pPr>
      <w:r>
        <w:rPr>
          <w:rStyle w:val="wwc-list-margin"/>
        </w:rPr>
        <w:t>(b)</w:t>
      </w:r>
      <w:r>
        <w:rPr/>
        <w:t xml:space="preserve">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7"/>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xml:space="preserve">, </w:t>
      </w:r>
      <w:hyperlink r:id="rId23">
        <w:r>
          <w:rPr>
            <w:rStyle w:val="Hyperlink"/>
          </w:rPr>
          <w:t>AN 10.219:6.5, 11.5</w:t>
        </w:r>
      </w:hyperlink>
      <w:r>
        <w:rPr/>
        <w:t xml:space="preserve"> </w:t>
      </w:r>
      <w:r>
        <w:rPr>
          <w:rStyle w:val="wwc-PTS-reference"/>
        </w:rPr>
        <w:t>A.V,300</w:t>
      </w:r>
      <w:r>
        <w:rPr/>
        <w:t>), and of the body being the result of “old kamma” (</w:t>
      </w:r>
      <w:r>
        <w:rPr>
          <w:rStyle w:val="wwc-pali"/>
        </w:rPr>
        <w:t>purāṇakamma</w:t>
      </w:r>
      <w:r>
        <w:rPr/>
        <w:t xml:space="preserve"> </w:t>
      </w:r>
      <w:hyperlink r:id="rId24">
        <w:r>
          <w:rPr>
            <w:rStyle w:val="Hyperlink"/>
          </w:rPr>
          <w:t>SN 35.146</w:t>
        </w:r>
      </w:hyperlink>
      <w:r>
        <w:rPr/>
        <w:t xml:space="preserve"> </w:t>
      </w:r>
      <w:r>
        <w:rPr>
          <w:rStyle w:val="wwc-PTS-reference"/>
        </w:rPr>
        <w:t>S.IV,132</w:t>
      </w:r>
      <w:r>
        <w:rPr/>
        <w:t xml:space="preserve">)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hyperlink r:id="rId25">
        <w:r>
          <w:rPr>
            <w:rStyle w:val="Hyperlink"/>
          </w:rPr>
          <w:t>SN 35.146:1.4–1.6</w:t>
        </w:r>
      </w:hyperlink>
      <w:r>
        <w:rPr/>
        <w:br/>
      </w:r>
      <w:r>
        <w:rPr>
          <w:rStyle w:val="wwc-PTS-reference"/>
        </w:rPr>
        <w:t>S.IV,132</w:t>
      </w:r>
      <w:r>
        <w:rPr/>
        <w:t xml:space="preserve">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w:t>
      </w:r>
      <w:hyperlink r:id="rId26">
        <w:r>
          <w:rPr>
            <w:rStyle w:val="Hyperlink"/>
          </w:rPr>
          <w:t>DN 30</w:t>
        </w:r>
      </w:hyperlink>
      <w:r>
        <w:rPr/>
        <w:t xml:space="preserve"> </w:t>
      </w:r>
      <w:r>
        <w:rPr>
          <w:rStyle w:val="wwc-PTS-reference"/>
        </w:rPr>
        <w:t>D.III,142</w:t>
      </w:r>
      <w:r>
        <w:rPr/>
        <w:t xml:space="preserve">).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w:t>
      </w:r>
      <w:r>
        <w:fldChar w:fldCharType="begin"/>
      </w:r>
      <w:r>
        <w:rPr>
          <w:rStyle w:val="Hyperlink"/>
        </w:rPr>
        <w:instrText xml:space="preserve"> HYPERLINK "https://suttacentral.net/XXX/en/sujato" \l "YYY"</w:instrText>
      </w:r>
      <w:r>
        <w:rPr>
          <w:rStyle w:val="Hyperlink"/>
        </w:rPr>
        <w:fldChar w:fldCharType="separate"/>
      </w:r>
      <w:r>
        <w:rPr>
          <w:rStyle w:val="Hyperlink"/>
        </w:rPr>
        <w:t>DN 2:11.1</w:t>
      </w:r>
      <w:r>
        <w:rPr>
          <w:rStyle w:val="Hyperlink"/>
        </w:rPr>
        <w:fldChar w:fldCharType="end"/>
      </w:r>
      <w:r>
        <w:rPr/>
        <w:t xml:space="preserve"> </w:t>
      </w:r>
      <w:r>
        <w:rPr>
          <w:rStyle w:val="wwc-PTS-reference"/>
        </w:rPr>
        <w:t>D.I,50</w:t>
      </w:r>
      <w:r>
        <w:rPr/>
        <w:t>) and Pukkusāti sat talking to the Buddha for hours before realising who he was (</w:t>
      </w:r>
      <w:r>
        <w:fldChar w:fldCharType="begin"/>
      </w:r>
      <w:r>
        <w:rPr>
          <w:rStyle w:val="Hyperlink"/>
        </w:rPr>
        <w:instrText xml:space="preserve"> HYPERLINK "https://suttacentral.net/XXX/en/sujato" \l "YYY"</w:instrText>
      </w:r>
      <w:r>
        <w:rPr>
          <w:rStyle w:val="Hyperlink"/>
        </w:rPr>
        <w:fldChar w:fldCharType="separate"/>
      </w:r>
      <w:r>
        <w:rPr>
          <w:rStyle w:val="Hyperlink"/>
        </w:rPr>
        <w:t>MN 140</w:t>
      </w:r>
      <w:r>
        <w:rPr>
          <w:rStyle w:val="Hyperlink"/>
        </w:rPr>
        <w:fldChar w:fldCharType="end"/>
      </w:r>
      <w:r>
        <w:rPr/>
        <w:t xml:space="preserve"> </w:t>
      </w:r>
      <w:r>
        <w:rPr>
          <w:rStyle w:val="wwc-PTS-reference"/>
        </w:rPr>
        <w:t>M.III,238</w:t>
      </w:r>
      <w:r>
        <w:rPr/>
        <w:t>).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w:t>
      </w:r>
      <w:r>
        <w:fldChar w:fldCharType="begin"/>
      </w:r>
      <w:r>
        <w:rPr>
          <w:rStyle w:val="Hyperlink"/>
        </w:rPr>
        <w:instrText xml:space="preserve"> HYPERLINK "https://suttacentral.net/XXX/en/sujato" \l "YYY"</w:instrText>
      </w:r>
      <w:r>
        <w:rPr>
          <w:rStyle w:val="Hyperlink"/>
        </w:rPr>
        <w:fldChar w:fldCharType="separate"/>
      </w:r>
      <w:r>
        <w:rPr>
          <w:rStyle w:val="Hyperlink"/>
        </w:rPr>
        <w:t>MN 26:25.3</w:t>
      </w:r>
      <w:r>
        <w:rPr>
          <w:rStyle w:val="Hyperlink"/>
        </w:rPr>
        <w:fldChar w:fldCharType="end"/>
      </w:r>
      <w:r>
        <w:rPr/>
        <w:t xml:space="preserve"> </w:t>
      </w:r>
      <w:r>
        <w:rPr>
          <w:rStyle w:val="wwc-PTS-reference"/>
        </w:rPr>
        <w:t>M.I,170</w:t>
      </w:r>
      <w:r>
        <w:rPr/>
        <w:t xml:space="preserve">).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7">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Another example of kamma influencing the physical might be where certain mental states influence the countenance. The Buddha said that a loving disposition or profound inner peace can give the face a radiant complexion (</w:t>
      </w:r>
      <w:r>
        <w:fldChar w:fldCharType="begin"/>
      </w:r>
      <w:r>
        <w:rPr>
          <w:rStyle w:val="Hyperlink"/>
        </w:rPr>
        <w:instrText xml:space="preserve"> HYPERLINK "https://suttacentral.net/XXX/en/sujato" \l "YYY"</w:instrText>
      </w:r>
      <w:r>
        <w:rPr>
          <w:rStyle w:val="Hyperlink"/>
        </w:rPr>
        <w:fldChar w:fldCharType="separate"/>
      </w:r>
      <w:r>
        <w:rPr>
          <w:rStyle w:val="Hyperlink"/>
        </w:rPr>
        <w:t>SN 1.10</w:t>
      </w:r>
      <w:r>
        <w:rPr>
          <w:rStyle w:val="Hyperlink"/>
        </w:rPr>
        <w:fldChar w:fldCharType="end"/>
      </w:r>
      <w:r>
        <w:rPr/>
        <w:t xml:space="preserve"> </w:t>
      </w:r>
      <w:r>
        <w:rPr>
          <w:rStyle w:val="wwc-PTS-reference"/>
        </w:rPr>
        <w:t>S.I,5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28.3</w:t>
      </w:r>
      <w:r>
        <w:rPr>
          <w:rStyle w:val="Hyperlink"/>
        </w:rPr>
        <w:fldChar w:fldCharType="end"/>
      </w:r>
      <w:r>
        <w:rPr/>
        <w:t xml:space="preserve"> </w:t>
      </w:r>
      <w:r>
        <w:rPr>
          <w:rStyle w:val="wwc-PTS-reference"/>
        </w:rPr>
        <w:t>S.III,236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52.9</w:t>
      </w:r>
      <w:r>
        <w:rPr>
          <w:rStyle w:val="Hyperlink"/>
        </w:rPr>
        <w:fldChar w:fldCharType="end"/>
      </w:r>
      <w:r>
        <w:rPr/>
        <w:t xml:space="preserve"> </w:t>
      </w:r>
      <w:r>
        <w:rPr>
          <w:rStyle w:val="wwc-PTS-reference"/>
        </w:rPr>
        <w:t>S.V,301</w:t>
      </w:r>
      <w:r>
        <w:rPr/>
        <w:t xml:space="preserve">). However, as such physical attributes may change when the mental states change, it is not certain whether they can be considered </w:t>
      </w:r>
      <w:r>
        <w:rPr>
          <w:rStyle w:val="wwc-pali"/>
        </w:rPr>
        <w:t>vipāka</w:t>
      </w:r>
      <w:r>
        <w:rPr/>
        <w:t xml:space="preserve">. </w:t>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zot-referenc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8"/>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9"/>
      </w:r>
      <w:r>
        <w:rPr/>
        <w:t xml:space="preserve"> the result of kamma, and the origin of the world. One should not ponder over these four things, for trying to do so will result in either madness or frustration.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4.77</w:t>
      </w:r>
      <w:r>
        <w:rPr>
          <w:rStyle w:val="Hyperlink"/>
        </w:rPr>
        <w:fldChar w:fldCharType="end"/>
      </w:r>
      <w:r>
        <w:rPr/>
        <w:br/>
      </w:r>
      <w:r>
        <w:rPr>
          <w:rStyle w:val="wwc-PTS-reference"/>
        </w:rPr>
        <w:t>A.II,80</w:t>
      </w:r>
      <w:r>
        <w:rPr/>
        <w:t xml:space="preserve">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10"/>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rStyle w:val="wwc-list-margin"/>
        </w:rPr>
        <w:t>1</w:t>
      </w:r>
      <w:r>
        <w:rPr/>
        <w:t xml:space="preserve">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rStyle w:val="wwc-list-margin"/>
        </w:rPr>
        <w:t>2</w:t>
      </w:r>
      <w:r>
        <w:rPr/>
        <w:t xml:space="preserve"> Then let’s say there is a person who is mild, a good companion, one liked by his fellows. He is learned in the teachings, he has some understanding of them and has occasional meditation attainment.</w:t>
      </w:r>
      <w:r>
        <w:rPr>
          <w:rStyle w:val="FootnoteReference"/>
        </w:rPr>
        <w:footnoteReference w:id="11"/>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rStyle w:val="wwc-list-margin"/>
        </w:rPr>
        <w:t>3</w:t>
      </w:r>
      <w:r>
        <w:rPr/>
        <w:t xml:space="preserve">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rStyle w:val="wwc-list-margin"/>
        </w:rPr>
        <w:t>4</w:t>
      </w:r>
      <w:r>
        <w:rPr/>
        <w:t xml:space="preserve">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rStyle w:val="wwc-list-margin"/>
        </w:rPr>
        <w:t>5</w:t>
      </w:r>
      <w:r>
        <w:rPr/>
        <w:t xml:space="preserv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rStyle w:val="wwc-list-margin"/>
        </w:rPr>
        <w:t>6</w:t>
      </w:r>
      <w:r>
        <w:rPr/>
        <w:t xml:space="preserve">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rStyle w:val="wwc-list-margin"/>
        </w:rPr>
        <w:t>(a)</w:t>
      </w:r>
      <w:r>
        <w:rPr/>
        <w:t xml:space="preserve">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rStyle w:val="wwc-list-margin"/>
        </w:rPr>
        <w:t>(b)</w:t>
      </w:r>
      <w:r>
        <w:rPr/>
        <w:t xml:space="preserve">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rStyle w:val="wwc-list-margin"/>
        </w:rPr>
        <w:t>(c)</w:t>
      </w:r>
      <w:r>
        <w:rPr/>
        <w:t xml:space="preserve">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12"/>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Snp 2.6:5.2</w:t>
      </w:r>
      <w:r>
        <w:rPr>
          <w:rStyle w:val="Hyperlink"/>
        </w:rPr>
        <w:fldChar w:fldCharType="end"/>
      </w:r>
      <w:r>
        <w:rPr/>
        <w:t xml:space="preserve"> </w:t>
      </w:r>
      <w:r>
        <w:rPr>
          <w:rStyle w:val="wwc-PTS-reference"/>
        </w:rPr>
        <w:t>Sn. 278</w:t>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5.55:9.3</w:t>
      </w:r>
      <w:r>
        <w:rPr>
          <w:rStyle w:val="Hyperlink"/>
        </w:rPr>
        <w:fldChar w:fldCharType="end"/>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5.5:12.2</w:t>
      </w:r>
      <w:r>
        <w:rPr>
          <w:rStyle w:val="Hyperlink"/>
        </w:rPr>
        <w:fldChar w:fldCharType="end"/>
      </w:r>
      <w:r>
        <w:rPr/>
        <w:t xml:space="preserve"> </w:t>
      </w:r>
      <w:r>
        <w:rPr>
          <w:rStyle w:val="wwc-PTS-reference"/>
        </w:rPr>
        <w:t>Sn. 1060</w:t>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rStyle w:val="wwc-list-margin"/>
        </w:rPr>
        <w:t>(a)</w:t>
      </w:r>
      <w:r>
        <w:rPr/>
        <w:t xml:space="preserve">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rStyle w:val="wwc-list-margin"/>
        </w:rPr>
        <w:t>(b&amp;c)</w:t>
      </w:r>
      <w:r>
        <w:rPr/>
        <w:t xml:space="preserve">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rStyle w:val="wwc-list-margin"/>
        </w:rPr>
        <w:t>(d)</w:t>
      </w:r>
      <w:r>
        <w:rPr/>
        <w:t xml:space="preserve">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rStyle w:val="wwc-list-margin"/>
        </w:rPr>
        <w:t>(e&amp;f)</w:t>
      </w:r>
      <w:r>
        <w:rPr/>
        <w:t xml:space="preserve">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rStyle w:val="wwc-list-margin"/>
        </w:rPr>
        <w:t>(a)</w:t>
      </w:r>
      <w:r>
        <w:rPr/>
        <w:t xml:space="preserve"> It is intention (</w:t>
      </w:r>
      <w:r>
        <w:rPr>
          <w:rStyle w:val="wwc-pali"/>
        </w:rPr>
        <w:t>cetanā</w:t>
      </w:r>
      <w:r>
        <w:rPr/>
        <w:t xml:space="preserve">) that I call kamma. For having intended, one acts by body, speech, or mind. </w:t>
      </w:r>
    </w:p>
    <w:p>
      <w:pPr>
        <w:pStyle w:val="WW-blockquote"/>
        <w:rPr/>
      </w:pPr>
      <w:r>
        <w:rPr>
          <w:rStyle w:val="wwc-list-margin"/>
        </w:rPr>
        <w:t>(b)</w:t>
      </w:r>
      <w:r>
        <w:rPr/>
        <w:t xml:space="preserve"> And what is the source and origin of kamma? Contact (</w:t>
      </w:r>
      <w:r>
        <w:rPr>
          <w:rStyle w:val="wwc-pali"/>
        </w:rPr>
        <w:t>phassa</w:t>
      </w:r>
      <w:r>
        <w:rPr/>
        <w:t xml:space="preserve">) is its source and origin. </w:t>
      </w:r>
    </w:p>
    <w:p>
      <w:pPr>
        <w:pStyle w:val="WW-blockquote"/>
        <w:rPr/>
      </w:pPr>
      <w:r>
        <w:rPr>
          <w:rStyle w:val="wwc-list-margin"/>
        </w:rPr>
        <w:t>(c)</w:t>
      </w:r>
      <w:r>
        <w:rPr/>
        <w:t xml:space="preserve">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rStyle w:val="wwc-list-margin"/>
        </w:rPr>
        <w:t>(d)</w:t>
      </w:r>
      <w:r>
        <w:rPr/>
        <w:t xml:space="preserve"> And what is the result of kamma? I say that result of kamma is threefold, that to be experienced in this life, or in the next life, or on some subsequent occasion. This is called the result of kamma. </w:t>
      </w:r>
    </w:p>
    <w:p>
      <w:pPr>
        <w:pStyle w:val="WW-blockquote"/>
        <w:rPr/>
      </w:pPr>
      <w:r>
        <w:rPr>
          <w:rStyle w:val="wwc-list-margin"/>
        </w:rPr>
        <w:t>(e)</w:t>
      </w:r>
      <w:r>
        <w:rPr/>
        <w:t xml:space="preserve"> And what is the cessation of kamma? With the cessation of contact there is cessation of kamma. </w:t>
      </w:r>
    </w:p>
    <w:p>
      <w:pPr>
        <w:pStyle w:val="WW-blockquote"/>
        <w:rPr/>
      </w:pPr>
      <w:r>
        <w:rPr>
          <w:rStyle w:val="wwc-list-margin"/>
        </w:rPr>
        <w:t>(f)</w:t>
      </w:r>
      <w:r>
        <w:rPr/>
        <w:t xml:space="preserve">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13"/>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w:t>
      </w:r>
      <w:r>
        <w:rPr/>
        <w:t xml:space="preserve">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Saṅgha,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8">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Mahāvaṁsa Ṭīkā,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4"/>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rStyle w:val="wwc-pali"/>
        </w:rPr>
        <w:t>pātāla</w:t>
      </w:r>
      <w:r>
        <w:rPr/>
        <w:t>), was that it was at the bottom of the ocean and concerning this the Buddha commented: “When the ordinary uninstructed person says: ‘Purgatory is under the great ocean’ he says something that is not true or real. Purgatory is actually a name for painful feeling”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w:t>
      </w: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zot-referenc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zot-referenc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zot-reference"/>
        </w:rPr>
        <w:t>Humphreys 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zot-referenc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zot-reference"/>
        </w:rPr>
        <w:t>Onkom 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zot-reference"/>
        </w:rPr>
        <w:t>Wright 2004</w:t>
      </w:r>
      <w:r>
        <w:rPr/>
        <w:t xml:space="preserve"> P.81</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zot-referenc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5"/>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zot-reference"/>
        </w:rPr>
        <w:t>Dawkins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zot-referenc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zot-referenc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6"/>
      </w:r>
      <w:r>
        <w:br w:type="page"/>
      </w:r>
    </w:p>
    <w:p>
      <w:pPr>
        <w:pStyle w:val="WW-Chapter"/>
        <w:spacing w:before="0" w:after="567"/>
        <w:rPr/>
      </w:pPr>
      <w:r>
        <w:rPr/>
        <w:t xml:space="preserve">Transferring Merit </w:t>
      </w:r>
    </w:p>
    <w:p>
      <w:pPr>
        <w:pStyle w:val="WW-paragraph"/>
        <w:rPr/>
      </w:pPr>
      <w:r>
        <w:rPr/>
        <w:t xml:space="preserve">An issue related to the doctrine of kamma is that of transference of merit. This is the idea that it is possible to do good and then ‘transfer’ the </w:t>
      </w:r>
      <w:r>
        <w:rPr>
          <w:rStyle w:val="wwc-pali"/>
        </w:rPr>
        <w:t>vipāka</w:t>
      </w:r>
      <w:r>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rStyle w:val="wwc-sanskrit"/>
        </w:rPr>
        <w:t>śaddha</w:t>
      </w:r>
      <w:r>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w:t>
      </w:r>
      <w:r>
        <w:rPr>
          <w:rStyle w:val="wwc-sesame"/>
        </w:rPr>
        <w:t>Carvaka</w:t>
      </w:r>
      <w:r>
        <w:rPr/>
        <w:t xml:space="preserve"> school quite rightly poked fun at the </w:t>
      </w:r>
      <w:r>
        <w:rPr>
          <w:rStyle w:val="wwc-sanskrit"/>
        </w:rPr>
        <w:t>śaddha</w:t>
      </w:r>
      <w:r>
        <w:rPr/>
        <w:t xml:space="preserve"> ritual saying: </w:t>
      </w:r>
    </w:p>
    <w:p>
      <w:pPr>
        <w:pStyle w:val="WW-blockquote"/>
        <w:rPr/>
      </w:pPr>
      <w:r>
        <w:rPr/>
        <w:t xml:space="preserve">If the </w:t>
      </w:r>
      <w:r>
        <w:rPr>
          <w:rStyle w:val="wwc-sanskrit"/>
        </w:rPr>
        <w:t>śaddha</w:t>
      </w:r>
      <w:r>
        <w:rPr/>
        <w:t xml:space="preserve"> can really satisfy beings who are dead, then in this world when travellers embark on a journey it would not be necessary to provide them with provisions because their relatives back home could eat for them.”</w:t>
      </w:r>
    </w:p>
    <w:p>
      <w:pPr>
        <w:pStyle w:val="WW-tight-right-cite"/>
        <w:rPr/>
      </w:pPr>
      <w:r>
        <w:rPr>
          <w:rStyle w:val="wwc-sesame-zot-reference"/>
        </w:rPr>
        <w:t>Visdyasagara 1858</w:t>
      </w:r>
      <w:r>
        <w:rPr/>
        <w:t>, p.10</w:t>
      </w:r>
    </w:p>
    <w:p>
      <w:pPr>
        <w:pStyle w:val="WW-paragraph"/>
        <w:rPr/>
      </w:pPr>
      <w:r>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w:t>
      </w:r>
    </w:p>
    <w:p>
      <w:pPr>
        <w:pStyle w:val="WW-line-block"/>
        <w:rPr/>
      </w:pPr>
      <w:r>
        <w:rPr/>
        <w:t xml:space="preserve">By oneself is evil done, </w:t>
        <w:br/>
        <w:t xml:space="preserve">by oneself is evil shunned, </w:t>
        <w:br/>
        <w:t xml:space="preserve">by oneself is one purified. </w:t>
        <w:br/>
        <w:t xml:space="preserve">Purity and impurity depend on oneself. </w:t>
        <w:br/>
        <w:t xml:space="preserve">No one can purify another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165</w:t>
      </w:r>
      <w:r>
        <w:rPr>
          <w:rStyle w:val="Hyperlink"/>
        </w:rPr>
        <w:fldChar w:fldCharType="end"/>
      </w:r>
      <w:r>
        <w:rPr/>
        <w:t xml:space="preserve"> </w:t>
      </w:r>
    </w:p>
    <w:p>
      <w:pPr>
        <w:pStyle w:val="WW-paragraph"/>
        <w:rPr/>
      </w:pPr>
      <w:r>
        <w:rPr/>
        <w:t xml:space="preserve">In the </w:t>
      </w:r>
      <w:r>
        <w:rPr>
          <w:rStyle w:val="wwc-sesame"/>
        </w:rPr>
        <w:t>Sutta Nipāta</w:t>
      </w:r>
      <w:r>
        <w:rPr/>
        <w:t xml:space="preserve"> he said: </w:t>
      </w:r>
    </w:p>
    <w:p>
      <w:pPr>
        <w:pStyle w:val="WW-line-block"/>
        <w:rPr/>
      </w:pPr>
      <w:r>
        <w:rPr/>
        <w:t xml:space="preserve">When they are overcome by death </w:t>
        <w:br/>
        <w:t xml:space="preserve">and are going from here to the next world, </w:t>
        <w:br/>
        <w:t xml:space="preserve">the father cannot assist the son, </w:t>
        <w:br/>
        <w:t>any more than other relatives can.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3.8:6.1–6.4</w:t>
      </w:r>
      <w:r>
        <w:rPr>
          <w:rStyle w:val="Hyperlink"/>
        </w:rPr>
        <w:fldChar w:fldCharType="end"/>
      </w:r>
      <w:r>
        <w:rPr/>
        <w:br/>
      </w:r>
      <w:r>
        <w:rPr>
          <w:rStyle w:val="wwc-PTS-reference"/>
        </w:rPr>
        <w:t xml:space="preserve">Sn.579 </w:t>
      </w:r>
    </w:p>
    <w:p>
      <w:pPr>
        <w:pStyle w:val="WW-paragraph"/>
        <w:rPr/>
      </w:pPr>
      <w:r>
        <w:rPr/>
        <w:t xml:space="preserve">Even the denizens of Purgatory have a better understanding of kamma than those who believe they can transfer their merit to someone else. The Buddha said that a person who dies and finds himself in Purgatory will be reproached by Yama like this:   </w:t>
      </w:r>
    </w:p>
    <w:p>
      <w:pPr>
        <w:pStyle w:val="WW-blockquote"/>
        <w:rPr/>
      </w:pPr>
      <w:r>
        <w:rPr/>
        <w:t>This evil deed was not done by your mother or father, by your brother or sister, by your friends and companions, by your kinsmen and relatives, by ascetics and brahmins, or by the gods. It was done by you yourself, and you yourself will feel its result.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130:4.10–4.13</w:t>
      </w:r>
      <w:r>
        <w:rPr>
          <w:rStyle w:val="Hyperlink"/>
        </w:rPr>
        <w:fldChar w:fldCharType="end"/>
      </w:r>
      <w:r>
        <w:rPr/>
        <w:br/>
      </w:r>
      <w:r>
        <w:rPr>
          <w:rStyle w:val="wwc-PTS-reference"/>
        </w:rPr>
        <w:t>M.III,180</w:t>
      </w:r>
    </w:p>
    <w:p>
      <w:pPr>
        <w:pStyle w:val="WW-paragraph"/>
        <w:rPr/>
      </w:pPr>
      <w:r>
        <w:rPr/>
        <w:t xml:space="preserve">The </w:t>
      </w:r>
      <w:r>
        <w:rPr>
          <w:rStyle w:val="wwc-sesame"/>
        </w:rPr>
        <w:t>Jātakas</w:t>
      </w:r>
      <w:r>
        <w:rPr/>
        <w:t xml:space="preserve"> seem to represent a period when early Buddhism was being influenced by the Brahmanical </w:t>
      </w:r>
      <w:r>
        <w:rPr>
          <w:rStyle w:val="wwc-sanskrit"/>
        </w:rPr>
        <w:t>śaddha</w:t>
      </w:r>
      <w:r>
        <w:rPr/>
        <w:t xml:space="preserve"> notion. True to the original Dhamma, one </w:t>
      </w:r>
      <w:r>
        <w:rPr>
          <w:rStyle w:val="wwc-sesame"/>
        </w:rPr>
        <w:t>Jātaka</w:t>
      </w:r>
      <w:r>
        <w:rPr/>
        <w:t xml:space="preserve"> says: </w:t>
      </w:r>
    </w:p>
    <w:p>
      <w:pPr>
        <w:pStyle w:val="WW-line-block"/>
        <w:rPr/>
      </w:pPr>
      <w:r>
        <w:rPr/>
        <w:t xml:space="preserve">One makes one’s own good fortune. One makes one’s own misfortune. </w:t>
        <w:br/>
        <w:t>For good fortune or lack of it cannot be made for another by another.</w:t>
      </w:r>
    </w:p>
    <w:p>
      <w:pPr>
        <w:pStyle w:val="WW-tight-right-cite"/>
        <w:rPr/>
      </w:pPr>
      <w:hyperlink r:id="rId29">
        <w:r>
          <w:rPr>
            <w:rStyle w:val="Hyperlink"/>
          </w:rPr>
          <w:t>Ja 382</w:t>
        </w:r>
      </w:hyperlink>
      <w:r>
        <w:rPr/>
        <w:br/>
      </w:r>
      <w:r>
        <w:rPr>
          <w:rStyle w:val="wwc-PTS-reference"/>
        </w:rPr>
        <w:t>Ja.III,263</w:t>
      </w:r>
    </w:p>
    <w:p>
      <w:pPr>
        <w:pStyle w:val="WW-paragraph"/>
        <w:rPr/>
      </w:pPr>
      <w:r>
        <w:rPr/>
        <w:t>But in another story a virtuous man says he will give all the merit he has accumulated to a man lacking virtue (</w:t>
      </w:r>
      <w:hyperlink r:id="rId30">
        <w:r>
          <w:rPr>
            <w:rStyle w:val="Hyperlink"/>
          </w:rPr>
          <w:t>Ja 190</w:t>
        </w:r>
      </w:hyperlink>
      <w:r>
        <w:rPr/>
        <w:t xml:space="preserve"> </w:t>
      </w:r>
      <w:r>
        <w:rPr>
          <w:rStyle w:val="wwc-PTS-reference"/>
        </w:rPr>
        <w:t>Ja.II,112</w:t>
      </w:r>
      <w:r>
        <w:rPr/>
        <w:t xml:space="preserve">). By the time of the </w:t>
      </w:r>
      <w:r>
        <w:rPr>
          <w:rStyle w:val="wwc-sesame"/>
        </w:rPr>
        <w:t>Dhammapada Aṭṭhakathā</w:t>
      </w:r>
      <w:r>
        <w:rPr/>
        <w:t> the notion had come to be believed that it was actually possible to buy someone’s merit from them or sell your own (</w:t>
      </w:r>
      <w:r>
        <w:rPr>
          <w:rStyle w:val="wwc-PTS-reference"/>
        </w:rPr>
        <w:t>Dhp-a.III,12a</w:t>
      </w:r>
      <w:r>
        <w:rPr/>
        <w:t>). But even after the transferring of merit had become widely accepted, there were voices still holding out against this popular superstition. In the 2</w:t>
      </w:r>
      <w:r>
        <w:rPr>
          <w:vertAlign w:val="superscript"/>
        </w:rPr>
        <w:t>nd</w:t>
      </w:r>
      <w:r>
        <w:rPr/>
        <w:t xml:space="preserve"> century CE Aśvaghoṣa wrote: </w:t>
      </w:r>
    </w:p>
    <w:p>
      <w:pPr>
        <w:pStyle w:val="WW-blockquote"/>
        <w:rPr/>
      </w:pPr>
      <w:r>
        <w:rPr/>
        <w:t>It is impossible for one to do good and then give it to another, even if one wants to the other cannot receive it.  The result of one’s own acts are not destroyed, they are experienced by oneself, but that the effect of what one had not done can be experienced is not factual.</w:t>
      </w:r>
    </w:p>
    <w:p>
      <w:pPr>
        <w:pStyle w:val="WW-tight-right-cite"/>
        <w:rPr/>
      </w:pPr>
      <w:r>
        <w:rPr>
          <w:rStyle w:val="wwc-sesame-zot-reference"/>
        </w:rPr>
        <w:t>Buddhacarita</w:t>
      </w:r>
      <w:r>
        <w:rPr/>
        <w:t xml:space="preserve"> XX,28</w:t>
      </w:r>
    </w:p>
    <w:p>
      <w:pPr>
        <w:pStyle w:val="WW-paragraph"/>
        <w:rPr/>
      </w:pPr>
      <w:r>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Unfortunately, some sects of Buddhism have not been immune to this sort of thing either. The well-known Tibetan teacher Lama Zopa has written: </w:t>
      </w:r>
    </w:p>
    <w:p>
      <w:pPr>
        <w:pStyle w:val="WW-blockquote"/>
        <w:rPr/>
      </w:pPr>
      <w:r>
        <w:rPr/>
        <w:t>“</w:t>
      </w:r>
      <w:r>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rPr>
        <w:footnoteReference w:id="17"/>
      </w:r>
      <w:r>
        <w:rPr/>
        <w:t xml:space="preserve"> </w:t>
      </w:r>
    </w:p>
    <w:p>
      <w:pPr>
        <w:pStyle w:val="WW-paragraph"/>
        <w:rPr/>
      </w:pPr>
      <w:r>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WW-paragraph"/>
        <w:rPr/>
      </w:pPr>
      <w:r>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WW-paragraph"/>
        <w:rPr/>
      </w:pPr>
      <w:r>
        <w:rPr/>
        <w:t xml:space="preserve">While it is not possible to transfer merit to another it is possible to give them the opportunity to rejoice in good and virtuous actions done on their behalf, a practice called </w:t>
      </w:r>
      <w:r>
        <w:rPr>
          <w:rStyle w:val="wwc-pali"/>
        </w:rPr>
        <w:t>puñña anumodana</w:t>
      </w:r>
      <w:r>
        <w:rPr/>
        <w:t xml:space="preserve"> (Sinhala, </w:t>
      </w:r>
      <w:r>
        <w:rPr>
          <w:i/>
          <w:iCs/>
        </w:rPr>
        <w:t>pin anumodanaya</w:t>
      </w:r>
      <w:r>
        <w:rPr/>
        <w:t xml:space="preserve">). The two words in this term are </w:t>
      </w:r>
      <w:r>
        <w:rPr>
          <w:rStyle w:val="wwc-pali"/>
        </w:rPr>
        <w:t>puñña</w:t>
      </w:r>
      <w:r>
        <w:rPr/>
        <w:t xml:space="preserve"> = merit and </w:t>
      </w:r>
      <w:r>
        <w:rPr>
          <w:rStyle w:val="wwc-pali"/>
        </w:rPr>
        <w:t>anumodana</w:t>
      </w:r>
      <w:r>
        <w:rPr/>
        <w:t xml:space="preserve"> = to rejoice in or to feel joyful about, although Asian 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rStyle w:val="wwc-pali"/>
        </w:rPr>
        <w:t>antarabhava</w:t>
      </w:r>
      <w:r>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rStyle w:val="wwc-pali"/>
        </w:rPr>
        <w:t>Puñña anumodana</w:t>
      </w:r>
      <w:r>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WW-paragraph"/>
        <w:rPr/>
      </w:pPr>
      <w:r>
        <w:rPr/>
        <w:t>We will finish this exploration of the Buddha’s doctrine of kamma and rebirth by looking at some of implications of them and attempting to answer some of the questions often raised about them.</w:t>
      </w:r>
    </w:p>
    <w:p>
      <w:pPr>
        <w:pStyle w:val="WW-paragraph"/>
        <w:rPr/>
      </w:pPr>
      <w:r>
        <w:rPr>
          <w:b/>
          <w:bCs/>
        </w:rPr>
        <w:t>(A)</w:t>
      </w:r>
      <w:r>
        <w:rPr/>
        <w:t xml:space="preserve">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rPr>
        <w:footnoteReference w:id="18"/>
      </w:r>
      <w:r>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Erlendur Haraldsson.   </w:t>
      </w:r>
    </w:p>
    <w:p>
      <w:pPr>
        <w:pStyle w:val="WW-paragraph"/>
        <w:rPr/>
      </w:pPr>
      <w:r>
        <w:rPr/>
        <w:t>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w:t>
      </w:r>
      <w:r>
        <w:fldChar w:fldCharType="begin"/>
      </w:r>
      <w:r>
        <w:rPr>
          <w:rStyle w:val="Hyperlink"/>
        </w:rPr>
        <w:instrText xml:space="preserve"> HYPERLINK "https://suttacentral.net/XXX/en/sujato" \l "YYY"</w:instrText>
      </w:r>
      <w:r>
        <w:rPr>
          <w:rStyle w:val="Hyperlink"/>
        </w:rPr>
        <w:fldChar w:fldCharType="separate"/>
      </w:r>
      <w:r>
        <w:rPr>
          <w:rStyle w:val="Hyperlink"/>
        </w:rPr>
        <w:t>DN 2:83.1</w:t>
      </w:r>
      <w:r>
        <w:rPr>
          <w:rStyle w:val="Hyperlink"/>
        </w:rPr>
        <w:fldChar w:fldCharType="end"/>
      </w:r>
      <w:r>
        <w:rPr/>
        <w:t xml:space="preserve"> </w:t>
      </w:r>
      <w:r>
        <w:rPr>
          <w:rStyle w:val="wwc-PTS-reference"/>
        </w:rPr>
        <w:t>D.I,76</w:t>
      </w:r>
      <w:r>
        <w:rPr/>
        <w:t xml:space="preserve">). </w:t>
      </w:r>
    </w:p>
    <w:p>
      <w:pPr>
        <w:pStyle w:val="WW-paragraph"/>
        <w:rPr/>
      </w:pPr>
      <w:r>
        <w:rPr>
          <w:b/>
          <w:bCs/>
        </w:rPr>
        <w:t>(B)</w:t>
      </w:r>
      <w:r>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w:t>
        <w:softHyphen/>
        <w:t>/</w:t>
        <w:softHyphen/>
        <w:t>reincarnation [</w:t>
      </w:r>
      <w:r>
        <w:rPr>
          <w:rStyle w:val="wwc-sesame-zot-reference"/>
        </w:rPr>
        <w:t>Edwards 1996</w:t>
      </w:r>
      <w:r>
        <w:rPr/>
        <w:t>]. But others like philosophers C. J. Ducasse [</w:t>
      </w:r>
      <w:r>
        <w:rPr>
          <w:rStyle w:val="wwc-sesame-zot-reference"/>
        </w:rPr>
        <w:t>Ducasse 1961</w:t>
      </w:r>
      <w:r>
        <w:rPr/>
        <w:t>] and J. M. E. McTaggart [</w:t>
      </w:r>
      <w:r>
        <w:rPr>
          <w:rStyle w:val="wwc-sesame-zot-reference"/>
        </w:rPr>
        <w:t>McTaggart 1916</w:t>
      </w:r>
      <w:r>
        <w:rPr/>
        <w:t xml:space="preserve">] and academics such as </w:t>
      </w:r>
      <w:r>
        <w:rPr>
          <w:lang w:val="en-US"/>
        </w:rPr>
        <w:t>Susan Blackmore [</w:t>
      </w:r>
      <w:r>
        <w:rPr>
          <w:rStyle w:val="wwc-sesame-zot-reference"/>
          <w:lang w:val="en-US"/>
        </w:rPr>
        <w:t>Blackmore 1993</w:t>
      </w:r>
      <w:r>
        <w:rPr>
          <w:lang w:val="en-US"/>
        </w:rPr>
        <w:t>] consider rebirth to be a plausible postmortem explanation.</w:t>
      </w:r>
    </w:p>
    <w:p>
      <w:pPr>
        <w:pStyle w:val="WW-paragraph"/>
        <w:rPr/>
      </w:pPr>
      <w:r>
        <w:rPr>
          <w:b/>
          <w:bCs/>
        </w:rPr>
        <w:t>(C)</w:t>
      </w:r>
      <w:r>
        <w:rPr/>
        <w:t xml:space="preserve"> According to the Buddha, the three characteristics of existence are suffering (</w:t>
      </w:r>
      <w:r>
        <w:rPr>
          <w:rStyle w:val="wwc-pali"/>
        </w:rPr>
        <w:t>dukkha</w:t>
      </w:r>
      <w:r>
        <w:rPr/>
        <w:t>), impermanence (</w:t>
      </w:r>
      <w:r>
        <w:rPr>
          <w:rStyle w:val="wwc-pali"/>
        </w:rPr>
        <w:t>anicca</w:t>
      </w:r>
      <w:r>
        <w:rPr/>
        <w:t>) and not-self (</w:t>
      </w:r>
      <w:r>
        <w:rPr>
          <w:rStyle w:val="wwc-pali"/>
        </w:rPr>
        <w:t>anatta</w:t>
      </w:r>
      <w:r>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iCs/>
        </w:rPr>
        <w:t>permanent, unchanging, metaphysical</w:t>
      </w:r>
      <w:r>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WW-paragraph"/>
        <w:rPr/>
      </w:pPr>
      <w:r>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rStyle w:val="wwc-pali"/>
        </w:rPr>
        <w:t>anicca</w:t>
      </w:r>
      <w:r>
        <w:rPr/>
        <w:t xml:space="preserve">). It is not this, but the idea that a soul or spirit can go from one location or dimension to another without changing that is difficult to explain. </w:t>
      </w:r>
    </w:p>
    <w:p>
      <w:pPr>
        <w:pStyle w:val="WW-paragraph"/>
        <w:rPr/>
      </w:pPr>
      <w:r>
        <w:rPr>
          <w:b/>
          <w:bCs/>
        </w:rPr>
        <w:t>(D)</w:t>
      </w:r>
      <w:r>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rStyle w:val="wwc-pali"/>
        </w:rPr>
        <w:t>vipāka</w:t>
      </w:r>
      <w:r>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w:t>
      </w:r>
    </w:p>
    <w:p>
      <w:pPr>
        <w:pStyle w:val="WW-blockquote"/>
        <w:rPr/>
      </w:pPr>
      <w:r>
        <w:rPr/>
        <w:t>“</w:t>
      </w:r>
      <w:r>
        <w:rPr/>
        <w:t>How is it good Gotama; is the one who acts the same as the one who experiences the result of the act?”</w:t>
      </w:r>
    </w:p>
    <w:p>
      <w:pPr>
        <w:pStyle w:val="WW-blockquote"/>
        <w:rPr/>
      </w:pPr>
      <w:r>
        <w:rPr/>
        <w:t>“</w:t>
      </w:r>
      <w:r>
        <w:rPr/>
        <w:t>That is one extreme.”</w:t>
      </w:r>
    </w:p>
    <w:p>
      <w:pPr>
        <w:pStyle w:val="WW-blockquote"/>
        <w:rPr/>
      </w:pPr>
      <w:r>
        <w:rPr/>
        <w:t>“</w:t>
      </w:r>
      <w:r>
        <w:rPr/>
        <w:t>Then is the one who acts different from the one who experiences the result of the act?”</w:t>
      </w:r>
    </w:p>
    <w:p>
      <w:pPr>
        <w:pStyle w:val="WW-blockquote"/>
        <w:rPr/>
      </w:pPr>
      <w:r>
        <w:rPr/>
        <w:t>“</w:t>
      </w:r>
      <w:r>
        <w:rPr/>
        <w:t>That is another extreme. Without adhering to either of these extremes the Tathāgata teaches Dhamma by the middle.”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12.46</w:t>
      </w:r>
      <w:r>
        <w:rPr>
          <w:rStyle w:val="Hyperlink"/>
        </w:rPr>
        <w:fldChar w:fldCharType="end"/>
      </w:r>
      <w:r>
        <w:rPr/>
        <w:br/>
      </w:r>
      <w:r>
        <w:rPr>
          <w:rStyle w:val="wwc-PTS-reference"/>
        </w:rPr>
        <w:t>S.II,75–6</w:t>
      </w:r>
    </w:p>
    <w:p>
      <w:pPr>
        <w:pStyle w:val="WW-paragraph"/>
        <w:rPr/>
      </w:pPr>
      <w:r>
        <w:rPr/>
        <w:t xml:space="preserve">Using an analogy might help clarify what the Buddha meant. 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recognisable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iCs/>
        </w:rPr>
        <w:t>esprit de corps</w:t>
      </w:r>
      <w:r>
        <w:rPr/>
        <w:t xml:space="preserve">, etc. Despite continual change it is recognised as a 60-year-old institution.  </w:t>
      </w:r>
    </w:p>
    <w:p>
      <w:pPr>
        <w:pStyle w:val="WW-paragraph"/>
        <w:rPr/>
      </w:pPr>
      <w:r>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rStyle w:val="wwc-pali"/>
        </w:rPr>
        <w:t>vipāka</w:t>
      </w:r>
      <w:r>
        <w:rPr/>
        <w:t xml:space="preserve"> of kamma done in the previous life. </w:t>
      </w:r>
    </w:p>
    <w:p>
      <w:pPr>
        <w:pStyle w:val="WW-paragraph"/>
        <w:rPr/>
      </w:pPr>
      <w:r>
        <w:rPr>
          <w:b/>
          <w:bCs/>
        </w:rPr>
        <w:t>(E)</w:t>
      </w:r>
      <w:r>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WW-paragraph"/>
        <w:rPr/>
      </w:pPr>
      <w:r>
        <w:rPr/>
        <w:t>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6.12</w:t>
      </w:r>
      <w:r>
        <w:rPr>
          <w:rStyle w:val="Hyperlink"/>
        </w:rPr>
        <w:fldChar w:fldCharType="end"/>
      </w:r>
      <w:r>
        <w:rPr/>
        <w:t xml:space="preserve"> </w:t>
      </w:r>
      <w:r>
        <w:rPr>
          <w:rStyle w:val="wwc-PTS-reference"/>
        </w:rPr>
        <w:t>A.III,289</w:t>
      </w:r>
      <w:r>
        <w:rPr/>
        <w:t xml:space="preserve">), and we should shun evil out of compassion for others and because its kammic consequences can be very unpleasant. </w:t>
      </w:r>
    </w:p>
    <w:p>
      <w:pPr>
        <w:pStyle w:val="WW-paragraph"/>
        <w:rPr/>
      </w:pPr>
      <w:r>
        <w:rPr/>
        <w:t xml:space="preserve">How did he arrive at these and other high ethical principles without a divine law-giver? He used several means but one of them that would enable anyone to determine right from wrong he called </w:t>
      </w:r>
      <w:r>
        <w:rPr>
          <w:rStyle w:val="wwc-pali"/>
        </w:rPr>
        <w:t>anumāna</w:t>
      </w:r>
      <w:r>
        <w:rPr/>
        <w:t>, or what in the West is called the Golden Rule. He advised: “Starting with oneself one should make this inference (</w:t>
      </w:r>
      <w:r>
        <w:rPr>
          <w:rStyle w:val="wwc-pali"/>
        </w:rPr>
        <w:t>anuminitabbaṃ</w:t>
      </w:r>
      <w:r>
        <w:rPr/>
        <w:t xml:space="preserve">): </w:t>
      </w:r>
    </w:p>
    <w:p>
      <w:pPr>
        <w:pStyle w:val="WW-blockquote"/>
        <w:rPr/>
      </w:pPr>
      <w:r>
        <w:rPr/>
        <w:t>I find those who are dominated by evil wishes to be unpleasant and nasty. If I was dominated by evil wishes others would find me unpleasant and nasty. Therefore, I will not allow evil wishes to dominate me.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15:6.1–6.4</w:t>
      </w:r>
      <w:r>
        <w:rPr>
          <w:rStyle w:val="Hyperlink"/>
        </w:rPr>
        <w:fldChar w:fldCharType="end"/>
      </w:r>
      <w:r>
        <w:rPr/>
        <w:br/>
      </w:r>
      <w:r>
        <w:rPr>
          <w:rStyle w:val="wwc-PTS-reference"/>
        </w:rPr>
        <w:t>M.I,97–8</w:t>
      </w:r>
    </w:p>
    <w:p>
      <w:pPr>
        <w:pStyle w:val="WW-paragraph"/>
        <w:rPr/>
      </w:pPr>
      <w:r>
        <w:rPr/>
        <w:t xml:space="preserve">On another occasion the Buddha put it this way: </w:t>
      </w:r>
    </w:p>
    <w:p>
      <w:pPr>
        <w:pStyle w:val="WW-blockquote"/>
        <w:rPr/>
      </w:pPr>
      <w:r>
        <w:rPr/>
        <w:t>Think like this: ‘As am I so are others; as are others so am I’ and harm none nor have them harmed</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3.11:27.1–27.4</w:t>
      </w:r>
      <w:r>
        <w:rPr>
          <w:rStyle w:val="Hyperlink"/>
        </w:rPr>
        <w:fldChar w:fldCharType="end"/>
      </w:r>
      <w:r>
        <w:rPr/>
        <w:t xml:space="preserve"> </w:t>
        <w:br/>
      </w:r>
      <w:r>
        <w:rPr>
          <w:rStyle w:val="wwc-PTS-reference"/>
        </w:rPr>
        <w:t>Sn.705</w:t>
      </w:r>
      <w:r>
        <w:rPr/>
        <w:t xml:space="preserve"> </w:t>
      </w:r>
      <w:r>
        <w:rPr>
          <w:color w:val="000000"/>
          <w:sz w:val="28"/>
          <w:szCs w:val="28"/>
        </w:rPr>
        <w:t xml:space="preserve"> </w:t>
      </w:r>
    </w:p>
    <w:p>
      <w:pPr>
        <w:pStyle w:val="WW-paragraph"/>
        <w:rPr/>
      </w:pPr>
      <w:r>
        <w:rPr>
          <w:b/>
          <w:bCs/>
        </w:rPr>
        <w:t>(F)</w:t>
      </w:r>
      <w:r>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w:t>
      </w:r>
      <w:r>
        <w:fldChar w:fldCharType="begin"/>
      </w:r>
      <w:r>
        <w:rPr>
          <w:rStyle w:val="Hyperlink"/>
        </w:rPr>
        <w:instrText xml:space="preserve"> HYPERLINK "https://suttacentral.net/XXX/en/sujato" \l "YYY"</w:instrText>
      </w:r>
      <w:r>
        <w:rPr>
          <w:rStyle w:val="Hyperlink"/>
        </w:rPr>
        <w:fldChar w:fldCharType="separate"/>
      </w:r>
      <w:r>
        <w:rPr>
          <w:rStyle w:val="Hyperlink"/>
        </w:rPr>
        <w:t>AN 3.18</w:t>
      </w:r>
      <w:r>
        <w:rPr>
          <w:rStyle w:val="Hyperlink"/>
        </w:rPr>
        <w:fldChar w:fldCharType="end"/>
      </w:r>
      <w:r>
        <w:rPr/>
        <w:t xml:space="preserve"> </w:t>
      </w:r>
      <w:r>
        <w:rPr>
          <w:rStyle w:val="wwc-PTS-reference"/>
        </w:rPr>
        <w:t>A.I,115</w:t>
      </w:r>
      <w:r>
        <w:rPr/>
        <w:t xml:space="preserve">), a goal he considered decidedly inferior to Nirvana. Even eternal life in heaven, if such a thing were possible, must, sooner or later, entail boredom and a sense of meaninglessness. The </w:t>
      </w:r>
      <w:r>
        <w:rPr>
          <w:i/>
          <w:iCs/>
        </w:rPr>
        <w:t>raison d’etre</w:t>
      </w:r>
      <w:r>
        <w:rPr/>
        <w:t xml:space="preserve"> of Buddhism is to end </w:t>
      </w:r>
      <w:r>
        <w:rPr>
          <w:rStyle w:val="wwc-pali"/>
        </w:rPr>
        <w:t>saṁsāra</w:t>
      </w:r>
      <w:r>
        <w:rPr/>
        <w:t>, the process of birth, death and being reborn. So however much the wish-fulfilment theory may apply to other post-mortem theories it could not apply to Buddhism.</w:t>
      </w:r>
    </w:p>
    <w:p>
      <w:pPr>
        <w:pStyle w:val="WW-paragraph"/>
        <w:rPr/>
      </w:pPr>
      <w:r>
        <w:rPr>
          <w:b/>
          <w:bCs/>
        </w:rPr>
        <w:t>(G)</w:t>
      </w:r>
      <w:r>
        <w:rPr/>
        <w:t xml:space="preserve"> One of the strong points of the Buddha’s doctrine of kamma is that it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rStyle w:val="wwc-pali"/>
        </w:rPr>
        <w:t>vipāka</w:t>
      </w:r>
      <w:r>
        <w:rPr/>
        <w:t xml:space="preserve"> we experience for the kamma we do is, by contrast, approximately proportionate. The picture on the cover of this book is of a relief from the great Borobudur temple in Java depicting a scene from the </w:t>
      </w:r>
      <w:r>
        <w:rPr>
          <w:rStyle w:val="wwc-pali"/>
        </w:rPr>
        <w:t>Karmavibhaṅga</w:t>
      </w:r>
      <w:r>
        <w:rPr/>
        <w:t xml:space="preserve">. </w:t>
      </w:r>
    </w:p>
    <w:p>
      <w:pPr>
        <w:pStyle w:val="WW-figure"/>
        <w:rPr/>
      </w:pPr>
      <w:r>
        <w:rPr/>
        <w:t xml:space="preserve">./karmavibhanga.webp=Karmavibhaṅga=90=borderless </w:t>
        <w:br/>
      </w:r>
      <w:r>
        <w:rPr>
          <w:i/>
        </w:rPr>
        <w:t>Figure 1: Katmavibhaṅga—Borobudur, Java</w:t>
      </w:r>
    </w:p>
    <w:p>
      <w:pPr>
        <w:pStyle w:val="WW-paragraph"/>
        <w:rPr/>
      </w:pPr>
      <w:r>
        <w:rPr/>
        <w:t xml:space="preserve">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rStyle w:val="wwc-pali"/>
        </w:rPr>
        <w:t>vipāka</w:t>
      </w:r>
      <w:r>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experience bad—whatever religion they belong to or whatever deity they worship. Kamma can also be seen as embodying a form of restorative justice. The </w:t>
      </w:r>
      <w:r>
        <w:rPr>
          <w:rStyle w:val="wwc-pali"/>
        </w:rPr>
        <w:t>vipāka</w:t>
      </w:r>
      <w:r>
        <w:rPr/>
        <w:t xml:space="preserve"> of even the evillest people—Jeffrey Dahmer; Idi Amin; Pol Pot; Heinrich Himmler; Lavrenity Beria and others—will eventually peter out and they will have another chance to redeem themselves. In every sense the doctrine of kamma is equitable, fair and just.</w:t>
      </w:r>
      <w:r>
        <w:br w:type="page"/>
      </w:r>
    </w:p>
    <w:p>
      <w:pPr>
        <w:pStyle w:val="WW-Chapter"/>
        <w:spacing w:before="0" w:after="567"/>
        <w:rPr>
          <w:color w:val="000000"/>
          <w:sz w:val="32"/>
          <w:szCs w:val="32"/>
        </w:rPr>
      </w:pPr>
      <w:r>
        <w:rPr/>
        <w:t>Appendix: The Tsunami, A Buddhist View</w:t>
      </w:r>
    </w:p>
    <w:p>
      <w:pPr>
        <w:pStyle w:val="WW-paragraph"/>
        <w:rPr/>
      </w:pPr>
      <w:r>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us—being caught in a rainstorm can give us a bad cold. But suffering from a cold has nothing to do with moral or immoral past actions—it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“rewarded” or “punished” for their actions, their happiness or discomfort is simply a result of their actions. Now let us have a look at the recent tsunami in the light of the doctrine of kamma. </w:t>
      </w:r>
    </w:p>
    <w:p>
      <w:pPr>
        <w:pStyle w:val="WW-paragraph"/>
        <w:rPr/>
      </w:pPr>
      <w:r>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WW-paragraph"/>
        <w:rPr/>
      </w:pPr>
      <w:r>
        <w:rPr/>
        <w:t>Kamma concerns peoples’ intentional thoughts, speech and actions (kamma) and the effects of those reactions (</w:t>
      </w:r>
      <w:r>
        <w:rPr>
          <w:rStyle w:val="wwc-pali"/>
        </w:rPr>
        <w:t>vipāka</w:t>
      </w:r>
      <w:r>
        <w:rPr/>
        <w:t xml:space="preserve">). I will give examples of different ways people could react to the tsunami and the effects they could have. Let’s say there are two people—a man and women—both are injured in the tsunami and lose their home and means of livelihood. The man falls into despair, “Why me?” he cries. “If only I had been out of town today”, he says in anger and regret. By thinking like this he compounds his suffering. But soon his thoughts change. He notices that his neighbour’s home is little damaged and he thinks: “That dog! I never liked him. It’s a pity his house wasn’t destroyed.” He is further compounding his suffering as well as reinforcing ugly and negative states of mind. Later he thinks: “Well, it’s every man for himself”,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WW-paragraph"/>
        <w:rPr/>
      </w:pPr>
      <w:r>
        <w:rPr/>
        <w:t>Now let us have a look at the woman’s reactions. After she recovers from the initial trauma her first thought is: “How fortunate I am to have survived.” She has suffered but she has not added to her suffering by being regretful, despairing or angry. Then she thinks: “There must be others much worse off than me. I’ll see what I can do to help,”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WW-paragraph"/>
        <w:rPr/>
      </w:pPr>
      <w:r>
        <w:rPr/>
        <w:t>Now why did the man react in one way and the woman in another? Because of how they have reacted to their various experiences in the past, i.e. because of their past kamma. The man’s negative mental habits in the past (kamma) have meant that he has negative mental habits now and these in turn make it more likely that he will have negative mental habits in the future. These mental habits make him suffer more than he would have otherwise (</w:t>
      </w:r>
      <w:r>
        <w:rPr>
          <w:rStyle w:val="wwc-pali"/>
        </w:rPr>
        <w:t>vipāka</w:t>
      </w:r>
      <w:r>
        <w:rPr/>
        <w:t>). The woman (she might be a Buddhist, a Christian, or of no religion) has been taught and has always believed that it is important to have a good thoughts and actions and has always tried to cultivate them. Her positive mental habits in the past (kamma) have meant that she has positive mental habits now, and these in turn make it more likely that she will have positive mental habits in the future. These mental habits minimised her suffering and led to her being looked after by the father of the child. In other words, her positive past actions (kamma) have had a positive effect (</w:t>
      </w:r>
      <w:r>
        <w:rPr>
          <w:rStyle w:val="wwc-pali"/>
        </w:rPr>
        <w:t>vipāka</w:t>
      </w:r>
      <w:r>
        <w:rPr/>
        <w:t>) now.</w:t>
      </w:r>
    </w:p>
    <w:p>
      <w:pPr>
        <w:pStyle w:val="WW-paragraph"/>
        <w:rPr/>
      </w:pPr>
      <w:r>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wwc-pali"/>
        </w:rPr>
        <w:t>vipāka</w:t>
      </w:r>
      <w:r>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WW-paragraph"/>
        <w:rPr/>
      </w:pPr>
      <w:r>
        <w:rPr/>
        <w:t xml:space="preserve">The news is full of examples of both. People ask: “How is it possible to remain free from grief, anxiety and fear under such terrible circumstances?” But some people do. A man in Sri Lanka lost his wife and two children and of course must have been devastated. However, being a practising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“Why did he suffer despite his good deeds?”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deeds—it was a result of natural causation—a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w:t>
      </w:r>
      <w:r>
        <w:rPr>
          <w:rStyle w:val="Hyperlink"/>
        </w:rPr>
        <w:fldChar w:fldCharType="end"/>
      </w:r>
      <w:r>
        <w:rPr/>
        <w:t xml:space="preserve"> </w:t>
      </w:r>
      <w:r>
        <w:rPr>
          <w:rStyle w:val="wwc-PTS-reference"/>
        </w:rPr>
        <w:t>M.II,214</w:t>
      </w:r>
      <w:r>
        <w:rPr/>
        <w:t xml:space="preserv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r>
        <w:rPr/>
        <w:t xml:space="preserve"> </w:t>
      </w:r>
      <w:r>
        <w:rPr>
          <w:rStyle w:val="wwc-PTS-reference"/>
        </w:rPr>
        <w:t>A.I,173</w:t>
      </w:r>
      <w:r>
        <w:rPr/>
        <w:t>) the Buddha says that the belief that every experience we have is due to past kamma (</w:t>
      </w:r>
      <w:r>
        <w:rPr>
          <w:rStyle w:val="wwc-pali"/>
        </w:rPr>
        <w:t>sabbaṁ taṁ pubbe katahetu</w:t>
      </w:r>
      <w:r>
        <w:rPr/>
        <w:t xml:space="preserve">) is a wrong and false view. In the </w:t>
      </w:r>
      <w:r>
        <w:rPr>
          <w:rStyle w:val="wwc-sesame"/>
        </w:rPr>
        <w:t>Sivaka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36.21:3.1–3.15</w:t>
      </w:r>
      <w:r>
        <w:rPr>
          <w:rStyle w:val="Hyperlink"/>
        </w:rPr>
        <w:fldChar w:fldCharType="end"/>
      </w:r>
      <w:r>
        <w:rPr/>
        <w:t xml:space="preserve"> </w:t>
      </w:r>
      <w:r>
        <w:rPr>
          <w:rStyle w:val="wwc-PTS-reference"/>
        </w:rPr>
        <w:t>S.IV,231</w:t>
      </w:r>
      <w:r>
        <w:rPr/>
        <w:t xml:space="preserve">)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WW-paragraph"/>
        <w:rPr/>
      </w:pPr>
      <w:r>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of her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wwc-pali"/>
        </w:rPr>
        <w:t>dukkha</w:t>
      </w:r>
      <w:r>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170" w:after="0"/>
        <w:rPr/>
      </w:pPr>
      <w:r>
        <w:rPr>
          <w:rStyle w:val="FootnoteCharacters"/>
        </w:rPr>
        <w:footnoteRef/>
      </w:r>
      <w:r>
        <w:rPr/>
        <w:t xml:space="preserve">See </w:t>
      </w:r>
      <w:r>
        <w:rPr>
          <w:rStyle w:val="wwc-sesame-zot-reference"/>
        </w:rPr>
        <w:t>Olivelle 1998</w:t>
      </w:r>
      <w:r>
        <w:rPr/>
        <w:t xml:space="preserve"> p.327</w:t>
      </w:r>
    </w:p>
  </w:footnote>
  <w:footnote w:id="3">
    <w:p>
      <w:pPr>
        <w:pStyle w:val="FootnoteText"/>
        <w:spacing w:before="170" w:after="0"/>
        <w:rPr/>
      </w:pPr>
      <w:r>
        <w:rPr>
          <w:rStyle w:val="FootnoteCharacters"/>
        </w:rPr>
        <w:footnoteRef/>
      </w:r>
      <w:r>
        <w:rPr/>
        <w:t xml:space="preserve">See </w:t>
      </w:r>
      <w:r>
        <w:rPr>
          <w:rStyle w:val="wwc-sesame-zot-reference"/>
        </w:rPr>
        <w:t>Olivelle 1998</w:t>
      </w:r>
      <w:r>
        <w:rPr/>
        <w:t xml:space="preserve"> p.81</w:t>
      </w:r>
    </w:p>
  </w:footnote>
  <w:footnote w:id="4">
    <w:p>
      <w:pPr>
        <w:pStyle w:val="FootnoteText"/>
        <w:spacing w:before="170" w:after="0"/>
        <w:rPr/>
      </w:pPr>
      <w:r>
        <w:rPr>
          <w:rStyle w:val="FootnoteCharacters"/>
        </w:rPr>
        <w:footnoteRef/>
      </w:r>
      <w:r>
        <w:rPr/>
        <w:t xml:space="preserve">See </w:t>
      </w:r>
      <w:r>
        <w:rPr>
          <w:rStyle w:val="wwc-sesame-zot-reference"/>
        </w:rPr>
        <w:t>Olivelle 1998</w:t>
      </w:r>
      <w:r>
        <w:rPr/>
        <w:t xml:space="preserve"> p.379</w:t>
      </w:r>
    </w:p>
  </w:footnote>
  <w:footnote w:id="5">
    <w:p>
      <w:pPr>
        <w:pStyle w:val="FootnoteText"/>
        <w:spacing w:before="170" w:after="0"/>
        <w:rPr/>
      </w:pPr>
      <w:r>
        <w:rPr>
          <w:rStyle w:val="FootnoteCharacters"/>
        </w:rPr>
        <w:footnoteRef/>
      </w:r>
      <w:r>
        <w:rPr/>
        <w:t xml:space="preserve">See </w:t>
      </w:r>
      <w:r>
        <w:rPr>
          <w:rStyle w:val="wwc-sesame-zot-reference"/>
        </w:rPr>
        <w:t>Olivelle 1998</w:t>
      </w:r>
      <w:r>
        <w:rPr/>
        <w:t xml:space="preserve"> p.427</w:t>
      </w:r>
    </w:p>
  </w:footnote>
  <w:footnote w:id="6">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Saṅgha, are mentioned in the Nikāyas as very negative kamma, they are nowhere specifically said to be deeds of immediate and fixed consequence (</w:t>
      </w:r>
      <w:r>
        <w:rPr>
          <w:rStyle w:val="wwc-pali"/>
        </w:rPr>
        <w:t>ānantariya</w:t>
      </w:r>
      <w:r>
        <w:rPr/>
        <w:t xml:space="preserve">). See </w:t>
      </w:r>
      <w:hyperlink r:id="rId1">
        <w:r>
          <w:rPr>
            <w:rStyle w:val="Hyperlink"/>
          </w:rPr>
          <w:t>AN 1.268-277</w:t>
        </w:r>
      </w:hyperlink>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7">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8">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9">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10">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 second of the four stages leading to awakening.</w:t>
      </w:r>
    </w:p>
  </w:footnote>
  <w:footnote w:id="11">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12">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13">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 third of the four states leading to awakening.</w:t>
      </w:r>
    </w:p>
  </w:footnote>
  <w:footnote w:id="14">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5">
    <w:p>
      <w:pPr>
        <w:pStyle w:val="FootnoteText"/>
        <w:bidi w:val="0"/>
        <w:spacing w:before="170" w:after="0"/>
        <w:rPr/>
      </w:pPr>
      <w:r>
        <w:rPr>
          <w:rStyle w:val="FootnoteCharacters"/>
        </w:rPr>
        <w:footnoteRef/>
      </w:r>
      <w:r>
        <w:rPr>
          <w:rStyle w:val="wwc-sesame-zot-referenc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honours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zot-reference"/>
        </w:rPr>
        <w:t>Luther 1526</w:t>
      </w:r>
      <w:r>
        <w:rPr/>
        <w:t>.</w:t>
      </w:r>
    </w:p>
    <w:p>
      <w:pPr>
        <w:pStyle w:val="FootnoteText"/>
        <w:rPr/>
      </w:pPr>
      <w:r>
        <w:rPr/>
      </w:r>
    </w:p>
  </w:footnote>
  <w:footnote w:id="16">
    <w:p>
      <w:pPr>
        <w:pStyle w:val="FootnoteText"/>
        <w:spacing w:before="170" w:after="0"/>
        <w:rPr>
          <w:lang w:val="en-GB"/>
        </w:rPr>
      </w:pPr>
      <w:r>
        <w:rPr>
          <w:rStyle w:val="FootnoteCharacters"/>
        </w:rPr>
        <w:footnoteRef/>
      </w:r>
      <w:r>
        <w:rPr/>
        <w:t xml:space="preserve"> </w:t>
      </w:r>
      <w:r>
        <w:rPr/>
        <w:t xml:space="preserve">See </w:t>
      </w:r>
      <w:r>
        <w:rPr>
          <w:rStyle w:val="wwc-sesame-zot-reference"/>
        </w:rPr>
        <w:t>Jackson 2003</w:t>
      </w:r>
    </w:p>
  </w:footnote>
  <w:footnote w:id="17">
    <w:p>
      <w:pPr>
        <w:pStyle w:val="FootnoteText"/>
        <w:spacing w:before="170" w:after="0"/>
        <w:rPr/>
      </w:pPr>
      <w:r>
        <w:rPr>
          <w:rStyle w:val="FootnoteCharacters"/>
        </w:rPr>
        <w:footnoteRef/>
      </w:r>
      <w:r>
        <w:rPr>
          <w:rStyle w:val="wwc-sesame-zot-reference"/>
        </w:rPr>
        <w:t>Ladner 2000</w:t>
      </w:r>
      <w:r>
        <w:rPr/>
        <w:t>, p.ix. Breaking the four root vows (</w:t>
      </w:r>
      <w:r>
        <w:rPr>
          <w:rStyle w:val="wwc-pali"/>
        </w:rPr>
        <w:t>pārājika</w:t>
      </w:r>
      <w:r>
        <w:rPr/>
        <w:t>) involves committing murder, sexual intercourse, theft and creating a schism in the Saṅgha.</w:t>
      </w:r>
    </w:p>
  </w:footnote>
  <w:footnote w:id="18">
    <w:p>
      <w:pPr>
        <w:pStyle w:val="FootnoteText"/>
        <w:spacing w:before="170" w:after="0"/>
        <w:rPr>
          <w:lang w:val="en-MY"/>
        </w:rPr>
      </w:pPr>
      <w:r>
        <w:rPr>
          <w:rStyle w:val="FootnoteCharacters"/>
        </w:rPr>
        <w:footnoteRef/>
      </w:r>
      <w:r>
        <w:rPr/>
        <w:t xml:space="preserve">On crypto-amnesia see </w:t>
      </w:r>
      <w:r>
        <w:rPr>
          <w:rStyle w:val="wwc-sesame-zot-reference"/>
        </w:rPr>
        <w:t>Wilson 1981</w:t>
      </w:r>
      <w:r>
        <w:rPr/>
        <w:t>.</w:t>
      </w:r>
    </w:p>
  </w:footnote>
</w:footnotes>
</file>

<file path=word/settings.xml><?xml version="1.0" encoding="utf-8"?>
<w:settings xmlns:w="http://schemas.openxmlformats.org/wordprocessingml/2006/main">
  <w:zoom w:percent="8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thickThinLargeGap" w:sz="2" w:space="57" w:color="000000"/>
        <w:left w:val="thickThinLargeGap" w:sz="2" w:space="57" w:color="000000"/>
        <w:bottom w:val="thickThinLargeGap" w:sz="2" w:space="57" w:color="000000"/>
        <w:right w:val="thickThinLargeGap" w:sz="2" w:space="57" w:color="000000"/>
      </w:pBdr>
      <w:suppressAutoHyphens w:val="true"/>
      <w:overflowPunct w:val="false"/>
      <w:bidi w:val="0"/>
      <w:spacing w:before="340" w:after="227"/>
      <w:ind w:start="340" w:end="340"/>
      <w:jc w:val="start"/>
    </w:pPr>
    <w:rPr>
      <w:rFonts w:ascii="Liberation Serif" w:hAnsi="Liberation Serif" w:eastAsia="NSimSun" w:cs="Lucida Sans"/>
      <w:color w:val="FFFFFF"/>
      <w:kern w:val="2"/>
      <w:sz w:val="192"/>
      <w:szCs w:val="24"/>
      <w:shd w:fill="F10D0C" w:val="clear"/>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qFormat/>
    <w:pPr>
      <w:keepNext w:val="true"/>
      <w:keepLines/>
      <w:spacing w:before="200" w:after="0"/>
      <w:ind w:start="340"/>
      <w:outlineLvl w:val="7"/>
    </w:pPr>
    <w:rPr>
      <w:rFonts w:ascii="Arial" w:hAnsi="Arial" w:eastAsia="DejaVu Sans" w:cs="DejaVu Sans"/>
      <w:color w:themeColor="accent1" w:val="4F81BD"/>
      <w:sz w:val="24"/>
      <w:szCs w:val="24"/>
    </w:rPr>
  </w:style>
  <w:style w:type="paragraph" w:styleId="Heading9">
    <w:name w:val="heading 9"/>
    <w:basedOn w:val="Normal"/>
    <w:next w:val="BodyText"/>
    <w:qFormat/>
    <w:pPr>
      <w:keepNext w:val="true"/>
      <w:keepLines/>
      <w:spacing w:before="200" w:after="0"/>
      <w:ind w:start="340"/>
      <w:outlineLvl w:val="8"/>
    </w:pPr>
    <w:rPr>
      <w:rFonts w:ascii="Arial" w:hAnsi="Arial" w:eastAsia="DejaVu Sans" w:cs="DejaVu Sans"/>
      <w:color w:themeColor="accent1" w:val="4F81BD"/>
      <w:sz w:val="24"/>
      <w:szCs w:val="24"/>
    </w:rPr>
  </w:style>
  <w:style w:type="character" w:styleId="Hyperlink">
    <w:name w:val="Hyperlink"/>
    <w:rPr>
      <w:color w:val="3465A4"/>
      <w:u w:val="none"/>
    </w:rPr>
  </w:style>
  <w:style w:type="character" w:styleId="FollowedHyperlink">
    <w:name w:val="FollowedHyperlink"/>
    <w:basedOn w:val="Hyperlink"/>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000000"/>
      <w:kern w:val="2"/>
      <w:sz w:val="24"/>
      <w:szCs w:val="24"/>
      <w:shd w:fill="FF860D" w:val="clear"/>
      <w:lang w:val="en-GB" w:eastAsia="zh-CN" w:bidi="hi-IN"/>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Comment">
    <w:name w:val="Comment"/>
    <w:basedOn w:val="Normal"/>
    <w:qFormat/>
    <w:pPr>
      <w:spacing w:before="56" w:after="0"/>
      <w:ind w:start="56" w:end="56"/>
    </w:pPr>
    <w:rPr>
      <w:sz w:val="20"/>
      <w:szCs w:val="20"/>
    </w:rPr>
  </w:style>
  <w:style w:type="paragraph" w:styleId="WW-additional-info-title">
    <w:name w:val="WW-additional-info-title"/>
    <w:qFormat/>
    <w:pPr>
      <w:widowControl/>
      <w:suppressAutoHyphens w:val="true"/>
      <w:overflowPunct w:val="fals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overflowPunct w:val="fals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FrameContentsuser">
    <w:name w:val="Frame Contents (user)"/>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numbering" w:styleId="Bullet">
    <w:name w:val="Bullet •"/>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an4.135/en/sujato"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https://suttacentral.net/" TargetMode="External"/><Relationship Id="rId28" Type="http://schemas.openxmlformats.org/officeDocument/2006/relationships/hyperlink" Target="https://suttacentral.net/mil3.7.2" TargetMode="External"/><Relationship Id="rId29" Type="http://schemas.openxmlformats.org/officeDocument/2006/relationships/hyperlink" Target="https://suttacentral.net/ja382" TargetMode="External"/><Relationship Id="rId30" Type="http://schemas.openxmlformats.org/officeDocument/2006/relationships/hyperlink" Target="https://suttacentral.net/ja190" TargetMode="External"/><Relationship Id="rId31" Type="http://schemas.openxmlformats.org/officeDocument/2006/relationships/footnotes" Target="footnotes.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8476</TotalTime>
  <Application>LibreOffice/25.2.5.2$Windows_X86_64 LibreOffice_project/03d19516eb2e1dd5d4ccd751a0d6f35f35e08022</Application>
  <AppVersion>15.0000</AppVersion>
  <Pages>75</Pages>
  <Words>32600</Words>
  <Characters>157660</Characters>
  <CharactersWithSpaces>190080</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2025-10-24T14:02:43Z</dcterms:modified>
  <cp:revision>993</cp:revision>
  <dc:subject/>
  <dc:title/>
</cp:coreProperties>
</file>

<file path=docProps/custom.xml><?xml version="1.0" encoding="utf-8"?>
<Properties xmlns="http://schemas.openxmlformats.org/officeDocument/2006/custom-properties" xmlns:vt="http://schemas.openxmlformats.org/officeDocument/2006/docPropsVTypes"/>
</file>