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bidi w:val="0"/>
        <w:jc w:val="start"/>
        <w:rPr/>
      </w:pPr>
      <w:r>
        <w:rPr/>
        <w:t>Journey to the Heart of the Lotus:</w:t>
      </w:r>
    </w:p>
    <w:p>
      <w:pPr>
        <w:pStyle w:val="WW-Subtitle"/>
        <w:bidi w:val="0"/>
        <w:jc w:val="start"/>
        <w:rPr/>
      </w:pPr>
      <w:r>
        <w:rPr/>
        <w:t>Unlearning “Buddhist” Meditation</w:t>
      </w:r>
    </w:p>
    <w:p>
      <w:pPr>
        <w:pStyle w:val="WW-Author"/>
        <w:bidi w:val="0"/>
        <w:spacing w:before="567" w:after="0"/>
        <w:jc w:val="start"/>
        <w:rPr/>
      </w:pPr>
      <w:r>
        <w:rPr/>
        <w:t>Ajahn Brahm</w:t>
      </w:r>
      <w:r>
        <w:br w:type="page"/>
      </w:r>
    </w:p>
    <w:p>
      <w:pPr>
        <w:pStyle w:val="WW-Copyright"/>
        <w:bidi w:val="0"/>
        <w:spacing w:before="0" w:after="113"/>
        <w:jc w:val="start"/>
        <w:rPr/>
      </w:pPr>
      <w:r>
        <w:rPr/>
        <w:t>Journey to the Heart of the Lotus</w:t>
        <w:br/>
        <w:t>Unlearning “Buddhist” Meditation</w:t>
        <w:br/>
        <w:t>Ajahn Brahm</w:t>
      </w:r>
    </w:p>
    <w:p>
      <w:pPr>
        <w:pStyle w:val="WW-Copyright"/>
        <w:bidi w:val="0"/>
        <w:jc w:val="start"/>
        <w:rPr/>
      </w:pPr>
      <w:r>
        <w:rPr/>
        <w:t>This first edition published in 2024 by Wisdom &amp; Wonders Books.</w:t>
      </w:r>
    </w:p>
    <w:p>
      <w:pPr>
        <w:pStyle w:val="WW-Copyright"/>
        <w:bidi w:val="0"/>
        <w:jc w:val="start"/>
        <w:rPr/>
      </w:pPr>
      <w:r>
        <w:rPr/>
        <w:t>Creative Commons Zero (CC0 1.0 Universal).</w:t>
      </w:r>
    </w:p>
    <w:p>
      <w:pPr>
        <w:pStyle w:val="WW-Copyright"/>
        <w:bidi w:val="0"/>
        <w:jc w:val="start"/>
        <w:rPr/>
      </w:pPr>
      <w:r>
        <w:rPr/>
        <w:t>The author Ajahn Brahm has waived all copyright and related or neighbouring rights to Journey to the Heart of the Lotus and dedicates it to the public domain.</w:t>
      </w:r>
    </w:p>
    <w:p>
      <w:pPr>
        <w:pStyle w:val="WW-Copyright"/>
        <w:bidi w:val="0"/>
        <w:jc w:val="start"/>
        <w:rPr/>
      </w:pPr>
      <w:r>
        <w:rPr/>
        <w:t>TV Sunrise cartoon: Image courtesy of Michael Leunig</w:t>
      </w:r>
    </w:p>
    <w:p>
      <w:pPr>
        <w:pStyle w:val="WW-Copyright"/>
        <w:bidi w:val="0"/>
        <w:jc w:val="start"/>
        <w:rPr/>
      </w:pPr>
      <w:r>
        <w:rPr/>
        <w:t xml:space="preserve">Find more information on Ajahn Brahm at </w:t>
      </w:r>
      <w:hyperlink r:id="rId2">
        <w:r>
          <w:rPr>
            <w:rStyle w:val="Hyperlink"/>
          </w:rPr>
          <w:t>bswa.org</w:t>
        </w:r>
      </w:hyperlink>
      <w:r>
        <w:rPr/>
        <w:t xml:space="preserve"> </w:t>
      </w:r>
    </w:p>
    <w:p>
      <w:pPr>
        <w:pStyle w:val="WW-Copyright"/>
        <w:bidi w:val="0"/>
        <w:jc w:val="start"/>
        <w:rPr/>
      </w:pPr>
      <w:r>
        <w:rPr/>
        <w:t xml:space="preserve">Watch a video about the monastery where Ajahn Brahm resides at </w:t>
      </w:r>
      <w:hyperlink r:id="rId3">
        <w:r>
          <w:rPr>
            <w:rStyle w:val="Hyperlink"/>
          </w:rPr>
          <w:t>youtu.be/GOL5RTd-WDk</w:t>
        </w:r>
      </w:hyperlink>
    </w:p>
    <w:p>
      <w:pPr>
        <w:pStyle w:val="WW-Copyright"/>
        <w:bidi w:val="0"/>
        <w:jc w:val="start"/>
        <w:rPr/>
      </w:pPr>
      <w:r>
        <w:rPr/>
        <w:t>This is book is offered for free. Please do not sell this book.</w:t>
      </w:r>
    </w:p>
    <w:p>
      <w:pPr>
        <w:pStyle w:val="WW-Copyright"/>
        <w:bidi w:val="0"/>
        <w:jc w:val="start"/>
        <w:rPr/>
      </w:pPr>
      <w:r>
        <w:rPr/>
        <w:t xml:space="preserve">Also available to read online and for free download from </w:t>
      </w:r>
      <w:hyperlink r:id="rId4">
        <w:r>
          <w:rPr>
            <w:rStyle w:val="Hyperlink"/>
          </w:rPr>
          <w:t>wiswo.org/books/journey</w:t>
        </w:r>
      </w:hyperlink>
      <w:r>
        <w:br w:type="page"/>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numPr>
          <w:ilvl w:val="0"/>
          <w:numId w:val="1"/>
        </w:numPr>
        <w:bidi w:val="0"/>
        <w:ind w:hanging="0" w:start="0"/>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rStyle w:val="emphasis"/>
        </w:rPr>
        <w:t>Journey to the Heart of the Lotus</w:t>
      </w:r>
      <w:r>
        <w:rPr/>
        <w:t xml:space="preserve"> 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5">
        <w:r>
          <w:rPr>
            <w:rStyle w:val="Hyperlink"/>
          </w:rPr>
          <w:t>Dhp 276</w:t>
        </w:r>
      </w:hyperlink>
      <w:r>
        <w:br w:type="page"/>
      </w:r>
    </w:p>
    <w:p>
      <w:pPr>
        <w:pStyle w:val="WW-Chapter"/>
        <w:numPr>
          <w:ilvl w:val="0"/>
          <w:numId w:val="1"/>
        </w:numPr>
        <w:bidi w:val="0"/>
        <w:spacing w:before="0" w:after="0"/>
        <w:rPr/>
      </w:pPr>
      <w:r>
        <w:rPr/>
        <w:t>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6">
        <w:r>
          <w:rPr>
            <w:rStyle w:val="Hyperlink"/>
          </w:rPr>
          <w:t>Dhp 182</w:t>
        </w:r>
      </w:hyperlink>
    </w:p>
    <w:p>
      <w:pPr>
        <w:pStyle w:val="WW-Chap-Section01"/>
        <w:bidi w:val="0"/>
        <w:rPr/>
      </w:pPr>
      <w:r>
        <w:rPr/>
        <w:t xml:space="preserve">A Taste of Happiness </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 ‘Right Effort’.</w:t>
      </w:r>
    </w:p>
    <w:p>
      <w:pPr>
        <w:pStyle w:val="WW-paragraph"/>
        <w:bidi w:val="0"/>
        <w:jc w:val="start"/>
        <w:rPr/>
      </w:pPr>
      <w:r>
        <w:rPr/>
        <w:t xml:space="preserve">By understanding that </w:t>
      </w:r>
      <w:r>
        <w:rPr>
          <w:rStyle w:val="emphasi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Blockquote"/>
        <w:bidi w:val="0"/>
        <w:jc w:val="start"/>
        <w:rPr/>
      </w:pPr>
      <w:r>
        <w:rPr/>
        <w:t>When is the most important time?</w:t>
        <w:br/>
        <w:t>Who is the most important person?</w:t>
        <w:b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Blockquote"/>
        <w:bidi w:val="0"/>
        <w:jc w:val="start"/>
        <w:rPr/>
      </w:pPr>
      <w:r>
        <w:rPr/>
        <w:t>When is the most important time?</w:t>
        <w:br/>
        <w:t>Now.</w:t>
      </w:r>
    </w:p>
    <w:p>
      <w:pPr>
        <w:pStyle w:val="WW-Blockquote"/>
        <w:bidi w:val="0"/>
        <w:jc w:val="start"/>
        <w:rPr/>
      </w:pPr>
      <w:r>
        <w:rPr/>
        <w:t>What’s the most important thing?</w:t>
        <w:br/>
        <w:t>It’s what’s in front of you right now. Your mind.</w:t>
      </w:r>
    </w:p>
    <w:p>
      <w:pPr>
        <w:pStyle w:val="WW-Blockquote"/>
        <w:bidi w:val="0"/>
        <w:jc w:val="start"/>
        <w:rPr/>
      </w:pPr>
      <w:r>
        <w:rPr/>
        <w:t xml:space="preserve">What’s the most important thing to do? </w:t>
        <w:b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Chapter"/>
        <w:numPr>
          <w:ilvl w:val="0"/>
          <w:numId w:val="1"/>
        </w:numPr>
        <w:bidi w:val="0"/>
        <w:rPr/>
      </w:pPr>
      <w:r>
        <w:rPr/>
        <w:t>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w:t>
      </w:r>
      <w:r>
        <w:rPr>
          <w:rStyle w:val="Hyperlink"/>
        </w:rPr>
        <w:fldChar w:fldCharType="end"/>
      </w:r>
      <w:r>
        <w:rPr>
          <w:rStyle w:val="Hyperlink"/>
        </w:rPr>
        <w:t>9.1–9.4</w:t>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bidi w:val="0"/>
        <w:jc w:val="start"/>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bidi w:val="0"/>
        <w:jc w:val="start"/>
        <w:rPr/>
      </w:pPr>
      <w:r>
        <w:rPr/>
        <w:t>Now, that is what you call meditation!</w:t>
      </w:r>
    </w:p>
    <w:p>
      <w:pPr>
        <w:pStyle w:val="WW-paragraph"/>
        <w:bidi w:val="0"/>
        <w:jc w:val="start"/>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Blockquote"/>
        <w:bidi w:val="0"/>
        <w:jc w:val="start"/>
        <w:rPr/>
      </w:pPr>
      <w:r>
        <w:rPr/>
        <w:t>Does my body feel more relaxed?</w:t>
        <w:br/>
        <w:t>Am I more kind?</w:t>
        <w:b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Chapter"/>
        <w:numPr>
          <w:ilvl w:val="0"/>
          <w:numId w:val="1"/>
        </w:numPr>
        <w:bidi w:val="0"/>
        <w:spacing w:before="0" w:after="0"/>
        <w:ind w:hanging="0" w:start="0"/>
        <w:rPr/>
      </w:pPr>
      <w:r>
        <w:rPr/>
        <w:t>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7">
        <w:r>
          <w:rPr>
            <w:rStyle w:val="Hyperlink"/>
          </w:rPr>
          <w:t>AN 5.29</w:t>
        </w:r>
      </w:hyperlink>
      <w:r>
        <w:br w:type="page"/>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8">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Chapter"/>
        <w:bidi w:val="0"/>
        <w:ind w:hanging="0" w:start="0"/>
        <w:rPr/>
      </w:pPr>
      <w:r>
        <w:rPr/>
        <w:t>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w:t>
      </w:r>
      <w:r>
        <w:rPr>
          <w:rStyle w:val="Hyperlink"/>
        </w:rPr>
        <w:fldChar w:fldCharType="end"/>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 Down Meditation</w:t>
      </w:r>
    </w:p>
    <w:p>
      <w:pPr>
        <w:pStyle w:val="WW-paragraph"/>
        <w:rPr/>
      </w:pPr>
      <w:r>
        <w:rPr/>
        <w:t>We’ve talked about sitting meditation, walking meditation, and eating meditation. How about lying down meditation?</w:t>
      </w:r>
    </w:p>
    <w:p>
      <w:pPr>
        <w:pStyle w:val="WW-paragraph"/>
        <w:rPr/>
      </w:pPr>
      <w:r>
        <w:rPr/>
        <w:t>When some people get sick, they find it hard to sit or walk. Does that mean they can’t meditate? Of course not! Lying 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 xml:space="preserve">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w:t>
      </w:r>
      <w:r>
        <w:rPr>
          <w:rStyle w:val="pali"/>
        </w:rPr>
        <w:t>kamma</w:t>
      </w:r>
      <w:r>
        <w:rPr/>
        <w:t>,”</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rStyle w:val="emphasis"/>
        </w:rPr>
        <w:t>Emperor’s Three Questions</w:t>
      </w:r>
      <w:r>
        <w:rPr/>
        <w:t>. I may have asked myself:</w:t>
      </w:r>
    </w:p>
    <w:p>
      <w:pPr>
        <w:pStyle w:val="WW-Blockquote"/>
        <w:rPr/>
      </w:pPr>
      <w:r>
        <w:rPr/>
        <w:t>What’s the most important time?</w:t>
        <w:br/>
        <w:t>Now.</w:t>
      </w:r>
    </w:p>
    <w:p>
      <w:pPr>
        <w:pStyle w:val="WW-Blockquote"/>
        <w:rPr/>
      </w:pPr>
      <w:r>
        <w:rPr/>
        <w:t>What am I aware of right now?</w:t>
        <w:br/>
        <w:t>A yucky fever, a body with no energy.</w:t>
      </w:r>
    </w:p>
    <w:p>
      <w:pPr>
        <w:pStyle w:val="WW-Blockquote"/>
        <w:rPr/>
      </w:pPr>
      <w:r>
        <w:rPr/>
        <w:t>What’s the most important thing to do?</w:t>
        <w:b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Chapter"/>
        <w:bidi w:val="0"/>
        <w:ind w:hanging="0" w:start="0"/>
        <w:rPr/>
      </w:pPr>
      <w:r>
        <w:rPr/>
        <w:t>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w:t>
      </w:r>
      <w:r>
        <w:rPr>
          <w:rStyle w:val="Hyperlink"/>
        </w:rPr>
        <w:fldChar w:fldCharType="end"/>
      </w:r>
      <w:r>
        <w:rPr>
          <w:rStyle w:val="Hyperlink"/>
        </w:rPr>
        <w:t>17.1</w:t>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w:t>
      </w:r>
      <w:r>
        <w:rPr>
          <w:rStyle w:val="bolden"/>
        </w:rPr>
        <w:t>kindfulness</w:t>
      </w:r>
      <w:r>
        <w:rPr/>
        <w:t>’.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in medical fields, so we haven’t got the language to describe the feelings we’re experiencing in our body, but it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paragraph"/>
        <w:rPr/>
      </w:pPr>
      <w:r>
        <w:rPr/>
        <w:t xml:space="preserve">Look at my finger. 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The 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see what you perceive your own mind to be.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Chapter"/>
        <w:bidi w:val="0"/>
        <w:ind w:hanging="0" w:start="0"/>
        <w:rPr/>
      </w:pPr>
      <w:r>
        <w:rPr/>
        <w:t>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w:t>
      </w:r>
      <w:r>
        <w:rPr>
          <w:rStyle w:val="Hyperlink"/>
        </w:rPr>
        <w:fldChar w:fldCharType="end"/>
      </w:r>
      <w:r>
        <w:rPr>
          <w:rStyle w:val="Hyperlink"/>
        </w:rPr>
        <w:t>8.1</w:t>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b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The bliss of the second jhāna is the bliss of perfect stillness. The Buddha calls it </w:t>
      </w:r>
      <w:r>
        <w:rPr>
          <w:rStyle w:val="pali"/>
        </w:rPr>
        <w:t>samādhija</w:t>
      </w:r>
      <w:r>
        <w:rPr>
          <w:lang w:val="en-GB"/>
        </w:rPr>
        <w:t xml:space="preserve"> (</w:t>
      </w:r>
      <w:r>
        <w:rPr/>
        <w:t xml:space="preserve">born from stillness). That’s where your will has vanished. You can’t move. You’re incredibly stable. The quality of the bliss in the third jhāna is called </w:t>
      </w:r>
      <w:r>
        <w:rPr>
          <w:rStyle w:val="pali"/>
        </w:rPr>
        <w:t>sukha</w:t>
      </w:r>
      <w:r>
        <w:rPr/>
        <w:t>, which is a finer type of bliss.</w:t>
      </w:r>
    </w:p>
    <w:p>
      <w:pPr>
        <w:pStyle w:val="WW-paragraph"/>
        <w:rPr/>
      </w:pPr>
      <w:r>
        <w:rPr/>
        <w:t>When you get into jhāna, you may think, “Wow, this is it. There’s nothing higher than this,” but there are other kinds of bliss to come. It’s like climbing what you think is the biggest mountain in the world, but once you’re at the top of it, you can see there’s another one that’s even higher.</w:t>
      </w:r>
    </w:p>
    <w:p>
      <w:pPr>
        <w:pStyle w:val="WW-paragraph"/>
        <w:rPr/>
      </w:pPr>
      <w:r>
        <w:rPr/>
        <w:t>When you go inside the second jhāna, you find the third jhāna right in the middle. And right in the middle of the third jhāna, you find the fourth. The lotus is opening up, petal by petal.</w:t>
      </w:r>
    </w:p>
    <w:p>
      <w:pPr>
        <w:pStyle w:val="WW-paragraph"/>
        <w:rPr/>
      </w:pPr>
      <w:r>
        <w:rPr/>
        <w:t xml:space="preserve">It’s amazing what you find inside. In that fourth jhāna is contentment, but in my opinion, that definition doesn’t seem to meet the bliss of such stillness. The Buddha calls it </w:t>
      </w:r>
      <w:r>
        <w:rPr>
          <w:rStyle w:val="pali"/>
        </w:rPr>
        <w:t>upekkhāsukha</w:t>
      </w:r>
      <w:r>
        <w:rPr/>
        <w:t>, an even more refined bliss. It’s the perfection of mindfulness. The mindfulness in the fourth jhāna is the best mindfulness you can ever experience.</w:t>
      </w:r>
    </w:p>
    <w:p>
      <w:pPr>
        <w:pStyle w:val="WW-Chap-Section01"/>
        <w:bidi w:val="0"/>
        <w:rPr/>
      </w:pPr>
      <w:r>
        <w:rPr/>
        <w:t>Formless Attainments</w:t>
      </w:r>
    </w:p>
    <w:p>
      <w:pPr>
        <w:pStyle w:val="WW-paragraph"/>
        <w:rPr/>
      </w:pPr>
      <w:r>
        <w:rPr/>
        <w:t xml:space="preserve">After those four jhānas, we have </w:t>
      </w:r>
      <w:r>
        <w:rPr>
          <w:rStyle w:val="pali"/>
        </w:rPr>
        <w:t>arūpasamāpatti</w:t>
      </w:r>
      <w:r>
        <w:rPr>
          <w:rStyle w:val="FootnoteReference"/>
        </w:rPr>
        <w:footnoteReference w:id="18"/>
      </w:r>
      <w:r>
        <w:rPr/>
        <w:t xml:space="preserve"> or formless attainments. These formless states are where the mind itself is starting to vanish.</w:t>
      </w:r>
    </w:p>
    <w:p>
      <w:pPr>
        <w:pStyle w:val="WW-paragraph"/>
        <w:rPr/>
      </w:pPr>
      <w:r>
        <w:rPr/>
        <w:t xml:space="preserve">Your body is already gone by the fourth jhāna, but now your mind is vanishing. Even in the second jhāna, you realise that part of your sense of self called ‘will’ is gone. In the </w:t>
      </w:r>
      <w:r>
        <w:rPr>
          <w:rStyle w:val="pali"/>
        </w:rPr>
        <w:t>arūpasamāpatti</w:t>
      </w:r>
      <w:r>
        <w:rPr/>
        <w:t>, what happens is that your sense of knowing also starts to vanish.</w:t>
      </w:r>
    </w:p>
    <w:p>
      <w:pPr>
        <w:pStyle w:val="WW-paragraph"/>
        <w:rPr/>
      </w:pPr>
      <w:r>
        <w:rPr/>
        <w:t xml:space="preserve">You go stage by stage until you’re in the fourth </w:t>
      </w:r>
      <w:r>
        <w:rPr>
          <w:rStyle w:val="pali"/>
        </w:rPr>
        <w:t>arūpasamāpatti</w:t>
      </w:r>
      <w:r>
        <w:rPr/>
        <w:t>—neither perception nor non-perception. What on earth does that mean? Are we aware or are we not?</w:t>
      </w:r>
    </w:p>
    <w:p>
      <w:pPr>
        <w:pStyle w:val="WW-paragraph"/>
        <w:rPr/>
      </w:pPr>
      <w:r>
        <w:rPr/>
        <w:t>The point is: our sense of knowing has almost stopped. From this far end, you’re not knowing anything at all. Everything which is perceived or experienced ceases. The mind stops though it will start again afterwards. But it stops for a while. Now you know that the mind can’t be yours. You know that this world isn’t you. I can explain that to you, and psychologists can do experiments to prove that, but when you experience it for yourself, it’s something totally different.</w:t>
      </w:r>
    </w:p>
    <w:p>
      <w:pPr>
        <w:pStyle w:val="WW-paragraph"/>
        <w:rPr/>
      </w:pPr>
      <w:r>
        <w:rPr/>
        <w:t>Those experiences give you the data to get real insight into the nature of reality.</w:t>
      </w:r>
    </w:p>
    <w:p>
      <w:pPr>
        <w:pStyle w:val="WW-Chapter"/>
        <w:bidi w:val="0"/>
        <w:ind w:hanging="0" w:start="0"/>
        <w:rPr/>
      </w:pPr>
      <w:r>
        <w:rPr/>
        <w:t>Insight</w:t>
      </w:r>
    </w:p>
    <w:p>
      <w:pPr>
        <w:pStyle w:val="WW-epigram"/>
        <w:rPr/>
      </w:pPr>
      <w:r>
        <w:rPr/>
        <w:t>There are two conditions for the arising of right view:</w:t>
        <w:br/>
        <w:t>the words of another</w:t>
        <w:br/>
        <w:t>and attention to causes.</w:t>
      </w:r>
    </w:p>
    <w:p>
      <w:pPr>
        <w:pStyle w:val="WW-epigram-cite"/>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w:t>
      </w:r>
      <w:r>
        <w:rPr>
          <w:rStyle w:val="Hyperlink"/>
        </w:rPr>
        <w:fldChar w:fldCharType="end"/>
      </w:r>
      <w:r>
        <w:rPr>
          <w:rStyle w:val="Hyperlink"/>
        </w:rPr>
        <w:t>13.2–13.3</w:t>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rStyle w:val="emphasis"/>
        </w:rPr>
        <w:t>Oṃ</w:t>
      </w:r>
      <w:r>
        <w:rPr/>
        <w:t>’.”</w:t>
      </w:r>
    </w:p>
    <w:p>
      <w:pPr>
        <w:pStyle w:val="WW-paragraph"/>
        <w:rPr/>
      </w:pPr>
      <w:r>
        <w:rPr/>
        <w:t>With cameras charged up to record what happened, all the professors, lecturers and researchers started chanting, “</w:t>
      </w:r>
      <w:r>
        <w:rPr>
          <w:rStyle w:val="emphasis"/>
        </w:rPr>
        <w:t>Oṃ… Oṃ… Oṃ…</w:t>
      </w:r>
      <w:r>
        <w:rPr/>
        <w:t>” Suddenly, the flowerpot rose into the air! It worked! The cameras caught it; there was evidence to show that the pot had actually lifted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rStyle w:val="emphasi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Blockquote"/>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rStyle w:val="bolden"/>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9">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was always street light,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 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Chapter"/>
        <w:bidi w:val="0"/>
        <w:ind w:hanging="0" w:start="0"/>
        <w:rPr/>
      </w:pPr>
      <w:r>
        <w:rPr/>
        <w:t>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0">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 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Nālāgiri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Nālāgiri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Nālāgiri. They got Nālāgiri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there were many monks with the Buddha most of whom jumped inside the houses on the sides of the street. Only Ānanda</w:t>
      </w:r>
      <w:r>
        <w:rPr>
          <w:rStyle w:val="FootnoteReference"/>
        </w:rPr>
        <w:footnoteReference w:id="22"/>
      </w:r>
      <w:r>
        <w:rPr/>
        <w:t>,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Nālāgiri by the trunk and thrown him over the Ganges River a couple of hundred miles away, but that wasn’t what the Buddha did. The Buddha gave this drunken mad elephant loving-kindness, and Nālāgiri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Nālāgiri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Chapter"/>
        <w:bidi w:val="0"/>
        <w:ind w:hanging="0" w:start="0"/>
        <w:rPr/>
      </w:pPr>
      <w:r>
        <w:rPr/>
        <w:t>Into The Heart</w:t>
      </w:r>
    </w:p>
    <w:p>
      <w:pPr>
        <w:pStyle w:val="WW-epigram"/>
        <w:rPr/>
      </w:pPr>
      <w:r>
        <w:rPr/>
        <w:t>No jhāna for one without wisdom,</w:t>
        <w:br/>
        <w:t>No wisdom for one without jhāna</w:t>
      </w:r>
    </w:p>
    <w:p>
      <w:pPr>
        <w:pStyle w:val="WW-epigram-cite"/>
        <w:rPr/>
      </w:pPr>
      <w:r>
        <w:rPr/>
        <w:t>Dhammapada</w:t>
        <w:br/>
      </w:r>
      <w:hyperlink r:id="rId11">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3"/>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my bowl, we weren’t supposed to talk to them. So, on that day I just blasted them with loving-kindness, and I thought they didn’t know how lucky they were to be able to give a lump of rice to an </w:t>
      </w:r>
      <w:r>
        <w:rPr>
          <w:rStyle w:val="pali"/>
        </w:rPr>
        <w:t>arahant</w:t>
      </w:r>
      <w:r>
        <w:rPr/>
        <w:t>!</w:t>
      </w:r>
    </w:p>
    <w:p>
      <w:pPr>
        <w:pStyle w:val="WW-paragraph"/>
        <w:rPr/>
      </w:pPr>
      <w:r>
        <w:rPr/>
        <w:t>For our one meal of the day, we’d usually have one pot of curry to go with the rice. It was always rotten fish curry</w:t>
      </w:r>
      <w:r>
        <w:rPr>
          <w:rStyle w:val="FootnoteReference"/>
        </w:rPr>
        <w:footnoteReference w:id="24"/>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there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they’re like gossamer, you can almost see through to the next layer of petals. They’re very refined, out of this world with their beauty and fragrance, and they give so much joy.</w:t>
      </w:r>
    </w:p>
    <w:p>
      <w:pPr>
        <w:pStyle w:val="WW-paragraph"/>
        <w:rPr/>
      </w:pPr>
      <w:r>
        <w:rPr/>
        <w:t xml:space="preserve">Many of you may know that in the Vajrayāna tradition, there is a chant </w:t>
      </w:r>
      <w:r>
        <w:rPr>
          <w:rStyle w:val="emphasis"/>
        </w:rPr>
        <w:t>‘Oṃ maṇi padme hūṃ.’</w:t>
      </w:r>
      <w:r>
        <w:rPr/>
        <w:t xml:space="preserve"> </w:t>
      </w:r>
      <w:r>
        <w:rPr>
          <w:rStyle w:val="emphasis"/>
        </w:rPr>
        <w:t>Oṃ</w:t>
      </w:r>
      <w:r>
        <w:rPr/>
        <w:t xml:space="preserve"> is like </w:t>
      </w:r>
      <w:r>
        <w:rPr>
          <w:rStyle w:val="pali"/>
        </w:rPr>
        <w:t>namo</w:t>
      </w:r>
      <w:r>
        <w:rPr/>
        <w:t xml:space="preserve">, meaning ‘homage to’, and </w:t>
      </w:r>
      <w:r>
        <w:rPr>
          <w:rStyle w:val="emphasis"/>
        </w:rPr>
        <w:t>hūṃ</w:t>
      </w:r>
      <w:r>
        <w:rPr/>
        <w:t xml:space="preserve"> is like </w:t>
      </w:r>
      <w:r>
        <w:rPr>
          <w:rStyle w:val="pali"/>
        </w:rPr>
        <w:t>sadhu</w:t>
      </w:r>
      <w:r>
        <w:rPr/>
        <w:t xml:space="preserve">, meaning ‘well said’ or ‘excellent’. Both express reverence to </w:t>
      </w:r>
      <w:r>
        <w:rPr>
          <w:rStyle w:val="emphasis"/>
        </w:rPr>
        <w:t>maṇi</w:t>
      </w:r>
      <w:r>
        <w:rPr/>
        <w:t xml:space="preserve">, which is jewel, and </w:t>
      </w:r>
      <w:r>
        <w:rPr>
          <w:rStyle w:val="emphasi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b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was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5"/>
      </w:r>
      <w:r>
        <w:rPr/>
        <w:t xml:space="preserve"> did that to our Buddha. The Buddha did that to his disciples, like Ānanda and Sāriputta</w:t>
      </w:r>
      <w:r>
        <w:rPr>
          <w:rStyle w:val="FootnoteReference"/>
        </w:rPr>
        <w:footnoteReference w:id="26"/>
      </w:r>
      <w:r>
        <w:rPr/>
        <w:t xml:space="preserve">, and they did that to their disciples. Eventually the teaching was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7"/>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8"/>
      </w:r>
      <w:r>
        <w:rPr/>
        <w:t xml:space="preserve"> The </w:t>
      </w:r>
      <w:r>
        <w:rPr>
          <w:rStyle w:val="pali"/>
        </w:rPr>
        <w:t>saññā</w:t>
      </w:r>
      <w:r>
        <w:rPr/>
        <w:t>?</w:t>
      </w:r>
      <w:r>
        <w:rPr>
          <w:rStyle w:val="FootnoteReference"/>
        </w:rPr>
        <w:footnoteReference w:id="29"/>
      </w:r>
      <w:r>
        <w:rPr/>
        <w:t xml:space="preserve"> The </w:t>
      </w:r>
      <w:r>
        <w:rPr>
          <w:rStyle w:val="pali"/>
        </w:rPr>
        <w:t>saṅkhāra</w:t>
      </w:r>
      <w:r>
        <w:rPr/>
        <w:t>?</w:t>
      </w:r>
      <w:r>
        <w:rPr>
          <w:rStyle w:val="FootnoteReference"/>
        </w:rPr>
        <w:footnoteReference w:id="30"/>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Chapter"/>
        <w:bidi w:val="0"/>
        <w:ind w:hanging="0" w:start="0"/>
        <w:rPr/>
      </w:pPr>
      <w:r>
        <w:rPr/>
        <w:t>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2">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or in ideas. Just give the mind the freedom to explore.</w:t>
      </w:r>
    </w:p>
    <w:p>
      <w:pPr>
        <w:pStyle w:val="WW-paragraph"/>
        <w:rPr/>
      </w:pPr>
      <w:r>
        <w:rPr/>
        <w:t>What is this?</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then sometimes his wife used it to hit him on the head. That’s not a very good use, but nevertheless it was an example of somebody who’d never been taught anything being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Ānanda had heard so many of the Buddha’s talks that after the Buddha passed away, when the other members of the Saṅgha decided to have a meeting to collect all the teachings of the Buddha, they wanted Ānanda to be part of it even though he wasn’t fully enlightened.</w:t>
      </w:r>
    </w:p>
    <w:p>
      <w:pPr>
        <w:pStyle w:val="WW-paragraph"/>
        <w:rPr/>
      </w:pPr>
      <w:r>
        <w:rPr/>
        <w:t xml:space="preserve">So he was invited to join in the meeting with the other four hundred and ninety-nine fully enlightened </w:t>
      </w:r>
      <w:r>
        <w:rPr>
          <w:rStyle w:val="pali"/>
        </w:rPr>
        <w:t>arahants</w:t>
      </w:r>
      <w:r>
        <w:rPr/>
        <w:t>. Imagine how Ānanda, merely a stream-winner, must have felt.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1"/>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2"/>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t>Snp 2.8</w:t>
      </w:r>
    </w:p>
    <w:p>
      <w:pPr>
        <w:pStyle w:val="WW-Chapter"/>
        <w:ind w:hanging="0" w:start="0"/>
        <w:rPr/>
      </w:pPr>
      <w:r>
        <w:rPr/>
        <w:t>Notes</w:t>
      </w:r>
    </w:p>
    <w:p>
      <w:pPr>
        <w:pStyle w:val="WW-Chap-Section01"/>
        <w:rPr/>
      </w:pPr>
      <w:r>
        <w:rPr/>
        <w:t>People, Places &amp; Treatise</w:t>
      </w:r>
    </w:p>
    <w:tbl>
      <w:tblPr>
        <w:tblW w:w="5000" w:type="pct"/>
        <w:jc w:val="start"/>
        <w:tblInd w:w="0" w:type="dxa"/>
        <w:tblLayout w:type="fixed"/>
        <w:tblCellMar>
          <w:top w:w="28" w:type="dxa"/>
          <w:start w:w="28" w:type="dxa"/>
          <w:bottom w:w="28" w:type="dxa"/>
          <w:end w:w="28" w:type="dxa"/>
        </w:tblCellMar>
      </w:tblPr>
      <w:tblGrid>
        <w:gridCol w:w="2888"/>
        <w:gridCol w:w="6749"/>
      </w:tblGrid>
      <w:tr>
        <w:trPr/>
        <w:tc>
          <w:tcPr>
            <w:tcW w:w="2888" w:type="dxa"/>
            <w:tcBorders>
              <w:top w:val="single" w:sz="2" w:space="0" w:color="069A2E"/>
              <w:start w:val="single" w:sz="2" w:space="0" w:color="069A2E"/>
              <w:bottom w:val="single" w:sz="2" w:space="0" w:color="069A2E"/>
            </w:tcBorders>
          </w:tcPr>
          <w:p>
            <w:pPr>
              <w:pStyle w:val="WW-paragraph"/>
              <w:bidi w:val="0"/>
              <w:spacing w:before="170" w:after="170"/>
              <w:rPr/>
            </w:pPr>
            <w:r>
              <w:rPr/>
              <w:t>Ajahn Chah:</w:t>
            </w:r>
          </w:p>
        </w:tc>
        <w:tc>
          <w:tcPr>
            <w:tcW w:w="6749" w:type="dxa"/>
            <w:tcBorders>
              <w:top w:val="single" w:sz="2" w:space="0" w:color="069A2E"/>
              <w:start w:val="single" w:sz="2" w:space="0" w:color="069A2E"/>
              <w:bottom w:val="single" w:sz="2" w:space="0" w:color="069A2E"/>
              <w:end w:val="single" w:sz="2" w:space="0" w:color="069A2E"/>
            </w:tcBorders>
          </w:tcPr>
          <w:p>
            <w:pPr>
              <w:pStyle w:val="WW-paragraph"/>
              <w:bidi w:val="0"/>
              <w:spacing w:before="170" w:after="170"/>
              <w:rPr/>
            </w:pPr>
            <w:r>
              <w:rPr/>
              <w:t>Phra Bodhiñāṇathera was a highly respected Buddhist monk in Thailand, and Ajahn Brahm’s teacher. He was instrumental in establishing Theravada Buddhism in the West.</w:t>
            </w:r>
          </w:p>
        </w:tc>
      </w:tr>
      <w:tr>
        <w:trPr/>
        <w:tc>
          <w:tcPr>
            <w:tcW w:w="2888" w:type="dxa"/>
            <w:tcBorders>
              <w:start w:val="single" w:sz="2" w:space="0" w:color="069A2E"/>
              <w:bottom w:val="single" w:sz="2" w:space="0" w:color="069A2E"/>
            </w:tcBorders>
          </w:tcPr>
          <w:p>
            <w:pPr>
              <w:pStyle w:val="WW-paragraph"/>
              <w:bidi w:val="0"/>
              <w:spacing w:before="170" w:after="170"/>
              <w:rPr/>
            </w:pPr>
            <w:r>
              <w:rPr/>
              <w:t>Ajahn Mun:</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a famous Thai Buddhist meditation monk. Along with his mentor, Ajahn Sao Kantasīlo, he established the Thai Forest Tradition, with emphasis on meditation, that subsequently spread throughout Thailand and abroad.</w:t>
            </w:r>
          </w:p>
        </w:tc>
      </w:tr>
      <w:tr>
        <w:trPr/>
        <w:tc>
          <w:tcPr>
            <w:tcW w:w="2888" w:type="dxa"/>
            <w:tcBorders>
              <w:start w:val="single" w:sz="2" w:space="0" w:color="069A2E"/>
              <w:bottom w:val="single" w:sz="2" w:space="0" w:color="069A2E"/>
            </w:tcBorders>
          </w:tcPr>
          <w:p>
            <w:pPr>
              <w:pStyle w:val="WW-paragraph"/>
              <w:bidi w:val="0"/>
              <w:spacing w:before="170" w:after="170"/>
              <w:rPr/>
            </w:pPr>
            <w:r>
              <w:rPr/>
              <w:t>Ānanda:</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the Buddha's cousin and attendant, renowned for his zealous devotion and for memorising the teachings.</w:t>
            </w:r>
          </w:p>
        </w:tc>
      </w:tr>
      <w:tr>
        <w:trPr/>
        <w:tc>
          <w:tcPr>
            <w:tcW w:w="2888" w:type="dxa"/>
            <w:tcBorders>
              <w:start w:val="single" w:sz="2" w:space="0" w:color="069A2E"/>
              <w:bottom w:val="single" w:sz="2" w:space="0" w:color="069A2E"/>
            </w:tcBorders>
          </w:tcPr>
          <w:p>
            <w:pPr>
              <w:pStyle w:val="WW-paragraph"/>
              <w:bidi w:val="0"/>
              <w:spacing w:before="170" w:after="170"/>
              <w:rPr/>
            </w:pPr>
            <w:r>
              <w:rPr/>
              <w:t>Bodhinyana Monastery</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a Buddhist forest monastery in the Darling Range, near the small town of Serpentine, Western Australia. Home to Ajahn Brahm and his Saṅgha.</w:t>
            </w:r>
          </w:p>
        </w:tc>
      </w:tr>
      <w:tr>
        <w:trPr/>
        <w:tc>
          <w:tcPr>
            <w:tcW w:w="2888" w:type="dxa"/>
            <w:tcBorders>
              <w:start w:val="single" w:sz="2" w:space="0" w:color="069A2E"/>
              <w:bottom w:val="single" w:sz="2" w:space="0" w:color="069A2E"/>
            </w:tcBorders>
          </w:tcPr>
          <w:p>
            <w:pPr>
              <w:pStyle w:val="WW-paragraph"/>
              <w:bidi w:val="0"/>
              <w:spacing w:before="170" w:after="170"/>
              <w:rPr/>
            </w:pPr>
            <w:r>
              <w:rPr/>
              <w:t>Brahmavaṁso:</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Ajahn Brahm’s full monastic name. ‘Brahmavaṁso’ means lineage of Brahma.</w:t>
            </w:r>
          </w:p>
        </w:tc>
      </w:tr>
      <w:tr>
        <w:trPr/>
        <w:tc>
          <w:tcPr>
            <w:tcW w:w="2888" w:type="dxa"/>
            <w:tcBorders>
              <w:start w:val="single" w:sz="2" w:space="0" w:color="069A2E"/>
              <w:bottom w:val="single" w:sz="2" w:space="0" w:color="069A2E"/>
            </w:tcBorders>
          </w:tcPr>
          <w:p>
            <w:pPr>
              <w:pStyle w:val="WW-paragraph"/>
              <w:bidi w:val="0"/>
              <w:spacing w:before="170" w:after="170"/>
              <w:rPr/>
            </w:pPr>
            <w:r>
              <w:rPr/>
              <w:t>Buddha Kassapa:</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one of the previous Buddhas mentioned in the Pali Canon. The word ‘Buddha’, meaning the Enlightened One, is usually applied to Buddha Gotama, the founder of Buddhism of today.</w:t>
            </w:r>
          </w:p>
        </w:tc>
      </w:tr>
      <w:tr>
        <w:trPr/>
        <w:tc>
          <w:tcPr>
            <w:tcW w:w="2888" w:type="dxa"/>
            <w:tcBorders>
              <w:start w:val="single" w:sz="2" w:space="0" w:color="069A2E"/>
              <w:bottom w:val="single" w:sz="2" w:space="0" w:color="069A2E"/>
            </w:tcBorders>
          </w:tcPr>
          <w:p>
            <w:pPr>
              <w:pStyle w:val="WW-paragraph"/>
              <w:bidi w:val="0"/>
              <w:spacing w:before="170" w:after="170"/>
              <w:rPr/>
            </w:pPr>
            <w:r>
              <w:rPr/>
              <w:t>Devadatta:</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lang w:bidi="th-TH"/>
              </w:rPr>
              <w:t>a monk, a close relative of the Buddha, who split the Saṅgha and attempted to overthrow the Buddha and have him murdered.</w:t>
            </w:r>
          </w:p>
        </w:tc>
      </w:tr>
      <w:tr>
        <w:trPr/>
        <w:tc>
          <w:tcPr>
            <w:tcW w:w="2888" w:type="dxa"/>
            <w:tcBorders>
              <w:start w:val="single" w:sz="2" w:space="0" w:color="069A2E"/>
              <w:bottom w:val="single" w:sz="2" w:space="0" w:color="069A2E"/>
            </w:tcBorders>
          </w:tcPr>
          <w:p>
            <w:pPr>
              <w:pStyle w:val="WW-paragraph"/>
              <w:bidi w:val="0"/>
              <w:spacing w:before="170" w:after="170"/>
              <w:rPr/>
            </w:pPr>
            <w:r>
              <w:rPr/>
              <w:t>Māra:</w:t>
            </w:r>
          </w:p>
        </w:tc>
        <w:tc>
          <w:tcPr>
            <w:tcW w:w="6749" w:type="dxa"/>
            <w:tcBorders>
              <w:start w:val="single" w:sz="2" w:space="0" w:color="069A2E"/>
              <w:bottom w:val="single" w:sz="2" w:space="0" w:color="069A2E"/>
              <w:end w:val="single" w:sz="2" w:space="0" w:color="069A2E"/>
            </w:tcBorders>
          </w:tcPr>
          <w:p>
            <w:pPr>
              <w:pStyle w:val="WW-paragraph"/>
              <w:bidi w:val="0"/>
              <w:spacing w:before="170" w:after="170"/>
              <w:rPr/>
            </w:pPr>
            <w:r>
              <w:rPr/>
              <w:t>generally regarded as the personification of Death, the Evil One, the Tempter.</w:t>
            </w:r>
          </w:p>
        </w:tc>
      </w:tr>
      <w:tr>
        <w:trPr/>
        <w:tc>
          <w:tcPr>
            <w:tcW w:w="2888" w:type="dxa"/>
            <w:tcBorders>
              <w:start w:val="single" w:sz="2" w:space="0" w:color="069A2E"/>
              <w:bottom w:val="single" w:sz="2" w:space="0" w:color="069A2E"/>
            </w:tcBorders>
          </w:tcPr>
          <w:p>
            <w:pPr>
              <w:pStyle w:val="WW-paragraph"/>
              <w:spacing w:before="170" w:after="170"/>
              <w:rPr/>
            </w:pPr>
            <w:r>
              <w:rPr/>
              <w:t>Paṭisambhidāmagga: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the Paṭisambhidāmagga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tc>
      </w:tr>
      <w:tr>
        <w:trPr/>
        <w:tc>
          <w:tcPr>
            <w:tcW w:w="2888" w:type="dxa"/>
            <w:tcBorders>
              <w:start w:val="single" w:sz="2" w:space="0" w:color="069A2E"/>
              <w:bottom w:val="single" w:sz="2" w:space="0" w:color="069A2E"/>
            </w:tcBorders>
          </w:tcPr>
          <w:p>
            <w:pPr>
              <w:pStyle w:val="WW-paragraph"/>
              <w:spacing w:before="170" w:after="170"/>
              <w:rPr/>
            </w:pPr>
            <w:r>
              <w:rPr/>
              <w:t>Sāriputta: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the Buddha’s foremost disciple in great wisdom.</w:t>
            </w:r>
          </w:p>
        </w:tc>
      </w:tr>
    </w:tbl>
    <w:p>
      <w:pPr>
        <w:pStyle w:val="WW-Chap-Section01"/>
        <w:bidi w:val="0"/>
        <w:rPr/>
      </w:pPr>
      <w:bookmarkStart w:id="0" w:name="ThreeQuestions"/>
      <w:bookmarkEnd w:id="0"/>
      <w:r>
        <w:rPr/>
        <w:t xml:space="preserve">Three questions </w:t>
        <w:br/>
        <w:t>by Leo Tolstoy</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 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 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ter"/>
        <w:ind w:hanging="0" w:start="0"/>
        <w:rPr/>
      </w:pPr>
      <w:r>
        <w:rPr/>
        <w:t>Glossary</w:t>
      </w:r>
    </w:p>
    <w:p>
      <w:pPr>
        <w:pStyle w:val="WW-Chap-Section01"/>
        <w:rPr/>
      </w:pPr>
      <w:r>
        <w:rPr/>
        <w:t>Pāli Terms</w:t>
      </w:r>
    </w:p>
    <w:tbl>
      <w:tblPr>
        <w:tblW w:w="5000" w:type="pct"/>
        <w:jc w:val="start"/>
        <w:tblInd w:w="0" w:type="dxa"/>
        <w:tblLayout w:type="fixed"/>
        <w:tblCellMar>
          <w:top w:w="28" w:type="dxa"/>
          <w:start w:w="28" w:type="dxa"/>
          <w:bottom w:w="28" w:type="dxa"/>
          <w:end w:w="28" w:type="dxa"/>
        </w:tblCellMar>
      </w:tblPr>
      <w:tblGrid>
        <w:gridCol w:w="2888"/>
        <w:gridCol w:w="6749"/>
      </w:tblGrid>
      <w:tr>
        <w:trPr/>
        <w:tc>
          <w:tcPr>
            <w:tcW w:w="2888" w:type="dxa"/>
            <w:tcBorders>
              <w:top w:val="single" w:sz="2" w:space="0" w:color="069A2E"/>
              <w:start w:val="single" w:sz="2" w:space="0" w:color="069A2E"/>
              <w:bottom w:val="single" w:sz="2" w:space="0" w:color="069A2E"/>
            </w:tcBorders>
          </w:tcPr>
          <w:p>
            <w:pPr>
              <w:pStyle w:val="WW-paragraph"/>
              <w:spacing w:before="170" w:after="170"/>
              <w:rPr/>
            </w:pPr>
            <w:r>
              <w:rPr>
                <w:rStyle w:val="pali"/>
                <w:lang w:bidi="th-TH"/>
              </w:rPr>
              <w:t>Arahant:</w:t>
            </w:r>
          </w:p>
        </w:tc>
        <w:tc>
          <w:tcPr>
            <w:tcW w:w="6749"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bidi="th-TH"/>
              </w:rPr>
              <w:t>awakened being. O</w:t>
            </w:r>
            <w:r>
              <w:rPr/>
              <w:t>ne who has gained insight into the true nature of existence.</w:t>
            </w:r>
          </w:p>
        </w:tc>
      </w:tr>
      <w:tr>
        <w:trPr/>
        <w:tc>
          <w:tcPr>
            <w:tcW w:w="2888" w:type="dxa"/>
            <w:tcBorders>
              <w:start w:val="single" w:sz="2" w:space="0" w:color="069A2E"/>
              <w:bottom w:val="single" w:sz="2" w:space="0" w:color="069A2E"/>
            </w:tcBorders>
          </w:tcPr>
          <w:p>
            <w:pPr>
              <w:pStyle w:val="WW-paragraph"/>
              <w:spacing w:before="170" w:after="170"/>
              <w:rPr/>
            </w:pPr>
            <w:r>
              <w:rPr>
                <w:rStyle w:val="pali"/>
                <w:lang w:bidi="th-TH"/>
              </w:rPr>
              <w:t>Arūpasamāpatti:</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w:t>
            </w:r>
            <w:r>
              <w:rPr>
                <w:lang w:bidi="th-TH"/>
              </w:rPr>
              <w:t>formless’ or ‘immaterial’ attainments</w:t>
            </w:r>
            <w:r>
              <w:rPr/>
              <w:t xml:space="preserve"> </w:t>
            </w:r>
          </w:p>
        </w:tc>
      </w:tr>
      <w:tr>
        <w:trPr/>
        <w:tc>
          <w:tcPr>
            <w:tcW w:w="2888" w:type="dxa"/>
            <w:tcBorders>
              <w:start w:val="single" w:sz="2" w:space="0" w:color="069A2E"/>
              <w:bottom w:val="single" w:sz="2" w:space="0" w:color="069A2E"/>
            </w:tcBorders>
          </w:tcPr>
          <w:p>
            <w:pPr>
              <w:pStyle w:val="WW-paragraph"/>
              <w:spacing w:before="170" w:after="170"/>
              <w:rPr/>
            </w:pPr>
            <w:r>
              <w:rPr>
                <w:rStyle w:val="pali"/>
              </w:rPr>
              <w:t>Bhikkhunī:</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a fully ordained Buddhist nun, an almswoman, a female mendicant.</w:t>
            </w:r>
          </w:p>
        </w:tc>
      </w:tr>
      <w:tr>
        <w:trPr/>
        <w:tc>
          <w:tcPr>
            <w:tcW w:w="2888" w:type="dxa"/>
            <w:tcBorders>
              <w:start w:val="single" w:sz="2" w:space="0" w:color="069A2E"/>
              <w:bottom w:val="single" w:sz="2" w:space="0" w:color="069A2E"/>
            </w:tcBorders>
          </w:tcPr>
          <w:p>
            <w:pPr>
              <w:pStyle w:val="WW-paragraph"/>
              <w:spacing w:before="170" w:after="170"/>
              <w:rPr/>
            </w:pPr>
            <w:r>
              <w:rPr/>
              <w:t>Dhamma: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tc>
      </w:tr>
      <w:tr>
        <w:trPr/>
        <w:tc>
          <w:tcPr>
            <w:tcW w:w="2888" w:type="dxa"/>
            <w:tcBorders>
              <w:start w:val="single" w:sz="2" w:space="0" w:color="069A2E"/>
              <w:bottom w:val="single" w:sz="2" w:space="0" w:color="069A2E"/>
            </w:tcBorders>
          </w:tcPr>
          <w:p>
            <w:pPr>
              <w:pStyle w:val="WW-paragraph"/>
              <w:spacing w:before="170" w:after="170"/>
              <w:rPr/>
            </w:pPr>
            <w:r>
              <w:rPr>
                <w:rStyle w:val="pali"/>
                <w:lang w:bidi="th-TH"/>
              </w:rPr>
              <w:t>Ekaggatā:</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 xml:space="preserve">unification or oneness of mind. </w:t>
            </w:r>
          </w:p>
        </w:tc>
      </w:tr>
      <w:tr>
        <w:trPr/>
        <w:tc>
          <w:tcPr>
            <w:tcW w:w="2888" w:type="dxa"/>
            <w:tcBorders>
              <w:start w:val="single" w:sz="2" w:space="0" w:color="069A2E"/>
              <w:bottom w:val="single" w:sz="2" w:space="0" w:color="069A2E"/>
            </w:tcBorders>
          </w:tcPr>
          <w:p>
            <w:pPr>
              <w:pStyle w:val="WW-paragraph"/>
              <w:spacing w:before="170" w:after="170"/>
              <w:rPr/>
            </w:pPr>
            <w:r>
              <w:rPr>
                <w:lang w:bidi="th-TH"/>
              </w:rPr>
              <w:t>Kamma: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 xml:space="preserve">here it refers to actions of moral significance which result in consequences in this life or future lives. </w:t>
            </w:r>
          </w:p>
        </w:tc>
      </w:tr>
      <w:tr>
        <w:trPr/>
        <w:tc>
          <w:tcPr>
            <w:tcW w:w="2888" w:type="dxa"/>
            <w:tcBorders>
              <w:start w:val="single" w:sz="2" w:space="0" w:color="069A2E"/>
              <w:bottom w:val="single" w:sz="2" w:space="0" w:color="069A2E"/>
            </w:tcBorders>
          </w:tcPr>
          <w:p>
            <w:pPr>
              <w:pStyle w:val="WW-paragraph"/>
              <w:spacing w:before="170" w:after="170"/>
              <w:rPr/>
            </w:pPr>
            <w:r>
              <w:rPr>
                <w:rStyle w:val="pali"/>
                <w:lang w:bidi="th-TH"/>
              </w:rPr>
              <w:t>Mettā:</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 xml:space="preserve">benevolence, loving-kindness, or friendliness. The cultivation of mettā is a form of Buddhist meditation. </w:t>
            </w:r>
          </w:p>
        </w:tc>
      </w:tr>
      <w:tr>
        <w:trPr/>
        <w:tc>
          <w:tcPr>
            <w:tcW w:w="2888" w:type="dxa"/>
            <w:tcBorders>
              <w:start w:val="single" w:sz="2" w:space="0" w:color="069A2E"/>
              <w:bottom w:val="single" w:sz="2" w:space="0" w:color="069A2E"/>
            </w:tcBorders>
          </w:tcPr>
          <w:p>
            <w:pPr>
              <w:pStyle w:val="WW-paragraph"/>
              <w:spacing w:before="170" w:after="170"/>
              <w:rPr/>
            </w:pPr>
            <w:r>
              <w:rPr>
                <w:rStyle w:val="pali"/>
              </w:rPr>
              <w:t>Nimitta: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a mental perception appearing before the entry to jhāna.</w:t>
            </w:r>
          </w:p>
        </w:tc>
      </w:tr>
      <w:tr>
        <w:trPr/>
        <w:tc>
          <w:tcPr>
            <w:tcW w:w="2888" w:type="dxa"/>
            <w:tcBorders>
              <w:start w:val="single" w:sz="2" w:space="0" w:color="069A2E"/>
              <w:bottom w:val="single" w:sz="2" w:space="0" w:color="069A2E"/>
            </w:tcBorders>
          </w:tcPr>
          <w:p>
            <w:pPr>
              <w:pStyle w:val="WW-paragraph"/>
              <w:spacing w:before="170" w:after="170"/>
              <w:rPr/>
            </w:pPr>
            <w:r>
              <w:rPr>
                <w:rStyle w:val="pali"/>
              </w:rPr>
              <w:t>Samādhi:</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perfect peace of mind; stability of mind; stillness of mind.</w:t>
            </w:r>
          </w:p>
        </w:tc>
      </w:tr>
      <w:tr>
        <w:trPr/>
        <w:tc>
          <w:tcPr>
            <w:tcW w:w="2888" w:type="dxa"/>
            <w:tcBorders>
              <w:start w:val="single" w:sz="2" w:space="0" w:color="069A2E"/>
              <w:bottom w:val="single" w:sz="2" w:space="0" w:color="069A2E"/>
            </w:tcBorders>
          </w:tcPr>
          <w:p>
            <w:pPr>
              <w:pStyle w:val="WW-paragraph"/>
              <w:spacing w:before="170" w:after="170"/>
              <w:rPr/>
            </w:pPr>
            <w:r>
              <w:rPr>
                <w:lang w:bidi="th-TH"/>
              </w:rPr>
              <w:t>Saṅgha: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lang w:bidi="th-TH"/>
              </w:rPr>
              <w:t xml:space="preserve">the Buddhist monastic order of monks and nuns. </w:t>
            </w:r>
          </w:p>
        </w:tc>
      </w:tr>
      <w:tr>
        <w:trPr/>
        <w:tc>
          <w:tcPr>
            <w:tcW w:w="2888" w:type="dxa"/>
            <w:tcBorders>
              <w:start w:val="single" w:sz="2" w:space="0" w:color="069A2E"/>
              <w:bottom w:val="single" w:sz="2" w:space="0" w:color="069A2E"/>
            </w:tcBorders>
          </w:tcPr>
          <w:p>
            <w:pPr>
              <w:pStyle w:val="WW-paragraph"/>
              <w:spacing w:before="170" w:after="170"/>
              <w:rPr/>
            </w:pPr>
            <w:r>
              <w:rPr>
                <w:rStyle w:val="pali"/>
              </w:rPr>
              <w:t>Saṅkhāra: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there are several sides of the application of this word. Here it refers to mental formation, one of the five aggregates.</w:t>
            </w:r>
          </w:p>
        </w:tc>
      </w:tr>
      <w:tr>
        <w:trPr/>
        <w:tc>
          <w:tcPr>
            <w:tcW w:w="2888" w:type="dxa"/>
            <w:tcBorders>
              <w:start w:val="single" w:sz="2" w:space="0" w:color="069A2E"/>
              <w:bottom w:val="single" w:sz="2" w:space="0" w:color="069A2E"/>
            </w:tcBorders>
          </w:tcPr>
          <w:p>
            <w:pPr>
              <w:pStyle w:val="WW-paragraph"/>
              <w:spacing w:before="170" w:after="170"/>
              <w:rPr/>
            </w:pPr>
            <w:r>
              <w:rPr>
                <w:rStyle w:val="pali"/>
              </w:rPr>
              <w:t>Saññā:</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sense, perception. One of the five aggregates.</w:t>
            </w:r>
          </w:p>
        </w:tc>
      </w:tr>
      <w:tr>
        <w:trPr/>
        <w:tc>
          <w:tcPr>
            <w:tcW w:w="2888" w:type="dxa"/>
            <w:tcBorders>
              <w:start w:val="single" w:sz="2" w:space="0" w:color="069A2E"/>
              <w:bottom w:val="single" w:sz="2" w:space="0" w:color="069A2E"/>
            </w:tcBorders>
          </w:tcPr>
          <w:p>
            <w:pPr>
              <w:pStyle w:val="WW-paragraph"/>
              <w:spacing w:before="170" w:after="170"/>
              <w:rPr/>
            </w:pPr>
            <w:r>
              <w:rPr/>
              <w:t>Suttas:</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the scriptures and discourses of the Buddha.</w:t>
            </w:r>
          </w:p>
        </w:tc>
      </w:tr>
      <w:tr>
        <w:trPr/>
        <w:tc>
          <w:tcPr>
            <w:tcW w:w="2888" w:type="dxa"/>
            <w:tcBorders>
              <w:start w:val="single" w:sz="2" w:space="0" w:color="069A2E"/>
              <w:bottom w:val="single" w:sz="2" w:space="0" w:color="069A2E"/>
            </w:tcBorders>
          </w:tcPr>
          <w:p>
            <w:pPr>
              <w:pStyle w:val="WW-paragraph"/>
              <w:spacing w:before="170" w:after="170"/>
              <w:rPr/>
            </w:pPr>
            <w:r>
              <w:rPr>
                <w:rStyle w:val="pali"/>
              </w:rPr>
              <w:t>Vedanā:</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feeling, sensation. One of the five aggregates.</w:t>
            </w:r>
          </w:p>
        </w:tc>
      </w:tr>
      <w:tr>
        <w:trPr/>
        <w:tc>
          <w:tcPr>
            <w:tcW w:w="2888" w:type="dxa"/>
            <w:tcBorders>
              <w:start w:val="single" w:sz="2" w:space="0" w:color="069A2E"/>
              <w:bottom w:val="single" w:sz="2" w:space="0" w:color="069A2E"/>
            </w:tcBorders>
          </w:tcPr>
          <w:p>
            <w:pPr>
              <w:pStyle w:val="WW-paragraph"/>
              <w:spacing w:before="170" w:after="170"/>
              <w:rPr/>
            </w:pPr>
            <w:r>
              <w:rPr>
                <w:rStyle w:val="pali"/>
              </w:rPr>
              <w:t>Vinaya:</w:t>
            </w:r>
          </w:p>
        </w:tc>
        <w:tc>
          <w:tcPr>
            <w:tcW w:w="6749" w:type="dxa"/>
            <w:tcBorders>
              <w:start w:val="single" w:sz="2" w:space="0" w:color="069A2E"/>
              <w:bottom w:val="single" w:sz="2" w:space="0" w:color="069A2E"/>
              <w:end w:val="single" w:sz="2" w:space="0" w:color="069A2E"/>
            </w:tcBorders>
          </w:tcPr>
          <w:p>
            <w:pPr>
              <w:pStyle w:val="WW-paragraph"/>
              <w:spacing w:before="170" w:after="170"/>
              <w:rPr/>
            </w:pPr>
            <w:r>
              <w:rPr/>
              <w:t>code of ethics, monastic discipline, rule, rules of morality or of canon law. In this sense it is applied to the large collection of rules of the Buddhist Canon.</w:t>
            </w:r>
          </w:p>
        </w:tc>
      </w:tr>
    </w:tbl>
    <w:p>
      <w:pPr>
        <w:pStyle w:val="WW-Chap-Section01"/>
        <w:rPr/>
      </w:pPr>
      <w:r>
        <w:rPr/>
        <w:t>English Terms</w:t>
      </w:r>
    </w:p>
    <w:tbl>
      <w:tblPr>
        <w:tblW w:w="5000" w:type="pct"/>
        <w:jc w:val="start"/>
        <w:tblInd w:w="0" w:type="dxa"/>
        <w:tblLayout w:type="fixed"/>
        <w:tblCellMar>
          <w:top w:w="28" w:type="dxa"/>
          <w:start w:w="28" w:type="dxa"/>
          <w:bottom w:w="28" w:type="dxa"/>
          <w:end w:w="28" w:type="dxa"/>
        </w:tblCellMar>
      </w:tblPr>
      <w:tblGrid>
        <w:gridCol w:w="2887"/>
        <w:gridCol w:w="6750"/>
      </w:tblGrid>
      <w:tr>
        <w:trPr/>
        <w:tc>
          <w:tcPr>
            <w:tcW w:w="2887" w:type="dxa"/>
            <w:tcBorders>
              <w:top w:val="single" w:sz="2" w:space="0" w:color="069A2E"/>
              <w:start w:val="single" w:sz="2" w:space="0" w:color="069A2E"/>
              <w:bottom w:val="single" w:sz="2" w:space="0" w:color="069A2E"/>
            </w:tcBorders>
          </w:tcPr>
          <w:p>
            <w:pPr>
              <w:pStyle w:val="WW-paragraph"/>
              <w:spacing w:before="170" w:after="170"/>
              <w:rPr/>
            </w:pPr>
            <w:r>
              <w:rPr/>
              <w:t>Enlightenment:</w:t>
            </w:r>
          </w:p>
        </w:tc>
        <w:tc>
          <w:tcPr>
            <w:tcW w:w="6750"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t xml:space="preserve">a translation of the Pāli word Nibbāna, meaning the sense of well-being, ease, and happiness, experienced through the knowledge of the freedom from suffering in oneself.  </w:t>
            </w:r>
          </w:p>
        </w:tc>
      </w:tr>
      <w:tr>
        <w:trPr/>
        <w:tc>
          <w:tcPr>
            <w:tcW w:w="2887" w:type="dxa"/>
            <w:tcBorders>
              <w:start w:val="single" w:sz="2" w:space="0" w:color="069A2E"/>
              <w:bottom w:val="single" w:sz="2" w:space="0" w:color="069A2E"/>
            </w:tcBorders>
          </w:tcPr>
          <w:p>
            <w:pPr>
              <w:pStyle w:val="WW-paragraph"/>
              <w:spacing w:before="170" w:after="170"/>
              <w:rPr/>
            </w:pPr>
            <w:r>
              <w:rPr/>
              <w:t>Rotten fish curry:</w:t>
            </w:r>
          </w:p>
        </w:tc>
        <w:tc>
          <w:tcPr>
            <w:tcW w:w="6750" w:type="dxa"/>
            <w:tcBorders>
              <w:start w:val="single" w:sz="2" w:space="0" w:color="069A2E"/>
              <w:bottom w:val="single" w:sz="2" w:space="0" w:color="069A2E"/>
              <w:end w:val="single" w:sz="2" w:space="0" w:color="069A2E"/>
            </w:tcBorders>
          </w:tcPr>
          <w:p>
            <w:pPr>
              <w:pStyle w:val="WW-paragraph"/>
              <w:spacing w:before="170" w:after="170"/>
              <w:rPr/>
            </w:pPr>
            <w:r>
              <w:rPr/>
              <w:t>a curry with fermented freshwater fish. The fermented fish, ‘pla ra’, has a very strong, distinctive smell.</w:t>
            </w:r>
          </w:p>
        </w:tc>
      </w:tr>
      <w:tr>
        <w:trPr/>
        <w:tc>
          <w:tcPr>
            <w:tcW w:w="2887" w:type="dxa"/>
            <w:tcBorders>
              <w:start w:val="single" w:sz="2" w:space="0" w:color="069A2E"/>
              <w:bottom w:val="single" w:sz="2" w:space="0" w:color="069A2E"/>
            </w:tcBorders>
          </w:tcPr>
          <w:p>
            <w:pPr>
              <w:pStyle w:val="WW-paragraph"/>
              <w:spacing w:before="170" w:after="170"/>
              <w:rPr/>
            </w:pPr>
            <w:r>
              <w:rPr/>
              <w:t>Stream-winner:</w:t>
            </w:r>
          </w:p>
        </w:tc>
        <w:tc>
          <w:tcPr>
            <w:tcW w:w="6750" w:type="dxa"/>
            <w:tcBorders>
              <w:start w:val="single" w:sz="2" w:space="0" w:color="069A2E"/>
              <w:bottom w:val="single" w:sz="2" w:space="0" w:color="069A2E"/>
              <w:end w:val="single" w:sz="2" w:space="0" w:color="069A2E"/>
            </w:tcBorders>
          </w:tcPr>
          <w:p>
            <w:pPr>
              <w:pStyle w:val="WW-paragraph"/>
              <w:spacing w:before="170" w:after="170"/>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tc>
      </w:tr>
    </w:tbl>
    <w:p>
      <w:pPr>
        <w:pStyle w:val="Normal"/>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Liberation Sans">
    <w:altName w:val="Arial"/>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rStyle w:val="pali"/>
        </w:rPr>
        <w:tab/>
        <w:t>Kamma</w:t>
      </w:r>
      <w:r>
        <w:rPr/>
        <w:t xml:space="preserve"> is the Pāli spelling of </w:t>
      </w:r>
      <w:r>
        <w:rPr>
          <w:rStyle w:val="emphasis"/>
        </w:rPr>
        <w:t>karma</w:t>
      </w:r>
      <w:r>
        <w:rPr/>
        <w:t xml:space="preserve"> and means deed. ‘Unfortunate </w:t>
      </w:r>
      <w:r>
        <w:rPr>
          <w:rStyle w:val="pali"/>
        </w:rPr>
        <w:t>kamma</w:t>
      </w:r>
      <w:r>
        <w:rPr/>
        <w:t>’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suppressLineNumbers/>
        <w:bidi w:val="0"/>
        <w:ind w:hanging="340" w:start="340"/>
        <w:jc w:val="start"/>
        <w:rPr/>
      </w:pPr>
      <w:r>
        <w:rPr>
          <w:rStyle w:val="FootnoteCharacters"/>
        </w:rPr>
        <w:footnoteRef/>
      </w:r>
      <w:r>
        <w:rPr>
          <w:rStyle w:val="pali"/>
        </w:rPr>
        <w:tab/>
        <w:t>Arūpasamāpatti</w:t>
      </w:r>
      <w:r>
        <w:rPr/>
        <w:t xml:space="preserve"> are the ‘formless’ or ‘immaterial’ attainments </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suppressLineNumbers/>
        <w:bidi w:val="0"/>
        <w:ind w:hanging="340" w:start="340"/>
        <w:jc w:val="start"/>
        <w:rPr/>
      </w:pPr>
      <w:r>
        <w:rPr>
          <w:rStyle w:val="FootnoteCharacters"/>
        </w:rPr>
        <w:footnoteRef/>
      </w:r>
      <w:r>
        <w:rPr/>
        <w:tab/>
        <w:t>Ānanda was the Buddha's cousin and attendant</w:t>
      </w:r>
    </w:p>
  </w:footnote>
  <w:footnote w:id="23">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4">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5">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6">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7">
    <w:p>
      <w:pPr>
        <w:pStyle w:val="FootnoteText"/>
        <w:suppressLineNumbers/>
        <w:bidi w:val="0"/>
        <w:ind w:hanging="340" w:start="340"/>
        <w:jc w:val="start"/>
        <w:rPr/>
      </w:pPr>
      <w:r>
        <w:rPr>
          <w:rStyle w:val="FootnoteCharacters"/>
        </w:rPr>
        <w:footnoteRef/>
      </w:r>
      <w:r>
        <w:rPr/>
        <w:tab/>
        <w:t>Stream-winner is the first stage of enlightenment.</w:t>
      </w:r>
    </w:p>
  </w:footnote>
  <w:footnote w:id="28">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29">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0">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1">
    <w:p>
      <w:pPr>
        <w:pStyle w:val="FootnoteText"/>
        <w:suppressLineNumbers/>
        <w:bidi w:val="0"/>
        <w:ind w:hanging="340" w:start="340"/>
        <w:jc w:val="start"/>
        <w:rPr/>
      </w:pPr>
      <w:r>
        <w:rPr>
          <w:rStyle w:val="FootnoteCharacters"/>
        </w:rPr>
        <w:footnoteRef/>
      </w:r>
      <w:r>
        <w:rPr/>
        <w:tab/>
        <w:t xml:space="preserve">A </w:t>
      </w:r>
      <w:r>
        <w:rPr>
          <w:rStyle w:val="pali"/>
        </w:rPr>
        <w:t>bhikkhunī</w:t>
      </w:r>
      <w:r>
        <w:rPr/>
        <w:t>: is a fully ordained Buddhist nun</w:t>
      </w:r>
    </w:p>
  </w:footnote>
  <w:footnote w:id="32">
    <w:p>
      <w:pPr>
        <w:pStyle w:val="FootnoteText"/>
        <w:suppressLineNumbers/>
        <w:bidi w:val="0"/>
        <w:ind w:hanging="340" w:start="340"/>
        <w:jc w:val="start"/>
        <w:rPr/>
      </w:pPr>
      <w:r>
        <w:rPr>
          <w:rStyle w:val="FootnoteCharacters"/>
        </w:rPr>
        <w:footnoteRef/>
      </w:r>
      <w:r>
        <w:rPr/>
        <w:tab/>
        <w:t xml:space="preserve">For more on Dependent Cessation see the booklet Dependent Liberation by Ajahn Brahmali at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WW-Author">
    <w:name w:val="WW-Author"/>
    <w:basedOn w:val="Normal"/>
    <w:qFormat/>
    <w:pPr>
      <w:spacing w:before="567" w:after="0"/>
    </w:pPr>
    <w:rPr>
      <w:rFonts w:ascii="Cambria" w:hAnsi="Cambria"/>
    </w:rPr>
  </w:style>
  <w:style w:type="paragraph" w:styleId="WW-Copyright">
    <w:name w:val="WW-Copyright"/>
    <w:basedOn w:val="Normal"/>
    <w:qFormat/>
    <w:pPr>
      <w:spacing w:before="113" w:after="113"/>
    </w:pPr>
    <w:rPr>
      <w:rFonts w:ascii="Calibri" w:hAnsi="Calibri"/>
      <w:sz w:val="20"/>
      <w:szCs w:val="20"/>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basedOn w:val="Normal"/>
    <w:qFormat/>
    <w:pPr>
      <w:pageBreakBefore/>
      <w:numPr>
        <w:ilvl w:val="0"/>
        <w:numId w:val="0"/>
      </w:numPr>
      <w:jc w:val="center"/>
      <w:outlineLvl w:val="0"/>
    </w:pPr>
    <w:rPr>
      <w:rFonts w:ascii="Cambria" w:hAnsi="Cambria"/>
      <w:caps/>
      <w:sz w:val="36"/>
      <w:szCs w:val="28"/>
    </w:rPr>
  </w:style>
  <w:style w:type="paragraph" w:styleId="WW-Chap-Section01">
    <w:name w:val="WW-Chap-Section01"/>
    <w:basedOn w:val="Normal"/>
    <w:qFormat/>
    <w:pPr>
      <w:pageBreakBefore/>
      <w:spacing w:before="567" w:after="283"/>
      <w:jc w:val="center"/>
      <w:outlineLvl w:val="1"/>
    </w:pPr>
    <w:rPr>
      <w:rFonts w:ascii="Cambria" w:hAnsi="Cambria"/>
      <w:b/>
      <w:smallCaps/>
      <w:u w:val="none"/>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auto"/>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auto"/>
      <w:kern w:val="2"/>
      <w:sz w:val="24"/>
      <w:szCs w:val="24"/>
      <w:lang w:val="en-GB" w:eastAsia="zh-CN" w:bidi="hi-IN"/>
    </w:rPr>
  </w:style>
  <w:style w:type="paragraph" w:styleId="FootnoteText">
    <w:name w:val="footnote text"/>
    <w:basedOn w:val="Normal"/>
    <w:pPr>
      <w:suppressLineNumbers/>
      <w:ind w:hanging="340" w:start="340"/>
    </w:pPr>
    <w:rPr>
      <w:sz w:val="20"/>
      <w:szCs w:val="20"/>
    </w:rPr>
  </w:style>
  <w:style w:type="paragraph" w:styleId="WW-Blockquote">
    <w:name w:val="WW-Blockquote"/>
    <w:basedOn w:val="WW-paragraph"/>
    <w:qFormat/>
    <w:pPr>
      <w:ind w:hanging="0" w:start="70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suttacentral.net/dhp276/en/sujato" TargetMode="External"/><Relationship Id="rId6" Type="http://schemas.openxmlformats.org/officeDocument/2006/relationships/hyperlink" Target="https://suttacentral.net/dhp182/en/sujato" TargetMode="External"/><Relationship Id="rId7" Type="http://schemas.openxmlformats.org/officeDocument/2006/relationships/hyperlink" Target="https://suttacentral.net/an5.29/en/sujato" TargetMode="External"/><Relationship Id="rId8" Type="http://schemas.openxmlformats.org/officeDocument/2006/relationships/hyperlink" Target="https://suttacentral.net/an3.101/en/sujato" TargetMode="External"/><Relationship Id="rId9" Type="http://schemas.openxmlformats.org/officeDocument/2006/relationships/hyperlink" Target="https://suttacentral.net/mn68/en/sujato" TargetMode="External"/><Relationship Id="rId10" Type="http://schemas.openxmlformats.org/officeDocument/2006/relationships/hyperlink" Target="https://suttacentral.net/an11.15/en/sujato" TargetMode="External"/><Relationship Id="rId11" Type="http://schemas.openxmlformats.org/officeDocument/2006/relationships/hyperlink" Target="https://suttacentral.net/dhp372/en/sujato" TargetMode="External"/><Relationship Id="rId12" Type="http://schemas.openxmlformats.org/officeDocument/2006/relationships/hyperlink" Target="https://suttacentral.net/thig5.10/en/sujato"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160</TotalTime>
  <Application>LibreOffice/24.8.3.2$Windows_X86_64 LibreOffice_project/48a6bac9e7e268aeb4c3483fcf825c94556d9f92</Application>
  <AppVersion>15.0000</AppVersion>
  <Pages>92</Pages>
  <Words>29466</Words>
  <Characters>131647</Characters>
  <CharactersWithSpaces>160356</CharactersWithSpaces>
  <Paragraphs>772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2024-11-26T10:11:28Z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