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rPr/>
      </w:pPr>
      <w:r>
        <w:rPr/>
        <w:t>References</w:t>
      </w:r>
    </w:p>
    <w:p>
      <w:pPr>
        <w:pStyle w:val="WW-table-caption"/>
        <w:rPr/>
      </w:pPr>
      <w:r>
        <w:rPr/>
        <w:t>Abbreviations</w:t>
      </w:r>
    </w:p>
    <w:tbl>
      <w:tblPr>
        <w:tblStyle w:val="TableGrid"/>
        <w:tblW w:w="5644" w:type="dxa"/>
        <w:jc w:val="start"/>
        <w:tblInd w:w="-13" w:type="dxa"/>
        <w:tblLayout w:type="fixed"/>
        <w:tblCellMar>
          <w:top w:w="0" w:type="dxa"/>
          <w:start w:w="108" w:type="dxa"/>
          <w:bottom w:w="0" w:type="dxa"/>
          <w:end w:w="108" w:type="dxa"/>
        </w:tblCellMar>
        <w:tblLook w:firstRow="1" w:noVBand="1" w:lastRow="0" w:firstColumn="1" w:lastColumn="0" w:noHBand="0" w:val="04a0"/>
      </w:tblPr>
      <w:tblGrid>
        <w:gridCol w:w="1706"/>
        <w:gridCol w:w="3938"/>
      </w:tblGrid>
      <w:tr>
        <w:trPr>
          <w:trHeight w:val="287" w:hRule="atLeast"/>
        </w:trPr>
        <w:tc>
          <w:tcPr>
            <w:tcW w:w="1706" w:type="dxa"/>
            <w:tcBorders/>
          </w:tcPr>
          <w:p>
            <w:pPr>
              <w:pStyle w:val="WW-paragraph"/>
              <w:spacing w:before="170" w:after="170"/>
              <w:rPr/>
            </w:pPr>
            <w:r>
              <w:rPr/>
            </w:r>
          </w:p>
        </w:tc>
        <w:tc>
          <w:tcPr>
            <w:tcW w:w="3938" w:type="dxa"/>
            <w:tcBorders/>
          </w:tcPr>
          <w:p>
            <w:pPr>
              <w:pStyle w:val="WW-paragraph"/>
              <w:spacing w:before="170" w:after="170"/>
              <w:rPr/>
            </w:pPr>
            <w:r>
              <w:rPr/>
            </w:r>
          </w:p>
        </w:tc>
      </w:tr>
      <w:tr>
        <w:trPr>
          <w:trHeight w:val="287" w:hRule="atLeast"/>
        </w:trPr>
        <w:tc>
          <w:tcPr>
            <w:tcW w:w="1706" w:type="dxa"/>
            <w:tcBorders>
              <w:top w:val="nil"/>
            </w:tcBorders>
          </w:tcPr>
          <w:p>
            <w:pPr>
              <w:pStyle w:val="WW-paragraph"/>
              <w:spacing w:before="170" w:after="170"/>
              <w:rPr>
                <w:rFonts w:eastAsia="Calibri" w:cs=""/>
                <w:kern w:val="0"/>
                <w:szCs w:val="22"/>
                <w:lang w:val="en-GB" w:eastAsia="en-US" w:bidi="ar-SA"/>
              </w:rPr>
            </w:pPr>
            <w:r>
              <w:rPr/>
              <w:t>A</w:t>
            </w:r>
          </w:p>
        </w:tc>
        <w:tc>
          <w:tcPr>
            <w:tcW w:w="3938" w:type="dxa"/>
            <w:tcBorders>
              <w:top w:val="nil"/>
            </w:tcBorders>
          </w:tcPr>
          <w:p>
            <w:pPr>
              <w:pStyle w:val="WW-paragraph"/>
              <w:spacing w:before="170" w:after="170"/>
              <w:rPr>
                <w:rFonts w:eastAsia="Calibri" w:cs=""/>
                <w:kern w:val="0"/>
                <w:szCs w:val="22"/>
                <w:lang w:val="en-GB" w:eastAsia="en-US" w:bidi="ar-SA"/>
              </w:rPr>
            </w:pPr>
            <w:r>
              <w:rPr/>
              <w:t>Anguttara Nikāya</w:t>
            </w:r>
          </w:p>
        </w:tc>
      </w:tr>
      <w:tr>
        <w:trPr>
          <w:trHeight w:val="287" w:hRule="atLeast"/>
        </w:trPr>
        <w:tc>
          <w:tcPr>
            <w:tcW w:w="1706" w:type="dxa"/>
            <w:tcBorders/>
          </w:tcPr>
          <w:p>
            <w:pPr>
              <w:pStyle w:val="WW-paragraph"/>
              <w:spacing w:before="170" w:after="170"/>
              <w:rPr>
                <w:rFonts w:eastAsia="Calibri" w:cs=""/>
                <w:kern w:val="0"/>
                <w:szCs w:val="22"/>
                <w:lang w:val="en-GB" w:eastAsia="en-US" w:bidi="ar-SA"/>
              </w:rPr>
            </w:pPr>
            <w:r>
              <w:rPr/>
              <w:t>Cp</w:t>
            </w:r>
          </w:p>
        </w:tc>
        <w:tc>
          <w:tcPr>
            <w:tcW w:w="3938" w:type="dxa"/>
            <w:tcBorders/>
          </w:tcPr>
          <w:p>
            <w:pPr>
              <w:pStyle w:val="WW-paragraph"/>
              <w:spacing w:before="170" w:after="170"/>
              <w:rPr>
                <w:rFonts w:eastAsia="Calibri" w:cs=""/>
                <w:kern w:val="0"/>
                <w:szCs w:val="22"/>
                <w:lang w:val="en-GB" w:eastAsia="en-US" w:bidi="ar-SA"/>
              </w:rPr>
            </w:pPr>
            <w:r>
              <w:rPr/>
              <w:t>Cariyapiṭaka</w:t>
            </w:r>
          </w:p>
        </w:tc>
      </w:tr>
      <w:tr>
        <w:trPr>
          <w:trHeight w:val="287" w:hRule="atLeast"/>
        </w:trPr>
        <w:tc>
          <w:tcPr>
            <w:tcW w:w="1706" w:type="dxa"/>
            <w:tcBorders/>
          </w:tcPr>
          <w:p>
            <w:pPr>
              <w:pStyle w:val="WW-paragraph"/>
              <w:spacing w:before="170" w:after="170"/>
              <w:rPr>
                <w:rFonts w:eastAsia="Calibri" w:cs=""/>
                <w:kern w:val="0"/>
                <w:szCs w:val="22"/>
                <w:lang w:val="en-GB" w:eastAsia="en-US" w:bidi="ar-SA"/>
              </w:rPr>
            </w:pPr>
            <w:r>
              <w:rPr/>
              <w:t>Cp-a</w:t>
            </w:r>
          </w:p>
        </w:tc>
        <w:tc>
          <w:tcPr>
            <w:tcW w:w="3938" w:type="dxa"/>
            <w:tcBorders/>
          </w:tcPr>
          <w:p>
            <w:pPr>
              <w:pStyle w:val="WW-paragraph"/>
              <w:spacing w:before="170" w:after="170"/>
              <w:rPr>
                <w:rFonts w:eastAsia="Calibri" w:cs=""/>
                <w:kern w:val="0"/>
                <w:szCs w:val="22"/>
                <w:lang w:val="en-GB" w:eastAsia="en-US" w:bidi="ar-SA"/>
              </w:rPr>
            </w:pPr>
            <w:r>
              <w:rPr/>
              <w:t>Cariyāpitaka Atthakathā</w:t>
            </w:r>
          </w:p>
        </w:tc>
      </w:tr>
      <w:tr>
        <w:trPr>
          <w:trHeight w:val="287" w:hRule="atLeast"/>
        </w:trPr>
        <w:tc>
          <w:tcPr>
            <w:tcW w:w="1706" w:type="dxa"/>
            <w:tcBorders/>
          </w:tcPr>
          <w:p>
            <w:pPr>
              <w:pStyle w:val="WW-paragraph"/>
              <w:spacing w:before="170" w:after="170"/>
              <w:rPr>
                <w:rFonts w:eastAsia="Calibri" w:cs=""/>
                <w:kern w:val="0"/>
                <w:szCs w:val="22"/>
                <w:lang w:val="en-GB" w:eastAsia="en-US" w:bidi="ar-SA"/>
              </w:rPr>
            </w:pPr>
            <w:r>
              <w:rPr/>
              <w:t>Dhs</w:t>
            </w:r>
          </w:p>
        </w:tc>
        <w:tc>
          <w:tcPr>
            <w:tcW w:w="3938" w:type="dxa"/>
            <w:tcBorders/>
          </w:tcPr>
          <w:p>
            <w:pPr>
              <w:pStyle w:val="WW-paragraph"/>
              <w:spacing w:before="170" w:after="170"/>
              <w:rPr>
                <w:rFonts w:eastAsia="Calibri" w:cs=""/>
                <w:kern w:val="0"/>
                <w:szCs w:val="22"/>
                <w:lang w:val="en-GB" w:eastAsia="en-US" w:bidi="ar-SA"/>
              </w:rPr>
            </w:pPr>
            <w:r>
              <w:rPr/>
              <w:t>Dhammasangaṇī</w:t>
            </w:r>
          </w:p>
        </w:tc>
      </w:tr>
      <w:tr>
        <w:trPr>
          <w:trHeight w:val="287" w:hRule="atLeast"/>
        </w:trPr>
        <w:tc>
          <w:tcPr>
            <w:tcW w:w="1706" w:type="dxa"/>
            <w:tcBorders/>
          </w:tcPr>
          <w:p>
            <w:pPr>
              <w:pStyle w:val="WW-paragraph"/>
              <w:spacing w:before="170" w:after="170"/>
              <w:rPr>
                <w:rFonts w:eastAsia="Calibri" w:cs=""/>
                <w:kern w:val="0"/>
                <w:szCs w:val="22"/>
                <w:lang w:val="en-GB" w:eastAsia="en-US" w:bidi="ar-SA"/>
              </w:rPr>
            </w:pPr>
            <w:r>
              <w:rPr/>
              <w:t>Dhp</w:t>
            </w:r>
          </w:p>
        </w:tc>
        <w:tc>
          <w:tcPr>
            <w:tcW w:w="3938" w:type="dxa"/>
            <w:tcBorders/>
          </w:tcPr>
          <w:p>
            <w:pPr>
              <w:pStyle w:val="WW-paragraph"/>
              <w:spacing w:before="170" w:after="170"/>
              <w:rPr>
                <w:rFonts w:eastAsia="Calibri" w:cs=""/>
                <w:kern w:val="0"/>
                <w:szCs w:val="22"/>
                <w:lang w:val="en-GB" w:eastAsia="en-US" w:bidi="ar-SA"/>
              </w:rPr>
            </w:pPr>
            <w:r>
              <w:rPr/>
              <w:t>Dhammapada</w:t>
            </w:r>
          </w:p>
        </w:tc>
      </w:tr>
      <w:tr>
        <w:trPr>
          <w:trHeight w:val="287" w:hRule="atLeast"/>
        </w:trPr>
        <w:tc>
          <w:tcPr>
            <w:tcW w:w="1706" w:type="dxa"/>
            <w:tcBorders/>
          </w:tcPr>
          <w:p>
            <w:pPr>
              <w:pStyle w:val="WW-paragraph"/>
              <w:spacing w:before="170" w:after="170"/>
              <w:rPr>
                <w:rFonts w:eastAsia="Calibri" w:cs=""/>
                <w:kern w:val="0"/>
                <w:szCs w:val="22"/>
                <w:lang w:val="en-GB" w:eastAsia="en-US" w:bidi="ar-SA"/>
              </w:rPr>
            </w:pPr>
            <w:r>
              <w:rPr/>
              <w:t>It</w:t>
            </w:r>
          </w:p>
        </w:tc>
        <w:tc>
          <w:tcPr>
            <w:tcW w:w="3938" w:type="dxa"/>
            <w:tcBorders/>
          </w:tcPr>
          <w:p>
            <w:pPr>
              <w:pStyle w:val="WW-paragraph"/>
              <w:spacing w:before="170" w:after="170"/>
              <w:rPr>
                <w:rFonts w:eastAsia="Calibri" w:cs=""/>
                <w:kern w:val="0"/>
                <w:szCs w:val="22"/>
                <w:lang w:val="en-GB" w:eastAsia="en-US" w:bidi="ar-SA"/>
              </w:rPr>
            </w:pPr>
            <w:r>
              <w:rPr/>
              <w:t>Itivuttaka</w:t>
            </w:r>
          </w:p>
        </w:tc>
      </w:tr>
      <w:tr>
        <w:trPr>
          <w:trHeight w:val="287" w:hRule="atLeast"/>
        </w:trPr>
        <w:tc>
          <w:tcPr>
            <w:tcW w:w="1706" w:type="dxa"/>
            <w:tcBorders/>
          </w:tcPr>
          <w:p>
            <w:pPr>
              <w:pStyle w:val="WW-paragraph"/>
              <w:spacing w:before="170" w:after="170"/>
              <w:rPr>
                <w:rFonts w:eastAsia="Calibri" w:cs=""/>
                <w:kern w:val="0"/>
                <w:szCs w:val="22"/>
                <w:lang w:val="en-GB" w:eastAsia="en-US" w:bidi="ar-SA"/>
              </w:rPr>
            </w:pPr>
            <w:r>
              <w:rPr/>
              <w:t>Ja</w:t>
            </w:r>
          </w:p>
        </w:tc>
        <w:tc>
          <w:tcPr>
            <w:tcW w:w="3938" w:type="dxa"/>
            <w:tcBorders/>
          </w:tcPr>
          <w:p>
            <w:pPr>
              <w:pStyle w:val="WW-paragraph"/>
              <w:spacing w:before="170" w:after="170"/>
              <w:rPr>
                <w:rFonts w:eastAsia="Calibri" w:cs=""/>
                <w:kern w:val="0"/>
                <w:szCs w:val="22"/>
                <w:lang w:val="en-GB" w:eastAsia="en-US" w:bidi="ar-SA"/>
              </w:rPr>
            </w:pPr>
            <w:r>
              <w:rPr/>
              <w:t>Jātaka and its commentary</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M</w:t>
            </w:r>
          </w:p>
        </w:tc>
        <w:tc>
          <w:tcPr>
            <w:tcW w:w="3938" w:type="dxa"/>
            <w:tcBorders/>
          </w:tcPr>
          <w:p>
            <w:pPr>
              <w:pStyle w:val="WW-paragraph"/>
              <w:spacing w:before="170" w:after="170"/>
              <w:rPr>
                <w:rFonts w:eastAsia="Calibri" w:cs=""/>
                <w:kern w:val="0"/>
                <w:szCs w:val="22"/>
                <w:lang w:val="en-GB" w:eastAsia="en-US" w:bidi="ar-SA"/>
              </w:rPr>
            </w:pPr>
            <w:r>
              <w:rPr/>
              <w:t>Majjhima Nikāya</w:t>
            </w:r>
          </w:p>
        </w:tc>
      </w:tr>
      <w:tr>
        <w:trPr>
          <w:trHeight w:val="354" w:hRule="atLeast"/>
        </w:trPr>
        <w:tc>
          <w:tcPr>
            <w:tcW w:w="1706" w:type="dxa"/>
            <w:tcBorders/>
          </w:tcPr>
          <w:p>
            <w:pPr>
              <w:pStyle w:val="WW-paragraph"/>
              <w:spacing w:before="170" w:after="170"/>
              <w:rPr>
                <w:rFonts w:eastAsia="Calibri" w:cs=""/>
                <w:kern w:val="0"/>
                <w:szCs w:val="22"/>
                <w:lang w:val="en-GB" w:eastAsia="en-US" w:bidi="ar-SA"/>
              </w:rPr>
            </w:pPr>
            <w:r>
              <w:rPr/>
              <w:t>Mv</w:t>
            </w:r>
          </w:p>
        </w:tc>
        <w:tc>
          <w:tcPr>
            <w:tcW w:w="3938" w:type="dxa"/>
            <w:tcBorders/>
          </w:tcPr>
          <w:p>
            <w:pPr>
              <w:pStyle w:val="WW-paragraph"/>
              <w:spacing w:before="170" w:after="170"/>
              <w:rPr>
                <w:rFonts w:eastAsia="Calibri" w:cs=""/>
                <w:kern w:val="0"/>
                <w:szCs w:val="22"/>
                <w:lang w:val="en-GB" w:eastAsia="en-US" w:bidi="ar-SA"/>
              </w:rPr>
            </w:pPr>
            <w:r>
              <w:rPr/>
              <w:t>Mahāvastu</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Mil</w:t>
            </w:r>
          </w:p>
        </w:tc>
        <w:tc>
          <w:tcPr>
            <w:tcW w:w="3938" w:type="dxa"/>
            <w:tcBorders/>
          </w:tcPr>
          <w:p>
            <w:pPr>
              <w:pStyle w:val="WW-paragraph"/>
              <w:spacing w:before="170" w:after="170"/>
              <w:rPr>
                <w:rFonts w:eastAsia="Calibri" w:cs=""/>
                <w:kern w:val="0"/>
                <w:szCs w:val="22"/>
                <w:lang w:val="en-GB" w:eastAsia="en-US" w:bidi="ar-SA"/>
              </w:rPr>
            </w:pPr>
            <w:r>
              <w:rPr/>
              <w:t>Milindapañha</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S</w:t>
            </w:r>
          </w:p>
        </w:tc>
        <w:tc>
          <w:tcPr>
            <w:tcW w:w="3938" w:type="dxa"/>
            <w:tcBorders/>
          </w:tcPr>
          <w:p>
            <w:pPr>
              <w:pStyle w:val="WW-paragraph"/>
              <w:spacing w:before="170" w:after="170"/>
              <w:rPr>
                <w:rFonts w:eastAsia="Calibri" w:cs=""/>
                <w:kern w:val="0"/>
                <w:szCs w:val="22"/>
                <w:lang w:val="en-GB" w:eastAsia="en-US" w:bidi="ar-SA"/>
              </w:rPr>
            </w:pPr>
            <w:r>
              <w:rPr/>
              <w:t>Samyutta Nikāya</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Sn</w:t>
            </w:r>
          </w:p>
        </w:tc>
        <w:tc>
          <w:tcPr>
            <w:tcW w:w="3938" w:type="dxa"/>
            <w:tcBorders/>
          </w:tcPr>
          <w:p>
            <w:pPr>
              <w:pStyle w:val="WW-paragraph"/>
              <w:spacing w:before="170" w:after="170"/>
              <w:rPr>
                <w:rFonts w:eastAsia="Calibri" w:cs=""/>
                <w:kern w:val="0"/>
                <w:szCs w:val="22"/>
                <w:lang w:val="en-GB" w:eastAsia="en-US" w:bidi="ar-SA"/>
              </w:rPr>
            </w:pPr>
            <w:r>
              <w:rPr/>
              <w:t>Sutta Nipāta</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Th</w:t>
            </w:r>
          </w:p>
        </w:tc>
        <w:tc>
          <w:tcPr>
            <w:tcW w:w="3938" w:type="dxa"/>
            <w:tcBorders/>
          </w:tcPr>
          <w:p>
            <w:pPr>
              <w:pStyle w:val="WW-paragraph"/>
              <w:spacing w:before="170" w:after="170"/>
              <w:rPr>
                <w:rFonts w:eastAsia="Calibri" w:cs=""/>
                <w:kern w:val="0"/>
                <w:szCs w:val="22"/>
                <w:lang w:val="en-GB" w:eastAsia="en-US" w:bidi="ar-SA"/>
              </w:rPr>
            </w:pPr>
            <w:r>
              <w:rPr/>
              <w:t>Theragātha</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Thi</w:t>
            </w:r>
          </w:p>
        </w:tc>
        <w:tc>
          <w:tcPr>
            <w:tcW w:w="3938" w:type="dxa"/>
            <w:tcBorders/>
          </w:tcPr>
          <w:p>
            <w:pPr>
              <w:pStyle w:val="WW-paragraph"/>
              <w:spacing w:before="170" w:after="170"/>
              <w:rPr>
                <w:rFonts w:eastAsia="Calibri" w:cs=""/>
                <w:kern w:val="0"/>
                <w:szCs w:val="22"/>
                <w:lang w:val="en-GB" w:eastAsia="en-US" w:bidi="ar-SA"/>
              </w:rPr>
            </w:pPr>
            <w:r>
              <w:rPr/>
              <w:t>Therigātha</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Ud</w:t>
            </w:r>
          </w:p>
        </w:tc>
        <w:tc>
          <w:tcPr>
            <w:tcW w:w="3938" w:type="dxa"/>
            <w:tcBorders/>
          </w:tcPr>
          <w:p>
            <w:pPr>
              <w:pStyle w:val="WW-paragraph"/>
              <w:spacing w:before="170" w:after="170"/>
              <w:rPr>
                <w:rFonts w:eastAsia="Calibri" w:cs=""/>
                <w:kern w:val="0"/>
                <w:szCs w:val="22"/>
                <w:lang w:val="en-GB" w:eastAsia="en-US" w:bidi="ar-SA"/>
              </w:rPr>
            </w:pPr>
            <w:r>
              <w:rPr/>
              <w:t>Udāna</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Vin</w:t>
            </w:r>
          </w:p>
        </w:tc>
        <w:tc>
          <w:tcPr>
            <w:tcW w:w="3938" w:type="dxa"/>
            <w:tcBorders/>
          </w:tcPr>
          <w:p>
            <w:pPr>
              <w:pStyle w:val="WW-paragraph"/>
              <w:spacing w:before="170" w:after="170"/>
              <w:rPr>
                <w:rFonts w:eastAsia="Calibri" w:cs=""/>
                <w:kern w:val="0"/>
                <w:szCs w:val="22"/>
                <w:lang w:val="en-GB" w:eastAsia="en-US" w:bidi="ar-SA"/>
              </w:rPr>
            </w:pPr>
            <w:r>
              <w:rPr/>
              <w:t>Vinaya</w:t>
            </w:r>
          </w:p>
        </w:tc>
      </w:tr>
      <w:tr>
        <w:trPr>
          <w:trHeight w:val="297" w:hRule="atLeast"/>
        </w:trPr>
        <w:tc>
          <w:tcPr>
            <w:tcW w:w="1706" w:type="dxa"/>
            <w:tcBorders/>
          </w:tcPr>
          <w:p>
            <w:pPr>
              <w:pStyle w:val="WW-paragraph"/>
              <w:spacing w:before="170" w:after="170"/>
              <w:rPr>
                <w:rFonts w:eastAsia="Calibri" w:cs=""/>
                <w:kern w:val="0"/>
                <w:szCs w:val="22"/>
                <w:lang w:val="en-GB" w:eastAsia="en-US" w:bidi="ar-SA"/>
              </w:rPr>
            </w:pPr>
            <w:r>
              <w:rPr/>
              <w:t>Vism</w:t>
            </w:r>
          </w:p>
        </w:tc>
        <w:tc>
          <w:tcPr>
            <w:tcW w:w="3938" w:type="dxa"/>
            <w:tcBorders/>
          </w:tcPr>
          <w:p>
            <w:pPr>
              <w:pStyle w:val="WW-paragraph"/>
              <w:spacing w:before="170" w:after="170"/>
              <w:rPr>
                <w:rFonts w:eastAsia="Calibri" w:cs=""/>
                <w:kern w:val="0"/>
                <w:szCs w:val="22"/>
                <w:lang w:val="en-GB" w:eastAsia="en-US" w:bidi="ar-SA"/>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ascadia Mono Light">
    <w:charset w:val="00" w:characterSet="windows-1252"/>
    <w:family w:val="roman"/>
    <w:pitch w:val="variable"/>
  </w:font>
  <w:font w:name="Gentium Book Plus">
    <w:charset w:val="00" w:characterSet="windows-125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8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fals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96"/>
      <w:szCs w:val="24"/>
      <w:shd w:fill="FFFFFF" w:val="clear"/>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536DFE"/>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006400"/>
      <w:shd w:fill="auto" w:val="clear"/>
    </w:rPr>
  </w:style>
  <w:style w:type="character" w:styleId="wwc-sesame-zot-reference" w:customStyle="1">
    <w:name w:val="wwc-sesame-zot-reference"/>
    <w:qFormat/>
    <w:rsid w:val="00c54551"/>
    <w:rPr>
      <w:color w:val="FFF0F5"/>
      <w:position w:val="0"/>
      <w:sz w:val="24"/>
      <w:sz w:val="24"/>
      <w:shd w:fill="800000" w:val="clear"/>
      <w:vertAlign w:val="baseline"/>
    </w:rPr>
  </w:style>
  <w:style w:type="character" w:styleId="wwc-sesame">
    <w:name w:val="wwc-sesame"/>
    <w:qFormat/>
    <w:rPr>
      <w:rFonts w:ascii="Arial" w:hAnsi="Arial" w:eastAsia="Arial" w:cs="DejaVu Sans" w:asciiTheme="minorHAnsi" w:cstheme="minorBidi" w:eastAsiaTheme="minorHAnsi" w:hAnsiTheme="minorHAnsi"/>
      <w:color w:val="FFDEAD"/>
      <w:kern w:val="0"/>
      <w:shd w:fill="808080" w:val="clear"/>
    </w:rPr>
  </w:style>
  <w:style w:type="character" w:styleId="wwc-PTS-reference" w:customStyle="1">
    <w:name w:val="wwc-PTS-reference"/>
    <w:basedOn w:val="DefaultParagraphFont"/>
    <w:qFormat/>
    <w:rsid w:val="00f9275c"/>
    <w:rPr>
      <w:color w:val="FFB6C1"/>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fals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fals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fals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fals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fals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fals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fals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fals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fals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fals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fals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suppressAutoHyphens w:val="true"/>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fals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uppressAutoHyphens w:val="true"/>
      <w:bidi w:val="0"/>
      <w:spacing w:before="0" w:after="0"/>
      <w:jc w:val="start"/>
    </w:pPr>
    <w:rPr>
      <w:rFonts w:ascii="Liberation Serif" w:hAnsi="Liberation Serif" w:eastAsia="NSimSun" w:cs="Lucida Sans"/>
      <w:color w:val="000000"/>
      <w:kern w:val="2"/>
      <w:sz w:val="24"/>
      <w:szCs w:val="24"/>
      <w:shd w:fill="FDF5E6" w:val="clear"/>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TotalTime>
  <Application>LibreOffice/24.8.4.2$Windows_X86_64 LibreOffice_project/bb3cfa12c7b1bf994ecc5649a80400d06cd71002</Application>
  <AppVersion>15.0000</AppVersion>
  <Pages>116</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2025-01-20T13:08:04Z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