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Item Type:</w:t>
      </w:r>
    </w:p>
    <w:p>
      <w:pPr>
        <w:pStyle w:val="WW-item-type"/>
        <w:rPr/>
      </w:pPr>
      <w:r>
        <w:rPr/>
        <w:t>Book</w:t>
      </w:r>
    </w:p>
    <w:p>
      <w:pPr>
        <w:pStyle w:val="Heading7"/>
        <w:ind w:hanging="0" w:start="0"/>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ind w:hanging="0" w:start="0"/>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ind w:hanging="0" w:start="0"/>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ind w:hanging="0" w:start="0"/>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sesame-zot-reference"/>
        </w:rPr>
        <w:t>Singer 2009a</w:t>
      </w:r>
      <w:r>
        <w:rPr/>
        <w:t xml:space="preserve">, </w:t>
      </w:r>
      <w:r>
        <w:rPr>
          <w:rStyle w:val="WW-sesame-zot-reference"/>
        </w:rPr>
        <w:t>Singer 2009b</w:t>
      </w:r>
      <w:r>
        <w:rPr/>
        <w:t xml:space="preserve">, </w:t>
      </w:r>
      <w:r>
        <w:rPr>
          <w:rStyle w:val="WW-sesame-zot-reference"/>
        </w:rPr>
        <w:t>Singer 2009c</w:t>
      </w:r>
      <w:r>
        <w:rPr/>
        <w:t xml:space="preserve">) and his </w:t>
      </w:r>
      <w:r>
        <w:rPr>
          <w:i/>
          <w:iCs/>
        </w:rPr>
        <w:t>Philosophy of Love</w:t>
      </w:r>
      <w:r>
        <w:rPr/>
        <w:t xml:space="preserve"> (</w:t>
      </w:r>
      <w:r>
        <w:rPr>
          <w:rStyle w:val="WW-sesame-zot-reference"/>
        </w:rPr>
        <w:t>Singer 2009d</w:t>
      </w:r>
      <w:r>
        <w:rPr/>
        <w:t xml:space="preserve">), Pitirim Sorokin’s </w:t>
      </w:r>
      <w:r>
        <w:rPr>
          <w:i/>
          <w:iCs/>
        </w:rPr>
        <w:t>The Ways and Power of Love</w:t>
      </w:r>
      <w:r>
        <w:rPr/>
        <w:t xml:space="preserve"> (</w:t>
      </w:r>
      <w:r>
        <w:rPr>
          <w:rStyle w:val="WW-sesame-zot-reference"/>
        </w:rPr>
        <w:t>Sorokin 1954</w:t>
      </w:r>
      <w:r>
        <w:rPr/>
        <w:t xml:space="preserve">), Erich Fromm’s perennial classic </w:t>
      </w:r>
      <w:r>
        <w:rPr>
          <w:i/>
          <w:iCs/>
        </w:rPr>
        <w:t>The Art of Loving</w:t>
      </w:r>
      <w:r>
        <w:rPr/>
        <w:t xml:space="preserve"> (</w:t>
      </w:r>
      <w:r>
        <w:rPr>
          <w:rStyle w:val="WW-sesame-zot-reference"/>
        </w:rPr>
        <w:t>Fromm 1956</w:t>
      </w:r>
      <w:r>
        <w:rPr/>
        <w:t xml:space="preserve">), and Simon May’s </w:t>
      </w:r>
      <w:r>
        <w:rPr>
          <w:i/>
          <w:iCs/>
        </w:rPr>
        <w:t>Love: A History</w:t>
      </w:r>
      <w:r>
        <w:rPr/>
        <w:t xml:space="preserve"> (</w:t>
      </w:r>
      <w:r>
        <w:rPr>
          <w:rStyle w:val="WW-sesame-zot-reference"/>
        </w:rPr>
        <w:t>May 2012</w:t>
      </w:r>
      <w:r>
        <w:rPr/>
        <w:t xml:space="preserve">). Robert Sternberg’s and Michael Barnes’ </w:t>
      </w:r>
      <w:r>
        <w:rPr>
          <w:i/>
          <w:iCs/>
        </w:rPr>
        <w:t>The Psychology of Love</w:t>
      </w:r>
      <w:r>
        <w:rPr/>
        <w:t xml:space="preserve"> (</w:t>
      </w:r>
      <w:r>
        <w:rPr>
          <w:rStyle w:val="WW-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sesame-zot-reference"/>
        </w:rPr>
        <w:t>Nyanaponika 1958</w:t>
      </w:r>
      <w:r>
        <w:rPr/>
        <w:t xml:space="preserve">), several of Thich Nhat Hanh’s books, most notably </w:t>
      </w:r>
      <w:r>
        <w:rPr>
          <w:i/>
          <w:iCs/>
        </w:rPr>
        <w:t>Cultivating the Mind of Love</w:t>
      </w:r>
      <w:r>
        <w:rPr/>
        <w:t xml:space="preserve"> (</w:t>
      </w:r>
      <w:r>
        <w:rPr>
          <w:rStyle w:val="WW-sesame-zot-reference"/>
        </w:rPr>
        <w:t>Hanh 1996</w:t>
      </w:r>
      <w:r>
        <w:rPr/>
        <w:t xml:space="preserve">) and </w:t>
      </w:r>
      <w:r>
        <w:rPr>
          <w:i/>
          <w:iCs/>
        </w:rPr>
        <w:t>Teachings on Love</w:t>
      </w:r>
      <w:r>
        <w:rPr/>
        <w:t xml:space="preserve"> (</w:t>
      </w:r>
      <w:r>
        <w:rPr>
          <w:rStyle w:val="WW-sesame-zot-reference"/>
        </w:rPr>
        <w:t>Hanh 1998</w:t>
      </w:r>
      <w:r>
        <w:rPr/>
        <w:t xml:space="preserve">), and Sharon Salzberg’s </w:t>
      </w:r>
      <w:r>
        <w:rPr>
          <w:i/>
          <w:iCs/>
        </w:rPr>
        <w:t>Loving-kindness: The Revolutionary Art of Happiness</w:t>
      </w:r>
      <w:r>
        <w:rPr/>
        <w:t xml:space="preserve"> (</w:t>
      </w:r>
      <w:r>
        <w:rPr>
          <w:rStyle w:val="WW-sesame-zot-reference"/>
        </w:rPr>
        <w:t>Salzberg 1995</w:t>
      </w:r>
      <w:r>
        <w:rPr/>
        <w:t xml:space="preserve">). The Dalai Lama’s </w:t>
      </w:r>
      <w:r>
        <w:rPr>
          <w:i/>
          <w:iCs/>
        </w:rPr>
        <w:t>An Open Heart</w:t>
      </w:r>
      <w:r>
        <w:rPr/>
        <w:t xml:space="preserve"> (</w:t>
      </w:r>
      <w:r>
        <w:rPr>
          <w:rStyle w:val="WW-sesame-zot-reference"/>
        </w:rPr>
        <w:t>Dalai Lama 2001a</w:t>
      </w:r>
      <w:r>
        <w:rPr/>
        <w:t xml:space="preserve">) and </w:t>
      </w:r>
      <w:r>
        <w:rPr>
          <w:i/>
          <w:iCs/>
        </w:rPr>
        <w:t>The Compassionate Life</w:t>
      </w:r>
      <w:r>
        <w:rPr/>
        <w:t xml:space="preserve"> (</w:t>
      </w:r>
      <w:r>
        <w:rPr>
          <w:rStyle w:val="WW-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sesame"/>
        </w:rPr>
        <w:t>Kāma Sūtra</w:t>
      </w:r>
      <w:r>
        <w:rPr/>
        <w:t xml:space="preserve">, the </w:t>
      </w:r>
      <w:r>
        <w:rPr>
          <w:rStyle w:val="WW-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WW-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WW-sesame"/>
        </w:rPr>
        <w:t>Motzu</w:t>
      </w:r>
      <w:r>
        <w:rPr/>
        <w:t xml:space="preserve">, who lived some 150 or 200 years after the Buddha. The accepted understanding of love in Chinese society before </w:t>
      </w:r>
      <w:r>
        <w:rPr>
          <w:rStyle w:val="WW-sesame"/>
        </w:rPr>
        <w:t>Motzu</w:t>
      </w:r>
      <w:r>
        <w:rPr/>
        <w:t xml:space="preserve"> was what </w:t>
      </w:r>
      <w:r>
        <w:rPr>
          <w:rStyle w:val="WW-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sesame"/>
        </w:rPr>
        <w:t>Motzu</w:t>
      </w:r>
      <w:r>
        <w:rPr/>
        <w:t xml:space="preserve"> contrasted </w:t>
      </w:r>
      <w:r>
        <w:rPr>
          <w:rStyle w:val="WW-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WW-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sesame"/>
        </w:rPr>
        <w:t>Kāma</w:t>
      </w:r>
      <w:r>
        <w:rPr/>
        <w:t xml:space="preserve"> would shoot it into their eye. For the ancient Indians it was seeing more than anything else that triggered attraction. </w:t>
      </w:r>
      <w:r>
        <w:rPr>
          <w:rStyle w:val="WW-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sesame"/>
        </w:rPr>
        <w:t>Kāma</w:t>
      </w:r>
      <w:r>
        <w:rPr/>
        <w:t xml:space="preserve"> occasionally makes an appearance in the Buddhist iconography of India. The pedestals of some Buddha images from India show a despondent figure with a broken or abandoned bow besides him. This is </w:t>
      </w:r>
      <w:r>
        <w:rPr>
          <w:rStyle w:val="WW-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sesame"/>
        </w:rPr>
        <w:t>Hariti</w:t>
      </w:r>
      <w:r>
        <w:rPr/>
        <w:t xml:space="preserve">, a goblin rather than a goddess, who represented maternal love. Legend had it that she and her husband </w:t>
      </w:r>
      <w:r>
        <w:rPr>
          <w:rStyle w:val="WW-sesame"/>
        </w:rPr>
        <w:t>Pancika</w:t>
      </w:r>
      <w:r>
        <w:rPr/>
        <w:t xml:space="preserve"> lurked in the forests and rocky crags around Rājagaha. They had scores of offspring, their favourite being Pingala. </w:t>
      </w:r>
      <w:r>
        <w:rPr>
          <w:rStyle w:val="WW-sesame"/>
        </w:rPr>
        <w:t>Hariti</w:t>
      </w:r>
      <w:r>
        <w:rPr/>
        <w:t xml:space="preserve"> would snatch unguarded or lone children so she and her brood could devour them. One day the distraught citizens of Rājagaha came to the Buddha begging him to do something about </w:t>
      </w:r>
      <w:r>
        <w:rPr>
          <w:rStyle w:val="WW-sesame"/>
        </w:rPr>
        <w:t>Hariti</w:t>
      </w:r>
      <w:r>
        <w:rPr/>
        <w:t xml:space="preserve">. Moved by compassion and agreeing to help, he tricked Pingala into following him and then hid him under his alms bowl. </w:t>
      </w:r>
      <w:r>
        <w:rPr>
          <w:rStyle w:val="WW-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sesame"/>
        </w:rPr>
        <w:t>Hariti</w:t>
      </w:r>
      <w:r>
        <w:rPr/>
        <w:t xml:space="preserve"> was particularly popular wherever Mahāyāna prevailed although shrines to her and images of her have been found in Thailand and Indonesia and she is mentioned in the Sri Lankan chronical, the </w:t>
      </w:r>
      <w:r>
        <w:rPr>
          <w:rStyle w:val="WW-sesame"/>
          <w:i/>
        </w:rPr>
        <w:t>Mahāvaṁsa</w:t>
      </w:r>
      <w:r>
        <w:rPr/>
        <w:t>.</w:t>
      </w:r>
      <w:r>
        <w:rPr>
          <w:rStyle w:val="FootnoteReference"/>
        </w:rPr>
        <w:footnoteReference w:id="222"/>
      </w:r>
      <w:r>
        <w:rPr/>
        <w:t xml:space="preserve"> The worship of </w:t>
      </w:r>
      <w:r>
        <w:rPr>
          <w:rStyle w:val="WW-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sesame"/>
        </w:rPr>
        <w:t>Avalokiteśvara</w:t>
      </w:r>
      <w:r>
        <w:rPr/>
        <w:t xml:space="preserve">, a name that means “the Lord who looks upon (with compassion).” </w:t>
      </w:r>
      <w:r>
        <w:rPr>
          <w:rStyle w:val="WW-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sesame"/>
        </w:rPr>
        <w:t>Avalokiteśvara</w:t>
      </w:r>
      <w:r>
        <w:rPr/>
        <w:t xml:space="preserve"> as “the Goddess of Mercy.” In Vietnamese </w:t>
      </w:r>
      <w:r>
        <w:rPr>
          <w:rStyle w:val="WW-sesame"/>
        </w:rPr>
        <w:t>Avalokiteśvara</w:t>
      </w:r>
      <w:r>
        <w:rPr/>
        <w:t xml:space="preserve"> is Kwan Am, in Japanese Kannon, in Tibetan Chenrezi, and in Sinhalese Nātha. In Chinese, Japanese and Vietnamese iconography, </w:t>
      </w:r>
      <w:r>
        <w:rPr>
          <w:rStyle w:val="WW-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WW-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sesame"/>
        </w:rPr>
        <w:t>Metteyya</w:t>
      </w:r>
      <w:r>
        <w:rPr/>
        <w:t xml:space="preserve">, better known by his Sanskrit name </w:t>
      </w:r>
      <w:r>
        <w:rPr>
          <w:rStyle w:val="WW-sesame"/>
        </w:rPr>
        <w:t>Maitreya</w:t>
      </w:r>
      <w:r>
        <w:rPr/>
        <w:t xml:space="preserve">. This name means the Loving One and </w:t>
      </w:r>
      <w:r>
        <w:rPr>
          <w:rStyle w:val="WW-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sesame"/>
        </w:rPr>
        <w:t>Metteyya</w:t>
      </w:r>
      <w:r>
        <w:rPr/>
        <w:t>.</w:t>
      </w:r>
    </w:p>
    <w:p>
      <w:pPr>
        <w:pStyle w:val="WW-paragraph"/>
        <w:rPr/>
      </w:pPr>
      <w:r>
        <w:rPr/>
        <w:t xml:space="preserve">Buddhists believe that the coming of </w:t>
      </w:r>
      <w:r>
        <w:rPr>
          <w:rStyle w:val="WW-sesame"/>
        </w:rPr>
        <w:t>Metteyya</w:t>
      </w:r>
      <w:r>
        <w:rPr/>
        <w:t xml:space="preserve"> will usher in a period in which all people and even animals and people will live in peace and harmony with each other. But that will all unfold in the distant future. In the meantime, </w:t>
      </w:r>
      <w:r>
        <w:rPr>
          <w:rStyle w:val="WW-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sesame"/>
        </w:rPr>
        <w:t>Metteyya</w:t>
      </w:r>
      <w:r>
        <w:rPr/>
        <w:t xml:space="preserve">, like his fellow bodhisattva </w:t>
      </w:r>
      <w:r>
        <w:rPr>
          <w:rStyle w:val="WW-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WW-sesame"/>
        </w:rPr>
        <w:t>Metteyya</w:t>
      </w:r>
      <w:r>
        <w:rPr/>
        <w:t xml:space="preserve"> just inside their main entrance, his broad smile welcoming everyone who comes.</w:t>
      </w:r>
    </w:p>
    <w:p>
      <w:pPr>
        <w:pStyle w:val="WW-paragraph"/>
        <w:rPr/>
      </w:pPr>
      <w:r>
        <w:rPr/>
        <w:t xml:space="preserve">Most Mahāyāna Buddhists believe that </w:t>
      </w:r>
      <w:r>
        <w:rPr>
          <w:rStyle w:val="WW-sesame"/>
        </w:rPr>
        <w:t>Avalokiteśvara</w:t>
      </w:r>
      <w:r>
        <w:rPr/>
        <w:t xml:space="preserve">, </w:t>
      </w:r>
      <w:r>
        <w:rPr>
          <w:rStyle w:val="WW-sesame"/>
        </w:rPr>
        <w:t>Metteyya</w:t>
      </w:r>
      <w:r>
        <w:rPr/>
        <w:t xml:space="preserve">, </w:t>
      </w:r>
      <w:r>
        <w:rPr>
          <w:rStyle w:val="WW-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spacing w:before="0" w:after="567"/>
        <w:rPr/>
      </w:pPr>
      <w:r>
        <w:rPr/>
        <w:t>References</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TableContents"/>
              <w:spacing w:lineRule="auto" w:line="240"/>
              <w:rPr/>
            </w:pPr>
            <w:r>
              <w:rPr/>
            </w:r>
          </w:p>
        </w:tc>
        <w:tc>
          <w:tcPr>
            <w:tcW w:w="3934" w:type="dxa"/>
            <w:tcBorders/>
          </w:tcPr>
          <w:p>
            <w:pPr>
              <w:pStyle w:val="TableContents"/>
              <w:spacing w:lineRule="auto" w:line="240"/>
              <w:rPr/>
            </w:pPr>
            <w:r>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t xml:space="preserve">All references </w:t>
      </w:r>
      <w:r>
        <w:rPr/>
        <w:t xml:space="preserve">in square brackets and starting with PTS </w:t>
      </w:r>
      <w:r>
        <w:rPr/>
        <w:t>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WW-sesame-zot-referenc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WW-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WW-sesame"/>
        </w:rPr>
        <w:t>Vism</w:t>
      </w:r>
      <w:r>
        <w:rPr/>
        <w:t>. 318.</w:t>
      </w:r>
    </w:p>
  </w:footnote>
  <w:footnote w:id="6">
    <w:p>
      <w:pPr>
        <w:pStyle w:val="FootnoteText"/>
        <w:rPr>
          <w:lang w:val="en-GB"/>
        </w:rPr>
      </w:pPr>
      <w:r>
        <w:rPr>
          <w:rStyle w:val="FootnoteCharacters"/>
        </w:rPr>
        <w:footnoteRef/>
      </w:r>
      <w:r>
        <w:rPr/>
        <w:tab/>
        <w:t xml:space="preserve"> </w:t>
      </w:r>
      <w:r>
        <w:rPr>
          <w:rStyle w:val="WW-sesame-zot-reference"/>
        </w:rPr>
        <w:t>Peck 1997</w:t>
      </w:r>
      <w:r>
        <w:rPr/>
        <w:t>, p.69.</w:t>
      </w:r>
    </w:p>
  </w:footnote>
  <w:footnote w:id="7">
    <w:p>
      <w:pPr>
        <w:pStyle w:val="FootnoteText"/>
        <w:rPr>
          <w:lang w:val="en-GB"/>
        </w:rPr>
      </w:pPr>
      <w:r>
        <w:rPr>
          <w:rStyle w:val="FootnoteCharacters"/>
        </w:rPr>
        <w:footnoteRef/>
      </w:r>
      <w:r>
        <w:rPr/>
        <w:tab/>
        <w:t xml:space="preserve"> </w:t>
      </w:r>
      <w:r>
        <w:rPr>
          <w:rStyle w:val="WW-sesame-zot-referenc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WW-sesame-zot-referenc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WW-sesame"/>
        </w:rPr>
        <w:t>Rāmāyaṇa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WW-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WW-sesame-zot-referenc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WW-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WW-sesame-zot-referenc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WW-sesame-zot-reference"/>
        </w:rPr>
        <w:t>Droge and Tabor 1992</w:t>
      </w:r>
      <w:r>
        <w:rPr/>
        <w:t xml:space="preserve">. On the Buddhist idea see </w:t>
      </w:r>
      <w:r>
        <w:rPr>
          <w:rStyle w:val="WW-sesame-zot-referenc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WW-sesame-zot-referenc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sesame-zot-referenc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WW-sesame-zot-referenc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WW-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WW-sesame-zot-referenc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WW-sesame-zot-reference"/>
          <w:i/>
        </w:rPr>
        <w:t>Saddhammopāy</w:t>
      </w:r>
      <w:r>
        <w:rPr>
          <w:rStyle w:val="WW-sesame-zot-referenc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WW-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WW-sesame-zot-reference"/>
          <w:i/>
        </w:rPr>
        <w:t>Jātakam</w:t>
      </w:r>
      <w:r>
        <w:rPr>
          <w:rStyle w:val="WW-sesame-zot-referenc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WW-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WW-sesame-zot-reference"/>
        </w:rPr>
        <w:t>Fromm 1956</w:t>
      </w:r>
      <w:r>
        <w:rPr/>
        <w:t xml:space="preserve"> p.57 ff, and </w:t>
      </w:r>
      <w:r>
        <w:rPr>
          <w:rStyle w:val="WW-sesame-zot-referenc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WW-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WW-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WW-sesame-zot-referenc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WW-sesame-zot-referenc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WW-sesame-zot-referenc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WW-sesame-zot-referenc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WW-sesame-zot-referenc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WW-sesame-zot-referenc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WW-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WW-sesame"/>
          <w:i/>
        </w:rPr>
        <w:t>Mahāv</w:t>
      </w:r>
      <w:r>
        <w:rPr>
          <w:rStyle w:val="WW-sesame"/>
        </w:rPr>
        <w:t>aṁsa</w:t>
      </w:r>
      <w:r>
        <w:rPr/>
        <w:t xml:space="preserve"> XII,21. Being a popular legend that developed several centuries after the Buddha the </w:t>
      </w:r>
      <w:r>
        <w:rPr>
          <w:rStyle w:val="WW-sesame"/>
        </w:rPr>
        <w:t>Hariti</w:t>
      </w:r>
      <w:r>
        <w:rPr/>
        <w:t xml:space="preserve"> story is not found in the Pāḷi Tipitaka. Consequently the </w:t>
      </w:r>
      <w:r>
        <w:rPr>
          <w:rStyle w:val="WW-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WW-sesame"/>
        </w:rPr>
        <w:t>Kṣitigarbha</w:t>
      </w:r>
      <w:r>
        <w:rPr/>
        <w:t xml:space="preserve"> is also known as Migawari Jizo, “He Who Takes Upon Himself Our Suffering.” Statues of </w:t>
      </w:r>
      <w:r>
        <w:rPr>
          <w:rStyle w:val="WW-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9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fals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color w:val="006400"/>
      <w:shd w:fill="auto"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character" w:styleId="WW-sesame">
    <w:name w:val="WW-sesame"/>
    <w:qFormat/>
    <w:rPr>
      <w:rFonts w:ascii="Arial" w:hAnsi="Arial" w:eastAsia="Arial" w:cs="DejaVu Sans" w:asciiTheme="minorHAnsi" w:cstheme="minorBidi" w:eastAsiaTheme="minorHAnsi" w:hAnsiTheme="minorHAnsi"/>
      <w:color w:val="FFDEAD"/>
      <w:kern w:val="0"/>
      <w:shd w:fill="808080" w:val="clear"/>
    </w:rPr>
  </w:style>
  <w:style w:type="character" w:styleId="WW-sesame-zot-reference" w:customStyle="1">
    <w:name w:val="WW-sesame-zot-reference"/>
    <w:qFormat/>
    <w:rsid w:val="00c54551"/>
    <w:rPr>
      <w:color w:val="FFF0F5"/>
      <w:position w:val="0"/>
      <w:sz w:val="24"/>
      <w:sz w:val="24"/>
      <w:shd w:fill="800000" w:val="clear"/>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fals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fals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fals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fals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fals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fals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fals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fals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fals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fals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fals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fals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Application>LibreOffice/24.8.4.2$Windows_X86_64 LibreOffice_project/bb3cfa12c7b1bf994ecc5649a80400d06cd71002</Application>
  <AppVersion>15.0000</AppVersion>
  <Pages>115</Pages>
  <Words>54285</Words>
  <Characters>261751</Characters>
  <CharactersWithSpaces>315316</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2025-01-15T16:16:24Z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