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 </w:t>
        <w:br/>
        <w:t>For oneself and others also.</w:t>
        <w:br/>
        <w:t xml:space="preserve">All should be suffused with </w:t>
      </w:r>
      <w:r>
        <w:rPr>
          <w:rStyle w:val="wwc-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WW-paragraph"/>
              <w:spacing w:before="170" w:after="170"/>
              <w:rPr/>
            </w:pPr>
            <w:r>
              <w:rPr/>
            </w:r>
          </w:p>
        </w:tc>
        <w:tc>
          <w:tcPr>
            <w:tcW w:w="3934" w:type="dxa"/>
            <w:tcBorders/>
          </w:tcPr>
          <w:p>
            <w:pPr>
              <w:pStyle w:val="WW-paragraph"/>
              <w:spacing w:before="170" w:after="170"/>
              <w:rPr/>
            </w:pPr>
            <w:r>
              <w:rPr/>
            </w:r>
          </w:p>
        </w:tc>
      </w:tr>
      <w:tr>
        <w:trPr>
          <w:trHeight w:val="287" w:hRule="atLeast"/>
        </w:trPr>
        <w:tc>
          <w:tcPr>
            <w:tcW w:w="1696" w:type="dxa"/>
            <w:tcBorders>
              <w:top w:val="nil"/>
            </w:tcBorders>
          </w:tcPr>
          <w:p>
            <w:pPr>
              <w:pStyle w:val="WW-paragraph"/>
              <w:spacing w:before="170" w:after="170"/>
              <w:rPr>
                <w:rFonts w:eastAsia="Calibri" w:cs=""/>
                <w:kern w:val="0"/>
                <w:szCs w:val="22"/>
                <w:lang w:val="en-GB" w:eastAsia="en-US" w:bidi="ar-SA"/>
              </w:rPr>
            </w:pPr>
            <w:r>
              <w:rPr/>
              <w:t>A</w:t>
            </w:r>
          </w:p>
        </w:tc>
        <w:tc>
          <w:tcPr>
            <w:tcW w:w="3934" w:type="dxa"/>
            <w:tcBorders>
              <w:top w:val="nil"/>
            </w:tcBorders>
          </w:tcPr>
          <w:p>
            <w:pPr>
              <w:pStyle w:val="WW-paragraph"/>
              <w:spacing w:before="170" w:after="170"/>
              <w:rPr>
                <w:rFonts w:eastAsia="Calibri" w:cs=""/>
                <w:kern w:val="0"/>
                <w:szCs w:val="22"/>
                <w:lang w:val="en-GB" w:eastAsia="en-US" w:bidi="ar-SA"/>
              </w:rPr>
            </w:pPr>
            <w:r>
              <w:rPr/>
              <w:t>Anguttara Nikāya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Cp</w:t>
            </w:r>
          </w:p>
        </w:tc>
        <w:tc>
          <w:tcPr>
            <w:tcW w:w="3934" w:type="dxa"/>
            <w:tcBorders/>
          </w:tcPr>
          <w:p>
            <w:pPr>
              <w:pStyle w:val="WW-paragraph"/>
              <w:spacing w:before="170" w:after="170"/>
              <w:rPr>
                <w:rFonts w:eastAsia="Calibri" w:cs=""/>
                <w:kern w:val="0"/>
                <w:szCs w:val="22"/>
                <w:lang w:val="en-GB" w:eastAsia="en-US" w:bidi="ar-SA"/>
              </w:rPr>
            </w:pPr>
            <w:r>
              <w:rPr/>
              <w:t>Cariyapiṭaka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Cp-a</w:t>
            </w:r>
          </w:p>
        </w:tc>
        <w:tc>
          <w:tcPr>
            <w:tcW w:w="3934" w:type="dxa"/>
            <w:tcBorders/>
          </w:tcPr>
          <w:p>
            <w:pPr>
              <w:pStyle w:val="WW-paragraph"/>
              <w:spacing w:before="170" w:after="170"/>
              <w:rPr>
                <w:rFonts w:eastAsia="Calibri" w:cs=""/>
                <w:kern w:val="0"/>
                <w:szCs w:val="22"/>
                <w:lang w:val="en-GB" w:eastAsia="en-US" w:bidi="ar-SA"/>
              </w:rPr>
            </w:pPr>
            <w:r>
              <w:rPr/>
              <w:t>Cariyāpitaka Atthakathā</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Dhs</w:t>
            </w:r>
          </w:p>
        </w:tc>
        <w:tc>
          <w:tcPr>
            <w:tcW w:w="3934" w:type="dxa"/>
            <w:tcBorders/>
          </w:tcPr>
          <w:p>
            <w:pPr>
              <w:pStyle w:val="WW-paragraph"/>
              <w:spacing w:before="170" w:after="170"/>
              <w:rPr>
                <w:rFonts w:eastAsia="Calibri" w:cs=""/>
                <w:kern w:val="0"/>
                <w:szCs w:val="22"/>
                <w:lang w:val="en-GB" w:eastAsia="en-US" w:bidi="ar-SA"/>
              </w:rPr>
            </w:pPr>
            <w:r>
              <w:rPr/>
              <w:t>Dhammasangaṇī</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Dhp</w:t>
            </w:r>
          </w:p>
        </w:tc>
        <w:tc>
          <w:tcPr>
            <w:tcW w:w="3934" w:type="dxa"/>
            <w:tcBorders/>
          </w:tcPr>
          <w:p>
            <w:pPr>
              <w:pStyle w:val="WW-paragraph"/>
              <w:spacing w:before="170" w:after="170"/>
              <w:rPr>
                <w:rFonts w:eastAsia="Calibri" w:cs=""/>
                <w:kern w:val="0"/>
                <w:szCs w:val="22"/>
                <w:lang w:val="en-GB" w:eastAsia="en-US" w:bidi="ar-SA"/>
              </w:rPr>
            </w:pPr>
            <w:r>
              <w:rPr/>
              <w:t>Dhammapada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It</w:t>
            </w:r>
          </w:p>
        </w:tc>
        <w:tc>
          <w:tcPr>
            <w:tcW w:w="3934" w:type="dxa"/>
            <w:tcBorders/>
          </w:tcPr>
          <w:p>
            <w:pPr>
              <w:pStyle w:val="WW-paragraph"/>
              <w:spacing w:before="170" w:after="170"/>
              <w:rPr>
                <w:rFonts w:eastAsia="Calibri" w:cs=""/>
                <w:kern w:val="0"/>
                <w:szCs w:val="22"/>
                <w:lang w:val="en-GB" w:eastAsia="en-US" w:bidi="ar-SA"/>
              </w:rPr>
            </w:pPr>
            <w:r>
              <w:rPr/>
              <w:t>Itivuttaka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Ja</w:t>
            </w:r>
          </w:p>
        </w:tc>
        <w:tc>
          <w:tcPr>
            <w:tcW w:w="3934" w:type="dxa"/>
            <w:tcBorders/>
          </w:tcPr>
          <w:p>
            <w:pPr>
              <w:pStyle w:val="WW-paragraph"/>
              <w:spacing w:before="170" w:after="170"/>
              <w:rPr>
                <w:rFonts w:eastAsia="Calibri" w:cs=""/>
                <w:kern w:val="0"/>
                <w:szCs w:val="22"/>
                <w:lang w:val="en-GB" w:eastAsia="en-US" w:bidi="ar-SA"/>
              </w:rPr>
            </w:pPr>
            <w:r>
              <w:rPr/>
              <w:t>Jātaka and its commentary</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M</w:t>
            </w:r>
          </w:p>
        </w:tc>
        <w:tc>
          <w:tcPr>
            <w:tcW w:w="3934" w:type="dxa"/>
            <w:tcBorders/>
          </w:tcPr>
          <w:p>
            <w:pPr>
              <w:pStyle w:val="WW-paragraph"/>
              <w:spacing w:before="170" w:after="170"/>
              <w:rPr>
                <w:rFonts w:eastAsia="Calibri" w:cs=""/>
                <w:kern w:val="0"/>
                <w:szCs w:val="22"/>
                <w:lang w:val="en-GB" w:eastAsia="en-US" w:bidi="ar-SA"/>
              </w:rPr>
            </w:pPr>
            <w:r>
              <w:rPr/>
              <w:t>Majjhima Nikāya</w:t>
            </w:r>
          </w:p>
        </w:tc>
      </w:tr>
      <w:tr>
        <w:trPr>
          <w:trHeight w:val="354" w:hRule="atLeast"/>
        </w:trPr>
        <w:tc>
          <w:tcPr>
            <w:tcW w:w="1696" w:type="dxa"/>
            <w:tcBorders/>
          </w:tcPr>
          <w:p>
            <w:pPr>
              <w:pStyle w:val="WW-paragraph"/>
              <w:spacing w:before="170" w:after="170"/>
              <w:rPr>
                <w:rFonts w:eastAsia="Calibri" w:cs=""/>
                <w:kern w:val="0"/>
                <w:szCs w:val="22"/>
                <w:lang w:val="en-GB" w:eastAsia="en-US" w:bidi="ar-SA"/>
              </w:rPr>
            </w:pPr>
            <w:r>
              <w:rPr/>
              <w:t>Mv</w:t>
            </w:r>
          </w:p>
        </w:tc>
        <w:tc>
          <w:tcPr>
            <w:tcW w:w="3934" w:type="dxa"/>
            <w:tcBorders/>
          </w:tcPr>
          <w:p>
            <w:pPr>
              <w:pStyle w:val="WW-paragraph"/>
              <w:spacing w:before="170" w:after="170"/>
              <w:rPr>
                <w:rFonts w:eastAsia="Calibri" w:cs=""/>
                <w:kern w:val="0"/>
                <w:szCs w:val="22"/>
                <w:lang w:val="en-GB" w:eastAsia="en-US" w:bidi="ar-SA"/>
              </w:rPr>
            </w:pPr>
            <w:r>
              <w:rPr/>
              <w:t>Mahāvastu</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Mil</w:t>
            </w:r>
          </w:p>
        </w:tc>
        <w:tc>
          <w:tcPr>
            <w:tcW w:w="3934" w:type="dxa"/>
            <w:tcBorders/>
          </w:tcPr>
          <w:p>
            <w:pPr>
              <w:pStyle w:val="WW-paragraph"/>
              <w:spacing w:before="170" w:after="170"/>
              <w:rPr>
                <w:rFonts w:eastAsia="Calibri" w:cs=""/>
                <w:kern w:val="0"/>
                <w:szCs w:val="22"/>
                <w:lang w:val="en-GB" w:eastAsia="en-US" w:bidi="ar-SA"/>
              </w:rPr>
            </w:pPr>
            <w:r>
              <w:rPr/>
              <w:t>Milindapañha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S</w:t>
            </w:r>
          </w:p>
        </w:tc>
        <w:tc>
          <w:tcPr>
            <w:tcW w:w="3934" w:type="dxa"/>
            <w:tcBorders/>
          </w:tcPr>
          <w:p>
            <w:pPr>
              <w:pStyle w:val="WW-paragraph"/>
              <w:spacing w:before="170" w:after="170"/>
              <w:rPr>
                <w:rFonts w:eastAsia="Calibri" w:cs=""/>
                <w:kern w:val="0"/>
                <w:szCs w:val="22"/>
                <w:lang w:val="en-GB" w:eastAsia="en-US" w:bidi="ar-SA"/>
              </w:rPr>
            </w:pPr>
            <w:r>
              <w:rPr/>
              <w:t>Samyutta Nikāya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Sn</w:t>
            </w:r>
          </w:p>
        </w:tc>
        <w:tc>
          <w:tcPr>
            <w:tcW w:w="3934" w:type="dxa"/>
            <w:tcBorders/>
          </w:tcPr>
          <w:p>
            <w:pPr>
              <w:pStyle w:val="WW-paragraph"/>
              <w:spacing w:before="170" w:after="170"/>
              <w:rPr>
                <w:rFonts w:eastAsia="Calibri" w:cs=""/>
                <w:kern w:val="0"/>
                <w:szCs w:val="22"/>
                <w:lang w:val="en-GB" w:eastAsia="en-US" w:bidi="ar-SA"/>
              </w:rPr>
            </w:pPr>
            <w:r>
              <w:rPr/>
              <w:t>Sutta Nipāta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Th</w:t>
            </w:r>
          </w:p>
        </w:tc>
        <w:tc>
          <w:tcPr>
            <w:tcW w:w="3934" w:type="dxa"/>
            <w:tcBorders/>
          </w:tcPr>
          <w:p>
            <w:pPr>
              <w:pStyle w:val="WW-paragraph"/>
              <w:spacing w:before="170" w:after="170"/>
              <w:rPr>
                <w:rFonts w:eastAsia="Calibri" w:cs=""/>
                <w:kern w:val="0"/>
                <w:szCs w:val="22"/>
                <w:lang w:val="en-GB" w:eastAsia="en-US" w:bidi="ar-SA"/>
              </w:rPr>
            </w:pPr>
            <w:r>
              <w:rPr/>
              <w:t>Theragātha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Thi</w:t>
            </w:r>
          </w:p>
        </w:tc>
        <w:tc>
          <w:tcPr>
            <w:tcW w:w="3934" w:type="dxa"/>
            <w:tcBorders/>
          </w:tcPr>
          <w:p>
            <w:pPr>
              <w:pStyle w:val="WW-paragraph"/>
              <w:spacing w:before="170" w:after="170"/>
              <w:rPr>
                <w:rFonts w:eastAsia="Calibri" w:cs=""/>
                <w:kern w:val="0"/>
                <w:szCs w:val="22"/>
                <w:lang w:val="en-GB" w:eastAsia="en-US" w:bidi="ar-SA"/>
              </w:rPr>
            </w:pPr>
            <w:r>
              <w:rPr/>
              <w:t>Therigātha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Ud</w:t>
            </w:r>
          </w:p>
        </w:tc>
        <w:tc>
          <w:tcPr>
            <w:tcW w:w="3934" w:type="dxa"/>
            <w:tcBorders/>
          </w:tcPr>
          <w:p>
            <w:pPr>
              <w:pStyle w:val="WW-paragraph"/>
              <w:spacing w:before="170" w:after="170"/>
              <w:rPr>
                <w:rFonts w:eastAsia="Calibri" w:cs=""/>
                <w:kern w:val="0"/>
                <w:szCs w:val="22"/>
                <w:lang w:val="en-GB" w:eastAsia="en-US" w:bidi="ar-SA"/>
              </w:rPr>
            </w:pPr>
            <w:r>
              <w:rPr/>
              <w:t>Udāna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Vin</w:t>
            </w:r>
          </w:p>
        </w:tc>
        <w:tc>
          <w:tcPr>
            <w:tcW w:w="3934" w:type="dxa"/>
            <w:tcBorders/>
          </w:tcPr>
          <w:p>
            <w:pPr>
              <w:pStyle w:val="WW-paragraph"/>
              <w:spacing w:before="170" w:after="170"/>
              <w:rPr>
                <w:rFonts w:eastAsia="Calibri" w:cs=""/>
                <w:kern w:val="0"/>
                <w:szCs w:val="22"/>
                <w:lang w:val="en-GB" w:eastAsia="en-US" w:bidi="ar-SA"/>
              </w:rPr>
            </w:pPr>
            <w:r>
              <w:rPr/>
              <w:t>Vinaya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Vism</w:t>
            </w:r>
          </w:p>
        </w:tc>
        <w:tc>
          <w:tcPr>
            <w:tcW w:w="3934" w:type="dxa"/>
            <w:tcBorders/>
          </w:tcPr>
          <w:p>
            <w:pPr>
              <w:pStyle w:val="WW-paragraph"/>
              <w:spacing w:before="170" w:after="170"/>
              <w:rPr>
                <w:rFonts w:eastAsia="Calibri" w:cs=""/>
                <w:kern w:val="0"/>
                <w:szCs w:val="22"/>
                <w:lang w:val="en-GB" w:eastAsia="en-US" w:bidi="ar-SA"/>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scadia Mono Light">
    <w:charset w:val="00" w:characterSet="windows-1252"/>
    <w:family w:val="roman"/>
    <w:pitch w:val="variable"/>
  </w:font>
  <w:font w:name="Gentium Book Plus">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2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tru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536DFE"/>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006400"/>
      <w:shd w:fill="auto" w:val="clear"/>
    </w:rPr>
  </w:style>
  <w:style w:type="character" w:styleId="wwc-sesame-zot-reference" w:customStyle="1">
    <w:name w:val="wwc-sesame-zot-reference"/>
    <w:qFormat/>
    <w:rsid w:val="00c54551"/>
    <w:rPr>
      <w:color w:val="FFF0F5"/>
      <w:position w:val="0"/>
      <w:sz w:val="24"/>
      <w:sz w:val="24"/>
      <w:shd w:fill="800000" w:val="clear"/>
      <w:vertAlign w:val="baseline"/>
    </w:rPr>
  </w:style>
  <w:style w:type="character" w:styleId="wwc-sesame">
    <w:name w:val="wwc-sesame"/>
    <w:qFormat/>
    <w:rPr>
      <w:rFonts w:ascii="Arial" w:hAnsi="Arial" w:eastAsia="Arial" w:cs="DejaVu Sans" w:asciiTheme="minorHAnsi" w:cstheme="minorBidi" w:eastAsiaTheme="minorHAnsi" w:hAnsiTheme="minorHAnsi"/>
      <w:color w:val="FFDEAD"/>
      <w:kern w:val="0"/>
      <w:shd w:fill="808080" w:val="clear"/>
    </w:rPr>
  </w:style>
  <w:style w:type="character" w:styleId="wwc-PTS-reference" w:customStyle="1">
    <w:name w:val="wwc-PTS-reference"/>
    <w:basedOn w:val="DefaultParagraphFont"/>
    <w:qFormat/>
    <w:rsid w:val="00f9275c"/>
    <w:rPr>
      <w:color w:val="FFB6C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0"/>
      <w:jc w:val="start"/>
    </w:pPr>
    <w:rPr>
      <w:rFonts w:ascii="Liberation Serif" w:hAnsi="Liberation Serif" w:eastAsia="NSimSun" w:cs="Lucida Sans"/>
      <w:color w:val="000000"/>
      <w:kern w:val="2"/>
      <w:sz w:val="24"/>
      <w:szCs w:val="24"/>
      <w:shd w:fill="FDF5E6"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Application>LibreOffice/24.8.4.2$Windows_X86_64 LibreOffice_project/bb3cfa12c7b1bf994ecc5649a80400d06cd71002</Application>
  <AppVersion>15.0000</AppVersion>
  <Pages>116</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2025-01-18T12:57:29Z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