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kalyāṇa</w:t>
      </w:r>
      <w:r>
        <w:rPr/>
        <w:t xml:space="preserve"> </w:t>
      </w:r>
      <w:r>
        <w:rPr>
          <w:rStyle w:val="wwc-pali"/>
        </w:rPr>
        <w:t>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w:t>
      </w:r>
      <w:r>
        <w:rPr/>
        <w:t xml:space="preserve"> </w:t>
      </w:r>
      <w:r>
        <w:rPr>
          <w:rStyle w:val="wwc-pali"/>
        </w:rPr>
        <w:t>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w:t>
      </w:r>
      <w:r>
        <w:rPr/>
        <w:t xml:space="preserve"> </w:t>
      </w:r>
      <w:r>
        <w:rPr>
          <w:rStyle w:val="wwc-pali"/>
        </w:rPr>
        <w:t>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w:t>
      </w:r>
      <w:r>
        <w:rPr/>
        <w:t xml:space="preserve"> </w:t>
      </w:r>
      <w:r>
        <w:rPr>
          <w:rStyle w:val="wwc-pali"/>
        </w:rPr>
        <w:t>mitta</w:t>
      </w:r>
      <w:r>
        <w:rPr/>
        <w:t xml:space="preserve"> and their relationship is called </w:t>
      </w:r>
      <w:r>
        <w:rPr>
          <w:rStyle w:val="wwc-pali"/>
        </w:rPr>
        <w:t>kalyāṇa</w:t>
      </w:r>
      <w:r>
        <w:rPr/>
        <w:t xml:space="preserve"> </w:t>
      </w:r>
      <w:r>
        <w:rPr>
          <w:rStyle w:val="wwc-pali"/>
        </w:rPr>
        <w:t>mittata</w:t>
      </w:r>
      <w:r>
        <w:rPr/>
        <w:t xml:space="preserve">. A </w:t>
      </w:r>
      <w:r>
        <w:rPr>
          <w:rStyle w:val="wwc-pali"/>
        </w:rPr>
        <w:t>kalyāṇa</w:t>
      </w:r>
      <w:r>
        <w:rPr/>
        <w:t xml:space="preserve"> </w:t>
      </w:r>
      <w:r>
        <w:rPr>
          <w:rStyle w:val="wwc-pali"/>
        </w:rPr>
        <w:t>mitta</w:t>
      </w:r>
      <w:r>
        <w:rPr/>
        <w:t xml:space="preserve"> is the ideal friend—or could be translated as spiritual friend—and </w:t>
      </w:r>
      <w:r>
        <w:rPr>
          <w:rStyle w:val="wwc-pali"/>
        </w:rPr>
        <w:t>kalyāṇa</w:t>
      </w:r>
      <w:r>
        <w:rPr/>
        <w:t xml:space="preserve"> </w:t>
      </w:r>
      <w:r>
        <w:rPr>
          <w:rStyle w:val="wwc-pali"/>
        </w:rPr>
        <w:t>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w:t>
      </w:r>
      <w:r>
        <w:rPr/>
        <w:t xml:space="preserve"> </w:t>
      </w:r>
      <w:r>
        <w:rPr>
          <w:rStyle w:val="wwc-pali"/>
        </w:rPr>
        <w:t>samaṇo</w:t>
      </w:r>
      <w:r>
        <w:rPr/>
        <w:t xml:space="preserve"> </w:t>
      </w:r>
      <w:r>
        <w:rPr>
          <w:rStyle w:val="wwc-pali"/>
        </w:rPr>
        <w:t>no</w:t>
      </w:r>
      <w:r>
        <w:rPr/>
        <w:t xml:space="preserve"> </w:t>
      </w:r>
      <w:r>
        <w:rPr>
          <w:rStyle w:val="wwc-pali"/>
        </w:rPr>
        <w:t>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w:t>
      </w:r>
      <w:r>
        <w:rPr/>
        <w:t xml:space="preserve"> </w:t>
      </w:r>
      <w:r>
        <w:rPr>
          <w:rStyle w:val="wwc-pali"/>
        </w:rPr>
        <w:t>na</w:t>
      </w:r>
      <w:r>
        <w:rPr/>
        <w:t xml:space="preserve"> </w:t>
      </w:r>
      <w:r>
        <w:rPr>
          <w:rStyle w:val="wwc-pali"/>
        </w:rPr>
        <w:t>taṁ</w:t>
      </w:r>
      <w:r>
        <w:rPr/>
        <w:t xml:space="preserve"> </w:t>
      </w:r>
      <w:r>
        <w:rPr>
          <w:rStyle w:val="wwc-pali"/>
        </w:rPr>
        <w:t>tatrāvasissati</w:t>
      </w:r>
      <w:r>
        <w:rPr/>
        <w:t xml:space="preserve"> </w:t>
      </w:r>
      <w:r>
        <w:rPr>
          <w:rStyle w:val="wwc-pali"/>
        </w:rPr>
        <w:t>na</w:t>
      </w:r>
      <w:r>
        <w:rPr/>
        <w:t xml:space="preserve"> </w:t>
      </w:r>
      <w:r>
        <w:rPr>
          <w:rStyle w:val="wwc-pali"/>
        </w:rPr>
        <w:t>taṁ</w:t>
      </w:r>
      <w:r>
        <w:rPr/>
        <w:t xml:space="preserve"> </w:t>
      </w:r>
      <w:r>
        <w:rPr>
          <w:rStyle w:val="wwc-pali"/>
        </w:rPr>
        <w:t>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w:t>
      </w:r>
      <w:r>
        <w:rPr/>
        <w:t xml:space="preserve"> </w:t>
      </w:r>
      <w:r>
        <w:rPr>
          <w:rStyle w:val="wwc-pali"/>
        </w:rPr>
        <w:t>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w:t>
      </w:r>
      <w:r>
        <w:rPr/>
        <w:t xml:space="preserve"> </w:t>
      </w:r>
      <w:r>
        <w:rPr>
          <w:rStyle w:val="wwc-pali"/>
        </w:rPr>
        <w:t>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w:t>
      </w:r>
      <w:r>
        <w:rPr/>
        <w:t xml:space="preserve"> </w:t>
      </w:r>
      <w:r>
        <w:rPr>
          <w:rStyle w:val="wwc-pali"/>
        </w:rPr>
        <w:t>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w:t>
      </w:r>
      <w:r>
        <w:rPr/>
        <w:t xml:space="preserve"> </w:t>
      </w:r>
      <w:r>
        <w:rPr>
          <w:rStyle w:val="wwc-pali"/>
        </w:rPr>
        <w:t>vacī</w:t>
      </w:r>
      <w:r>
        <w:rPr/>
        <w:t xml:space="preserve"> </w:t>
      </w:r>
      <w:r>
        <w:rPr>
          <w:rStyle w:val="wwc-pali"/>
        </w:rPr>
        <w:t>kammena</w:t>
      </w:r>
      <w:r>
        <w:rPr/>
        <w:t xml:space="preserve"> and </w:t>
      </w:r>
      <w:r>
        <w:rPr>
          <w:rStyle w:val="wwc-pali"/>
        </w:rPr>
        <w:t>mettena</w:t>
      </w:r>
      <w:r>
        <w:rPr/>
        <w:t xml:space="preserve"> </w:t>
      </w:r>
      <w:r>
        <w:rPr>
          <w:rStyle w:val="wwc-pali"/>
        </w:rPr>
        <w:t>kāya</w:t>
      </w:r>
      <w:r>
        <w:rPr/>
        <w:t xml:space="preserve"> </w:t>
      </w:r>
      <w:r>
        <w:rPr>
          <w:rStyle w:val="wwc-pali"/>
        </w:rPr>
        <w:t>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w:t>
      </w:r>
      <w:r>
        <w:rPr/>
        <w:t xml:space="preserve"> </w:t>
      </w:r>
      <w:r>
        <w:rPr>
          <w:rStyle w:val="wwc-pali"/>
        </w:rPr>
        <w:t>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w:t>
      </w:r>
      <w:r>
        <w:rPr/>
        <w:t>-</w:t>
      </w:r>
      <w:r>
        <w:rPr>
          <w:rStyle w:val="wwc-pali"/>
        </w:rPr>
        <w:t>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w:t>
      </w:r>
      <w:r>
        <w:rPr/>
        <w:t xml:space="preserve"> </w:t>
      </w:r>
      <w:r>
        <w:rPr>
          <w:rStyle w:val="wwc-pali"/>
        </w:rPr>
        <w:t>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w:t>
      </w:r>
      <w:r>
        <w:rPr/>
        <w:t xml:space="preserve"> </w:t>
      </w:r>
      <w:r>
        <w:rPr>
          <w:rStyle w:val="wwc-pali"/>
        </w:rPr>
        <w:t>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w:t>
      </w:r>
      <w:r>
        <w:rPr/>
        <w:t xml:space="preserve"> </w:t>
      </w:r>
      <w:r>
        <w:rPr>
          <w:rStyle w:val="wwc-pali"/>
        </w:rPr>
        <w:t>citta</w:t>
      </w:r>
      <w:r>
        <w:rPr/>
        <w:t xml:space="preserve"> </w:t>
      </w:r>
      <w:r>
        <w:rPr>
          <w:rStyle w:val="wwc-pali"/>
        </w:rPr>
        <w:t>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w:t>
      </w:r>
      <w:r>
        <w:rPr/>
        <w:t xml:space="preserve"> </w:t>
      </w:r>
      <w:r>
        <w:rPr>
          <w:rStyle w:val="wwc-pali"/>
        </w:rPr>
        <w:t>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w:t>
      </w:r>
      <w:r>
        <w:rPr/>
        <w:t xml:space="preserve"> </w:t>
      </w:r>
      <w:r>
        <w:rPr>
          <w:rStyle w:val="wwc-pali"/>
        </w:rPr>
        <w:t>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w:t>
      </w:r>
      <w:r>
        <w:rPr/>
        <w:t xml:space="preserve"> </w:t>
      </w:r>
      <w:r>
        <w:rPr>
          <w:rStyle w:val="wwc-pali"/>
        </w:rPr>
        <w:t>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paragraph"/>
              <w:spacing w:before="170" w:after="170"/>
              <w:rPr/>
            </w:pPr>
            <w:r>
              <w:rPr/>
              <w:t>A</w:t>
            </w:r>
          </w:p>
        </w:tc>
        <w:tc>
          <w:tcPr>
            <w:tcW w:w="4819" w:type="dxa"/>
            <w:tcBorders/>
          </w:tcPr>
          <w:p>
            <w:pPr>
              <w:pStyle w:val="WW-paragraph"/>
              <w:spacing w:before="170" w:after="170"/>
              <w:rPr/>
            </w:pPr>
            <w:r>
              <w:rPr/>
              <w:t>Anguttara Nikāya</w:t>
            </w:r>
          </w:p>
        </w:tc>
      </w:tr>
      <w:tr>
        <w:trPr/>
        <w:tc>
          <w:tcPr>
            <w:tcW w:w="4818" w:type="dxa"/>
            <w:tcBorders/>
          </w:tcPr>
          <w:p>
            <w:pPr>
              <w:pStyle w:val="WW-paragraph"/>
              <w:spacing w:before="170" w:after="170"/>
              <w:rPr/>
            </w:pPr>
            <w:r>
              <w:rPr/>
              <w:t>Cp</w:t>
            </w:r>
          </w:p>
        </w:tc>
        <w:tc>
          <w:tcPr>
            <w:tcW w:w="4819" w:type="dxa"/>
            <w:tcBorders/>
          </w:tcPr>
          <w:p>
            <w:pPr>
              <w:pStyle w:val="WW-paragraph"/>
              <w:spacing w:before="170" w:after="170"/>
              <w:rPr/>
            </w:pPr>
            <w:r>
              <w:rPr/>
              <w:t>Cariyapiṭaka</w:t>
            </w:r>
          </w:p>
        </w:tc>
      </w:tr>
      <w:tr>
        <w:trPr/>
        <w:tc>
          <w:tcPr>
            <w:tcW w:w="4818" w:type="dxa"/>
            <w:tcBorders/>
          </w:tcPr>
          <w:p>
            <w:pPr>
              <w:pStyle w:val="WW-paragraph"/>
              <w:spacing w:before="170" w:after="170"/>
              <w:rPr/>
            </w:pPr>
            <w:r>
              <w:rPr/>
              <w:t>Cp-a</w:t>
            </w:r>
          </w:p>
        </w:tc>
        <w:tc>
          <w:tcPr>
            <w:tcW w:w="4819" w:type="dxa"/>
            <w:tcBorders/>
          </w:tcPr>
          <w:p>
            <w:pPr>
              <w:pStyle w:val="WW-paragraph"/>
              <w:spacing w:before="170" w:after="170"/>
              <w:rPr/>
            </w:pPr>
            <w:r>
              <w:rPr/>
              <w:t>Cariyāpitaka Atthakathā</w:t>
            </w:r>
          </w:p>
        </w:tc>
      </w:tr>
      <w:tr>
        <w:trPr/>
        <w:tc>
          <w:tcPr>
            <w:tcW w:w="4818" w:type="dxa"/>
            <w:tcBorders/>
          </w:tcPr>
          <w:p>
            <w:pPr>
              <w:pStyle w:val="WW-paragraph"/>
              <w:spacing w:before="170" w:after="170"/>
              <w:rPr/>
            </w:pPr>
            <w:r>
              <w:rPr/>
              <w:t>Dhs</w:t>
            </w:r>
          </w:p>
        </w:tc>
        <w:tc>
          <w:tcPr>
            <w:tcW w:w="4819" w:type="dxa"/>
            <w:tcBorders/>
          </w:tcPr>
          <w:p>
            <w:pPr>
              <w:pStyle w:val="WW-paragraph"/>
              <w:spacing w:before="170" w:after="170"/>
              <w:rPr/>
            </w:pPr>
            <w:r>
              <w:rPr/>
              <w:t>Dhammasangaṇī</w:t>
            </w:r>
          </w:p>
        </w:tc>
      </w:tr>
      <w:tr>
        <w:trPr/>
        <w:tc>
          <w:tcPr>
            <w:tcW w:w="4818" w:type="dxa"/>
            <w:tcBorders/>
          </w:tcPr>
          <w:p>
            <w:pPr>
              <w:pStyle w:val="WW-paragraph"/>
              <w:spacing w:before="170" w:after="170"/>
              <w:rPr/>
            </w:pPr>
            <w:r>
              <w:rPr/>
              <w:t>Dhp</w:t>
            </w:r>
          </w:p>
        </w:tc>
        <w:tc>
          <w:tcPr>
            <w:tcW w:w="4819" w:type="dxa"/>
            <w:tcBorders/>
          </w:tcPr>
          <w:p>
            <w:pPr>
              <w:pStyle w:val="WW-paragraph"/>
              <w:spacing w:before="170" w:after="170"/>
              <w:rPr/>
            </w:pPr>
            <w:r>
              <w:rPr/>
              <w:t>Dhammapada</w:t>
            </w:r>
          </w:p>
        </w:tc>
      </w:tr>
      <w:tr>
        <w:trPr/>
        <w:tc>
          <w:tcPr>
            <w:tcW w:w="4818" w:type="dxa"/>
            <w:tcBorders/>
          </w:tcPr>
          <w:p>
            <w:pPr>
              <w:pStyle w:val="WW-paragraph"/>
              <w:spacing w:before="170" w:after="170"/>
              <w:rPr/>
            </w:pPr>
            <w:r>
              <w:rPr/>
              <w:t>It</w:t>
            </w:r>
          </w:p>
        </w:tc>
        <w:tc>
          <w:tcPr>
            <w:tcW w:w="4819" w:type="dxa"/>
            <w:tcBorders/>
          </w:tcPr>
          <w:p>
            <w:pPr>
              <w:pStyle w:val="WW-paragraph"/>
              <w:spacing w:before="170" w:after="170"/>
              <w:rPr/>
            </w:pPr>
            <w:r>
              <w:rPr/>
              <w:t>Itivuttaka</w:t>
            </w:r>
          </w:p>
        </w:tc>
      </w:tr>
      <w:tr>
        <w:trPr/>
        <w:tc>
          <w:tcPr>
            <w:tcW w:w="4818" w:type="dxa"/>
            <w:tcBorders/>
          </w:tcPr>
          <w:p>
            <w:pPr>
              <w:pStyle w:val="WW-paragraph"/>
              <w:spacing w:before="170" w:after="170"/>
              <w:rPr/>
            </w:pPr>
            <w:r>
              <w:rPr/>
              <w:t>Ja</w:t>
            </w:r>
          </w:p>
        </w:tc>
        <w:tc>
          <w:tcPr>
            <w:tcW w:w="4819" w:type="dxa"/>
            <w:tcBorders/>
          </w:tcPr>
          <w:p>
            <w:pPr>
              <w:pStyle w:val="WW-paragraph"/>
              <w:spacing w:before="170" w:after="170"/>
              <w:rPr/>
            </w:pPr>
            <w:r>
              <w:rPr/>
              <w:t>Jātaka and its commentary</w:t>
            </w:r>
          </w:p>
        </w:tc>
      </w:tr>
      <w:tr>
        <w:trPr/>
        <w:tc>
          <w:tcPr>
            <w:tcW w:w="4818" w:type="dxa"/>
            <w:tcBorders/>
          </w:tcPr>
          <w:p>
            <w:pPr>
              <w:pStyle w:val="WW-paragraph"/>
              <w:spacing w:before="170" w:after="170"/>
              <w:rPr/>
            </w:pPr>
            <w:r>
              <w:rPr/>
              <w:t>M</w:t>
            </w:r>
          </w:p>
        </w:tc>
        <w:tc>
          <w:tcPr>
            <w:tcW w:w="4819" w:type="dxa"/>
            <w:tcBorders/>
          </w:tcPr>
          <w:p>
            <w:pPr>
              <w:pStyle w:val="WW-paragraph"/>
              <w:spacing w:before="170" w:after="170"/>
              <w:rPr/>
            </w:pPr>
            <w:r>
              <w:rPr/>
              <w:t>Majjhima Nikāya</w:t>
            </w:r>
          </w:p>
        </w:tc>
      </w:tr>
      <w:tr>
        <w:trPr/>
        <w:tc>
          <w:tcPr>
            <w:tcW w:w="4818" w:type="dxa"/>
            <w:tcBorders/>
          </w:tcPr>
          <w:p>
            <w:pPr>
              <w:pStyle w:val="WW-paragraph"/>
              <w:spacing w:before="170" w:after="170"/>
              <w:rPr/>
            </w:pPr>
            <w:r>
              <w:rPr/>
              <w:t>Mv</w:t>
            </w:r>
          </w:p>
        </w:tc>
        <w:tc>
          <w:tcPr>
            <w:tcW w:w="4819" w:type="dxa"/>
            <w:tcBorders/>
          </w:tcPr>
          <w:p>
            <w:pPr>
              <w:pStyle w:val="WW-paragraph"/>
              <w:spacing w:before="170" w:after="170"/>
              <w:rPr/>
            </w:pPr>
            <w:r>
              <w:rPr/>
              <w:t>Mahāvastu</w:t>
            </w:r>
          </w:p>
        </w:tc>
      </w:tr>
      <w:tr>
        <w:trPr/>
        <w:tc>
          <w:tcPr>
            <w:tcW w:w="4818" w:type="dxa"/>
            <w:tcBorders/>
          </w:tcPr>
          <w:p>
            <w:pPr>
              <w:pStyle w:val="WW-paragraph"/>
              <w:spacing w:before="170" w:after="170"/>
              <w:rPr/>
            </w:pPr>
            <w:r>
              <w:rPr/>
              <w:t>Mil</w:t>
            </w:r>
          </w:p>
        </w:tc>
        <w:tc>
          <w:tcPr>
            <w:tcW w:w="4819" w:type="dxa"/>
            <w:tcBorders/>
          </w:tcPr>
          <w:p>
            <w:pPr>
              <w:pStyle w:val="WW-paragraph"/>
              <w:spacing w:before="170" w:after="170"/>
              <w:rPr/>
            </w:pPr>
            <w:r>
              <w:rPr/>
              <w:t>Milindapañha</w:t>
            </w:r>
          </w:p>
        </w:tc>
      </w:tr>
      <w:tr>
        <w:trPr/>
        <w:tc>
          <w:tcPr>
            <w:tcW w:w="4818" w:type="dxa"/>
            <w:tcBorders/>
          </w:tcPr>
          <w:p>
            <w:pPr>
              <w:pStyle w:val="WW-paragraph"/>
              <w:spacing w:before="170" w:after="170"/>
              <w:rPr/>
            </w:pPr>
            <w:r>
              <w:rPr/>
              <w:t>S</w:t>
            </w:r>
          </w:p>
        </w:tc>
        <w:tc>
          <w:tcPr>
            <w:tcW w:w="4819" w:type="dxa"/>
            <w:tcBorders/>
          </w:tcPr>
          <w:p>
            <w:pPr>
              <w:pStyle w:val="WW-paragraph"/>
              <w:spacing w:before="170" w:after="170"/>
              <w:rPr/>
            </w:pPr>
            <w:r>
              <w:rPr/>
              <w:t>Samyutta Nikāya</w:t>
            </w:r>
          </w:p>
        </w:tc>
      </w:tr>
      <w:tr>
        <w:trPr/>
        <w:tc>
          <w:tcPr>
            <w:tcW w:w="4818" w:type="dxa"/>
            <w:tcBorders/>
          </w:tcPr>
          <w:p>
            <w:pPr>
              <w:pStyle w:val="WW-paragraph"/>
              <w:spacing w:before="170" w:after="170"/>
              <w:rPr/>
            </w:pPr>
            <w:r>
              <w:rPr/>
              <w:t>Sn</w:t>
            </w:r>
          </w:p>
        </w:tc>
        <w:tc>
          <w:tcPr>
            <w:tcW w:w="4819" w:type="dxa"/>
            <w:tcBorders/>
          </w:tcPr>
          <w:p>
            <w:pPr>
              <w:pStyle w:val="WW-paragraph"/>
              <w:spacing w:before="170" w:after="170"/>
              <w:rPr/>
            </w:pPr>
            <w:r>
              <w:rPr/>
              <w:t>Sutta Nipāta</w:t>
            </w:r>
          </w:p>
        </w:tc>
      </w:tr>
      <w:tr>
        <w:trPr/>
        <w:tc>
          <w:tcPr>
            <w:tcW w:w="4818" w:type="dxa"/>
            <w:tcBorders/>
          </w:tcPr>
          <w:p>
            <w:pPr>
              <w:pStyle w:val="WW-paragraph"/>
              <w:spacing w:before="170" w:after="170"/>
              <w:rPr/>
            </w:pPr>
            <w:r>
              <w:rPr/>
              <w:t>Th</w:t>
            </w:r>
          </w:p>
        </w:tc>
        <w:tc>
          <w:tcPr>
            <w:tcW w:w="4819" w:type="dxa"/>
            <w:tcBorders/>
          </w:tcPr>
          <w:p>
            <w:pPr>
              <w:pStyle w:val="WW-paragraph"/>
              <w:spacing w:before="170" w:after="170"/>
              <w:rPr/>
            </w:pPr>
            <w:r>
              <w:rPr/>
              <w:t>Theragātha</w:t>
            </w:r>
          </w:p>
        </w:tc>
      </w:tr>
      <w:tr>
        <w:trPr/>
        <w:tc>
          <w:tcPr>
            <w:tcW w:w="4818" w:type="dxa"/>
            <w:tcBorders/>
          </w:tcPr>
          <w:p>
            <w:pPr>
              <w:pStyle w:val="WW-paragraph"/>
              <w:spacing w:before="170" w:after="170"/>
              <w:rPr/>
            </w:pPr>
            <w:r>
              <w:rPr/>
              <w:t>Thi</w:t>
            </w:r>
          </w:p>
        </w:tc>
        <w:tc>
          <w:tcPr>
            <w:tcW w:w="4819" w:type="dxa"/>
            <w:tcBorders/>
          </w:tcPr>
          <w:p>
            <w:pPr>
              <w:pStyle w:val="WW-paragraph"/>
              <w:spacing w:before="170" w:after="170"/>
              <w:rPr/>
            </w:pPr>
            <w:r>
              <w:rPr/>
              <w:t>Therigātha</w:t>
            </w:r>
          </w:p>
        </w:tc>
      </w:tr>
      <w:tr>
        <w:trPr/>
        <w:tc>
          <w:tcPr>
            <w:tcW w:w="4818" w:type="dxa"/>
            <w:tcBorders/>
          </w:tcPr>
          <w:p>
            <w:pPr>
              <w:pStyle w:val="WW-paragraph"/>
              <w:spacing w:before="170" w:after="170"/>
              <w:rPr/>
            </w:pPr>
            <w:r>
              <w:rPr/>
              <w:t>Ud</w:t>
            </w:r>
          </w:p>
        </w:tc>
        <w:tc>
          <w:tcPr>
            <w:tcW w:w="4819" w:type="dxa"/>
            <w:tcBorders/>
          </w:tcPr>
          <w:p>
            <w:pPr>
              <w:pStyle w:val="WW-paragraph"/>
              <w:spacing w:before="170" w:after="170"/>
              <w:rPr/>
            </w:pPr>
            <w:r>
              <w:rPr/>
              <w:t>Udāna</w:t>
            </w:r>
          </w:p>
        </w:tc>
      </w:tr>
      <w:tr>
        <w:trPr/>
        <w:tc>
          <w:tcPr>
            <w:tcW w:w="4818" w:type="dxa"/>
            <w:tcBorders/>
          </w:tcPr>
          <w:p>
            <w:pPr>
              <w:pStyle w:val="WW-paragraph"/>
              <w:spacing w:before="170" w:after="170"/>
              <w:rPr/>
            </w:pPr>
            <w:r>
              <w:rPr/>
              <w:t>Vin</w:t>
            </w:r>
          </w:p>
        </w:tc>
        <w:tc>
          <w:tcPr>
            <w:tcW w:w="4819" w:type="dxa"/>
            <w:tcBorders/>
          </w:tcPr>
          <w:p>
            <w:pPr>
              <w:pStyle w:val="WW-paragraph"/>
              <w:spacing w:before="170" w:after="170"/>
              <w:rPr/>
            </w:pPr>
            <w:r>
              <w:rPr/>
              <w:t>Vinaya</w:t>
            </w:r>
          </w:p>
        </w:tc>
      </w:tr>
      <w:tr>
        <w:trPr/>
        <w:tc>
          <w:tcPr>
            <w:tcW w:w="4818" w:type="dxa"/>
            <w:tcBorders/>
          </w:tcPr>
          <w:p>
            <w:pPr>
              <w:pStyle w:val="WW-paragraph"/>
              <w:spacing w:before="170" w:after="170"/>
              <w:rPr/>
            </w:pPr>
            <w:r>
              <w:rPr/>
              <w:t>Vism</w:t>
            </w:r>
          </w:p>
        </w:tc>
        <w:tc>
          <w:tcPr>
            <w:tcW w:w="4819" w:type="dxa"/>
            <w:tcBorders/>
          </w:tcPr>
          <w:p>
            <w:pPr>
              <w:pStyle w:val="WW-paragraph"/>
              <w:spacing w:before="170" w:after="170"/>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w:t>
      </w:r>
      <w:r>
        <w:rPr/>
        <w:t xml:space="preserve"> </w:t>
      </w:r>
      <w:r>
        <w:rPr>
          <w:rStyle w:val="wwc-pali"/>
        </w:rPr>
        <w:t>vā</w:t>
      </w:r>
      <w:r>
        <w:rPr/>
        <w:t xml:space="preserve"> </w:t>
      </w:r>
      <w:r>
        <w:rPr>
          <w:rStyle w:val="wwc-pali"/>
        </w:rPr>
        <w:t>bhavā</w:t>
      </w:r>
      <w:r>
        <w:rPr/>
        <w:t xml:space="preserve"> </w:t>
      </w:r>
      <w:r>
        <w:rPr>
          <w:rStyle w:val="wwc-pali"/>
        </w:rPr>
        <w:t>mittassa</w:t>
      </w:r>
      <w:r>
        <w:rPr/>
        <w:t xml:space="preserve"> </w:t>
      </w:r>
      <w:r>
        <w:rPr>
          <w:rStyle w:val="wwc-pali"/>
        </w:rPr>
        <w:t>vā</w:t>
      </w:r>
      <w:r>
        <w:rPr/>
        <w:t xml:space="preserve"> </w:t>
      </w:r>
      <w:r>
        <w:rPr>
          <w:rStyle w:val="wwc-pali"/>
        </w:rPr>
        <w:t>esā</w:t>
      </w:r>
      <w:r>
        <w:rPr/>
        <w:t xml:space="preserve"> </w:t>
      </w:r>
      <w:r>
        <w:rPr>
          <w:rStyle w:val="wwc-pali"/>
        </w:rPr>
        <w:t>pavattī</w:t>
      </w:r>
      <w:r>
        <w:rPr/>
        <w:t xml:space="preserve"> </w:t>
      </w:r>
      <w:r>
        <w:rPr>
          <w:rStyle w:val="wwc-pali"/>
        </w:rPr>
        <w:t>ti</w:t>
      </w:r>
      <w:r>
        <w:rPr/>
        <w:t xml:space="preserve"> </w:t>
      </w:r>
      <w:r>
        <w:rPr>
          <w:rStyle w:val="wwc-pali"/>
        </w:rPr>
        <w:t>pi</w:t>
      </w:r>
      <w:r>
        <w:rPr/>
        <w:t xml:space="preserve"> </w:t>
      </w:r>
      <w:r>
        <w:rPr>
          <w:rStyle w:val="wwc-pali"/>
        </w:rPr>
        <w:t>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w:t>
      </w:r>
      <w:r>
        <w:rPr/>
        <w:t xml:space="preserve"> </w:t>
      </w:r>
      <w:r>
        <w:rPr>
          <w:rStyle w:val="wwc-pali"/>
        </w:rPr>
        <w:t>upamaṁ</w:t>
      </w:r>
      <w:r>
        <w:rPr/>
        <w:t xml:space="preserve"> </w:t>
      </w:r>
      <w:r>
        <w:rPr>
          <w:rStyle w:val="wwc-pali"/>
        </w:rPr>
        <w:t>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w:t>
      </w:r>
      <w:r>
        <w:rPr/>
        <w:t xml:space="preserve"> </w:t>
      </w:r>
      <w:r>
        <w:rPr>
          <w:rStyle w:val="wwc-pali"/>
        </w:rPr>
        <w:t>ahaṁ</w:t>
      </w:r>
      <w:r>
        <w:rPr/>
        <w:t xml:space="preserve"> </w:t>
      </w:r>
      <w:r>
        <w:rPr>
          <w:rStyle w:val="wwc-pali"/>
        </w:rPr>
        <w:t>tathā</w:t>
      </w:r>
      <w:r>
        <w:rPr/>
        <w:t xml:space="preserve"> </w:t>
      </w:r>
      <w:r>
        <w:rPr>
          <w:rStyle w:val="wwc-pali"/>
        </w:rPr>
        <w:t>ete</w:t>
      </w:r>
      <w:r>
        <w:rPr/>
        <w:t xml:space="preserve">, </w:t>
      </w:r>
      <w:r>
        <w:rPr>
          <w:rStyle w:val="wwc-pali"/>
        </w:rPr>
        <w:t>yathā</w:t>
      </w:r>
      <w:r>
        <w:rPr/>
        <w:t xml:space="preserve"> </w:t>
      </w:r>
      <w:r>
        <w:rPr>
          <w:rStyle w:val="wwc-pali"/>
        </w:rPr>
        <w:t>ete</w:t>
      </w:r>
      <w:r>
        <w:rPr/>
        <w:t xml:space="preserve"> </w:t>
      </w:r>
      <w:r>
        <w:rPr>
          <w:rStyle w:val="wwc-pali"/>
        </w:rPr>
        <w:t>tathā</w:t>
      </w:r>
      <w:r>
        <w:rPr/>
        <w:t xml:space="preserve"> </w:t>
      </w:r>
      <w:r>
        <w:rPr>
          <w:rStyle w:val="wwc-pali"/>
        </w:rPr>
        <w:t>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w:t>
      </w:r>
      <w:r>
        <w:rPr/>
        <w:t xml:space="preserve"> </w:t>
      </w:r>
      <w:r>
        <w:rPr>
          <w:rStyle w:val="wwc-pali"/>
        </w:rPr>
        <w:t>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w:t>
      </w:r>
      <w:r>
        <w:rPr/>
        <w:t xml:space="preserve"> </w:t>
      </w:r>
      <w:r>
        <w:rPr>
          <w:rStyle w:val="wwc-pali"/>
        </w:rPr>
        <w:t>esā</w:t>
      </w:r>
      <w:r>
        <w:rPr/>
        <w:t xml:space="preserve"> </w:t>
      </w:r>
      <w:r>
        <w:rPr>
          <w:rStyle w:val="wwc-pali"/>
        </w:rPr>
        <w:t>tava</w:t>
      </w:r>
      <w:r>
        <w:rPr/>
        <w:t xml:space="preserve"> </w:t>
      </w:r>
      <w:r>
        <w:rPr>
          <w:rStyle w:val="wwc-pali"/>
        </w:rPr>
        <w:t>hotu</w:t>
      </w:r>
      <w:r>
        <w:rPr/>
        <w:t xml:space="preserve"> </w:t>
      </w:r>
      <w:r>
        <w:rPr>
          <w:rStyle w:val="wwc-pali"/>
        </w:rPr>
        <w:t>mettī</w:t>
      </w:r>
      <w:r>
        <w:rPr/>
        <w:t xml:space="preserve"> </w:t>
      </w:r>
      <w:r>
        <w:rPr>
          <w:rStyle w:val="wwc-pali"/>
        </w:rPr>
        <w:t>bhariyāya</w:t>
      </w:r>
      <w:r>
        <w:rPr/>
        <w:t xml:space="preserve"> </w:t>
      </w:r>
      <w:r>
        <w:rPr>
          <w:rStyle w:val="wwc-pali"/>
        </w:rPr>
        <w:t>kaccāna</w:t>
      </w:r>
      <w:r>
        <w:rPr/>
        <w:t xml:space="preserve"> </w:t>
      </w:r>
      <w:r>
        <w:rPr>
          <w:rStyle w:val="wwc-pali"/>
        </w:rPr>
        <w:t>piyāya</w:t>
      </w:r>
      <w:r>
        <w:rPr/>
        <w:t xml:space="preserve"> </w:t>
      </w:r>
      <w:r>
        <w:rPr>
          <w:rStyle w:val="wwc-pali"/>
        </w:rPr>
        <w:t>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w:t>
      </w:r>
      <w:r>
        <w:rPr/>
        <w:t xml:space="preserve"> </w:t>
      </w:r>
      <w:r>
        <w:rPr>
          <w:rStyle w:val="wwc-pali"/>
        </w:rPr>
        <w:t>saṁvāsṁa</w:t>
      </w:r>
      <w:r>
        <w:rPr/>
        <w:t xml:space="preserve"> </w:t>
      </w:r>
      <w:r>
        <w:rPr>
          <w:rStyle w:val="wwc-pali"/>
        </w:rPr>
        <w:t>saṁaggatthāya</w:t>
      </w:r>
      <w:r>
        <w:rPr/>
        <w:t xml:space="preserve"> </w:t>
      </w:r>
      <w:r>
        <w:rPr>
          <w:rStyle w:val="wwc-pali"/>
        </w:rPr>
        <w:t>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w:t>
      </w:r>
      <w:r>
        <w:rPr/>
        <w:t xml:space="preserve"> </w:t>
      </w:r>
      <w:r>
        <w:rPr>
          <w:rStyle w:val="wwc-pali"/>
        </w:rPr>
        <w:t>hi</w:t>
      </w:r>
      <w:r>
        <w:rPr/>
        <w:t xml:space="preserve"> </w:t>
      </w:r>
      <w:r>
        <w:rPr>
          <w:rStyle w:val="wwc-pali"/>
        </w:rPr>
        <w:t>appiyasampayogo</w:t>
      </w:r>
      <w:r>
        <w:rPr/>
        <w:t xml:space="preserve"> </w:t>
      </w:r>
      <w:r>
        <w:rPr>
          <w:rStyle w:val="wwc-pali"/>
        </w:rPr>
        <w:t>va</w:t>
      </w:r>
      <w:r>
        <w:rPr/>
        <w:t xml:space="preserve"> </w:t>
      </w:r>
      <w:r>
        <w:rPr>
          <w:rStyle w:val="wwc-pali"/>
        </w:rPr>
        <w:t>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w:t>
      </w:r>
      <w:r>
        <w:rPr/>
        <w:t xml:space="preserve"> </w:t>
      </w:r>
      <w:r>
        <w:rPr>
          <w:rStyle w:val="wwc-pali"/>
        </w:rPr>
        <w:t>va</w:t>
      </w:r>
      <w:r>
        <w:rPr/>
        <w:t xml:space="preserve"> </w:t>
      </w:r>
      <w:r>
        <w:rPr>
          <w:rStyle w:val="wwc-pali"/>
        </w:rPr>
        <w:t>paramā</w:t>
      </w:r>
      <w:r>
        <w:rPr/>
        <w:t xml:space="preserve"> </w:t>
      </w:r>
      <w:r>
        <w:rPr>
          <w:rStyle w:val="wwc-pali"/>
        </w:rPr>
        <w:t>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w:t>
      </w:r>
      <w:r>
        <w:rPr/>
        <w:t xml:space="preserve"> </w:t>
      </w:r>
      <w:r>
        <w:rPr>
          <w:rStyle w:val="wwc-pali"/>
        </w:rPr>
        <w:t>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w:t>
      </w:r>
      <w:r>
        <w:rPr/>
        <w:t xml:space="preserve"> </w:t>
      </w:r>
      <w:r>
        <w:rPr>
          <w:rStyle w:val="wwc-pali"/>
        </w:rPr>
        <w:t>ekacittā</w:t>
      </w:r>
      <w:r>
        <w:rPr/>
        <w:t xml:space="preserve"> </w:t>
      </w:r>
      <w:r>
        <w:rPr>
          <w:rStyle w:val="wwc-pali"/>
        </w:rPr>
        <w:t>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w:t>
      </w:r>
      <w:r>
        <w:rPr/>
        <w:t xml:space="preserve"> </w:t>
      </w:r>
      <w:r>
        <w:rPr>
          <w:rStyle w:val="wwc-pali"/>
        </w:rPr>
        <w:t>ekañ</w:t>
      </w:r>
      <w:r>
        <w:rPr/>
        <w:t xml:space="preserve"> </w:t>
      </w:r>
      <w:r>
        <w:rPr>
          <w:rStyle w:val="wwc-pali"/>
        </w:rPr>
        <w:t>ca</w:t>
      </w:r>
      <w:r>
        <w:rPr/>
        <w:t xml:space="preserve"> </w:t>
      </w:r>
      <w:r>
        <w:rPr>
          <w:rStyle w:val="wwc-pali"/>
        </w:rPr>
        <w:t>pana</w:t>
      </w:r>
      <w:r>
        <w:rPr/>
        <w:t xml:space="preserve"> </w:t>
      </w:r>
      <w:r>
        <w:rPr>
          <w:rStyle w:val="wwc-pali"/>
        </w:rPr>
        <w:t>maññe</w:t>
      </w:r>
      <w:r>
        <w:rPr/>
        <w:t xml:space="preserve"> </w:t>
      </w:r>
      <w:r>
        <w:rPr>
          <w:rStyle w:val="wwc-pali"/>
        </w:rPr>
        <w:t>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w:t>
      </w:r>
      <w:r>
        <w:rPr/>
        <w:t xml:space="preserve"> </w:t>
      </w:r>
      <w:r>
        <w:rPr>
          <w:rStyle w:val="wwc-pali"/>
        </w:rPr>
        <w:t>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w:t>
      </w:r>
      <w:r>
        <w:rPr/>
        <w:t xml:space="preserve"> </w:t>
      </w:r>
      <w:r>
        <w:rPr>
          <w:rStyle w:val="wwc-pali"/>
        </w:rPr>
        <w:t>pi’ssa</w:t>
      </w:r>
      <w:r>
        <w:rPr/>
        <w:t xml:space="preserve"> </w:t>
      </w:r>
      <w:r>
        <w:rPr>
          <w:rStyle w:val="wwc-pali"/>
        </w:rPr>
        <w:t>atthāya</w:t>
      </w:r>
      <w:r>
        <w:rPr/>
        <w:t xml:space="preserve"> </w:t>
      </w:r>
      <w:r>
        <w:rPr>
          <w:rStyle w:val="wwc-pali"/>
        </w:rPr>
        <w:t>pariccattaṁ</w:t>
      </w:r>
      <w:r>
        <w:rPr/>
        <w:t xml:space="preserve"> </w:t>
      </w:r>
      <w:r>
        <w:rPr>
          <w:rStyle w:val="wwc-pali"/>
        </w:rPr>
        <w:t>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w:t>
      </w:r>
      <w:r>
        <w:rPr/>
        <w:t xml:space="preserve"> </w:t>
      </w:r>
      <w:r>
        <w:rPr>
          <w:rStyle w:val="wwc-pali"/>
        </w:rPr>
        <w:t>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w:t>
      </w:r>
      <w:r>
        <w:rPr/>
        <w:t xml:space="preserve"> </w:t>
      </w:r>
      <w:r>
        <w:rPr>
          <w:rStyle w:val="wwc-pali"/>
        </w:rPr>
        <w:t>sitaṁ</w:t>
      </w:r>
      <w:r>
        <w:rPr/>
        <w:t xml:space="preserve"> </w:t>
      </w:r>
      <w:r>
        <w:rPr>
          <w:rStyle w:val="wwc-pali"/>
        </w:rPr>
        <w:t>ettha</w:t>
      </w:r>
      <w:r>
        <w:rPr/>
        <w:t xml:space="preserve"> </w:t>
      </w:r>
      <w:r>
        <w:rPr>
          <w:rStyle w:val="wwc-pali"/>
        </w:rPr>
        <w:t>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w:t>
      </w:r>
      <w:r>
        <w:rPr/>
        <w:t xml:space="preserve"> </w:t>
      </w:r>
      <w:r>
        <w:rPr>
          <w:rStyle w:val="wwc-pali"/>
        </w:rPr>
        <w:t>mukhasattīhi</w:t>
      </w:r>
      <w:r>
        <w:rPr/>
        <w:t xml:space="preserve"> </w:t>
      </w:r>
      <w:r>
        <w:rPr>
          <w:rStyle w:val="wwc-pali"/>
        </w:rPr>
        <w:t>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nelā</w:t>
      </w:r>
      <w:r>
        <w:rPr/>
        <w:t xml:space="preserve"> </w:t>
      </w:r>
      <w:r>
        <w:rPr>
          <w:rStyle w:val="wwc-pali"/>
        </w:rPr>
        <w:t>kaṇṇa</w:t>
      </w:r>
      <w:r>
        <w:rPr/>
        <w:t xml:space="preserve"> </w:t>
      </w:r>
      <w:r>
        <w:rPr>
          <w:rStyle w:val="wwc-pali"/>
        </w:rPr>
        <w:t>sukhā</w:t>
      </w:r>
      <w:r>
        <w:rPr/>
        <w:t xml:space="preserve"> </w:t>
      </w:r>
      <w:r>
        <w:rPr>
          <w:rStyle w:val="wwc-pali"/>
        </w:rPr>
        <w:t>pemanīyā</w:t>
      </w:r>
      <w:r>
        <w:rPr/>
        <w:t xml:space="preserve"> </w:t>
      </w:r>
      <w:r>
        <w:rPr>
          <w:rStyle w:val="wwc-pali"/>
        </w:rPr>
        <w:t>hadayaṁ</w:t>
      </w:r>
      <w:r>
        <w:rPr/>
        <w:t xml:space="preserve"> </w:t>
      </w:r>
      <w:r>
        <w:rPr>
          <w:rStyle w:val="wwc-pali"/>
        </w:rPr>
        <w:t xml:space="preserve">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w:t>
      </w:r>
      <w:r>
        <w:rPr/>
        <w:t xml:space="preserve"> </w:t>
      </w:r>
      <w:r>
        <w:rPr>
          <w:rStyle w:val="wwc-pali"/>
        </w:rPr>
        <w:t>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EDE7F6"/>
      <w:shd w:fill="A1887F" w:val="clear"/>
    </w:rPr>
  </w:style>
  <w:style w:type="character" w:styleId="wwc-sesame-zot-reference" w:customStyle="1">
    <w:name w:val="wwc-sesame-zot-reference"/>
    <w:qFormat/>
    <w:rsid w:val="00c54551"/>
    <w:rPr>
      <w:position w:val="0"/>
      <w:sz w:val="24"/>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table-header">
    <w:name w:val="WW-table-header"/>
    <w:basedOn w:val="WW-table-data"/>
    <w:qFormat/>
    <w:pPr>
      <w:shd w:val="clear" w:fill="EDE7F6"/>
      <w:spacing w:before="170" w:after="170"/>
    </w:pPr>
    <w:rPr>
      <w:b/>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caption-centered-sans1">
    <w:name w:val="WW-caption-centered-sans1"/>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1">
    <w:name w:val="WW-caption-centered-serif1"/>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2">
    <w:name w:val="WW-caption-centered-sans2"/>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2">
    <w:name w:val="WW-caption-centered-serif2"/>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caption-centered-sans3">
    <w:name w:val="WW-caption-centered-sans3"/>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3">
    <w:name w:val="WW-caption-centered-serif3"/>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4">
    <w:name w:val="WW-caption-centered-sans4"/>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4">
    <w:name w:val="WW-caption-centered-serif4"/>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5">
    <w:name w:val="WW-caption-centered-sans5"/>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5">
    <w:name w:val="WW-caption-centered-serif5"/>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6">
    <w:name w:val="WW-caption-centered-sans6"/>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6">
    <w:name w:val="WW-caption-centered-serif6"/>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4696</TotalTime>
  <Application>LibreOffice/24.8.4.2$Windows_X86_64 LibreOffice_project/bb3cfa12c7b1bf994ecc5649a80400d06cd71002</Application>
  <AppVersion>15.0000</AppVersion>
  <Pages>109</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2025-02-24T11:36:13Z</dcterms:modified>
  <cp:revision>396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