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Hyperlink"/>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xml:space="preserve">), the clansman Godhika has attained final Nibbāna. (cf. </w:t>
      </w:r>
      <w:r>
        <w:rPr>
          <w:rStyle w:val="wwc-sesame-zot-reference"/>
        </w:rPr>
        <w:t>Harvey 1995</w:t>
      </w:r>
      <w:r>
        <w:rPr/>
        <w:t>,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1997</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sesame"/>
        </w:rPr>
        <w:t>Khuddaka Nikāya</w:t>
      </w:r>
      <w:r>
        <w:rPr/>
        <w:t xml:space="preserve">. I use the terms suttas and Nikāyas throughout this paper to refer to the four main Nikāyas of the Pali Canon, the </w:t>
      </w:r>
      <w:r>
        <w:rPr>
          <w:rStyle w:val="wwc-sesame"/>
        </w:rPr>
        <w:t>Vinaya Piṭaka</w:t>
      </w:r>
      <w:r>
        <w:rPr/>
        <w:t xml:space="preserve"> and some of the works of the </w:t>
      </w:r>
      <w:r>
        <w:rPr>
          <w:rStyle w:val="wwc-sesame"/>
        </w:rPr>
        <w:t>Khuddaka 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-ship is called Nibbāna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1">
        <w:r>
          <w:rPr>
            <w:rStyle w:val="Hyperlink"/>
          </w:rPr>
          <w:t>AN 9.47</w:t>
        </w:r>
      </w:hyperlink>
      <w:r>
        <w:rPr/>
        <w:t xml:space="preserve">, </w:t>
      </w:r>
      <w:hyperlink r:id="rId12">
        <w:r>
          <w:rPr>
            <w:rStyle w:val="Hyperlink"/>
          </w:rPr>
          <w:t>AN 9.48</w:t>
        </w:r>
      </w:hyperlink>
      <w:r>
        <w:rPr/>
        <w:t xml:space="preserve">, </w:t>
      </w:r>
      <w:hyperlink r:id="rId13">
        <w:r>
          <w:rPr>
            <w:rStyle w:val="Hyperlink"/>
          </w:rPr>
          <w:t>AN 9.49</w:t>
        </w:r>
      </w:hyperlink>
      <w:r>
        <w:rPr/>
        <w:t xml:space="preserve">, </w:t>
      </w:r>
      <w:hyperlink r:id="rId14">
        <w:r>
          <w:rPr>
            <w:rStyle w:val="Hyperlink"/>
          </w:rPr>
          <w:t>AN 9.50</w:t>
        </w:r>
      </w:hyperlink>
      <w:r>
        <w:rPr/>
        <w:t xml:space="preserve"> and </w:t>
      </w:r>
      <w:hyperlink r:id="rId15">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6">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7">
        <w:r>
          <w:rPr>
            <w:rStyle w:val="Hyperlink"/>
          </w:rPr>
          <w:t>SN 35.32</w:t>
        </w:r>
      </w:hyperlink>
      <w:r>
        <w:rPr/>
        <w:t xml:space="preserve">. Indeed, the </w:t>
      </w:r>
      <w:r>
        <w:rPr>
          <w:rStyle w:val="wwc-sesame"/>
        </w:rPr>
        <w:t>Salāyatana-Saṁyutta</w:t>
      </w:r>
      <w:r>
        <w:rPr/>
        <w:t xml:space="preserve"> contains a large number of suttas that directly state that mental phenomena (dhammas) are suffering. These statements often have an almost equational quality. And there is no clear statement anywhere in the suttas that there are any exceptions to this. In fact the six senses together with their six objects are called ‘the all’ (</w:t>
      </w:r>
      <w:hyperlink r:id="rId18">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19">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0">
        <w:r>
          <w:rPr>
            <w:rStyle w:val="Hyperlink"/>
          </w:rPr>
          <w:t>AN 3.32</w:t>
        </w:r>
      </w:hyperlink>
      <w:r>
        <w:rPr/>
        <w:t xml:space="preserve">, </w:t>
      </w:r>
      <w:hyperlink r:id="rId21">
        <w:r>
          <w:rPr>
            <w:rStyle w:val="Hyperlink"/>
          </w:rPr>
          <w:t>AN 10.6</w:t>
        </w:r>
      </w:hyperlink>
      <w:r>
        <w:rPr/>
        <w:t xml:space="preserve">, </w:t>
      </w:r>
      <w:hyperlink r:id="rId22">
        <w:r>
          <w:rPr>
            <w:rStyle w:val="Hyperlink"/>
          </w:rPr>
          <w:t>AN 11.7</w:t>
        </w:r>
      </w:hyperlink>
      <w:r>
        <w:rPr/>
        <w:t xml:space="preserve">, and </w:t>
      </w:r>
      <w:hyperlink r:id="rId23">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xml:space="preserve">; see </w:t>
      </w:r>
      <w:r>
        <w:rPr>
          <w:rStyle w:val="wwc-sesame"/>
        </w:rPr>
        <w:t>Manorathapūranī</w:t>
      </w:r>
      <w:r>
        <w:rPr/>
        <w:t>—Mp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4">
        <w:r>
          <w:rPr>
            <w:rStyle w:val="Hyperlink"/>
          </w:rPr>
          <w:t>Ven. Bhikkhu Bodhi’s translation</w:t>
        </w:r>
      </w:hyperlink>
      <w:r>
        <w:rPr/>
        <w:t xml:space="preserve"> of a similar passage at </w:t>
      </w:r>
      <w:hyperlink r:id="rId25">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1981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(p.208). (He also argues that this ‘timeless’ Nibbāna can be periodically experienced by the </w:t>
      </w:r>
      <w:r>
        <w:rPr>
          <w:rStyle w:val="wwc-pali"/>
        </w:rPr>
        <w:t>arahant</w:t>
      </w:r>
      <w:r>
        <w:rPr/>
        <w:t xml:space="preserve"> during life, p.208).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6">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7">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8">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29">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0">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1">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2">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3">
        <w:r>
          <w:rPr>
            <w:rStyle w:val="Hyperlink"/>
          </w:rPr>
          <w:t>MN 21:14.8</w:t>
        </w:r>
      </w:hyperlink>
      <w:r>
        <w:rPr/>
        <w:t xml:space="preserve">, </w:t>
      </w:r>
      <w:hyperlink r:id="rId34">
        <w:r>
          <w:rPr>
            <w:rStyle w:val="Hyperlink"/>
          </w:rPr>
          <w:t>DN 33:1.10.76</w:t>
        </w:r>
      </w:hyperlink>
      <w:r>
        <w:rPr/>
        <w:t xml:space="preserve"> and </w:t>
      </w:r>
      <w:hyperlink r:id="rId35">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6">
        <w:r>
          <w:rPr>
            <w:rStyle w:val="Hyperlink"/>
          </w:rPr>
          <w:t>SN 43.12</w:t>
        </w:r>
      </w:hyperlink>
      <w:r>
        <w:rPr/>
        <w:t xml:space="preserve">, </w:t>
      </w:r>
      <w:hyperlink r:id="rId37">
        <w:r>
          <w:rPr>
            <w:rStyle w:val="Hyperlink"/>
          </w:rPr>
          <w:t>SN 43.13</w:t>
        </w:r>
      </w:hyperlink>
      <w:r>
        <w:rPr/>
        <w:t xml:space="preserve"> &amp; </w:t>
      </w:r>
      <w:hyperlink r:id="rId38">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39">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zot-reference"/>
        </w:rPr>
        <w:t>Warder 1991</w:t>
      </w:r>
      <w:r>
        <w:rPr/>
        <w:t xml:space="preserve">, p.viii and </w:t>
      </w:r>
      <w:r>
        <w:rPr>
          <w:rStyle w:val="wwc-sesame-zot-reference"/>
        </w:rPr>
        <w:t>Bodhi 2000</w:t>
      </w:r>
      <w:r>
        <w:rPr/>
        <w:t xml:space="preserve">, p.13. The following passage in </w:t>
      </w:r>
      <w:r>
        <w:rPr>
          <w:rStyle w:val="wwc-sesame-zot-reference"/>
        </w:rPr>
        <w:t>Norman 1996</w:t>
      </w:r>
      <w:r>
        <w:rPr/>
        <w:t>, p.157 commenting on the difficulty in translating Pali verse, is particularly instructive: ‘When John Brough, one of the greatest British Sanskrit scholars of the 20th century, had just spent several years producing his study of the Gāndhārī Dharmapada, and had the whole of the Dhammapada-related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0">
        <w:r>
          <w:rPr>
            <w:rStyle w:val="Hyperlink"/>
          </w:rPr>
          <w:t>MN 49:25.1</w:t>
        </w:r>
      </w:hyperlink>
      <w:r>
        <w:rPr/>
        <w:t xml:space="preserve">, is verse or prose: Ñāṇamoli 2001 treats it as verse but most Pali versions of the same passage seem to treat it as part of the prose. However, Ven. Bhikkhu Bodhi informs me (private communication) that the passage at </w:t>
      </w:r>
      <w:hyperlink r:id="rId41">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2">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3">
        <w:r>
          <w:rPr>
            <w:rStyle w:val="Hyperlink"/>
          </w:rPr>
          <w:t>MN 77:23.5, 23.11, 24.2, 24.11</w:t>
        </w:r>
      </w:hyperlink>
      <w:r>
        <w:rPr/>
        <w:t xml:space="preserve">, and with </w:t>
      </w:r>
      <w:r>
        <w:rPr>
          <w:rStyle w:val="wwc-pali"/>
        </w:rPr>
        <w:t>samādhi</w:t>
      </w:r>
      <w:r>
        <w:rPr/>
        <w:t xml:space="preserve"> more generally at </w:t>
      </w:r>
      <w:hyperlink r:id="rId44">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5">
        <w:r>
          <w:rPr>
            <w:rStyle w:val="Hyperlink"/>
          </w:rPr>
          <w:t>SN 46.33</w:t>
        </w:r>
      </w:hyperlink>
      <w:r>
        <w:rPr/>
        <w:t xml:space="preserve"> and </w:t>
      </w:r>
      <w:hyperlink r:id="rId46">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7">
        <w:r>
          <w:rPr>
            <w:rStyle w:val="Hyperlink"/>
          </w:rPr>
          <w:t>DN 11:85.11–85.27</w:t>
        </w:r>
      </w:hyperlink>
      <w:r>
        <w:rPr/>
        <w:t xml:space="preserve"> only contains one question. Why would the Buddha reformulate a single question into two? According to </w:t>
      </w:r>
      <w:hyperlink r:id="rId48">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49">
        <w:r>
          <w:rPr>
            <w:rStyle w:val="Hyperlink"/>
          </w:rPr>
          <w:t>Ud 1.10:14.1–15.4</w:t>
        </w:r>
      </w:hyperlink>
      <w:r>
        <w:rPr/>
        <w:t xml:space="preserve"> and </w:t>
      </w:r>
      <w:hyperlink r:id="rId50">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1">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zot-reference"/>
        </w:rPr>
        <w:t>Anālayo 2011</w:t>
      </w:r>
      <w:r>
        <w:rPr/>
        <w:t xml:space="preserve">, footnote 162 to </w:t>
      </w:r>
      <w:hyperlink r:id="rId52">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3">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4">
        <w:r>
          <w:rPr>
            <w:rStyle w:val="Hyperlink"/>
          </w:rPr>
          <w:t>AN 3.32</w:t>
        </w:r>
      </w:hyperlink>
      <w:r>
        <w:rPr/>
        <w:t xml:space="preserve">, </w:t>
      </w:r>
      <w:hyperlink r:id="rId55">
        <w:r>
          <w:rPr>
            <w:rStyle w:val="Hyperlink"/>
          </w:rPr>
          <w:t>AN 10.6</w:t>
        </w:r>
      </w:hyperlink>
      <w:r>
        <w:rPr/>
        <w:t xml:space="preserve">, </w:t>
      </w:r>
      <w:hyperlink r:id="rId56">
        <w:r>
          <w:rPr>
            <w:rStyle w:val="Hyperlink"/>
          </w:rPr>
          <w:t>AN 11.7</w:t>
        </w:r>
      </w:hyperlink>
      <w:r>
        <w:rPr/>
        <w:t xml:space="preserve">, and </w:t>
      </w:r>
      <w:hyperlink r:id="rId57">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8">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59">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0">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Arahant dies … the “stillness” and “emptiness” of the citta makes it survive, free and anonymous …’ (p.133). Johansson evidently takes a particular state of citta as </w:t>
      </w:r>
      <w:r>
        <w:rPr>
          <w:rStyle w:val="wwc-pali"/>
        </w:rPr>
        <w:t>equivalent</w:t>
      </w:r>
      <w:r>
        <w:rPr/>
        <w:t xml:space="preserve">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w:t>
      </w:r>
      <w:r>
        <w:rPr>
          <w:rStyle w:val="wwc-sesame"/>
        </w:rPr>
        <w:t>Vinaya Piṭaka</w:t>
      </w:r>
      <w:r>
        <w:rPr/>
        <w:t xml:space="preserve">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1">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Abhidhamma</w:t>
      </w:r>
      <w:r>
        <w:rPr/>
        <w:t xml:space="preserve">. See Ven. Anālayo’s study of the </w:t>
      </w:r>
      <w:r>
        <w:rPr>
          <w:rStyle w:val="wwc-sesame"/>
        </w:rPr>
        <w:t>Anupada Sutta</w:t>
      </w:r>
      <w:r>
        <w:rPr/>
        <w:t xml:space="preserve">, </w:t>
      </w:r>
      <w:hyperlink r:id="rId62">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3">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4">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5">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6">
        <w:r>
          <w:rPr>
            <w:rStyle w:val="Hyperlink"/>
          </w:rPr>
          <w:t>SN 22.53:3.8–3.9</w:t>
        </w:r>
      </w:hyperlink>
      <w:r>
        <w:rPr/>
        <w:t xml:space="preserve"> &amp; </w:t>
      </w:r>
      <w:hyperlink r:id="rId67">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Asaṅkhata Saṁyutta</w:t>
      </w:r>
      <w:r>
        <w:rPr/>
        <w:t xml:space="preserve"> (</w:t>
      </w:r>
      <w:hyperlink r:id="rId68">
        <w:r>
          <w:rPr>
            <w:rStyle w:val="Hyperlink"/>
          </w:rPr>
          <w:t>SN 43.12</w:t>
        </w:r>
      </w:hyperlink>
      <w:r>
        <w:rPr/>
        <w:t xml:space="preserve"> / </w:t>
      </w:r>
      <w:hyperlink r:id="rId69">
        <w:r>
          <w:rPr>
            <w:rStyle w:val="Hyperlink"/>
          </w:rPr>
          <w:t>SN 43.13</w:t>
        </w:r>
      </w:hyperlink>
      <w:r>
        <w:rPr/>
        <w:t xml:space="preserve"> / </w:t>
      </w:r>
      <w:hyperlink r:id="rId70">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w:t>
        <w:softHyphen/>
        <w:t>panna</w:t>
        <w:softHyphen/>
        <w:t>citto</w:t>
      </w:r>
      <w:r>
        <w:rPr/>
        <w:t>), mental intention of hate (</w:t>
      </w:r>
      <w:r>
        <w:rPr>
          <w:rStyle w:val="wwc-pali"/>
        </w:rPr>
        <w:t>paduṭ</w:t>
        <w:softHyphen/>
        <w:t>ṭhamana</w:t>
        <w:softHyphen/>
        <w:t>saṅkappo</w:t>
      </w:r>
      <w:r>
        <w:rPr/>
        <w:t>)’.</w:t>
      </w:r>
    </w:p>
    <w:p>
      <w:pPr>
        <w:pStyle w:val="WW-footnote-tight-right-cite"/>
        <w:rPr/>
      </w:pPr>
      <w:r>
        <w:rPr>
          <w:i/>
          <w:iCs/>
        </w:rPr>
        <w:t xml:space="preserve">(transl. Brahmāli) </w:t>
        <w:br/>
      </w:r>
      <w:hyperlink r:id="rId71">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2">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3">
        <w:r>
          <w:rPr>
            <w:rStyle w:val="Hyperlink"/>
          </w:rPr>
          <w:t>SN 17.9:1.6</w:t>
        </w:r>
      </w:hyperlink>
      <w:r>
        <w:rPr/>
        <w:t xml:space="preserve">, </w:t>
      </w:r>
      <w:hyperlink r:id="rId74">
        <w:r>
          <w:rPr>
            <w:rStyle w:val="Hyperlink"/>
          </w:rPr>
          <w:t>SN 20.10:3.1, 3.9</w:t>
        </w:r>
      </w:hyperlink>
      <w:r>
        <w:rPr/>
        <w:t xml:space="preserve"> and </w:t>
      </w:r>
      <w:hyperlink r:id="rId75">
        <w:r>
          <w:rPr>
            <w:rStyle w:val="Hyperlink"/>
          </w:rPr>
          <w:t>SN 35.127:5.4, 5.5</w:t>
        </w:r>
      </w:hyperlink>
      <w:r>
        <w:rPr/>
        <w:t xml:space="preserve">. See also </w:t>
      </w:r>
      <w:hyperlink r:id="rId76">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7">
        <w:r>
          <w:rPr>
            <w:rStyle w:val="Hyperlink"/>
          </w:rPr>
          <w:t>MN 115:9.4</w:t>
        </w:r>
      </w:hyperlink>
      <w:r>
        <w:rPr/>
        <w:t xml:space="preserve">, or </w:t>
      </w:r>
      <w:r>
        <w:rPr>
          <w:rStyle w:val="wwc-pali"/>
        </w:rPr>
        <w:t>amatadhātu</w:t>
      </w:r>
      <w:r>
        <w:rPr/>
        <w:t xml:space="preserve">, see </w:t>
      </w:r>
      <w:hyperlink r:id="rId78">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79">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0">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1">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2">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3">
        <w:r>
          <w:rPr>
            <w:rStyle w:val="Hyperlink"/>
          </w:rPr>
          <w:t>AN 10.6</w:t>
        </w:r>
      </w:hyperlink>
      <w:r>
        <w:rPr/>
        <w:t xml:space="preserve">, </w:t>
      </w:r>
      <w:hyperlink r:id="rId84">
        <w:r>
          <w:rPr>
            <w:rStyle w:val="Hyperlink"/>
          </w:rPr>
          <w:t>AN 10.7</w:t>
        </w:r>
      </w:hyperlink>
      <w:r>
        <w:rPr/>
        <w:t xml:space="preserve"> and </w:t>
      </w:r>
      <w:hyperlink r:id="rId85">
        <w:r>
          <w:rPr>
            <w:rStyle w:val="Hyperlink"/>
          </w:rPr>
          <w:t>AN 11.7</w:t>
        </w:r>
      </w:hyperlink>
      <w:r>
        <w:rPr/>
        <w:t xml:space="preserve">, </w:t>
      </w:r>
      <w:hyperlink r:id="rId86">
        <w:r>
          <w:rPr>
            <w:rStyle w:val="Hyperlink"/>
          </w:rPr>
          <w:t>AN 11.8</w:t>
        </w:r>
      </w:hyperlink>
      <w:r>
        <w:rPr/>
        <w:t>. (</w:t>
      </w:r>
      <w:hyperlink r:id="rId87">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8">
        <w:r>
          <w:rPr>
            <w:rStyle w:val="Hyperlink"/>
          </w:rPr>
          <w:t>DN 23:5.10–5.11</w:t>
        </w:r>
      </w:hyperlink>
      <w:r>
        <w:rPr/>
        <w:t xml:space="preserve">), and thus the inclusion of this expression does not seem to add anything new. I would regard its addition to </w:t>
      </w:r>
      <w:hyperlink r:id="rId89">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0">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1">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2">
        <w:r>
          <w:rPr>
            <w:rStyle w:val="Hyperlink"/>
          </w:rPr>
          <w:t>SN 12.38</w:t>
        </w:r>
      </w:hyperlink>
      <w:r>
        <w:rPr/>
        <w:t xml:space="preserve">, </w:t>
      </w:r>
      <w:hyperlink r:id="rId93">
        <w:r>
          <w:rPr>
            <w:rStyle w:val="Hyperlink"/>
          </w:rPr>
          <w:t>SN 12.39</w:t>
        </w:r>
      </w:hyperlink>
      <w:r>
        <w:rPr/>
        <w:t xml:space="preserve"> &amp; </w:t>
      </w:r>
      <w:hyperlink r:id="rId94">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5">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tab/>
      </w:r>
      <w:r>
        <w:rPr>
          <w:rStyle w:val="wwc-sesame-zot-reference"/>
        </w:rPr>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6">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7">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tab/>
      </w:r>
      <w:r>
        <w:rPr>
          <w:rStyle w:val="wwc-sesame-zot-reference"/>
        </w:rPr>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8">
        <w:r>
          <w:rPr>
            <w:rStyle w:val="Hyperlink"/>
          </w:rPr>
          <w:t>SN 5.10:4.3–4.4, 6.1–6.4</w:t>
        </w:r>
      </w:hyperlink>
      <w:r>
        <w:rPr/>
        <w:br/>
        <w:t xml:space="preserve">(see also: </w:t>
      </w:r>
      <w:hyperlink r:id="rId99">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0">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1">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2">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3">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4">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5">
        <w:r>
          <w:rPr>
            <w:rStyle w:val="Hyperlink"/>
          </w:rPr>
          <w:t>AN 8.11:6.1</w:t>
        </w:r>
      </w:hyperlink>
      <w:r>
        <w:rPr/>
        <w:t xml:space="preserve"> and </w:t>
      </w:r>
      <w:hyperlink r:id="rId106">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mil6.2.5/en/tw_rhysdavids"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sn12.20/en/bodhi"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6024</TotalTime>
  <Application>LibreOffice/25.2.4.3$Windows_X86_64 LibreOffice_project/33e196637044ead23f5c3226cde09b47731f7e27</Application>
  <AppVersion>15.0000</AppVersion>
  <Pages>44</Pages>
  <Words>19247</Words>
  <Characters>97935</Characters>
  <CharactersWithSpaces>116678</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2025-06-27T09:29:24Z</dcterms:modified>
  <cp:revision>793</cp:revision>
  <dc:subject/>
  <dc:title/>
</cp:coreProperties>
</file>

<file path=docProps/custom.xml><?xml version="1.0" encoding="utf-8"?>
<Properties xmlns="http://schemas.openxmlformats.org/officeDocument/2006/custom-properties" xmlns:vt="http://schemas.openxmlformats.org/officeDocument/2006/docPropsVTypes"/>
</file>