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r>
        <w:rPr/>
        <w:t>DN 16:4.8.1–4.8.13</w:t>
      </w:r>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pali"/>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t>AN 3.55:2.2–2.3</w:t>
      </w:r>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r>
        <w:rPr/>
        <w:t>Iti 44:3.1–3.5</w:t>
      </w:r>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r>
        <w:rPr/>
        <w:t>Iti 44:4.1–4.4</w:t>
      </w:r>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t>AN 10.7:5.3–5.5</w:t>
      </w:r>
    </w:p>
    <w:p>
      <w:pPr>
        <w:pStyle w:val="WW-paragraph"/>
        <w:rPr/>
      </w:pPr>
      <w:r>
        <w:rPr/>
        <w:t xml:space="preserve">This </w:t>
      </w:r>
      <w:r>
        <w:rPr>
          <w:rStyle w:val="wwc-pali"/>
        </w:rPr>
        <w:t>samādhi</w:t>
      </w:r>
      <w:r>
        <w:rPr/>
        <w:t xml:space="preserve"> is sometimes said to take Nibbāna as its ‘object’,</w:t>
      </w:r>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(SN 22.57:10.1–10.9).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SN 43.20).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r>
        <w:rPr/>
        <w:t>AN 3.136:1.11–1.15</w:t>
      </w:r>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t>AN 4.34:3.1–3.2</w:t>
      </w:r>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r>
        <w:rPr/>
        <w:t>MN 22:23.1–23.5</w:t>
      </w:r>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t>AN 5.30:4.12</w:t>
      </w:r>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r>
        <w:rPr/>
        <w:t>MN 22:25.5–25.6</w:t>
      </w:r>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r>
        <w:rPr/>
        <w:t>SN 22.96:2.1–2.3</w:t>
      </w:r>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r>
        <w:rPr/>
        <w:t>SN 35.85:1.4</w:t>
      </w:r>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r>
        <w:rPr/>
        <w:t>SN 22.89:9.10–9.14</w:t>
      </w:r>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r>
        <w:rPr/>
        <w:t>SN 35.248:3.1–7.3</w:t>
      </w:r>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r>
        <w:rPr/>
        <w:t>SN 22.47:3.3–3.4</w:t>
      </w:r>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r>
        <w:rPr/>
        <w:t>SN 22.59:6.12–6.18</w:t>
      </w:r>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r>
        <w:rPr/>
        <w:t>MN 38:7.4</w:t>
      </w:r>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r>
        <w:rPr/>
        <w:t>MN 38:8.1–8.7</w:t>
      </w:r>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r>
        <w:rPr/>
        <w:t>MN 43:4.3–4.6</w:t>
      </w:r>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r>
        <w:rPr/>
        <w:t>MN 43:9.4–9.9</w:t>
      </w:r>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r>
        <w:rPr/>
        <w:t>SN 22.94:2.6–2.7</w:t>
      </w:r>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r>
        <w:rPr/>
        <w:t>SN 22.96:1.8–1.12</w:t>
      </w:r>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r>
        <w:rPr/>
        <w:t>SN 22.57:14.6–14.8</w:t>
      </w:r>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r>
        <w:rPr/>
        <w:t>SN 22.111:1.4–1.8</w:t>
      </w:r>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r>
        <w:rPr/>
        <w:t>SN 1.2:5.1–5.5</w:t>
      </w:r>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r>
        <w:rPr/>
        <w:t>Ud 8.9:5.1–5.4</w:t>
      </w:r>
      <w:r>
        <w:rPr>
          <w:rStyle w:val="FootnoteReference"/>
        </w:rPr>
        <w:footnoteReference w:id="35"/>
      </w:r>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r>
        <w:rPr/>
        <w:t>DN 11:85.11–85.27</w:t>
      </w:r>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r>
        <w:rPr/>
        <w:t>MN 49:25.1</w:t>
      </w:r>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MN 7:13.1, 16.1),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Next, it is necessary to look more carefully at the structure of the above verses. For the present purposes, an important fact which is rarely pointed out is that the first verse (the ‘question verse’) in the above DN 11:85.11–85.27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 xml:space="preserve">At this point we must consider the second passage quoted above (MN 49:25.1).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‘unestablished consciousness’, is sometimes taken as referring to final Nibbāna. In this way final Nibbāna is again seen as a ‘state’ of consciousness (see in particular Harvey 1995, pp.201–203).59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venerable sir’. (cf. Harvey 1995, p.202)</w:t>
      </w:r>
    </w:p>
    <w:p>
      <w:pPr>
        <w:pStyle w:val="WW-tight-right-cite"/>
        <w:rPr/>
      </w:pPr>
      <w:r>
        <w:rPr/>
        <w:t>SN 12.64:6.1–8.8</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and does not come to growth, there is no descent of name-and-form. With the cessation of name-and-form … ageing-and-death, sorrow, lamentation, pain, displeasure, and despair cease. Such is the cessation of this whole mass of suffering. (cf. Harvey 1995, p.202)</w:t>
      </w:r>
    </w:p>
    <w:p>
      <w:pPr>
        <w:pStyle w:val="WW-tight-right-cite"/>
        <w:rPr/>
      </w:pPr>
      <w:r>
        <w:rPr/>
        <w:t>SN 12.38:3.1–3.5</w:t>
      </w:r>
    </w:p>
    <w:p>
      <w:pPr>
        <w:pStyle w:val="WW-blockquote"/>
        <w:rPr/>
      </w:pPr>
      <w:r>
        <w:rPr/>
        <w:t>Monks, with consciousness unestablished (</w:t>
      </w:r>
      <w:r>
        <w:rPr>
          <w:rStyle w:val="wwc-pali"/>
        </w:rPr>
        <w:t>appatiṭṭhitena</w:t>
      </w:r>
      <w:r>
        <w:rPr/>
        <w:t>), the clansman Godhika has attained final Nibbāna. (cf. Harvey 1995, pp.209–210)</w:t>
      </w:r>
    </w:p>
    <w:p>
      <w:pPr>
        <w:pStyle w:val="WW-tight-right-cite"/>
        <w:rPr/>
      </w:pPr>
      <w:r>
        <w:rPr/>
        <w:t>SN 4.23:10.6</w:t>
      </w:r>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.60</w:t>
      </w:r>
    </w:p>
    <w:p>
      <w:pPr>
        <w:pStyle w:val="WW-paragraph"/>
        <w:rPr/>
      </w:pPr>
      <w:r>
        <w:rPr/>
        <w:t xml:space="preserve">The second passage (SN 12.38:3.1–3.5)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(SN 4.23:10.6)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subject.61</w:t>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),62 not coming to growth, nongenerative, it is liberated. By being liberated, it is steady; by being steady, it is content; by being content, he is not agitated. Being unagitated, he personally attains Nibbāna.63</w:t>
      </w:r>
    </w:p>
    <w:p>
      <w:pPr>
        <w:pStyle w:val="WW-tight-right-cite"/>
        <w:rPr/>
      </w:pPr>
      <w:r>
        <w:rPr/>
        <w:t>SN 22.53:3.8–3.9 &amp; SN 22.54:4.8–4.9</w:t>
      </w:r>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xml:space="preserve">, as a synonym for Nibbāna?64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thought.65 Despite this distinction between the two terms,66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r>
        <w:rPr/>
        <w:t>SN 22.53:3.8 &amp; SN 22.54:4.8</w:t>
      </w:r>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r>
        <w:rPr/>
        <w:t>SN 47.42:1.8–1.9</w:t>
      </w:r>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citta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attention…67</w:t>
      </w:r>
    </w:p>
    <w:p>
      <w:pPr>
        <w:pStyle w:val="WW-tight-right-cite"/>
        <w:rPr/>
      </w:pPr>
      <w:r>
        <w:rPr/>
        <w:t>MN 111:4.1</w:t>
      </w:r>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"https://suttacentral.net/pli-tv-kd1/en/brahmali?layout=sidebyside&amp;reference=main/pts&amp;notes=asterisk&amp;highlight=false&amp;script=latin" \l "75.1.8"</w:instrText>
      </w:r>
      <w:r>
        <w:rPr>
          <w:rStyle w:val="Hyperlink"/>
        </w:rPr>
        <w:fldChar w:fldCharType="separate"/>
      </w:r>
      <w:r>
        <w:rPr>
          <w:rStyle w:val="Hyperlink"/>
        </w:rPr>
        <w:t>Kd 1</w:t>
      </w:r>
      <w:r>
        <w:rPr>
          <w:rStyle w:val="Hyperlink"/>
        </w:rPr>
        <w:fldChar w:fldCharType="end"/>
      </w:r>
      <w:r>
        <w:rPr>
          <w:rStyle w:val="Hyperlink"/>
        </w:rPr>
        <w:t>:75.1.8</w:t>
      </w:r>
      <w:r>
        <w:rPr/>
        <w:t>).68</w:t>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r>
        <w:rPr/>
        <w:t>MN 43:9.4–9.7</w:t>
      </w:r>
    </w:p>
    <w:p>
      <w:pPr>
        <w:pStyle w:val="WW-paragraph"/>
        <w:rPr/>
      </w:pPr>
      <w:r>
        <w:rPr/>
        <w:t xml:space="preserve">So whenever there is consciousness, the other mental factors will also be present (cf. MN 111), and thus </w:t>
      </w:r>
      <w:r>
        <w:rPr>
          <w:rStyle w:val="wwc-pali"/>
        </w:rPr>
        <w:t>viññāṇa</w:t>
      </w:r>
      <w:r>
        <w:rPr/>
        <w:t xml:space="preserve"> is in effect no different from </w:t>
      </w:r>
      <w:r>
        <w:rPr>
          <w:rStyle w:val="wwc-pali"/>
        </w:rPr>
        <w:t>citta</w:t>
      </w:r>
      <w:r>
        <w:rPr/>
        <w:t xml:space="preserve">.69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)’70;</w:t>
      </w:r>
    </w:p>
    <w:p>
      <w:pPr>
        <w:pStyle w:val="WW-tight-right-cite"/>
        <w:rPr/>
      </w:pPr>
      <w:r>
        <w:rPr/>
        <w:t>SN 12.61:2.1</w:t>
      </w:r>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)’.71</w:t>
      </w:r>
    </w:p>
    <w:p>
      <w:pPr>
        <w:pStyle w:val="WW-tight-right-cite"/>
        <w:rPr/>
      </w:pPr>
      <w:r>
        <w:rPr/>
        <w:t>DN 1:2.13.4</w:t>
      </w:r>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ever!’72</w:t>
      </w:r>
    </w:p>
    <w:p>
      <w:pPr>
        <w:pStyle w:val="WW-tight-right-cite"/>
        <w:rPr/>
      </w:pPr>
      <w:r>
        <w:rPr/>
        <w:t>DN 1:2.13.2–2.13.4</w:t>
      </w:r>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r>
        <w:rPr/>
        <w:t>SN 12.61:2.1–4.3</w:t>
      </w:r>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center"/>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).73</w:t>
      </w:r>
    </w:p>
    <w:p>
      <w:pPr>
        <w:pStyle w:val="WW-tight-right-cite"/>
        <w:rPr/>
      </w:pPr>
      <w:r>
        <w:rPr/>
        <w:t>Thag 19.1:54.1–54.4</w:t>
      </w:r>
    </w:p>
    <w:p>
      <w:pPr>
        <w:pStyle w:val="WW-line-block-center"/>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existence.74</w:t>
      </w:r>
    </w:p>
    <w:p>
      <w:pPr>
        <w:pStyle w:val="WW-tight-right-cite"/>
        <w:rPr/>
      </w:pPr>
      <w:r>
        <w:rPr/>
        <w:t>Thag 2.32:2.1–2.6</w:t>
      </w:r>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r>
        <w:rPr/>
        <w:t>AN 6.55:17.2, 17.8, 17.20</w:t>
      </w:r>
    </w:p>
    <w:p>
      <w:pPr>
        <w:pStyle w:val="WW-blockquote"/>
        <w:rPr/>
      </w:pPr>
      <w:r>
        <w:rPr/>
        <w:t>With the cessation of name-and-form there is the cessation of mind (</w:t>
      </w:r>
      <w:r>
        <w:rPr>
          <w:rStyle w:val="wwc-pali"/>
        </w:rPr>
        <w:t>cittassa</w:t>
      </w:r>
      <w:r>
        <w:rPr/>
        <w:t>).</w:t>
      </w:r>
    </w:p>
    <w:p>
      <w:pPr>
        <w:pStyle w:val="WW-tight-right-cite"/>
        <w:rPr/>
      </w:pPr>
      <w:r>
        <w:rPr/>
        <w:t>SN 47.42:1.9</w:t>
      </w:r>
      <w:r>
        <w:br w:type="page"/>
      </w:r>
    </w:p>
    <w:p>
      <w:pPr>
        <w:pStyle w:val="WW-Chapter"/>
        <w:spacing w:before="0" w:after="567"/>
        <w:ind w:hanging="0" w:start="0"/>
        <w:rPr/>
      </w:pPr>
      <w:r>
        <w:rPr/>
        <w:t>7. Pabhassara Citta, the Radiant Mind</w:t>
      </w:r>
    </w:p>
    <w:p>
      <w:pPr>
        <w:pStyle w:val="WW-paragraph"/>
        <w:rPr/>
      </w:pPr>
      <w:r>
        <w:rPr/>
        <w:t>At AN 1.49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r>
        <w:rPr/>
        <w:t>SN 46.33:2.1–2.4 &amp; AN 5.23:2.1–2.4</w:t>
        <w:br/>
        <w:t>(cf. AN 3.102:1.6, 2.5, 3.6 &amp; MN 140:20.1–20.3)</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jhāna.75</w:t>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Harvey 1995,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.76 A phrase such as ‘</w:t>
      </w:r>
      <w:r>
        <w:rPr>
          <w:rStyle w:val="wwc-pali"/>
        </w:rPr>
        <w:t>cittaṁ vimuccati</w:t>
      </w:r>
      <w:r>
        <w:rPr/>
        <w:t xml:space="preserve">’ (e.g. at MN 51:27.2), ‘the mind is liberated’, would then refer to the liberated ‘eternal mind’, or ‘original pure mind’, known to the </w:t>
      </w:r>
      <w:r>
        <w:rPr>
          <w:rStyle w:val="wwc-pali"/>
        </w:rPr>
        <w:t>arahant</w:t>
      </w:r>
      <w:r>
        <w:rPr/>
        <w:t>.77</w:t>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it.78</w:t>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suttas.79</w:t>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:80</w:t>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).81 (</w:t>
      </w:r>
      <w:r>
        <w:rPr>
          <w:rStyle w:val="Emphasis"/>
        </w:rPr>
        <w:t>transl. Brahmāli</w:t>
      </w:r>
      <w:r>
        <w:rPr/>
        <w:t>)</w:t>
      </w:r>
    </w:p>
    <w:p>
      <w:pPr>
        <w:pStyle w:val="WW-tight-right-cite"/>
        <w:rPr/>
      </w:pPr>
      <w:r>
        <w:rPr/>
        <w:t>DN 11:6.3, 6.5, 6.9, 7.4 &amp;</w:t>
        <w:br/>
        <w:t>DN 28:6.4, 6.8, 6.12 &amp;</w:t>
        <w:br/>
        <w:t>AN 3.60:9.3, 10.2, 11.2, 15.2</w:t>
      </w:r>
    </w:p>
    <w:p>
      <w:pPr>
        <w:pStyle w:val="WW-blockquote"/>
        <w:rPr/>
      </w:pPr>
      <w:r>
        <w:rPr/>
        <w:t>Always frightened is this mind (</w:t>
      </w:r>
      <w:r>
        <w:rPr>
          <w:rStyle w:val="wwc-pali"/>
        </w:rPr>
        <w:t>cittaṁ</w:t>
      </w:r>
      <w:r>
        <w:rPr/>
        <w:t>), the mind (</w:t>
      </w:r>
      <w:r>
        <w:rPr>
          <w:rStyle w:val="wwc-pali"/>
        </w:rPr>
        <w:t>mano</w:t>
      </w:r>
      <w:r>
        <w:rPr/>
        <w:t>) is always agitated.82</w:t>
      </w:r>
    </w:p>
    <w:p>
      <w:pPr>
        <w:pStyle w:val="WW-tight-right-cite"/>
        <w:rPr/>
      </w:pPr>
      <w:r>
        <w:rPr/>
        <w:t>SN 2.17:2.1–2.2</w:t>
      </w:r>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r>
        <w:rPr/>
        <w:t>SN 35.84:2.7</w:t>
      </w:r>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r>
        <w:rPr/>
        <w:t>SN 35.142:1.7–1.9</w:t>
      </w:r>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r>
        <w:rPr/>
        <w:t>MN 148:11.5–11.10</w:t>
      </w:r>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r>
        <w:rPr/>
        <w:t>SN 35.133:6.1–6.3</w:t>
      </w:r>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r>
        <w:rPr/>
        <w:t>SN 4.19:3.1–3.10</w:t>
      </w:r>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r>
        <w:rPr/>
        <w:t>SN 48.53:7.1–7.3</w:t>
      </w:r>
    </w:p>
    <w:p>
      <w:pPr>
        <w:pStyle w:val="WW-paragraph"/>
        <w:rPr/>
      </w:pPr>
      <w:r>
        <w:rPr/>
        <w:t>As with consciousness, one has to conclude that final Nibbāna has nothing to do with mind.</w:t>
      </w:r>
      <w:r>
        <w:br w:type="page"/>
      </w:r>
    </w:p>
    <w:p>
      <w:pPr>
        <w:pStyle w:val="WW-Chapter"/>
        <w:spacing w:before="0" w:after="567"/>
        <w:ind w:hanging="0" w:start="0"/>
        <w:rPr/>
      </w:pPr>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existence?83</w:t>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‘state’84 (see for instance Bodhi 2005, p.318).85 But I would contend that they do not need to be interpreted in this way.</w:t>
      </w:r>
    </w:p>
    <w:p>
      <w:pPr>
        <w:pStyle w:val="WW-paragraph"/>
        <w:rPr/>
      </w:pPr>
      <w:r>
        <w:rPr/>
        <w:t xml:space="preserve">Sometimes Nibbāna is called </w:t>
      </w:r>
      <w:r>
        <w:rPr>
          <w:rStyle w:val="wwc-pali"/>
        </w:rPr>
        <w:t>Nibbānadhātu</w:t>
      </w:r>
      <w:r>
        <w:rPr/>
        <w:t xml:space="preserve">, e.g. at SN 45.7:2.4.86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 xml:space="preserve">.87 In addition to meaning ‘element’, it also has the sense of ‘property’ (see PED).88 This meaning is prominent in such compounds as </w:t>
      </w:r>
      <w:r>
        <w:rPr>
          <w:rStyle w:val="wwc-pali"/>
        </w:rPr>
        <w:t>nirodha-dhātu</w:t>
      </w:r>
      <w:r>
        <w:rPr/>
        <w:t xml:space="preserve"> (Iti 51:2.3), ‘the property of cessation’, and </w:t>
      </w:r>
      <w:r>
        <w:rPr>
          <w:rStyle w:val="wwc-pali"/>
        </w:rPr>
        <w:t>nekkhamma-dhātu</w:t>
      </w:r>
      <w:r>
        <w:rPr/>
        <w:t xml:space="preserve"> (SN 14.12:7.2), ‘the property of renunciation’.89 Indeed, </w:t>
      </w:r>
      <w:r>
        <w:rPr>
          <w:rStyle w:val="wwc-pali"/>
        </w:rPr>
        <w:t>Nibbānadhātu</w:t>
      </w:r>
      <w:r>
        <w:rPr/>
        <w:t xml:space="preserve"> itself is explained at SN 45.7:2.1–2.6,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extinguishment’.90</w:t>
      </w:r>
    </w:p>
    <w:p>
      <w:pPr>
        <w:pStyle w:val="WW-paragraph"/>
        <w:rPr/>
      </w:pPr>
      <w:r>
        <w:rPr/>
        <w:t xml:space="preserve">Another set of suttas, at SN 43.12/SN 43.13/SN 43.14-43,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suffering.91</w:t>
      </w:r>
    </w:p>
    <w:p>
      <w:pPr>
        <w:pStyle w:val="WW-tight-right-cite"/>
        <w:rPr/>
      </w:pPr>
      <w:r>
        <w:rPr/>
        <w:t>Ud 8.1:3.1–3.4</w:t>
      </w:r>
    </w:p>
    <w:p>
      <w:pPr>
        <w:pStyle w:val="WW-paragraph"/>
        <w:rPr/>
      </w:pPr>
      <w:r>
        <w:rPr/>
        <w:t>The first part of this quote, ‘where there is no earth … neither moon nor sun’, is identical to the standard description of what I call ‘</w:t>
      </w:r>
      <w:r>
        <w:rPr>
          <w:rStyle w:val="wwc-pali"/>
        </w:rPr>
        <w:t>ariya-samādhi</w:t>
      </w:r>
      <w:r>
        <w:rPr/>
        <w:t xml:space="preserve">’.92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attainments.93</w:t>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Ud 8.4:3.5, MN 144:11.6–11.7 and cf. SN 12.40:1.5–1.6, 2.4–2.5, 3.4–3.5): there is no future coming, going, passing away, or reappearing for the </w:t>
      </w:r>
      <w:r>
        <w:rPr>
          <w:rStyle w:val="wwc-pali"/>
        </w:rPr>
        <w:t>arahant</w:t>
      </w:r>
      <w:r>
        <w:rPr/>
        <w:t xml:space="preserve"> as he has cut these things off. They cease here and now because their cause has been removed.94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 xml:space="preserve">,95 is often found together with ‘unestablished’ (SN 12.38, SN 12.39 &amp; SN 12.40)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MN 144:11.3–11.9. In sum, the above passage at Ud 8.1:3.1–3.4 seems to describe something related to both </w:t>
      </w:r>
      <w:r>
        <w:rPr>
          <w:rStyle w:val="wwc-pali"/>
        </w:rPr>
        <w:t>ariya-samādhi</w:t>
      </w:r>
      <w:r>
        <w:rPr/>
        <w:t xml:space="preserve"> and </w:t>
      </w:r>
      <w:r>
        <w:rPr>
          <w:rStyle w:val="wwc-pali"/>
        </w:rPr>
        <w:t>arahant</w:t>
      </w:r>
      <w:r>
        <w:rPr/>
        <w:t xml:space="preserve">-ship. It seems clear therefore that it must relate to Nibbāna, with final Nibbāna perhaps being the most likely candidate.96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AN 9.36, AN 9.43 and AN 9.44,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w:t>
      </w:r>
      <w:r>
        <w:rPr>
          <w:rStyle w:val="Emphasis"/>
        </w:rPr>
        <w:t>transl. Brahmāli</w:t>
      </w:r>
      <w:r>
        <w:rPr/>
        <w:t>)</w:t>
      </w:r>
    </w:p>
    <w:p>
      <w:pPr>
        <w:pStyle w:val="WW-tight-right-cite"/>
        <w:rPr/>
      </w:pPr>
      <w:r>
        <w:rPr/>
        <w:t>Ud 8.3:3.1–3.4</w:t>
      </w:r>
    </w:p>
    <w:p>
      <w:pPr>
        <w:pStyle w:val="WW-paragraph"/>
        <w:rPr/>
      </w:pPr>
      <w:r>
        <w:rPr/>
        <w:t xml:space="preserve">What is here rendered as ‘freedom from what is born’, </w:t>
      </w:r>
      <w:r>
        <w:rPr>
          <w:rStyle w:val="wwc-pali"/>
        </w:rPr>
        <w:t>ajātaṁ</w:t>
      </w:r>
      <w:r>
        <w:rPr/>
        <w:t xml:space="preserve">, is often translated as ‘the unborn’, giving a definite sense that this sutta describes something positively existing.97 However, as Johansson 1969, p.39, p.54) points out, </w:t>
      </w:r>
      <w:r>
        <w:rPr>
          <w:rStyle w:val="wwc-pali"/>
        </w:rPr>
        <w:t>ajātaṁ</w:t>
      </w:r>
      <w:r>
        <w:rPr/>
        <w:t xml:space="preserve"> recurs at MN 26:18.1 where the context requires it to mean ‘freedom from birth’. Having understood that he is subject to birth, the Buddha-to-be seeks the </w:t>
      </w:r>
      <w:r>
        <w:rPr>
          <w:rStyle w:val="wwc-pali"/>
        </w:rPr>
        <w:t>ajātaṁ</w:t>
      </w:r>
      <w:r>
        <w:rPr/>
        <w:t xml:space="preserve">. If birth is a problem, then surely the natural thing to do is to seek a freedom from birth, not a ‘state’ that is unborn.98 The most reasonable translation of </w:t>
      </w:r>
      <w:r>
        <w:rPr>
          <w:rStyle w:val="wwc-pali"/>
        </w:rPr>
        <w:t>ajātaṁ</w:t>
      </w:r>
      <w:r>
        <w:rPr/>
        <w:t xml:space="preserve">, therefore, would seem to be ‘freedom from what is born’ or ‘freedom from birth’.99 If this is accepted, it is natural to translate all the initial a’s at Ud 8.3:3.1–3.4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.100 Indeed, this is precisely the broader context of this extract.101</w:t>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‘extinguishment’,102 then our perception of Nibbāna would probably alter accordingly.103</w:t>
      </w:r>
    </w:p>
    <w:p>
      <w:pPr>
        <w:pStyle w:val="WW-paragraph"/>
        <w:rPr/>
      </w:pPr>
      <w:r>
        <w:rPr/>
        <w:t>In the end, the passages discussed in this section are not decisive in regard to the ontological status of final Nibbāna.104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khandhas.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alive.105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object.106</w:t>
      </w:r>
    </w:p>
    <w:p>
      <w:pPr>
        <w:pStyle w:val="WW-paragraph"/>
        <w:rPr/>
      </w:pPr>
      <w:r>
        <w:rPr/>
        <w:t>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SN 22.57:14.1–14.4). There is no indication anywhere of any further classes of consciousness. Yet the idea of final Nibbāna as an object of consciousness would require a seventh class of consciousness: it does not fit into any of the six classes mentioned in the suttas.107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 xml:space="preserve">That the idea of final Nibbāna being a ‘state’ is a weak one, is also clear from the principle of Occam’s razor. This philosophical principle states that ‘the fewest possible assumptions are to be made in explaining things’.108 In the present case, all ideas of final Nibbāna being an ‘existing reality’ produce complications—and therefore a need for further assumptions109—that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Nibbāna.110</w:t>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unimaginable.111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.112</w:t>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t>(Adapted from Ñāṇaponika 1999 p.246)</w:t>
        <w:br/>
        <w:t>AN 10.29:19.1–19.4</w:t>
      </w:r>
    </w:p>
    <w:p>
      <w:pPr>
        <w:pStyle w:val="WW-paragraph"/>
        <w:rPr/>
      </w:pPr>
      <w:r>
        <w:rPr/>
        <w:t>The view mentioned here is identified as annihilationism at SN 22.81:11.1–11.15. Since annihilationism is always contrasted with eternalism in the Nikāyas, this sutta in effect states that the annihilationist view is superior to the view of eternalism. Again, this undermines any claim that final Nibbāna exists in some sense or other.113</w:t>
      </w:r>
    </w:p>
    <w:p>
      <w:pPr>
        <w:pStyle w:val="WW-paragraph"/>
        <w:rPr/>
      </w:pPr>
      <w:r>
        <w:rPr/>
        <w:t>The above quote also makes it clear that the Buddha’s teaching is not annihilationism.114 What then is the distinction between cessation and annihilation? SN 22.85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r>
        <w:rPr/>
        <w:t>SN 22.85:3.1–3.3</w:t>
      </w:r>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be115—that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r>
        <w:rPr/>
        <w:t>SN 22.85:7.1–11.5</w:t>
      </w:r>
    </w:p>
    <w:p>
      <w:pPr>
        <w:pStyle w:val="WW-paragraph"/>
        <w:rPr/>
      </w:pPr>
      <w:r>
        <w:rPr/>
        <w:t>After Yamaka has understood Sāriputta’s teaching,116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r>
        <w:rPr/>
        <w:t>SN 22.85:13.1–13.16</w:t>
      </w:r>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them;117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annihilated.118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Nibbāna.119</w:t>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pleasure.120</w:t>
      </w:r>
    </w:p>
    <w:p>
      <w:pPr>
        <w:pStyle w:val="WW-tight-right-cite"/>
        <w:rPr/>
      </w:pPr>
      <w:r>
        <w:rPr/>
        <w:t>MN 59:15.1–15.6 &amp;</w:t>
        <w:br/>
        <w:t>SN 36.19:15.1–15.3</w:t>
      </w:r>
    </w:p>
    <w:p>
      <w:pPr>
        <w:pStyle w:val="WW-paragraph"/>
        <w:rPr/>
      </w:pPr>
      <w:r>
        <w:rPr/>
        <w:t xml:space="preserve">This means that the full ending of everything is more ‘pleasurable’ and desirable than the blisses of even the most profound states of </w:t>
      </w:r>
      <w:r>
        <w:rPr>
          <w:rStyle w:val="wwc-pali"/>
        </w:rPr>
        <w:t>samādhi</w:t>
      </w:r>
      <w:r>
        <w:rPr/>
        <w:t>.121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 xml:space="preserve">.122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 (</w:t>
      </w:r>
      <w:r>
        <w:rPr>
          <w:rStyle w:val="Emphasis"/>
        </w:rPr>
        <w:t>transl. Brahmāli</w:t>
      </w:r>
      <w:r>
        <w:rPr/>
        <w:t>)</w:t>
      </w:r>
    </w:p>
    <w:p>
      <w:pPr>
        <w:pStyle w:val="WW-tight-right-cite"/>
        <w:rPr/>
      </w:pPr>
      <w:r>
        <w:rPr/>
        <w:t>AN 4.173</w:t>
      </w:r>
    </w:p>
    <w:p>
      <w:pPr>
        <w:pStyle w:val="WW-paragraph"/>
        <w:rPr/>
      </w:pPr>
      <w:r>
        <w:rPr/>
        <w:t xml:space="preserve">By asking ‘is there anything else?’ and ‘is there not anything else?’ the questioner reveals his distorted outlook, his preoccupation and concern about the fate of his non-existing self.123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reality.124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essence.125</w:t>
      </w:r>
    </w:p>
    <w:p>
      <w:pPr>
        <w:pStyle w:val="WW-paragraph"/>
        <w:rPr/>
      </w:pPr>
      <w:r>
        <w:rPr/>
        <w:t xml:space="preserve">But if the illusion of personal identity is seen through, if the perceived solid core is seen not to exist, there is nothing to be concerned about anymore.126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point.127</w:t>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 xml:space="preserve">—that is, suffering—cease without remainder. Consider how the Buddha sometimes would summarise his teachings: ‘Good, good, Anurādha. Formerly, Anurādha, and also now, I make known just suffering and the cessation of suffering’ (SN 22.86:13.1–13.2).128 And since suffering is coterminous with </w:t>
      </w:r>
      <w:r>
        <w:rPr>
          <w:rStyle w:val="wwc-pali"/>
        </w:rPr>
        <w:t>saṁsāra</w:t>
      </w:r>
      <w:r>
        <w:rPr/>
        <w:t>, it follows that ‘Nibbāna is the greatest bliss’ (MN 75:21.5 and Dhp 204). What more can you ask for?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Khuddaka-Nikāya</w:t>
      </w:r>
      <w:r>
        <w:rPr/>
        <w:t xml:space="preserve">. I use the terms suttas and Nikāyas throughout this paper to refer to the four main Nikāyas of the Pali Canon, the </w:t>
      </w:r>
      <w:r>
        <w:rPr>
          <w:rStyle w:val="wwc-sesame"/>
        </w:rPr>
        <w:t>Vinaya-Piṭaka</w:t>
      </w:r>
      <w:r>
        <w:rPr/>
        <w:t xml:space="preserve"> and some of the works of the </w:t>
      </w:r>
      <w:r>
        <w:rPr>
          <w:rStyle w:val="wwc-sesame"/>
        </w:rPr>
        <w:t>Khuddaka-Nikāya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See in particular SN 38.1:2.3–2.4 and SN 39.1-15:2.3–2.4, but cf. also SN 43.12/SN 43.13/SN 43.14-43, SN 45.6, SN 45.36 and AN 3.53/AN 3.54.</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SN 38.1:2.3–2.4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AN 9.47, AN 9.48, AN 9.49, AN 9.50 and AN 9.51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AN 3.32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Abhidhamma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SN 35.32. Indeed, the Salāyatana-Saṁyutta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(SN 35.23),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Milindapañha, </w:t>
      </w:r>
      <w:hyperlink r:id="rId1">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(AN 3.32, AN 10.6, AN 11.7, and AN 11.8),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w:t>
      </w:r>
      <w:r>
        <w:rPr/>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
        <w:r>
          <w:rPr>
            <w:rStyle w:val="Hyperlink"/>
          </w:rPr>
          <w:t>Ven. Bhikkhu Bodhi’s translation</w:t>
        </w:r>
      </w:hyperlink>
      <w:r>
        <w:rPr/>
        <w:t xml:space="preserve"> of a similar passage at SN 12.20.</w:t>
      </w:r>
    </w:p>
  </w:footnote>
  <w:footnote w:id="21">
    <w:p>
      <w:pPr>
        <w:pStyle w:val="FootnoteText"/>
        <w:rPr/>
      </w:pPr>
      <w:r>
        <w:rPr>
          <w:rStyle w:val="FootnoteCharacters"/>
        </w:rPr>
        <w:footnoteRef/>
      </w:r>
      <w:r>
        <w:rPr/>
        <w:tab/>
        <w:t xml:space="preserve">See also </w:t>
      </w:r>
      <w:r>
        <w:rPr>
          <w:rStyle w:val="wwc-sesame-zot-reference"/>
        </w:rPr>
        <w:t>Norman 1991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(208). (He also argues that this ‘timeless’ Nibbāna can be periodically experienced by the </w:t>
      </w:r>
      <w:r>
        <w:rPr>
          <w:rStyle w:val="wwc-pali"/>
        </w:rPr>
        <w:t>arahant</w:t>
      </w:r>
      <w:r>
        <w:rPr/>
        <w:t xml:space="preserve"> during life, 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xml:space="preserve">, ‘stable’ (SN 43.20),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at SN 22.59.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An interesting passage in this context is found at DN 15:27.1–32.11.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samādhi,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DN 15:27.1–32.11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see MN 9.</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SN 43.20,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is again in direct contrast to the description of Nibbāna at SN 43.20</w:t>
      </w:r>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w:t>
      </w:r>
      <w:r>
        <w:rPr/>
        <w:t>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MN 21:14.8, DN 33:1.10.76 and SN 43.22.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SN 43.12, SN 43.13 &amp; SN 43.14-43, a large number are ordinary everyday words which are much more frequently encountered in contexts other than that of Nibbāna. In other words, just because </w:t>
      </w:r>
      <w:r>
        <w:rPr>
          <w:rStyle w:val="wwc-pali"/>
        </w:rPr>
        <w:t>anidassana</w:t>
      </w:r>
      <w:r>
        <w:rPr/>
        <w:t xml:space="preserve"> is used as a synonym for Nibbāna at SN 43.22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
        </w:rPr>
        <w:t>Warder 2001</w:t>
      </w:r>
      <w:r>
        <w:rPr/>
        <w:t xml:space="preserve">, p.viii and </w:t>
      </w:r>
      <w:r>
        <w:rPr>
          <w:rStyle w:val="wwc-sesame"/>
        </w:rPr>
        <w:t>Bodhi 2000</w:t>
      </w:r>
      <w:r>
        <w:rPr/>
        <w:t xml:space="preserve">, p.13. The following passage in </w:t>
      </w:r>
      <w:r>
        <w:rPr>
          <w:rStyle w:val="wwc-sesame"/>
        </w:rPr>
        <w:t>Norman 1996</w:t>
      </w:r>
      <w:r>
        <w:rPr/>
        <w:t xml:space="preserve">, p.157 commenting on the difficulty in translating Pali verse, is particularly instructive: ‘When John Brough, one of the greatest British Sanskrit scholars of the 20th century, had just spent several years producing his study of the Gāndhārī Dharmapada, and had the whole of the Dhammapada-related literature at his fingertips, he was asked if he would produce a translation of the Dhammapada for the Pali </w:t>
      </w:r>
      <w:r>
        <w:rPr/>
        <w:t>T</w:t>
      </w:r>
      <w:r>
        <w:rPr/>
        <w:t xml:space="preserve">ext </w:t>
      </w:r>
      <w:r>
        <w:rPr/>
        <w:t>S</w:t>
      </w:r>
      <w:r>
        <w:rPr/>
        <w:t>ociety. He replied: “I cannot. It is too difficult”’.</w:t>
      </w:r>
    </w:p>
    <w:p>
      <w:pPr>
        <w:pStyle w:val="FootnoteText"/>
        <w:rPr/>
      </w:pPr>
      <w:r>
        <w:rPr/>
        <w:t>It is not immediately clear whether the second passage quoted above, MN 49:25.1, is verse or prose: Ñāṇamoli 2001 treats it as verse but most Pali versions of the same passage seem to treat it as part of the prose. However, Ven. Bhikkhu Bodhi informs me (private communication) that the passage at MN 49:25.1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w:t>
      </w:r>
      <w:r>
        <w:rPr/>
        <w:t>B</w:t>
      </w:r>
      <w:r>
        <w:rPr/>
        <w:t xml:space="preserve">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consciousness’ (e.g. at MN 64:13.1, 14.1, 15.1).</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MN 77:23.5, 23.11, 24.2, 24.11, and with </w:t>
      </w:r>
      <w:r>
        <w:rPr>
          <w:rStyle w:val="wwc-pali"/>
        </w:rPr>
        <w:t>samādhi</w:t>
      </w:r>
      <w:r>
        <w:rPr/>
        <w:t xml:space="preserve"> more generally at AN 5.45:2.2–4.1.</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SN 46.33 and AN 5.23.</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It might be objected that the lead-up to the verses at DN 11:85.11–85.27 only contains one question. Why would the Buddha reformulate a single question into two? According to AN 4.42:1.1–1.7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Ud 1.10:14.1–15.4 and SN 1.27)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MN 49:25.1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
        </w:rPr>
        <w:t>Anālayo 2011</w:t>
      </w:r>
      <w:r>
        <w:rPr/>
        <w:t xml:space="preserve">, footnote 162 to MN 49).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Given this uncertainty in the reading, it would be quite reasonable, maybe even preferable, to leave the passage at MN 49:25.1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AN 3.32, AN 10.6, AN 11.7, and AN 11.8.</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mil6.2.5/en/tw_rhysdavids" TargetMode="External"/><Relationship Id="rId2" Type="http://schemas.openxmlformats.org/officeDocument/2006/relationships/hyperlink" Target="https://suttacentral.net/sn12.20/en/bodhi"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5499</TotalTime>
  <Application>LibreOffice/24.8.7.2$Windows_X86_64 LibreOffice_project/e07d0a63a46349d29051da79b1fde8160bab2a89</Application>
  <AppVersion>15.0000</AppVersion>
  <Pages>38</Pages>
  <Words>15226</Words>
  <Characters>77667</Characters>
  <CharactersWithSpaces>92405</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2025-06-22T13:30:46Z</dcterms:modified>
  <cp:revision>726</cp:revision>
  <dc:subject/>
  <dc:title/>
</cp:coreProperties>
</file>

<file path=docProps/custom.xml><?xml version="1.0" encoding="utf-8"?>
<Properties xmlns="http://schemas.openxmlformats.org/officeDocument/2006/custom-properties" xmlns:vt="http://schemas.openxmlformats.org/officeDocument/2006/docPropsVTypes"/>
</file>