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w:t>
      </w:r>
      <w:r>
        <w:rPr>
          <w:rStyle w:val="wwc-sesame"/>
        </w:rPr>
        <w:t>Nikāyas/Āgamas</w:t>
      </w:r>
      <w:r>
        <w:rPr/>
        <w:t xml:space="preserve">.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 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 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 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t>S</w:t>
      </w:r>
      <w:r>
        <w:rPr/>
        <w:t xml:space="preserve">amsāric consciousness and a timeless </w:t>
      </w:r>
      <w:r>
        <w:rPr/>
        <w:t>N</w:t>
      </w:r>
      <w:r>
        <w:rPr/>
        <w:t xml:space="preserve">ibbānic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 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 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 xml:space="preserve">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 </w:t>
      </w:r>
      <w:r>
        <w:rPr>
          <w:i/>
          <w:iCs/>
        </w:rPr>
        <w:t>[ed: as with all tMS editions, we also give the original pāli and sutta translations from suttacentral.net]</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 xml:space="preserve">-ship is called Nibbāna ‘with residue remaining’ </w:t>
      </w:r>
      <w:hyperlink r:id="rId11">
        <w:r>
          <w:rPr>
            <w:rStyle w:val="Hyperlink"/>
          </w:rPr>
          <w:t>Iti 44:3.1–3.5</w:t>
        </w:r>
      </w:hyperlink>
      <w:r>
        <w:rPr/>
        <w:t>,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2">
        <w:r>
          <w:rPr>
            <w:rStyle w:val="Hyperlink"/>
          </w:rPr>
          <w:t>AN 9.47</w:t>
        </w:r>
      </w:hyperlink>
      <w:r>
        <w:rPr/>
        <w:t xml:space="preserve">, </w:t>
      </w:r>
      <w:hyperlink r:id="rId13">
        <w:r>
          <w:rPr>
            <w:rStyle w:val="Hyperlink"/>
          </w:rPr>
          <w:t>AN 9.48</w:t>
        </w:r>
      </w:hyperlink>
      <w:r>
        <w:rPr/>
        <w:t xml:space="preserve">, </w:t>
      </w:r>
      <w:hyperlink r:id="rId14">
        <w:r>
          <w:rPr>
            <w:rStyle w:val="Hyperlink"/>
          </w:rPr>
          <w:t>AN 9.49</w:t>
        </w:r>
      </w:hyperlink>
      <w:r>
        <w:rPr/>
        <w:t xml:space="preserve">, </w:t>
      </w:r>
      <w:hyperlink r:id="rId15">
        <w:r>
          <w:rPr>
            <w:rStyle w:val="Hyperlink"/>
          </w:rPr>
          <w:t>AN 9.50</w:t>
        </w:r>
      </w:hyperlink>
      <w:r>
        <w:rPr/>
        <w:t xml:space="preserve"> and </w:t>
      </w:r>
      <w:hyperlink r:id="rId16">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w:t>
      </w:r>
      <w:r>
        <w:rPr>
          <w:rStyle w:val="wwc-pali"/>
        </w:rPr>
        <w: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7">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For instance in the Para</w:t>
      </w:r>
      <w:r>
        <w:rPr/>
        <w:softHyphen/>
      </w:r>
      <w:r>
        <w:rPr/>
        <w:t>mat</w:t>
      </w:r>
      <w:r>
        <w:rPr/>
        <w:softHyphen/>
      </w:r>
      <w:r>
        <w:rPr/>
        <w:t>tha</w:t>
      </w:r>
      <w:r>
        <w:rPr/>
        <w:softHyphen/>
      </w:r>
      <w:r>
        <w:rPr/>
        <w:t>dīpanī</w:t>
      </w:r>
      <w:r>
        <w:rPr/>
        <w:softHyphen/>
      </w:r>
      <w:r>
        <w:rPr/>
        <w:t xml:space="preserve">ṭīkā: </w:t>
      </w:r>
      <w:r>
        <w:rPr>
          <w:rStyle w:val="wwc-pali"/>
        </w:rPr>
        <w:t>‘evaṁ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8">
        <w:r>
          <w:rPr>
            <w:rStyle w:val="Hyperlink"/>
          </w:rPr>
          <w:t>SN 35.32</w:t>
        </w:r>
      </w:hyperlink>
      <w:r>
        <w:rPr/>
        <w:t xml:space="preserve">. Indeed, the </w:t>
      </w:r>
      <w:r>
        <w:rPr>
          <w:rStyle w:val="wwc-sesame"/>
        </w:rPr>
        <w:t>Salāyatana Saṁyutta</w:t>
      </w:r>
      <w:r>
        <w:rPr/>
        <w:t xml:space="preserve"> contains a large number of suttas that directly state that mental phenomena (</w:t>
      </w:r>
      <w:r>
        <w:rPr>
          <w:rStyle w:val="wwc-pali"/>
        </w:rPr>
        <w:t>dhammas</w:t>
      </w:r>
      <w:r>
        <w:rPr/>
        <w:t>) are suffering. These statements often have an almost equational quality. And there is no clear statement anywhere in the suttas that there are any exceptions to this. In fact the six senses together with their six objects are called ‘the all’ (</w:t>
      </w:r>
      <w:hyperlink r:id="rId19">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20">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1">
        <w:r>
          <w:rPr>
            <w:rStyle w:val="Hyperlink"/>
          </w:rPr>
          <w:t>AN 3.32</w:t>
        </w:r>
      </w:hyperlink>
      <w:r>
        <w:rPr/>
        <w:t xml:space="preserve">, </w:t>
      </w:r>
      <w:hyperlink r:id="rId22">
        <w:r>
          <w:rPr>
            <w:rStyle w:val="Hyperlink"/>
          </w:rPr>
          <w:t>AN 10.6</w:t>
        </w:r>
      </w:hyperlink>
      <w:r>
        <w:rPr/>
        <w:t xml:space="preserve">, </w:t>
      </w:r>
      <w:hyperlink r:id="rId23">
        <w:r>
          <w:rPr>
            <w:rStyle w:val="Hyperlink"/>
          </w:rPr>
          <w:t>AN 11.7</w:t>
        </w:r>
      </w:hyperlink>
      <w:r>
        <w:rPr/>
        <w:t xml:space="preserve">, and </w:t>
      </w:r>
      <w:hyperlink r:id="rId24">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5">
        <w:r>
          <w:rPr>
            <w:rStyle w:val="Hyperlink"/>
          </w:rPr>
          <w:t>Ven. Bhikkhu Bodhi’s translation</w:t>
        </w:r>
      </w:hyperlink>
      <w:r>
        <w:rPr/>
        <w:t xml:space="preserve"> of a similar passage at </w:t>
      </w:r>
      <w:hyperlink r:id="rId26">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7">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8">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9">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30">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1">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2">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3">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i/>
          <w:iCs/>
        </w:rPr>
        <w:b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4">
        <w:r>
          <w:rPr>
            <w:rStyle w:val="Hyperlink"/>
          </w:rPr>
          <w:t>MN 21:14.8</w:t>
        </w:r>
      </w:hyperlink>
      <w:r>
        <w:rPr/>
        <w:t xml:space="preserve">, </w:t>
      </w:r>
      <w:hyperlink r:id="rId35">
        <w:r>
          <w:rPr>
            <w:rStyle w:val="Hyperlink"/>
          </w:rPr>
          <w:t>DN 33:1.10.76</w:t>
        </w:r>
      </w:hyperlink>
      <w:r>
        <w:rPr/>
        <w:t xml:space="preserve"> and </w:t>
      </w:r>
      <w:hyperlink r:id="rId36">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7">
        <w:r>
          <w:rPr>
            <w:rStyle w:val="Hyperlink"/>
          </w:rPr>
          <w:t>SN 43.12</w:t>
        </w:r>
      </w:hyperlink>
      <w:r>
        <w:rPr/>
        <w:t xml:space="preserve">, </w:t>
      </w:r>
      <w:hyperlink r:id="rId38">
        <w:r>
          <w:rPr>
            <w:rStyle w:val="Hyperlink"/>
          </w:rPr>
          <w:t>SN 43.13</w:t>
        </w:r>
      </w:hyperlink>
      <w:r>
        <w:rPr/>
        <w:t xml:space="preserve"> &amp; </w:t>
      </w:r>
      <w:hyperlink r:id="rId39">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40">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w:t>
      </w:r>
      <w:r>
        <w:rPr>
          <w:rStyle w:val="wwc-sesame"/>
        </w:rPr>
        <w:t>Dhammapada</w:t>
      </w:r>
      <w:r>
        <w:rPr/>
        <w:t>-related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1">
        <w:r>
          <w:rPr>
            <w:rStyle w:val="Hyperlink"/>
          </w:rPr>
          <w:t>MN 49:25.1</w:t>
        </w:r>
      </w:hyperlink>
      <w:r>
        <w:rPr/>
        <w:t xml:space="preserve">, is verse or prose: </w:t>
      </w:r>
      <w:r>
        <w:rPr>
          <w:rStyle w:val="wwc-sesame-zot-reference"/>
        </w:rPr>
        <w:t>Ñāṇamoli 2001</w:t>
      </w:r>
      <w:r>
        <w:rPr/>
        <w:t xml:space="preserve"> treats it as verse but most Pali versions of the same passage seem to treat it as part of the prose. However, Ven. Bhikkhu Bodhi informs me (private communication) that the passage at </w:t>
      </w:r>
      <w:hyperlink r:id="rId42">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3">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4">
        <w:r>
          <w:rPr>
            <w:rStyle w:val="Hyperlink"/>
          </w:rPr>
          <w:t>MN 77:23.5, 23.11, 24.2, 24.11</w:t>
        </w:r>
      </w:hyperlink>
      <w:r>
        <w:rPr/>
        <w:t xml:space="preserve">, and with </w:t>
      </w:r>
      <w:r>
        <w:rPr>
          <w:rStyle w:val="wwc-pali"/>
        </w:rPr>
        <w:t>samādhi</w:t>
      </w:r>
      <w:r>
        <w:rPr/>
        <w:t xml:space="preserve"> more generally at </w:t>
      </w:r>
      <w:hyperlink r:id="rId45">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6">
        <w:r>
          <w:rPr>
            <w:rStyle w:val="Hyperlink"/>
          </w:rPr>
          <w:t>SN 46.33</w:t>
        </w:r>
      </w:hyperlink>
      <w:r>
        <w:rPr/>
        <w:t xml:space="preserve"> and </w:t>
      </w:r>
      <w:hyperlink r:id="rId47">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8">
        <w:r>
          <w:rPr>
            <w:rStyle w:val="Hyperlink"/>
          </w:rPr>
          <w:t>DN 11:85.11–85.27</w:t>
        </w:r>
      </w:hyperlink>
      <w:r>
        <w:rPr/>
        <w:t xml:space="preserve"> only contains one question. Why would the Buddha reformulate a single question into two? According to </w:t>
      </w:r>
      <w:hyperlink r:id="rId49">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50">
        <w:r>
          <w:rPr>
            <w:rStyle w:val="Hyperlink"/>
          </w:rPr>
          <w:t>Ud 1.10:14.1–15.4</w:t>
        </w:r>
      </w:hyperlink>
      <w:r>
        <w:rPr/>
        <w:t xml:space="preserve"> and </w:t>
      </w:r>
      <w:hyperlink r:id="rId51">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2">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3">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4">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5">
        <w:r>
          <w:rPr>
            <w:rStyle w:val="Hyperlink"/>
          </w:rPr>
          <w:t>AN 3.32</w:t>
        </w:r>
      </w:hyperlink>
      <w:r>
        <w:rPr/>
        <w:t xml:space="preserve">, </w:t>
      </w:r>
      <w:hyperlink r:id="rId56">
        <w:r>
          <w:rPr>
            <w:rStyle w:val="Hyperlink"/>
          </w:rPr>
          <w:t>AN 10.6</w:t>
        </w:r>
      </w:hyperlink>
      <w:r>
        <w:rPr/>
        <w:t xml:space="preserve">, </w:t>
      </w:r>
      <w:hyperlink r:id="rId57">
        <w:r>
          <w:rPr>
            <w:rStyle w:val="Hyperlink"/>
          </w:rPr>
          <w:t>AN 11.7</w:t>
        </w:r>
      </w:hyperlink>
      <w:r>
        <w:rPr/>
        <w:t xml:space="preserve">, and </w:t>
      </w:r>
      <w:hyperlink r:id="rId58">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 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9">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60">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1">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w:t>
      </w:r>
      <w:r>
        <w:rPr>
          <w:rStyle w:val="wwc-pali"/>
        </w:rPr>
        <w:t>Arahant</w:t>
      </w:r>
      <w:r>
        <w:rPr/>
        <w:t xml:space="preserve"> dies … the “stillness” and “emptiness” of the </w:t>
      </w:r>
      <w:r>
        <w:rPr>
          <w:rStyle w:val="wwc-pali"/>
        </w:rPr>
        <w:t>citta</w:t>
      </w:r>
      <w:r>
        <w:rPr/>
        <w:t xml:space="preserve"> makes it survive, free and anonymous …’ (p.133). Johansson evidently takes a particular state of </w:t>
      </w:r>
      <w:r>
        <w:rPr>
          <w:rStyle w:val="wwc-pali"/>
        </w:rPr>
        <w:t>citta</w:t>
      </w:r>
      <w:r>
        <w:rPr/>
        <w:t xml:space="preserve"> as equivalent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2">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3">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4">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5">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6">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 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7">
        <w:r>
          <w:rPr>
            <w:rStyle w:val="Hyperlink"/>
          </w:rPr>
          <w:t>SN 22.53:3.8–3.9</w:t>
        </w:r>
      </w:hyperlink>
      <w:r>
        <w:rPr/>
        <w:t xml:space="preserve"> &amp; </w:t>
      </w:r>
      <w:hyperlink r:id="rId68">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9">
        <w:r>
          <w:rPr>
            <w:rStyle w:val="Hyperlink"/>
          </w:rPr>
          <w:t>SN 43.12</w:t>
        </w:r>
      </w:hyperlink>
      <w:r>
        <w:rPr/>
        <w:t xml:space="preserve"> / </w:t>
      </w:r>
      <w:hyperlink r:id="rId70">
        <w:r>
          <w:rPr>
            <w:rStyle w:val="Hyperlink"/>
          </w:rPr>
          <w:t>SN 43.13</w:t>
        </w:r>
      </w:hyperlink>
      <w:r>
        <w:rPr/>
        <w:t xml:space="preserve"> / </w:t>
      </w:r>
      <w:hyperlink r:id="rId71">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byāpannacitto</w:t>
      </w:r>
      <w:r>
        <w:rPr/>
        <w:t>), mental intention of hate (</w:t>
      </w:r>
      <w:r>
        <w:rPr>
          <w:rStyle w:val="wwc-pali"/>
        </w:rPr>
        <w:t>pad</w:t>
      </w:r>
      <w:r>
        <w:rPr>
          <w:rStyle w:val="wwc-pali"/>
        </w:rPr>
        <w:t>uṭṭh</w:t>
      </w:r>
      <w:r>
        <w:rPr>
          <w:rStyle w:val="wwc-pali"/>
        </w:rPr>
        <w:t>aman</w:t>
      </w:r>
      <w:r>
        <w:rPr>
          <w:rStyle w:val="wwc-pali"/>
        </w:rPr>
        <w:t>as</w:t>
      </w:r>
      <w:r>
        <w:rPr>
          <w:rStyle w:val="wwc-pali"/>
        </w:rPr>
        <w:t>aṅkappo</w:t>
      </w:r>
      <w:r>
        <w:rPr/>
        <w:t>)’.</w:t>
      </w:r>
    </w:p>
    <w:p>
      <w:pPr>
        <w:pStyle w:val="WW-footnote-tight-right-cite"/>
        <w:rPr/>
      </w:pPr>
      <w:r>
        <w:rPr>
          <w:i/>
          <w:iCs/>
        </w:rPr>
        <w:t xml:space="preserve">(transl. Brahmāli) </w:t>
        <w:br/>
      </w:r>
      <w:hyperlink r:id="rId72">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3">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4">
        <w:r>
          <w:rPr>
            <w:rStyle w:val="Hyperlink"/>
          </w:rPr>
          <w:t>SN 17.9:1.6</w:t>
        </w:r>
      </w:hyperlink>
      <w:r>
        <w:rPr/>
        <w:t xml:space="preserve">, </w:t>
      </w:r>
      <w:hyperlink r:id="rId75">
        <w:r>
          <w:rPr>
            <w:rStyle w:val="Hyperlink"/>
          </w:rPr>
          <w:t>SN 20.10:3.1, 3.9</w:t>
        </w:r>
      </w:hyperlink>
      <w:r>
        <w:rPr/>
        <w:t xml:space="preserve"> and </w:t>
      </w:r>
      <w:hyperlink r:id="rId76">
        <w:r>
          <w:rPr>
            <w:rStyle w:val="Hyperlink"/>
          </w:rPr>
          <w:t>SN 35.127:5.4, 5.5</w:t>
        </w:r>
      </w:hyperlink>
      <w:r>
        <w:rPr/>
        <w:t xml:space="preserve">. See also </w:t>
      </w:r>
      <w:hyperlink r:id="rId77">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8">
        <w:r>
          <w:rPr>
            <w:rStyle w:val="Hyperlink"/>
          </w:rPr>
          <w:t>MN 115:9.4</w:t>
        </w:r>
      </w:hyperlink>
      <w:r>
        <w:rPr/>
        <w:t xml:space="preserve">, or </w:t>
      </w:r>
      <w:r>
        <w:rPr>
          <w:rStyle w:val="wwc-pali"/>
        </w:rPr>
        <w:t>amatadhātu</w:t>
      </w:r>
      <w:r>
        <w:rPr/>
        <w:t xml:space="preserve">, see </w:t>
      </w:r>
      <w:hyperlink r:id="rId79">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80">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1">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2">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3">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4">
        <w:r>
          <w:rPr>
            <w:rStyle w:val="Hyperlink"/>
          </w:rPr>
          <w:t>AN 10.6</w:t>
        </w:r>
      </w:hyperlink>
      <w:r>
        <w:rPr/>
        <w:t xml:space="preserve">, </w:t>
      </w:r>
      <w:hyperlink r:id="rId85">
        <w:r>
          <w:rPr>
            <w:rStyle w:val="Hyperlink"/>
          </w:rPr>
          <w:t>AN 10.7</w:t>
        </w:r>
      </w:hyperlink>
      <w:r>
        <w:rPr/>
        <w:t xml:space="preserve"> and </w:t>
      </w:r>
      <w:hyperlink r:id="rId86">
        <w:r>
          <w:rPr>
            <w:rStyle w:val="Hyperlink"/>
          </w:rPr>
          <w:t>AN 11.7</w:t>
        </w:r>
      </w:hyperlink>
      <w:r>
        <w:rPr/>
        <w:t xml:space="preserve">, </w:t>
      </w:r>
      <w:hyperlink r:id="rId87">
        <w:r>
          <w:rPr>
            <w:rStyle w:val="Hyperlink"/>
          </w:rPr>
          <w:t>AN 11.8</w:t>
        </w:r>
      </w:hyperlink>
      <w:r>
        <w:rPr/>
        <w:t>. (</w:t>
      </w:r>
      <w:hyperlink r:id="rId88">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9">
        <w:r>
          <w:rPr>
            <w:rStyle w:val="Hyperlink"/>
          </w:rPr>
          <w:t>DN 23:5.10–5.11</w:t>
        </w:r>
      </w:hyperlink>
      <w:r>
        <w:rPr/>
        <w:t xml:space="preserve">), and thus the inclusion of this expression does not seem to add anything new. I would regard its addition to </w:t>
      </w:r>
      <w:hyperlink r:id="rId90">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1">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2">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3">
        <w:r>
          <w:rPr>
            <w:rStyle w:val="Hyperlink"/>
          </w:rPr>
          <w:t>SN 12.38</w:t>
        </w:r>
      </w:hyperlink>
      <w:r>
        <w:rPr/>
        <w:t xml:space="preserve">, </w:t>
      </w:r>
      <w:hyperlink r:id="rId94">
        <w:r>
          <w:rPr>
            <w:rStyle w:val="Hyperlink"/>
          </w:rPr>
          <w:t>SN 12.39</w:t>
        </w:r>
      </w:hyperlink>
      <w:r>
        <w:rPr/>
        <w:t xml:space="preserve"> &amp; </w:t>
      </w:r>
      <w:hyperlink r:id="rId95">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 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6">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7">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8">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9">
        <w:r>
          <w:rPr>
            <w:rStyle w:val="Hyperlink"/>
          </w:rPr>
          <w:t>SN 5.10:4.3–4.4, 6.1–6.4</w:t>
        </w:r>
      </w:hyperlink>
      <w:r>
        <w:rPr/>
        <w:br/>
        <w:t xml:space="preserve">(see also: </w:t>
      </w:r>
      <w:hyperlink r:id="rId100">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1">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2">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3">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4">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5">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6">
        <w:r>
          <w:rPr>
            <w:rStyle w:val="Hyperlink"/>
          </w:rPr>
          <w:t>AN 8.11:6.1</w:t>
        </w:r>
      </w:hyperlink>
      <w:r>
        <w:rPr/>
        <w:t xml:space="preserve"> and </w:t>
      </w:r>
      <w:hyperlink r:id="rId107">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mil6.2.5/en/tw_rhysdavids"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sn12.20/en/bodhi"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6181</TotalTime>
  <Application>LibreOffice/25.2.4.3$Windows_X86_64 LibreOffice_project/33e196637044ead23f5c3226cde09b47731f7e27</Application>
  <AppVersion>15.0000</AppVersion>
  <Pages>44</Pages>
  <Words>19273</Words>
  <Characters>97982</Characters>
  <CharactersWithSpaces>116752</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2025-07-04T16:02:00Z</dcterms:modified>
  <cp:revision>818</cp:revision>
  <dc:subject/>
  <dc:title/>
</cp:coreProperties>
</file>

<file path=docProps/custom.xml><?xml version="1.0" encoding="utf-8"?>
<Properties xmlns="http://schemas.openxmlformats.org/officeDocument/2006/custom-properties" xmlns:vt="http://schemas.openxmlformats.org/officeDocument/2006/docPropsVTypes"/>
</file>