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5"/>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5"/>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5"/>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w:t>
      </w:r>
      <w:hyperlink w:anchor="bqseg23">
        <w:r>
          <w:rPr>
            <w:rStyle w:val="Hyperlink"/>
          </w:rPr>
          <w:t>§23</w:t>
        </w:r>
      </w:hyperlink>
      <w:r>
        <w:rPr/>
        <w:t>)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named-section"/>
        <w:rPr/>
      </w:pPr>
      <w:r>
        <w:rPr/>
        <w:t>§</w:t>
      </w:r>
      <w:r>
        <w:rPr/>
        <w:t>2</w:t>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named-section"/>
        <w:rPr/>
      </w:pPr>
      <w:r>
        <w:rPr/>
        <w:t>§</w:t>
      </w:r>
      <w:r>
        <w:rPr/>
        <w:t>3</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named-section"/>
        <w:rPr/>
      </w:pPr>
      <w:r>
        <w:rPr/>
        <w:t>§</w:t>
      </w:r>
      <w:r>
        <w:rPr/>
        <w:t>4</w:t>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named-section"/>
        <w:rPr/>
      </w:pPr>
      <w:r>
        <w:rPr/>
        <w:t>§</w:t>
      </w:r>
      <w:r>
        <w:rPr/>
        <w:t>5</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w:t>
      </w:r>
      <w:hyperlink w:anchor="bqseg20">
        <w:r>
          <w:rPr>
            <w:rStyle w:val="Hyperlink"/>
          </w:rPr>
          <w:t>§20</w:t>
        </w:r>
      </w:hyperlink>
      <w:r>
        <w:rPr/>
        <w:t xml:space="preserve">,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named-section"/>
        <w:rPr/>
      </w:pPr>
      <w:r>
        <w:rPr/>
        <w:t>§</w:t>
      </w:r>
      <w:r>
        <w:rPr/>
        <w:t>6</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named-section"/>
        <w:rPr/>
      </w:pPr>
      <w:r>
        <w:rPr/>
        <w:t>§</w:t>
      </w:r>
      <w:r>
        <w:rPr/>
        <w:t>7</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named-section"/>
        <w:rPr/>
      </w:pPr>
      <w:r>
        <w:rPr/>
        <w:t>§</w:t>
      </w:r>
      <w:r>
        <w:rPr/>
        <w:t>8</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 xml:space="preserve">When Sāriputta mentioned the cessation of suffering in </w:t>
      </w:r>
      <w:hyperlink w:anchor="bqseg5">
        <w:r>
          <w:rPr>
            <w:rStyle w:val="Hyperlink"/>
          </w:rPr>
          <w:t>§5</w:t>
        </w:r>
      </w:hyperlink>
      <w:r>
        <w:rPr/>
        <w:t>,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 xml:space="preserve">Although Sāriputta’s explanation in </w:t>
      </w:r>
      <w:hyperlink w:anchor="bqseg5">
        <w:r>
          <w:rPr>
            <w:rStyle w:val="Hyperlink"/>
          </w:rPr>
          <w:t>§5</w:t>
        </w:r>
      </w:hyperlink>
      <w:r>
        <w:rPr/>
        <w:t xml:space="preserve">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named-section"/>
        <w:rPr/>
      </w:pPr>
      <w:r>
        <w:rPr/>
        <w:t>§</w:t>
      </w:r>
      <w:r>
        <w:rPr/>
        <w:t>9</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4"/>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4"/>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4"/>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4"/>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4"/>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4"/>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4"/>
        </w:numPr>
        <w:rPr/>
      </w:pPr>
      <w:r>
        <w:rPr/>
        <w:t>There will be rain, only if there are clouds. Rain happens because clouds form.</w:t>
      </w:r>
    </w:p>
    <w:p>
      <w:pPr>
        <w:pStyle w:val="WW-paragraph"/>
        <w:numPr>
          <w:ilvl w:val="1"/>
          <w:numId w:val="4"/>
        </w:numPr>
        <w:rPr/>
      </w:pPr>
      <w:r>
        <w:rPr/>
        <w:t>If there are no clouds, there won’t be rain. If the clouds disappear, the rain will stop.</w:t>
      </w:r>
    </w:p>
    <w:p>
      <w:pPr>
        <w:pStyle w:val="WW-paragraph"/>
        <w:numPr>
          <w:ilvl w:val="1"/>
          <w:numId w:val="4"/>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6"/>
        </w:numPr>
        <w:rPr/>
      </w:pPr>
      <w:r>
        <w:rPr/>
        <w:t>There will be death, only if there is birth. Death happens because birth happened first.</w:t>
      </w:r>
    </w:p>
    <w:p>
      <w:pPr>
        <w:pStyle w:val="WW-paragraph"/>
        <w:numPr>
          <w:ilvl w:val="1"/>
          <w:numId w:val="6"/>
        </w:numPr>
        <w:rPr/>
      </w:pPr>
      <w:r>
        <w:rPr/>
        <w:t>If there is no birth, there won’t be death. If birth ceases, death will cease.</w:t>
      </w:r>
    </w:p>
    <w:p>
      <w:pPr>
        <w:pStyle w:val="WW-paragraph"/>
        <w:numPr>
          <w:ilvl w:val="1"/>
          <w:numId w:val="6"/>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w:t>
      </w:r>
      <w:hyperlink w:anchor="bqseg49">
        <w:r>
          <w:rPr>
            <w:rStyle w:val="Hyperlink"/>
          </w:rPr>
          <w:t>§49</w:t>
        </w:r>
      </w:hyperlink>
      <w:r>
        <w:rPr/>
        <w:t xml:space="preserve">: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w:t>
      </w:r>
      <w:hyperlink w:anchor="bqseg11">
        <w:r>
          <w:rPr>
            <w:rStyle w:val="Hyperlink"/>
          </w:rPr>
          <w:t>§11</w:t>
        </w:r>
      </w:hyperlink>
      <w:r>
        <w:rPr/>
        <w:t xml:space="preserve">: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w:t>
      </w:r>
      <w:hyperlink w:anchor="bqseg71">
        <w:r>
          <w:rPr>
            <w:rStyle w:val="Hyperlink"/>
          </w:rPr>
          <w:t>§71</w:t>
        </w:r>
      </w:hyperlink>
      <w:r>
        <w:rPr/>
        <w:t>: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 xml:space="preserve">Some discourses on Dependent Arising contain only the craving sequence, omitting the preceding ignorance sequence. We already encountered an example of this at </w:t>
      </w:r>
      <w:hyperlink w:anchor="bqseg6">
        <w:r>
          <w:rPr>
            <w:rStyle w:val="Hyperlink"/>
          </w:rPr>
          <w:t>§6</w:t>
        </w:r>
      </w:hyperlink>
      <w:r>
        <w:rPr/>
        <w:t xml:space="preserve">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w:t>
      </w:r>
      <w:hyperlink w:anchor="bqseg5">
        <w:r>
          <w:rPr>
            <w:rStyle w:val="Hyperlink"/>
          </w:rPr>
          <w:t>§5</w:t>
        </w:r>
      </w:hyperlink>
      <w:r>
        <w:rPr/>
        <w:t xml:space="preserve">,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w:t>
      </w:r>
      <w:hyperlink w:anchor="bqseg11">
        <w:r>
          <w:rPr>
            <w:rStyle w:val="Hyperlink"/>
          </w:rPr>
          <w:t>§11</w:t>
        </w:r>
      </w:hyperlink>
      <w:r>
        <w:rPr/>
        <w:t>: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8"/>
        </w:numPr>
        <w:rPr/>
      </w:pPr>
      <w:r>
        <w:rPr/>
        <w:t>Ignorance and craving</w:t>
      </w:r>
    </w:p>
    <w:p>
      <w:pPr>
        <w:pStyle w:val="WW-paragraph"/>
        <w:numPr>
          <w:ilvl w:val="0"/>
          <w:numId w:val="8"/>
        </w:numPr>
        <w:rPr/>
      </w:pPr>
      <w:r>
        <w:rPr/>
        <w:t>Looking for happiness in various realms</w:t>
      </w:r>
    </w:p>
    <w:p>
      <w:pPr>
        <w:pStyle w:val="WW-paragraph"/>
        <w:numPr>
          <w:ilvl w:val="0"/>
          <w:numId w:val="8"/>
        </w:numPr>
        <w:rPr/>
      </w:pPr>
      <w:r>
        <w:rPr/>
        <w:t>Production of existence in a future life</w:t>
      </w:r>
    </w:p>
    <w:p>
      <w:pPr>
        <w:pStyle w:val="WW-paragraph"/>
        <w:rPr/>
      </w:pPr>
      <w:r>
        <w:rPr/>
        <w:t>The truth on the origin of suffering has:</w:t>
      </w:r>
    </w:p>
    <w:p>
      <w:pPr>
        <w:pStyle w:val="WW-paragraph"/>
        <w:numPr>
          <w:ilvl w:val="0"/>
          <w:numId w:val="7"/>
        </w:numPr>
        <w:rPr/>
      </w:pPr>
      <w:r>
        <w:rPr/>
        <w:t>Craving, desire, and enjoyment</w:t>
      </w:r>
    </w:p>
    <w:p>
      <w:pPr>
        <w:pStyle w:val="WW-paragraph"/>
        <w:numPr>
          <w:ilvl w:val="0"/>
          <w:numId w:val="7"/>
        </w:numPr>
        <w:rPr/>
      </w:pPr>
      <w:r>
        <w:rPr/>
        <w:t>Looking for happiness in various realms</w:t>
      </w:r>
    </w:p>
    <w:p>
      <w:pPr>
        <w:pStyle w:val="WW-paragraph"/>
        <w:numPr>
          <w:ilvl w:val="0"/>
          <w:numId w:val="7"/>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means the kind that happens at a pregnancy. The word is also used in the definition of ‘birth’ (</w:t>
      </w:r>
      <w:hyperlink w:anchor="bqseg20">
        <w:r>
          <w:rPr>
            <w:rStyle w:val="Hyperlink"/>
          </w:rPr>
          <w:t>§20</w:t>
        </w:r>
      </w:hyperlink>
      <w:r>
        <w:rPr/>
        <w:t xml:space="preserve">)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10"/>
        </w:numPr>
        <w:rPr/>
      </w:pPr>
      <w:r>
        <w:rPr/>
        <w:t>Craving, desire, and enjoyment</w:t>
      </w:r>
    </w:p>
    <w:p>
      <w:pPr>
        <w:pStyle w:val="WW-paragraph"/>
        <w:numPr>
          <w:ilvl w:val="0"/>
          <w:numId w:val="10"/>
        </w:numPr>
        <w:rPr/>
      </w:pPr>
      <w:r>
        <w:rPr/>
        <w:t>Planting of consciousness</w:t>
      </w:r>
    </w:p>
    <w:p>
      <w:pPr>
        <w:pStyle w:val="WW-paragraph"/>
        <w:numPr>
          <w:ilvl w:val="0"/>
          <w:numId w:val="10"/>
        </w:numPr>
        <w:rPr/>
      </w:pPr>
      <w:r>
        <w:rPr/>
        <w:t>Conception of the individual’s immaterial aspects and body</w:t>
      </w:r>
    </w:p>
    <w:p>
      <w:pPr>
        <w:pStyle w:val="WW-paragraph"/>
        <w:numPr>
          <w:ilvl w:val="0"/>
          <w:numId w:val="10"/>
        </w:numPr>
        <w:rPr/>
      </w:pPr>
      <w:r>
        <w:rPr/>
        <w:t>Development of willful actions</w:t>
      </w:r>
    </w:p>
    <w:p>
      <w:pPr>
        <w:pStyle w:val="WW-paragraph"/>
        <w:numPr>
          <w:ilvl w:val="0"/>
          <w:numId w:val="10"/>
        </w:numPr>
        <w:rPr/>
      </w:pPr>
      <w:r>
        <w:rPr/>
        <w:t>Production of existence in a future life</w:t>
      </w:r>
    </w:p>
    <w:p>
      <w:pPr>
        <w:pStyle w:val="WW-paragraph"/>
        <w:numPr>
          <w:ilvl w:val="0"/>
          <w:numId w:val="10"/>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Chapter"/>
        <w:rPr/>
      </w:pPr>
      <w:r>
        <w:rPr/>
        <w:t>HERE!!!!!!!!!!!!!!!!!!!!!!!!!!!!!!!!!!!!!!</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1"/>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1"/>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1"/>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4" w:name="bqseg55"/>
      <w:bookmarkEnd w:id="54"/>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5" w:name="bqseg56"/>
      <w:bookmarkEnd w:id="55"/>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6" w:name="bqseg57"/>
      <w:bookmarkEnd w:id="56"/>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2"/>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2"/>
        </w:numPr>
        <w:rPr/>
      </w:pPr>
      <w:r>
        <w:rPr/>
        <w:t>The origination sequence is primarily concerned with how rebirth is brought about.</w:t>
      </w:r>
    </w:p>
    <w:p>
      <w:pPr>
        <w:pStyle w:val="WW-paragraph"/>
        <w:numPr>
          <w:ilvl w:val="0"/>
          <w:numId w:val="12"/>
        </w:numPr>
        <w:rPr/>
      </w:pPr>
      <w:r>
        <w:rPr/>
        <w:t>This sequence describes the rebirth process in two different but parallel ways, one starting with ignorance and one with craving.</w:t>
      </w:r>
    </w:p>
    <w:p>
      <w:pPr>
        <w:pStyle w:val="WW-paragraph"/>
        <w:numPr>
          <w:ilvl w:val="0"/>
          <w:numId w:val="12"/>
        </w:numPr>
        <w:rPr/>
      </w:pPr>
      <w:r>
        <w:rPr/>
        <w:t>The immaterial aspects and body (</w:t>
      </w:r>
      <w:r>
        <w:rPr>
          <w:rStyle w:val="wwc-pali"/>
        </w:rPr>
        <w:t>nāmarūpa</w:t>
      </w:r>
      <w:r>
        <w:rPr/>
        <w:t>) are certain parts of the being.</w:t>
      </w:r>
    </w:p>
    <w:p>
      <w:pPr>
        <w:pStyle w:val="WW-paragraph"/>
        <w:numPr>
          <w:ilvl w:val="0"/>
          <w:numId w:val="12"/>
        </w:numPr>
        <w:rPr/>
      </w:pPr>
      <w:r>
        <w:rPr/>
        <w:t>The conception of these immaterial aspects and body refers to birth.</w:t>
      </w:r>
    </w:p>
    <w:p>
      <w:pPr>
        <w:pStyle w:val="WW-paragraph"/>
        <w:numPr>
          <w:ilvl w:val="0"/>
          <w:numId w:val="12"/>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2"/>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7" w:name="bqseg58"/>
      <w:bookmarkEnd w:id="57"/>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58" w:name="bqseg59"/>
      <w:bookmarkEnd w:id="58"/>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59" w:name="bqseg60"/>
      <w:bookmarkEnd w:id="59"/>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0" w:name="bqseg61"/>
      <w:bookmarkEnd w:id="60"/>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1" w:name="bqseg62"/>
      <w:bookmarkEnd w:id="61"/>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2" w:name="bqseg63"/>
      <w:bookmarkEnd w:id="62"/>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3" w:name="bqseg64"/>
      <w:bookmarkEnd w:id="63"/>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4" w:name="bqseg65"/>
      <w:bookmarkEnd w:id="64"/>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5" w:name="bqseg66"/>
      <w:bookmarkEnd w:id="65"/>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3"/>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3"/>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3"/>
        </w:numPr>
        <w:rPr/>
      </w:pPr>
      <w:r>
        <w:rPr/>
        <w:t>The nutriment of intention refers to the intentions that keep us alive, including the intentions to avoid deathly dangers and to look for food.</w:t>
      </w:r>
    </w:p>
    <w:p>
      <w:pPr>
        <w:pStyle w:val="WW-paragraph"/>
        <w:numPr>
          <w:ilvl w:val="0"/>
          <w:numId w:val="3"/>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3"/>
        </w:numPr>
        <w:rPr/>
      </w:pPr>
      <w:r>
        <w:rPr/>
        <w:t>The nutriment of edible food symbolically represents all sensual pleasures. Desire for them leads to rebirth in the sensual realm.</w:t>
      </w:r>
    </w:p>
    <w:p>
      <w:pPr>
        <w:pStyle w:val="WW-paragraph"/>
        <w:numPr>
          <w:ilvl w:val="0"/>
          <w:numId w:val="13"/>
        </w:numPr>
        <w:rPr/>
      </w:pPr>
      <w:r>
        <w:rPr/>
        <w:t>The nutriment of sense impression implies sensations. Desire for sensations leads to rebirth in any of the realms, including the non-sensual ones.</w:t>
      </w:r>
    </w:p>
    <w:p>
      <w:pPr>
        <w:pStyle w:val="WW-paragraph"/>
        <w:numPr>
          <w:ilvl w:val="0"/>
          <w:numId w:val="13"/>
        </w:numPr>
        <w:rPr/>
      </w:pPr>
      <w:r>
        <w:rPr/>
        <w:t>The nutriment of intention stands for willful actions, which result in rebirth in a place that aligns with those actions.</w:t>
      </w:r>
    </w:p>
    <w:p>
      <w:pPr>
        <w:pStyle w:val="WW-paragraph"/>
        <w:numPr>
          <w:ilvl w:val="0"/>
          <w:numId w:val="13"/>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6" w:name="bqseg67"/>
      <w:bookmarkEnd w:id="66"/>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67" w:name="bqseg68"/>
      <w:bookmarkEnd w:id="67"/>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68" w:name="bqseg69"/>
      <w:bookmarkEnd w:id="68"/>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69" w:name="bqseg70"/>
      <w:bookmarkEnd w:id="69"/>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0" w:name="bqseg71"/>
      <w:bookmarkEnd w:id="70"/>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1" w:name="bqseg72"/>
      <w:bookmarkEnd w:id="71"/>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2" w:name="bqseg73"/>
      <w:bookmarkEnd w:id="72"/>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3" w:name="bqseg74"/>
      <w:bookmarkEnd w:id="73"/>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4" w:name="bqseg75"/>
      <w:bookmarkEnd w:id="74"/>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4"/>
        </w:numPr>
        <w:rPr/>
      </w:pPr>
      <w:r>
        <w:rPr/>
        <w:t>Consciousness is still said to be the seed, but now it is joined by the four nutriments.</w:t>
      </w:r>
    </w:p>
    <w:p>
      <w:pPr>
        <w:pStyle w:val="WW-paragraph"/>
        <w:numPr>
          <w:ilvl w:val="0"/>
          <w:numId w:val="14"/>
        </w:numPr>
        <w:rPr/>
      </w:pPr>
      <w:r>
        <w:rPr/>
        <w:t>The seed is still said to be watered, now not by craving but by desire and enjoyment, which are just different manifestations of craving.</w:t>
      </w:r>
    </w:p>
    <w:p>
      <w:pPr>
        <w:pStyle w:val="WW-paragraph"/>
        <w:numPr>
          <w:ilvl w:val="0"/>
          <w:numId w:val="14"/>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5" w:name="bqseg76"/>
      <w:bookmarkEnd w:id="75"/>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6" w:name="bqseg77"/>
      <w:bookmarkEnd w:id="76"/>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77" w:name="bqseg78"/>
      <w:bookmarkEnd w:id="77"/>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5"/>
        </w:numPr>
        <w:rPr/>
      </w:pPr>
      <w:r>
        <w:rPr/>
        <w:t>Desire for the five senses (the nutriment of edible food)</w:t>
      </w:r>
    </w:p>
    <w:p>
      <w:pPr>
        <w:pStyle w:val="WW-paragraph"/>
        <w:numPr>
          <w:ilvl w:val="0"/>
          <w:numId w:val="15"/>
        </w:numPr>
        <w:rPr/>
      </w:pPr>
      <w:r>
        <w:rPr/>
        <w:t>Desire for sensations (the nutriment of sense impressions)</w:t>
      </w:r>
    </w:p>
    <w:p>
      <w:pPr>
        <w:pStyle w:val="WW-paragraph"/>
        <w:numPr>
          <w:ilvl w:val="0"/>
          <w:numId w:val="15"/>
        </w:numPr>
        <w:rPr/>
      </w:pPr>
      <w:r>
        <w:rPr/>
        <w:t>Willful actions that lead to rebirth (the nutriment of intentions)</w:t>
      </w:r>
    </w:p>
    <w:p>
      <w:pPr>
        <w:pStyle w:val="WW-paragraph"/>
        <w:numPr>
          <w:ilvl w:val="0"/>
          <w:numId w:val="15"/>
        </w:numPr>
        <w:rPr/>
      </w:pPr>
      <w:r>
        <w:rPr/>
        <w:t>Desire for existence (the nutriment of consciousness in one sense)</w:t>
      </w:r>
    </w:p>
    <w:p>
      <w:pPr>
        <w:pStyle w:val="WW-paragraph"/>
        <w:numPr>
          <w:ilvl w:val="0"/>
          <w:numId w:val="15"/>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78" w:name="bqseg79"/>
      <w:bookmarkEnd w:id="78"/>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79" w:name="bqseg80"/>
      <w:bookmarkEnd w:id="79"/>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0" w:name="bqseg81"/>
      <w:bookmarkEnd w:id="80"/>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spacing w:before="0" w:after="567"/>
        <w:ind w:hanging="0" w:start="0"/>
        <w:rPr/>
      </w:pPr>
      <w:r>
        <w:rPr/>
        <w:t>8. Consciousness and nāmarūpa</w:t>
      </w:r>
    </w:p>
    <w:p>
      <w:pPr>
        <w:pStyle w:val="WW-chapter-section-1"/>
        <w:ind w:hanging="0" w:start="0"/>
        <w:rPr/>
      </w:pPr>
      <w:r>
        <w:rPr/>
        <w:t>The dependency of consciousness on the khandhas</w:t>
      </w:r>
    </w:p>
    <w:p>
      <w:pPr>
        <w:pStyle w:val="WW-paragraph"/>
        <w:rPr/>
      </w:pPr>
      <w:r>
        <w:rPr/>
        <w:t xml:space="preserve">The </w:t>
      </w:r>
      <w:r>
        <w:rPr>
          <w:rStyle w:val="wwc-sesam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blockquote"/>
        <w:rPr/>
      </w:pPr>
      <w:bookmarkStart w:id="81" w:name="bqseg82"/>
      <w:bookmarkEnd w:id="81"/>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ind w:hanging="0" w:start="0"/>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blockquote"/>
        <w:rPr/>
      </w:pPr>
      <w:bookmarkStart w:id="82" w:name="bqseg83"/>
      <w:bookmarkEnd w:id="82"/>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[As §11.]</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blockquote"/>
        <w:rPr/>
      </w:pPr>
      <w:bookmarkStart w:id="83" w:name="bqseg84"/>
      <w:bookmarkEnd w:id="83"/>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ind w:hanging="0" w:start="0"/>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§92,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ind w:hanging="0" w:start="0"/>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blockquote"/>
        <w:rPr/>
      </w:pPr>
      <w:bookmarkStart w:id="84" w:name="bqseg85"/>
      <w:bookmarkEnd w:id="84"/>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blockquote"/>
        <w:rPr/>
      </w:pPr>
      <w:bookmarkStart w:id="85" w:name="bqseg86"/>
      <w:bookmarkEnd w:id="85"/>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(§108) shows that enlightened beings still have these things, so this cessation only happens when they pass away.</w:t>
      </w:r>
    </w:p>
    <w:p>
      <w:pPr>
        <w:pStyle w:val="WW-chapter-section-1"/>
        <w:ind w:hanging="0" w:start="0"/>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line-block"/>
        <w:rPr/>
      </w:pPr>
      <w:bookmarkStart w:id="86" w:name="bqseg87"/>
      <w:bookmarkEnd w:id="86"/>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blockquote"/>
        <w:rPr/>
      </w:pPr>
      <w:bookmarkStart w:id="87" w:name="bqseg88"/>
      <w:bookmarkEnd w:id="87"/>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blockquote"/>
        <w:rPr/>
      </w:pPr>
      <w:bookmarkStart w:id="88" w:name="bqseg89"/>
      <w:bookmarkEnd w:id="88"/>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blockquote"/>
        <w:rPr/>
      </w:pPr>
      <w:bookmarkStart w:id="89" w:name="bqseg90"/>
      <w:bookmarkEnd w:id="89"/>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line-block"/>
        <w:rPr/>
      </w:pPr>
      <w:bookmarkStart w:id="90" w:name="bqseg91"/>
      <w:bookmarkEnd w:id="90"/>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blockquote"/>
        <w:rPr/>
      </w:pPr>
      <w:bookmarkStart w:id="91" w:name="bqseg92"/>
      <w:bookmarkEnd w:id="91"/>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rPr>
        <w:t>Kevaddha Sutta</w:t>
      </w:r>
      <w:r>
        <w:rPr/>
        <w:t>, which I discussed at length in a previous essay, although without detailing its connections to Brahmanism.</w:t>
      </w:r>
      <w:r>
        <w:rPr>
          <w:rStyle w:val="FootnoteReference"/>
        </w:rPr>
        <w:footnoteReference w:id="339"/>
      </w:r>
      <w:r>
        <w:rPr/>
        <w:t xml:space="preserve"> The discourse stems from the first section of </w:t>
      </w:r>
      <w:r>
        <w:rPr>
          <w:rStyle w:val="wwc-sesame"/>
        </w:rPr>
        <w:t>Dīgha Nikāya</w:t>
      </w:r>
      <w:r>
        <w:rPr/>
        <w:t xml:space="preserve">, the </w:t>
      </w:r>
      <w:r>
        <w:rPr>
          <w:rStyle w:val="wwc-sesame"/>
        </w:rPr>
        <w:t>Sīlakkhandha Vagga</w:t>
      </w:r>
      <w:r>
        <w:rPr/>
        <w:t>, which is aimed at converting outsiders, Brahmins in particular.</w:t>
      </w:r>
      <w:r>
        <w:rPr>
          <w:rStyle w:val="FootnoteReference"/>
        </w:rPr>
        <w:footnoteReference w:id="340"/>
      </w:r>
      <w:r>
        <w:rPr/>
        <w:t xml:space="preserve">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line-block"/>
        <w:rPr/>
      </w:pPr>
      <w:bookmarkStart w:id="92" w:name="bqseg93"/>
      <w:bookmarkEnd w:id="92"/>
      <w:r>
        <w:rPr>
          <w:rStyle w:val="wwc-list-margin"/>
        </w:rPr>
        <w:t>[1]</w:t>
      </w:r>
      <w:r>
        <w:rPr/>
        <w:t>Where do earth, water,</w:t>
        <w:br/>
        <w:t>fire, and air find no footing?</w:t>
        <w:br/>
      </w:r>
      <w:r>
        <w:rPr>
          <w:rStyle w:val="wwc-list-margin"/>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rPr>
        <w:t>[1]</w:t>
      </w:r>
      <w:r>
        <w:rPr/>
        <w:t>Unbounded consciousness,</w:t>
        <w:br/>
        <w:t>without appearance, all-shining:</w:t>
        <w:br/>
        <w:t>here earth, water,</w:t>
        <w:br/>
        <w:t>fire, and air find no footing.</w:t>
      </w:r>
    </w:p>
    <w:p>
      <w:pPr>
        <w:pStyle w:val="WW-line-block"/>
        <w:rPr/>
      </w:pPr>
      <w:r>
        <w:rPr>
          <w:rStyle w:val="wwc-list-margin"/>
        </w:rPr>
        <w:t>[2]</w:t>
      </w:r>
      <w:r>
        <w:rPr/>
        <w:t>Here the long and short,</w:t>
        <w:br/>
        <w:t>the fine and coarse, the fair and foul—</w:t>
        <w:br/>
        <w:t>here the immaterial aspects and body</w:t>
        <w:br/>
        <w:t>fully come to cease:</w:t>
        <w:br/>
        <w:t>when consciousness ceases,</w:t>
        <w:br/>
        <w:t>then those come to cease.</w:t>
      </w:r>
      <w:r>
        <w:rPr>
          <w:rStyle w:val="FootnoteReference"/>
        </w:rPr>
        <w:footnoteReference w:id="341"/>
      </w:r>
    </w:p>
    <w:p>
      <w:pPr>
        <w:pStyle w:val="WW-paragraph"/>
        <w:rPr/>
      </w:pPr>
      <w:r>
        <w:rPr/>
        <w:t>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w:t>
      </w:r>
      <w:r>
        <w:rPr>
          <w:rStyle w:val="FootnoteReference"/>
        </w:rPr>
        <w:footnoteReference w:id="342"/>
      </w:r>
      <w:r>
        <w:rPr/>
        <w:t xml:space="preserv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w:t>
      </w:r>
      <w:r>
        <w:rPr>
          <w:rStyle w:val="FootnoteReference"/>
        </w:rPr>
        <w:footnoteReference w:id="343"/>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w:t>
      </w:r>
      <w:r>
        <w:rPr>
          <w:rStyle w:val="FootnoteReference"/>
        </w:rPr>
        <w:footnoteReference w:id="344"/>
      </w:r>
      <w:r>
        <w:rPr/>
        <w:t xml:space="preserve"> He also describes this form of existence as being different from, and uninfluenced by, the four elements.</w:t>
      </w:r>
      <w:r>
        <w:rPr>
          <w:rStyle w:val="FootnoteReference"/>
        </w:rPr>
        <w:footnoteReference w:id="345"/>
      </w:r>
      <w:r>
        <w:rPr/>
        <w:t xml:space="preserve"> Further, the Taittirīya Upaniṣad calls this highest essence “invisible”, i.e., without appearance.</w:t>
      </w:r>
      <w:r>
        <w:rPr>
          <w:rStyle w:val="FootnoteReference"/>
        </w:rPr>
        <w:footnoteReference w:id="346"/>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w:t>
      </w:r>
      <w:r>
        <w:rPr>
          <w:rStyle w:val="FootnoteReference"/>
        </w:rPr>
        <w:footnoteReference w:id="347"/>
      </w:r>
      <w:r>
        <w:rPr/>
        <w:t xml:space="preserv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r>
        <w:rPr>
          <w:rStyle w:val="FootnoteReference"/>
        </w:rPr>
        <w:footnoteReference w:id="348"/>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w:t>
      </w:r>
      <w:r>
        <w:rPr>
          <w:rStyle w:val="FootnoteReference"/>
        </w:rPr>
        <w:footnoteReference w:id="349"/>
      </w:r>
      <w:r>
        <w:rPr/>
        <w:t xml:space="preserve"> But regardless, the Buddha did use the exact same terminology, which indicates he (or whoever composed the </w:t>
      </w:r>
      <w:r>
        <w:rPr>
          <w:rStyle w:val="wwc-sesam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w:t>
      </w:r>
      <w:r>
        <w:rPr>
          <w:rStyle w:val="FootnoteReference"/>
        </w:rPr>
        <w:footnoteReference w:id="350"/>
      </w:r>
      <w:r>
        <w:rPr/>
        <w:t xml:space="preserve"> Yājñavalkya himself said: “It is to be seen by the mind alone that nothing exists separately here. […] It is to be seen as just oneness, immeasurable and constant. The self is stainless, beyond space, unborn, immense, constant.”</w:t>
      </w:r>
      <w:r>
        <w:rPr>
          <w:rStyle w:val="FootnoteReference"/>
        </w:rPr>
        <w:footnoteReference w:id="351"/>
      </w:r>
      <w:r>
        <w:rPr/>
        <w:t xml:space="preserve">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w:t>
      </w:r>
      <w:r>
        <w:rPr>
          <w:rStyle w:val="FootnoteReference"/>
        </w:rPr>
        <w:footnoteReference w:id="352"/>
      </w:r>
      <w:r>
        <w:rPr/>
        <w:t xml:space="preserve">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What has remained very relevant, however, is the general idea that consciousness can’t exist in isolation, because some Buddhists believe the Buddha taught the highest goal to be some consciousness free from objects or content.</w:t>
      </w:r>
      <w:r>
        <w:rPr>
          <w:rStyle w:val="FootnoteReference"/>
        </w:rPr>
        <w:footnoteReference w:id="353"/>
      </w:r>
      <w:r>
        <w:rPr/>
        <w:t xml:space="preserve"> But it was the Brahmins who did so, not the Buddha. The Buddha said all consciousness is dependently arisen. Or, as he chose to put it, consciousness depends on </w:t>
      </w:r>
      <w:r>
        <w:rPr>
          <w:rStyle w:val="wwc-pali"/>
        </w:rPr>
        <w:t>nāmarūpa</w:t>
      </w:r>
      <w:r>
        <w:rPr/>
        <w:t>.</w:t>
      </w:r>
    </w:p>
    <w:p>
      <w:pPr>
        <w:pStyle w:val="WW-chapter-section-1"/>
        <w:ind w:hanging="0" w:start="0"/>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(§84)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w:t>
      </w:r>
      <w:r>
        <w:rPr>
          <w:rStyle w:val="FootnoteReference"/>
        </w:rPr>
        <w:footnoteReference w:id="354"/>
      </w:r>
      <w:r>
        <w:rPr/>
        <w:t xml:space="preserve">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r>
        <w:rPr>
          <w:rStyle w:val="FootnoteReference"/>
        </w:rPr>
        <w:footnoteReference w:id="355"/>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ind w:hanging="0" w:start="0"/>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both commonly translated as ‘mind’.</w:t>
      </w:r>
      <w:r>
        <w:rPr>
          <w:rStyle w:val="FootnoteReference"/>
        </w:rPr>
        <w:footnoteReference w:id="356"/>
      </w:r>
      <w:r>
        <w:rPr/>
        <w:t xml:space="preserve"> It is also said that the consciousness of the unenlightened becomes preoccupied with change.</w:t>
      </w:r>
      <w:r>
        <w:rPr>
          <w:rStyle w:val="FootnoteReference"/>
        </w:rPr>
        <w:footnoteReference w:id="357"/>
      </w:r>
      <w:r>
        <w:rPr/>
        <w:t xml:space="preserv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w:t>
      </w:r>
      <w:r>
        <w:rPr>
          <w:rStyle w:val="FootnoteReference"/>
        </w:rPr>
        <w:footnoteReference w:id="358"/>
      </w:r>
      <w:r>
        <w:rPr/>
        <w:t xml:space="preserve">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sanskrit"/>
        </w:rPr>
        <w:t>vijñāna</w:t>
      </w:r>
      <w:r>
        <w:rPr/>
        <w:t>.</w:t>
      </w:r>
      <w:r>
        <w:rPr>
          <w:rStyle w:val="FootnoteReference"/>
        </w:rPr>
        <w:footnoteReference w:id="359"/>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originates from the immaterial aspects and body. The mind will disappear if the immaterial aspects and body cease.”</w:t>
      </w:r>
      <w:r>
        <w:rPr>
          <w:rStyle w:val="FootnoteReference"/>
        </w:rPr>
        <w:footnoteReference w:id="360"/>
      </w:r>
      <w:r>
        <w:rPr/>
        <w:t xml:space="preserv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w:t>
      </w:r>
      <w:r>
        <w:rPr>
          <w:rStyle w:val="FootnoteReference"/>
        </w:rPr>
        <w:footnoteReference w:id="361"/>
      </w:r>
      <w:r>
        <w:rPr/>
        <w:t xml:space="preserve"> The suttas mention “the body with consciousness”, consciousness is said to be bound to the body as long as one is alive, and the person dies when consciousness (and vitality and heat) leave the body.</w:t>
      </w:r>
      <w:r>
        <w:rPr>
          <w:rStyle w:val="FootnoteReference"/>
        </w:rPr>
        <w:footnoteReference w:id="362"/>
      </w:r>
      <w:r>
        <w:rPr/>
        <w:t xml:space="preserve">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r>
        <w:rPr>
          <w:rStyle w:val="FootnoteReference"/>
        </w:rPr>
        <w:footnoteReference w:id="363"/>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because there is much difference between the old Buddhist and our modern points of view, and there is a varying use of the term in the Canon itself.”</w:t>
      </w:r>
      <w:r>
        <w:rPr>
          <w:rStyle w:val="FootnoteReference"/>
        </w:rPr>
        <w:footnoteReference w:id="364"/>
      </w:r>
      <w:r>
        <w:rPr/>
        <w:t xml:space="preserve"> Many scholars have echoed these observations,</w:t>
      </w:r>
      <w:r>
        <w:rPr>
          <w:rStyle w:val="FootnoteReference"/>
        </w:rPr>
        <w:footnoteReference w:id="365"/>
      </w:r>
      <w:r>
        <w:rPr/>
        <w:t xml:space="preserve">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r>
        <w:rPr>
          <w:rStyle w:val="FootnoteReference"/>
        </w:rPr>
        <w:footnoteReference w:id="366"/>
      </w:r>
    </w:p>
    <w:p>
      <w:pPr>
        <w:pStyle w:val="WW-paragraph"/>
        <w:rPr/>
      </w:pPr>
      <w:r>
        <w:rPr/>
        <w:t xml:space="preserve">The reason </w:t>
      </w:r>
      <w:r>
        <w:rPr>
          <w:rStyle w:val="wwc-pali"/>
        </w:rPr>
        <w:t>viññāṇa</w:t>
      </w:r>
      <w:r>
        <w:rPr/>
        <w:t xml:space="preserve"> was used to indicate what travels between lives, is that awareness seems to be a constant.</w:t>
      </w:r>
      <w:r>
        <w:rPr>
          <w:rStyle w:val="FootnoteReference"/>
        </w:rPr>
        <w:footnoteReference w:id="367"/>
      </w:r>
      <w:r>
        <w:rPr/>
        <w:t xml:space="preserve">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w:t>
      </w:r>
      <w:r>
        <w:rPr>
          <w:rStyle w:val="FootnoteReference"/>
        </w:rPr>
        <w:footnoteReference w:id="368"/>
      </w:r>
      <w:r>
        <w:rPr/>
        <w:t xml:space="preserve">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to refer to the surviving spirit. The English word ‘consciousness’ ill fits such contexts,</w:t>
      </w:r>
      <w:r>
        <w:rPr>
          <w:rStyle w:val="FootnoteReference"/>
        </w:rPr>
        <w:footnoteReference w:id="369"/>
      </w:r>
      <w:r>
        <w:rPr/>
        <w:t xml:space="preserve">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w:t>
      </w:r>
      <w:r>
        <w:rPr>
          <w:rStyle w:val="FootnoteReference"/>
        </w:rPr>
        <w:footnoteReference w:id="370"/>
      </w:r>
      <w:r>
        <w:rPr/>
        <w:t xml:space="preserv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w:t>
      </w:r>
      <w:r>
        <w:rPr>
          <w:rStyle w:val="FootnoteReference"/>
        </w:rPr>
        <w:footnoteReference w:id="371"/>
      </w:r>
      <w:r>
        <w:rPr/>
        <w:t xml:space="preserve"> In §55 &amp; §56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r>
        <w:rPr>
          <w:rStyle w:val="FootnoteReference"/>
        </w:rPr>
        <w:footnoteReference w:id="372"/>
      </w:r>
    </w:p>
    <w:p>
      <w:pPr>
        <w:pStyle w:val="WW-paragraph"/>
        <w:rPr/>
      </w:pPr>
      <w:r>
        <w:rPr/>
        <w:t>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w:t>
      </w:r>
      <w:r>
        <w:rPr>
          <w:rStyle w:val="FootnoteReference"/>
        </w:rPr>
        <w:footnoteReference w:id="373"/>
      </w:r>
      <w:r>
        <w:rPr/>
        <w:t xml:space="preserve">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r>
        <w:rPr>
          <w:rStyle w:val="FootnoteReference"/>
        </w:rPr>
        <w:footnoteReference w:id="374"/>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by which they mean it links the past life to the new one.</w:t>
      </w:r>
      <w:r>
        <w:rPr>
          <w:rStyle w:val="FootnoteReference"/>
        </w:rPr>
        <w:footnoteReference w:id="375"/>
      </w:r>
      <w:r>
        <w:rPr/>
        <w:t xml:space="preserv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ind w:hanging="0" w:start="0"/>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w:t>
      </w:r>
      <w:r>
        <w:rPr>
          <w:rStyle w:val="FootnoteReference"/>
        </w:rPr>
        <w:footnoteReference w:id="376"/>
      </w:r>
      <w:r>
        <w:rPr/>
        <w:t xml:space="preserve">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blockquote"/>
        <w:rPr/>
      </w:pPr>
      <w:bookmarkStart w:id="93" w:name="bqseg94"/>
      <w:bookmarkEnd w:id="93"/>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r>
        <w:rPr>
          <w:rStyle w:val="FootnoteReference"/>
        </w:rPr>
        <w:footnoteReference w:id="377"/>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w:t>
      </w:r>
      <w:r>
        <w:rPr>
          <w:rStyle w:val="FootnoteReference"/>
        </w:rPr>
        <w:footnoteReference w:id="378"/>
      </w:r>
      <w:r>
        <w:rPr/>
        <w:t xml:space="preserve">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r>
        <w:rPr>
          <w:rStyle w:val="FootnoteReference"/>
        </w:rPr>
        <w:footnoteReference w:id="379"/>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that can be planted in this world or another world.</w:t>
      </w:r>
      <w:r>
        <w:rPr>
          <w:rStyle w:val="FootnoteReference"/>
        </w:rPr>
        <w:footnoteReference w:id="380"/>
      </w:r>
      <w:r>
        <w:rPr/>
        <w:t xml:space="preserve">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w:t>
      </w:r>
      <w:r>
        <w:rPr>
          <w:rStyle w:val="FootnoteReference"/>
        </w:rPr>
        <w:footnoteReference w:id="381"/>
      </w:r>
      <w:r>
        <w:rPr/>
        <w:t xml:space="preserve"> As the Buddha said: “What is called ‘mind’, ‘sentience’, and also ‘consciousness’, that arises as one thing and ceases as another by day and night.”</w:t>
      </w:r>
      <w:r>
        <w:rPr>
          <w:rStyle w:val="FootnoteReference"/>
        </w:rPr>
        <w:footnoteReference w:id="382"/>
      </w:r>
    </w:p>
    <w:p>
      <w:pPr>
        <w:pStyle w:val="WW-paragraph"/>
        <w:rPr/>
      </w:pPr>
      <w:r>
        <w:rPr/>
        <w:t>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w:t>
      </w:r>
      <w:r>
        <w:rPr>
          <w:rStyle w:val="FootnoteReference"/>
        </w:rPr>
        <w:footnoteReference w:id="383"/>
      </w:r>
      <w:r>
        <w:rPr/>
        <w:t xml:space="preserve">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w:t>
      </w:r>
      <w:r>
        <w:rPr>
          <w:rStyle w:val="FootnoteReference"/>
        </w:rPr>
        <w:footnoteReference w:id="384"/>
      </w:r>
      <w:r>
        <w:rPr/>
        <w:t xml:space="preserve">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r>
        <w:rPr>
          <w:rStyle w:val="FootnoteReference"/>
        </w:rPr>
        <w:footnoteReference w:id="385"/>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(§2)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w:t>
      </w:r>
      <w:r>
        <w:rPr>
          <w:rStyle w:val="FootnoteReference"/>
        </w:rPr>
        <w:footnoteReference w:id="386"/>
      </w:r>
      <w:r>
        <w:rPr/>
        <w:t xml:space="preserve">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ind w:hanging="0" w:start="0"/>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blockquote"/>
        <w:rPr/>
      </w:pPr>
      <w:bookmarkStart w:id="94" w:name="bqseg95"/>
      <w:bookmarkEnd w:id="94"/>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r>
        <w:rPr>
          <w:rStyle w:val="FootnoteReference"/>
        </w:rPr>
        <w:footnoteReference w:id="387"/>
      </w:r>
    </w:p>
    <w:p>
      <w:pPr>
        <w:pStyle w:val="WW-paragraph"/>
        <w:rPr/>
      </w:pPr>
      <w:r>
        <w:rPr/>
        <w:t>The exchange between these venerable monks may benefit from some clarification. To start, it is interesting to note that according to the Dictionary of Pāli Proper Names, Koṭṭhita was also born a Brahmin, just like Sāriputta.</w:t>
      </w:r>
      <w:r>
        <w:rPr>
          <w:rStyle w:val="FootnoteReference"/>
        </w:rPr>
        <w:footnoteReference w:id="388"/>
      </w:r>
      <w:r>
        <w:rPr/>
        <w:t xml:space="preserve">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wwc-pali"/>
        </w:rPr>
        <w:t>brahman</w:t>
      </w:r>
      <w:r>
        <w:rPr/>
        <w:t>.</w:t>
      </w:r>
      <w:r>
        <w:rPr>
          <w:rStyle w:val="FootnoteReference"/>
        </w:rPr>
        <w:footnoteReference w:id="389"/>
      </w:r>
      <w:r>
        <w:rPr/>
        <w:t xml:space="preserve">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ind w:hanging="0" w:start="0"/>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line-block"/>
        <w:ind w:hanging="0" w:start="709"/>
        <w:rPr/>
      </w:pPr>
      <w:bookmarkStart w:id="95" w:name="bqseg96"/>
      <w:bookmarkEnd w:id="95"/>
      <w:r>
        <w:rPr/>
        <w:t>Look at the world with its gods,</w:t>
        <w:br/>
        <w:t>resorting to immaterial aspects and bodies,</w:t>
        <w:br/>
        <w:t>imagining what has no self to have a self,</w:t>
        <w:br/>
        <w:t>imagining they know the truth.</w:t>
      </w:r>
      <w:r>
        <w:rPr>
          <w:rStyle w:val="FootnoteReference"/>
        </w:rPr>
        <w:footnoteReference w:id="390"/>
      </w:r>
    </w:p>
    <w:p>
      <w:pPr>
        <w:pStyle w:val="WW-line-block"/>
        <w:ind w:hanging="0" w:start="709"/>
        <w:rPr/>
      </w:pPr>
      <w:r>
        <w:rPr/>
        <w:t>For whatever they imagine it is,</w:t>
        <w:br/>
        <w:t>it is different from that.</w:t>
        <w:br/>
        <w:t>That is indeed their falsity,</w:t>
        <w:br/>
        <w:t>for the ephemeral is delusive in nature.</w:t>
      </w:r>
    </w:p>
    <w:p>
      <w:pPr>
        <w:pStyle w:val="WW-line-block"/>
        <w:ind w:hanging="0" w:start="709"/>
        <w:rPr/>
      </w:pPr>
      <w:r>
        <w:rPr/>
        <w:t>But extinguishment has a non-delusive nature:</w:t>
        <w:br/>
        <w:t>the noble ones know it as truth.</w:t>
        <w:br/>
        <w:t>By comprehending the truth,</w:t>
        <w:br/>
        <w:t>they are hungerless, extinguished.</w:t>
      </w:r>
      <w:r>
        <w:rPr>
          <w:rStyle w:val="FootnoteReference"/>
        </w:rPr>
        <w:footnoteReference w:id="391"/>
      </w:r>
    </w:p>
    <w:p>
      <w:pPr>
        <w:pStyle w:val="WW-space"/>
        <w:rPr/>
      </w:pPr>
      <w:r>
        <w:rPr/>
        <w:t>0</w:t>
      </w:r>
    </w:p>
    <w:p>
      <w:pPr>
        <w:pStyle w:val="WW-blockquote"/>
        <w:rPr/>
      </w:pPr>
      <w:bookmarkStart w:id="96" w:name="bqseg97"/>
      <w:bookmarkEnd w:id="96"/>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blockquote"/>
        <w:rPr/>
      </w:pPr>
      <w:r>
        <w:rPr/>
        <w:t>That is what the Buddha said, and this is said about it:</w:t>
      </w:r>
    </w:p>
    <w:p>
      <w:pPr>
        <w:pStyle w:val="WW-line-block"/>
        <w:ind w:hanging="0" w:start="709"/>
        <w:rPr/>
      </w:pPr>
      <w:r>
        <w:rPr/>
        <w:t>“</w:t>
      </w:r>
      <w:r>
        <w:rPr/>
        <w:t>Look at the world with its gods,</w:t>
        <w:br/>
        <w:t>resorting to immaterial aspects and bodies,</w:t>
      </w:r>
      <w:r>
        <w:rPr>
          <w:rStyle w:val="FootnoteReference"/>
        </w:rPr>
        <w:footnoteReference w:id="392"/>
      </w:r>
      <w:r>
        <w:rPr/>
        <w:br/>
        <w:t>deprived of understanding,</w:t>
        <w:br/>
        <w:t>imagining they know the truth.</w:t>
      </w:r>
    </w:p>
    <w:p>
      <w:pPr>
        <w:pStyle w:val="WW-line-block"/>
        <w:ind w:hanging="0" w:start="709"/>
        <w:rPr/>
      </w:pPr>
      <w:r>
        <w:rPr/>
        <w:t>The best thing in the world is understanding,</w:t>
        <w:br/>
        <w:t>as it leads to penetration</w:t>
        <w:br/>
        <w:t>with which you correctly understand</w:t>
        <w:br/>
        <w:t>the end of rebirth and existence.</w:t>
      </w:r>
    </w:p>
    <w:p>
      <w:pPr>
        <w:pStyle w:val="WW-line-block"/>
        <w:ind w:hanging="0" w:start="709"/>
        <w:rPr/>
      </w:pPr>
      <w:r>
        <w:rPr/>
        <w:t>Gods and humans envy them,</w:t>
        <w:br/>
        <w:t>the awake ones, who are non-forgetful,</w:t>
        <w:br/>
        <w:t>and who with joyful understanding</w:t>
        <w:br/>
        <w:t>bear their final body.”</w:t>
      </w:r>
      <w:r>
        <w:rPr>
          <w:rStyle w:val="FootnoteReference"/>
        </w:rPr>
        <w:footnoteReference w:id="393"/>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blockquote"/>
        <w:rPr/>
      </w:pPr>
      <w:bookmarkStart w:id="97" w:name="bqseg98"/>
      <w:bookmarkEnd w:id="97"/>
      <w:r>
        <w:rPr/>
        <w:t>The brahmin Bhāradvāja Tangled-Hair</w:t>
      </w:r>
      <w:r>
        <w:rPr>
          <w:rStyle w:val="FootnoteReference"/>
        </w:rPr>
        <w:footnoteReference w:id="394"/>
      </w:r>
      <w:r>
        <w:rPr/>
        <w:t xml:space="preserve"> went to the Buddha and exchanged greetings with him. After a friendly greeting and exchange he sat down to a side. He then addressed him in verse:</w:t>
      </w:r>
    </w:p>
    <w:p>
      <w:pPr>
        <w:pStyle w:val="WW-line-block"/>
        <w:ind w:hanging="0" w:start="709"/>
        <w:rPr/>
      </w:pPr>
      <w:r>
        <w:rPr/>
        <w:t>“</w:t>
      </w:r>
      <w:r>
        <w:rPr/>
        <w:t>In an inner tangle and outer tangle:</w:t>
        <w:br/>
        <w:t>people are entangled in a tangle.</w:t>
        <w:br/>
        <w:t>I ask you this, Gotama:</w:t>
        <w:br/>
        <w:t>who can untangle this tangle?”</w:t>
      </w:r>
    </w:p>
    <w:p>
      <w:pPr>
        <w:pStyle w:val="WW-line-block"/>
        <w:ind w:hanging="0" w:start="709"/>
        <w:rPr/>
      </w:pPr>
      <w:r>
        <w:rPr/>
        <w:t>“</w:t>
      </w:r>
      <w:r>
        <w:rPr/>
        <w:t>A wise man grounded in virtue,</w:t>
        <w:br/>
        <w:t>developing the mind and understanding,</w:t>
        <w:br/>
        <w:t>a motivated and heedful mendicant:</w:t>
        <w:br/>
        <w:t>he can untangle this tangle.</w:t>
      </w:r>
    </w:p>
    <w:p>
      <w:pPr>
        <w:pStyle w:val="WW-line-block"/>
        <w:ind w:hanging="0" w:start="709"/>
        <w:rPr/>
      </w:pPr>
      <w:r>
        <w:rPr/>
        <w:t>They whose desire, anger,</w:t>
        <w:br/>
        <w:t>and ignorance are removed,</w:t>
        <w:br/>
        <w:t>enlightened ones free from defilements:</w:t>
        <w:br/>
        <w:t>they have untangled the tangle.</w:t>
      </w:r>
    </w:p>
    <w:p>
      <w:pPr>
        <w:pStyle w:val="WW-line-block"/>
        <w:ind w:hanging="0" w:start="709"/>
        <w:rPr/>
      </w:pPr>
      <w:r>
        <w:rPr/>
        <w:t>When the immaterial aspects and body</w:t>
        <w:br/>
        <w:t>completely cease</w:t>
        <w:br/>
        <w:t>along with impingement and perceptions of form:</w:t>
        <w:br/>
        <w:t>then the tangle is cut.”</w:t>
      </w:r>
      <w:r>
        <w:rPr>
          <w:rStyle w:val="FootnoteReference"/>
        </w:rPr>
        <w:footnoteReference w:id="395"/>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w:t>
      </w:r>
      <w:r>
        <w:rPr>
          <w:rStyle w:val="FootnoteReference"/>
        </w:rPr>
        <w:footnoteReference w:id="396"/>
      </w:r>
      <w:r>
        <w:rPr/>
        <w:t xml:space="preserve">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w:t>
      </w:r>
      <w:r>
        <w:rPr>
          <w:rStyle w:val="FootnoteReference"/>
        </w:rPr>
        <w:footnoteReference w:id="397"/>
      </w:r>
      <w:r>
        <w:rPr/>
        <w:t xml:space="preserve"> Another says the mind ceases, but as pointed out before, these parallels sometimes use ‘mind’ (</w:t>
      </w:r>
      <w:r>
        <w:rPr/>
        <w:t>心</w:t>
      </w:r>
      <w:r>
        <w:rPr/>
        <w:t>) as a substitute for ‘consciousness’.</w:t>
      </w:r>
      <w:r>
        <w:rPr>
          <w:rStyle w:val="FootnoteReference"/>
        </w:rPr>
        <w:footnoteReference w:id="398"/>
      </w:r>
    </w:p>
    <w:p>
      <w:pPr>
        <w:pStyle w:val="WW-chapter-section-1"/>
        <w:ind w:hanging="0" w:start="0"/>
        <w:rPr/>
      </w:pPr>
      <w:r>
        <w:rPr/>
        <w:t>Summary on consciousness and nāmarūpa</w:t>
      </w:r>
    </w:p>
    <w:p>
      <w:pPr>
        <w:pStyle w:val="WW-paragraph"/>
        <w:rPr/>
      </w:pPr>
      <w:r>
        <w:rPr/>
        <w:t>In brief, the two dependencies are:</w:t>
      </w:r>
    </w:p>
    <w:p>
      <w:pPr>
        <w:pStyle w:val="WW-paragraph"/>
        <w:numPr>
          <w:ilvl w:val="0"/>
          <w:numId w:val="2"/>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2"/>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w:t>
      </w:r>
      <w:r>
        <w:rPr>
          <w:rStyle w:val="FootnoteReference"/>
        </w:rPr>
        <w:footnoteReference w:id="399"/>
      </w:r>
      <w:r>
        <w:rPr/>
        <w:t xml:space="preserve">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which only leaves it again at death; on the other hand because acts of consciousness generally rely on the (physical) sense organs.”</w:t>
      </w:r>
      <w:r>
        <w:rPr>
          <w:rStyle w:val="FootnoteReference"/>
        </w:rPr>
        <w:footnoteReference w:id="400"/>
      </w:r>
      <w:r>
        <w:rPr/>
        <w:t xml:space="preserve"> To put the two together, sentient life is always a combination of consciousness and </w:t>
      </w:r>
      <w:r>
        <w:rPr>
          <w:rStyle w:val="wwc-pali"/>
        </w:rPr>
        <w:t>nāmarūpa</w:t>
      </w:r>
      <w:r>
        <w:rPr/>
        <w:t>. It is never just one of the two.</w:t>
      </w:r>
      <w:r>
        <w:rPr>
          <w:rStyle w:val="FootnoteReference"/>
        </w:rPr>
        <w:footnoteReference w:id="401"/>
      </w:r>
      <w:r>
        <w:br w:type="page"/>
      </w:r>
    </w:p>
    <w:p>
      <w:pPr>
        <w:pStyle w:val="WW-Chapter"/>
        <w:spacing w:before="0" w:after="567"/>
        <w:ind w:hanging="0" w:start="0"/>
        <w:rPr/>
      </w:pPr>
      <w:r>
        <w:rPr/>
        <w:t>9. The dual nature of consciousness</w:t>
      </w:r>
    </w:p>
    <w:p>
      <w:pPr>
        <w:pStyle w:val="WW-paragraph"/>
        <w:rPr/>
      </w:pPr>
      <w:r>
        <w:rPr/>
        <w:t xml:space="preserve">This book focuses on consciousness as the third factor in the standard sequence of Dependent Arising, and I hope to have shown that in this context ‘consciousness’ refers to the general existence of the </w:t>
      </w:r>
      <w:r>
        <w:rPr>
          <w:rStyle w:val="Emphasis"/>
        </w:rPr>
        <w:t>whole</w:t>
      </w:r>
      <w:r>
        <w:rPr/>
        <w:t xml:space="preserve"> aspect of existence of consciousness. The arising of consciousness as a result of willful actions means rebirth in a certain place, and its cessation happens when the enlightened one passes away. But the suttas also speak of the arising and ceasing of instances of consciousness </w:t>
      </w:r>
      <w:r>
        <w:rPr>
          <w:rStyle w:val="Emphasis"/>
        </w:rPr>
        <w:t>within</w:t>
      </w:r>
      <w:r>
        <w:rPr/>
        <w:t xml:space="preserve"> this aspect of existence. This so-called momentary arising of consciousness forms the subject of this chapter.</w:t>
      </w:r>
    </w:p>
    <w:p>
      <w:pPr>
        <w:pStyle w:val="WW-paragraph"/>
        <w:rPr/>
      </w:pPr>
      <w:r>
        <w:rPr/>
        <w:t xml:space="preserve">A little point on linguistics before we start. Some authors suggest the aspect of existence of </w:t>
      </w:r>
      <w:r>
        <w:rPr>
          <w:rStyle w:val="wwc-pali"/>
        </w:rPr>
        <w:t>viññāṇa</w:t>
      </w:r>
      <w:r>
        <w:rPr/>
        <w:t xml:space="preserve"> to be a separative or divisive knowing, opposing it to a supposed unified or undivided knowing experienced by enlightened beings (although they contradict their own arguments when saying that this type of knowing is </w:t>
      </w:r>
      <w:r>
        <w:rPr>
          <w:rStyle w:val="Emphasis"/>
        </w:rPr>
        <w:t>also</w:t>
      </w:r>
      <w:r>
        <w:rPr/>
        <w:t xml:space="preserve"> called </w:t>
      </w:r>
      <w:r>
        <w:rPr>
          <w:rStyle w:val="wwc-pali"/>
        </w:rPr>
        <w:t>viññāṇa</w:t>
      </w:r>
      <w:r>
        <w:rPr/>
        <w:t>).</w:t>
      </w:r>
      <w:r>
        <w:rPr>
          <w:rStyle w:val="FootnoteReference"/>
        </w:rPr>
        <w:footnoteReference w:id="402"/>
      </w:r>
      <w:r>
        <w:rPr/>
        <w:t xml:space="preserve"> Their argument is based on etymology, taking the prefix </w:t>
      </w:r>
      <w:r>
        <w:rPr>
          <w:rStyle w:val="wwc-pali"/>
        </w:rPr>
        <w:t>vi</w:t>
      </w:r>
      <w:r>
        <w:rPr>
          <w:rStyle w:val="Emphasis"/>
        </w:rPr>
        <w:t>-</w:t>
      </w:r>
      <w:r>
        <w:rPr/>
        <w:t xml:space="preserve"> to indicate separation or division. But firstly, as Venerable Sujato already responded to such views, this is not the only use of the prefix.</w:t>
      </w:r>
      <w:r>
        <w:rPr>
          <w:rStyle w:val="FootnoteReference"/>
        </w:rPr>
        <w:footnoteReference w:id="403"/>
      </w:r>
      <w:r>
        <w:rPr/>
        <w:t xml:space="preserve"> The word </w:t>
      </w:r>
      <w:r>
        <w:rPr>
          <w:rStyle w:val="wwc-pali"/>
        </w:rPr>
        <w:t>visuddhi</w:t>
      </w:r>
      <w:r>
        <w:rPr/>
        <w:t xml:space="preserve"> for example, literally means ‘very pure’, not ‘divided pure’, although it is more fitting to regard the prefix as effectively meaningless here. In </w:t>
      </w:r>
      <w:r>
        <w:rPr>
          <w:rStyle w:val="wwc-pali"/>
        </w:rPr>
        <w:t>viññāṇa</w:t>
      </w:r>
      <w:r>
        <w:rPr/>
        <w:t xml:space="preserve"> the prefix likewise has no distinct meaning. Secondly, ‘divided knowing’ does not fit the use of the word in various texts, including the non-Buddhist. In the Upaniṣads, </w:t>
      </w:r>
      <w:r>
        <w:rPr>
          <w:rStyle w:val="wwc-pali"/>
        </w:rPr>
        <w:t>vijñāna</w:t>
      </w:r>
      <w:r>
        <w:rPr/>
        <w:t xml:space="preserve"> is used for the awareness Brahmins believed to experience when they were unified with </w:t>
      </w:r>
      <w:r>
        <w:rPr>
          <w:rStyle w:val="wwc-pali"/>
        </w:rPr>
        <w:t>brahman</w:t>
      </w:r>
      <w:r>
        <w:rPr/>
        <w:t xml:space="preserve">, and in the suttas a state of </w:t>
      </w:r>
      <w:r>
        <w:rPr>
          <w:rStyle w:val="wwc-pali"/>
        </w:rPr>
        <w:t>samādhi</w:t>
      </w:r>
      <w:r>
        <w:rPr/>
        <w:t xml:space="preserve"> (unification) is called ‘unbounded </w:t>
      </w:r>
      <w:r>
        <w:rPr>
          <w:rStyle w:val="wwc-pali"/>
        </w:rPr>
        <w:t>viññāṇa</w:t>
      </w:r>
      <w:r>
        <w:rPr/>
        <w:t xml:space="preserve">’. In this state consciousness still depends on an object, but the sense is that of unity, not division. And lastly but most importantly, deriving the meaning of a word by its prefix is generally bad linguistics. Bhikkhu Bodhi wrote in his book on Pāli that “one cannot deduce the meaning of a verb simply by adding the nuance of the prefix to the meaning of the basic verb”, and with this he in fact referred specifically to </w:t>
      </w:r>
      <w:r>
        <w:rPr>
          <w:rStyle w:val="wwc-pali"/>
        </w:rPr>
        <w:t>viññāṇa</w:t>
      </w:r>
      <w:r>
        <w:rPr/>
        <w:t>.</w:t>
      </w:r>
      <w:r>
        <w:rPr>
          <w:rStyle w:val="FootnoteReference"/>
        </w:rPr>
        <w:footnoteReference w:id="404"/>
      </w:r>
    </w:p>
    <w:p>
      <w:pPr>
        <w:pStyle w:val="WW-paragraph"/>
        <w:rPr/>
      </w:pPr>
      <w:r>
        <w:rPr/>
        <w:t xml:space="preserve">The discriminative part of cognition is generally called </w:t>
      </w:r>
      <w:r>
        <w:rPr>
          <w:rStyle w:val="wwc-pali"/>
        </w:rPr>
        <w:t>saññā</w:t>
      </w:r>
      <w:r>
        <w:rPr/>
        <w:t xml:space="preserve"> instead, although the term has some more nuanced meanings too. </w:t>
      </w:r>
      <w:r>
        <w:rPr>
          <w:rStyle w:val="wwc-pali"/>
        </w:rPr>
        <w:t>Viññāṇa</w:t>
      </w:r>
      <w:r>
        <w:rPr/>
        <w:t xml:space="preserve"> as an aspect of existence is just the basic knowing, the uninterpreted awareness of things—what in modern discourse might be called phenomenal consciousness.</w:t>
      </w:r>
      <w:r>
        <w:rPr>
          <w:rStyle w:val="FootnoteReference"/>
        </w:rPr>
        <w:footnoteReference w:id="405"/>
      </w:r>
      <w:r>
        <w:rPr/>
        <w:t xml:space="preserve"> As we have seen, the word is used in some different ways as well, but they generally relate to this basic meaning, not to ‘divided knowing’. It is exactly because consciousness seems unitary that the term </w:t>
      </w:r>
      <w:r>
        <w:rPr>
          <w:rStyle w:val="wwc-pali"/>
        </w:rPr>
        <w:t>viññāṇa</w:t>
      </w:r>
      <w:r>
        <w:rPr/>
        <w:t xml:space="preserve"> was used to signify what travels from life to life, for instance.</w:t>
      </w:r>
    </w:p>
    <w:p>
      <w:pPr>
        <w:pStyle w:val="WW-paragraph"/>
        <w:rPr/>
      </w:pPr>
      <w:r>
        <w:rPr/>
        <w:t xml:space="preserve">By the chapter title, ‘the dual nature of consciousness’, I therefore do not mean the kind of divided or discriminative knowing proposed by others. I instead use this terminology to indicate consciousness is always consciousness </w:t>
      </w:r>
      <w:r>
        <w:rPr>
          <w:rStyle w:val="Emphasis"/>
        </w:rPr>
        <w:t>of</w:t>
      </w:r>
      <w:r>
        <w:rPr/>
        <w:t xml:space="preserve"> something, that it always depends on an object. There isn’t any type of consciousness free from this conditioning. Consciousness without features or content is nothing but “an artificial abstraction”, as Venerable Ñānamoli called it, with no basis in reality.</w:t>
      </w:r>
      <w:r>
        <w:rPr>
          <w:rStyle w:val="FootnoteReference"/>
        </w:rPr>
        <w:footnoteReference w:id="406"/>
      </w:r>
    </w:p>
    <w:p>
      <w:pPr>
        <w:pStyle w:val="WW-chapter-section-1"/>
        <w:ind w:hanging="0" w:start="0"/>
        <w:rPr/>
      </w:pPr>
      <w:r>
        <w:rPr/>
        <w:t>Two different uses of ‘the arising of consciousness’</w:t>
      </w:r>
    </w:p>
    <w:p>
      <w:pPr>
        <w:pStyle w:val="WW-paragraph"/>
        <w:rPr/>
      </w:pPr>
      <w:r>
        <w:rPr/>
        <w:t xml:space="preserve">As I pointed out in the very first chapter, the aspect of existence of consciousness is a collection of different types of consciousness. To abbreviate the definition of §2: “Sight-‍, hearing-‍, smell-‍, taste-‍, touch-‍, and mind-consciousness: that is what’s called consciousness.” In context of the default sequence of Dependent Arising, Schmithausen thought the factor of consciousness is “not so much an act of consciousness but rather the [whole] </w:t>
      </w:r>
      <w:r>
        <w:rPr>
          <w:rStyle w:val="Emphasis"/>
        </w:rPr>
        <w:t>faculty</w:t>
      </w:r>
      <w:r>
        <w:rPr/>
        <w:t xml:space="preserve"> of consciousness”.</w:t>
      </w:r>
      <w:r>
        <w:rPr>
          <w:rStyle w:val="FootnoteReference"/>
        </w:rPr>
        <w:footnoteReference w:id="407"/>
      </w:r>
      <w:r>
        <w:rPr/>
        <w:t xml:space="preserve"> This use has to be kept separate from the arising of the individual instances (or “acts”) of consciousness within that faculty. The arising of instances of consciousness is not the outcome of willful actions but the result of sense impressions.</w:t>
      </w:r>
    </w:p>
    <w:p>
      <w:pPr>
        <w:pStyle w:val="WW-paragraph"/>
        <w:rPr/>
      </w:pPr>
      <w:r>
        <w:rPr/>
        <w:t>The difference between the two uses will become very apparent in §108, where the Buddha says enlightened beings still experience the arising of consciousness due to sense impressions, but they have no ignorance, so no longer perform willful actions that lead to rebirth. The aggregate of consciousness will therefore not arise again in another birth. In other words, the link between willful actions and consciousness is destroyed, but the link between sense impressions and individual instances of consciousness still exists. Instances of consciousness still arise, but the aggregate of consciousness won’t re-arise in a next life.</w:t>
      </w:r>
    </w:p>
    <w:p>
      <w:pPr>
        <w:pStyle w:val="WW-paragraph"/>
        <w:rPr/>
      </w:pPr>
      <w:r>
        <w:rPr/>
        <w:t>A simile adopted from Venerable Ajahn Brahm may clarify matters.</w:t>
      </w:r>
      <w:r>
        <w:rPr>
          <w:rStyle w:val="FootnoteReference"/>
        </w:rPr>
        <w:footnoteReference w:id="408"/>
      </w:r>
      <w:r>
        <w:rPr/>
        <w:t xml:space="preserve"> A man moves into a new house and puts a new television on his wall. During the years spent in the house he watches six different channels on the television. He is only able to do this because he bought the television the day he moved in. The house stands for a next life, the television for the origination of the whole aggregate of consciousness. The six channels represent the various instances of the six types of consciousness that arise within that aggregate. Alternatively we can say that the arising of consciousness as a result of willful actions refers to the </w:t>
      </w:r>
      <w:r>
        <w:rPr>
          <w:rStyle w:val="Emphasis"/>
        </w:rPr>
        <w:t>overall ability</w:t>
      </w:r>
      <w:r>
        <w:rPr/>
        <w:t xml:space="preserve"> to be aware that starts at birth and the arising of consciousness as a result of sense impressions to </w:t>
      </w:r>
      <w:r>
        <w:rPr>
          <w:rStyle w:val="Emphasis"/>
        </w:rPr>
        <w:t>specific contents</w:t>
      </w:r>
      <w:r>
        <w:rPr/>
        <w:t xml:space="preserve"> of awareness. (At the same time, the overall ability to have sense impressions and sensations is also the result of birth.)</w:t>
      </w:r>
      <w:r>
        <w:rPr>
          <w:rStyle w:val="FootnoteReference"/>
        </w:rPr>
        <w:footnoteReference w:id="409"/>
      </w:r>
      <w:r>
        <w:rPr/>
        <w:t xml:space="preserve"> See the following overview for clarity:</w:t>
      </w:r>
    </w:p>
    <w:p>
      <w:pPr>
        <w:pStyle w:val="WW-table-caption"/>
        <w:rPr/>
      </w:pPr>
      <w:r>
        <w:rPr/>
        <w:t>{SimpleNoRowBorders}Table 17. Different uses of ‘the arising of consciousness’</w:t>
      </w:r>
    </w:p>
    <w:tbl>
      <w:tblPr>
        <w:tblW w:w="7918" w:type="dxa"/>
        <w:jc w:val="start"/>
        <w:tblInd w:w="0" w:type="dxa"/>
        <w:tblLayout w:type="fixed"/>
        <w:tblCellMar>
          <w:top w:w="0" w:type="dxa"/>
          <w:start w:w="0" w:type="dxa"/>
          <w:bottom w:w="0" w:type="dxa"/>
          <w:end w:w="0" w:type="dxa"/>
        </w:tblCellMar>
      </w:tblPr>
      <w:tblGrid>
        <w:gridCol w:w="4137"/>
        <w:gridCol w:w="3780"/>
      </w:tblGrid>
      <w:tr>
        <w:trPr/>
        <w:tc>
          <w:tcPr>
            <w:tcW w:w="4137" w:type="dxa"/>
            <w:tcBorders/>
            <w:vAlign w:val="center"/>
          </w:tcPr>
          <w:p>
            <w:pPr>
              <w:pStyle w:val="WW-paragraph"/>
              <w:spacing w:before="170" w:after="170"/>
              <w:rPr/>
            </w:pPr>
            <w:r>
              <w:rPr>
                <w:rStyle w:val="Strong"/>
              </w:rPr>
              <w:t>Factor in Dependent Arising</w:t>
            </w:r>
          </w:p>
        </w:tc>
        <w:tc>
          <w:tcPr>
            <w:tcW w:w="3780" w:type="dxa"/>
            <w:tcBorders/>
            <w:vAlign w:val="center"/>
          </w:tcPr>
          <w:p>
            <w:pPr>
              <w:pStyle w:val="WW-paragraph"/>
              <w:spacing w:before="170" w:after="170"/>
              <w:rPr/>
            </w:pPr>
            <w:r>
              <w:rPr>
                <w:rStyle w:val="Strong"/>
              </w:rPr>
              <w:t>‘</w:t>
            </w:r>
            <w:r>
              <w:rPr>
                <w:rStyle w:val="Strong"/>
              </w:rPr>
              <w:t>Arising of consciousness’ refers to:</w:t>
            </w:r>
          </w:p>
        </w:tc>
      </w:tr>
      <w:tr>
        <w:trPr/>
        <w:tc>
          <w:tcPr>
            <w:tcW w:w="4137" w:type="dxa"/>
            <w:tcBorders/>
            <w:vAlign w:val="center"/>
          </w:tcPr>
          <w:p>
            <w:pPr>
              <w:pStyle w:val="WW-paragraph"/>
              <w:spacing w:before="170" w:after="170"/>
              <w:rPr/>
            </w:pPr>
            <w:r>
              <w:rPr/>
              <w:t>1. Ignorance</w:t>
              <w:br/>
              <w:t>2. Willful actions</w:t>
              <w:br/>
              <w:t>3. Consciousness</w:t>
              <w:br/>
              <w:t>4. Immaterial aspects &amp; body</w:t>
              <w:br/>
              <w:t>5. Six senses</w:t>
              <w:br/>
              <w:t>6. Sense impressions</w:t>
              <w:br/>
              <w:t>7. Sensations / Six types of consciousness</w:t>
              <w:br/>
              <w:t>8. …</w:t>
            </w:r>
          </w:p>
        </w:tc>
        <w:tc>
          <w:tcPr>
            <w:tcW w:w="3780" w:type="dxa"/>
            <w:tcBorders/>
            <w:vAlign w:val="center"/>
          </w:tcPr>
          <w:p>
            <w:pPr>
              <w:pStyle w:val="WW-paragraph"/>
              <w:spacing w:before="170" w:after="170"/>
              <w:rPr/>
            </w:pPr>
            <w:r>
              <w:rPr/>
              <w:br/>
              <w:br/>
              <w:t>– Overall aggregate of consciousness</w:t>
              <w:br/>
              <w:br/>
              <w:br/>
              <w:br/>
              <w:t>– Instances of consciousness</w:t>
            </w:r>
          </w:p>
        </w:tc>
      </w:tr>
    </w:tbl>
    <w:p>
      <w:pPr>
        <w:pStyle w:val="WW-paragraph"/>
        <w:rPr/>
      </w:pPr>
      <w:r>
        <w:rPr/>
        <w:t xml:space="preserve">In the standard sequence, sense impressions are followed by sensations (or ‘feelings’, </w:t>
      </w:r>
      <w:r>
        <w:rPr>
          <w:rStyle w:val="wwc-pali"/>
        </w:rPr>
        <w:t>vedanā</w:t>
      </w:r>
      <w:r>
        <w:rPr/>
        <w:t xml:space="preserve">), not by consciousness. But sensations and consciousness are intrinsically connected, so when certain sensations arise, certain states of consciousness arise alongside. It is impossible to experience a sensation without being conscious of it, or to be conscious without experiencing (or sensing) anything. The terms describe different </w:t>
      </w:r>
      <w:r>
        <w:rPr>
          <w:rStyle w:val="Emphasis"/>
        </w:rPr>
        <w:t>aspects</w:t>
      </w:r>
      <w:r>
        <w:rPr/>
        <w:t xml:space="preserve"> of awareness; they are not distinct entities. Venerable Sāriputta explains:</w:t>
      </w:r>
    </w:p>
    <w:p>
      <w:pPr>
        <w:pStyle w:val="WW-blockquote"/>
        <w:rPr/>
      </w:pPr>
      <w:bookmarkStart w:id="98" w:name="bqseg99"/>
      <w:bookmarkEnd w:id="98"/>
      <w:r>
        <w:rPr/>
        <w:t>[Koṭṭhita the Great:] “Are sensations, perceptions, and consciousness connected or are they separable? Is it possible to disconnect these from one another and point out the exact difference between them?”</w:t>
      </w:r>
    </w:p>
    <w:p>
      <w:pPr>
        <w:pStyle w:val="WW-blockquote"/>
        <w:rPr/>
      </w:pPr>
      <w:r>
        <w:rPr/>
        <w:t>[Sāriputta:] “Sensation, perception, and consciousness are connected; they are inseparable. It is not possible to disconnect them from one another and point out the exact difference between them. What you sense, you perceive. What you perceive, you are conscious of. Therefore, these things are connected; they are inseparable. It impossible to disconnect them from one another and point out the exact difference between them.”</w:t>
      </w:r>
      <w:r>
        <w:rPr>
          <w:rStyle w:val="FootnoteReference"/>
        </w:rPr>
        <w:footnoteReference w:id="410"/>
      </w:r>
    </w:p>
    <w:p>
      <w:pPr>
        <w:pStyle w:val="WW-paragraph"/>
        <w:rPr/>
      </w:pPr>
      <w:r>
        <w:rPr/>
        <w:t>As shown next, some passages also connect sense impressions directly to the arising of consciousness, not just to the arising of sensations. Such passages invariably speak of the arising of the six distinct types of consciousness, though, not of the aggregate of consciousness in general.</w:t>
      </w:r>
    </w:p>
    <w:p>
      <w:pPr>
        <w:pStyle w:val="WW-chapter-section-1"/>
        <w:ind w:hanging="0" w:start="0"/>
        <w:rPr/>
      </w:pPr>
      <w:r>
        <w:rPr/>
        <w:t>Sense impressions</w:t>
      </w:r>
    </w:p>
    <w:p>
      <w:pPr>
        <w:pStyle w:val="WW-paragraph"/>
        <w:rPr/>
      </w:pPr>
      <w:r>
        <w:rPr/>
        <w:t xml:space="preserve">The previous chapter showed that consciousness can’t exist in isolation. It always exists alongside other parts of the being which the Buddha called </w:t>
      </w:r>
      <w:r>
        <w:rPr>
          <w:rStyle w:val="wwc-pali"/>
        </w:rPr>
        <w:t>nāmarūpa</w:t>
      </w:r>
      <w:r>
        <w:rPr/>
        <w:t xml:space="preserve">. The dependency of consciousness on sense impressions teaches a similar principle, but it has a different focus. While the dependency of consciousness on </w:t>
      </w:r>
      <w:r>
        <w:rPr>
          <w:rStyle w:val="wwc-pali"/>
        </w:rPr>
        <w:t>nāmarūpa</w:t>
      </w:r>
      <w:r>
        <w:rPr/>
        <w:t xml:space="preserve"> primarily teaches us there is no realm where consciousness can be reborn on its own, the dependency on sense impressions teaches us that even in this life instances of consciousness always depend on other things.</w:t>
      </w:r>
    </w:p>
    <w:p>
      <w:pPr>
        <w:pStyle w:val="WW-paragraph"/>
        <w:rPr/>
      </w:pPr>
      <w:r>
        <w:rPr/>
        <w:t xml:space="preserve">The word I translate as ‘sense impression’ is </w:t>
      </w:r>
      <w:r>
        <w:rPr>
          <w:rStyle w:val="wwc-pali"/>
        </w:rPr>
        <w:t>phassa</w:t>
      </w:r>
      <w:r>
        <w:rPr/>
        <w:t>. It is usually translated as ‘contact’, but more literally means ‘touch’. Just like the body touches external objects, in Pāli the nose “touches” smells, the tongue “touches” flavors, and so on. When there is such “touching”, a specific type of consciousness can arise:</w:t>
      </w:r>
    </w:p>
    <w:p>
      <w:pPr>
        <w:pStyle w:val="WW-blockquote"/>
        <w:rPr/>
      </w:pPr>
      <w:bookmarkStart w:id="99" w:name="bqseg100"/>
      <w:bookmarkEnd w:id="99"/>
      <w:r>
        <w:rPr/>
        <w:t>A [instance of] sight-consciousness arises dependent on the sense of sight and sights. The union of the three is a sense impression. A hearing-consciousness arises dependent on the sense of hearing and sounds. … A smell-consciousness arises dependent on the sense of smell and smells. … A taste-consciousness arises dependent on the sense of taste and flavors. … A touch-consciousness arises dependent on the sense of touch and tangibles. … A mind-consciousness arises dependent on the mind and mental phenomena. The union of the three is a sense impression.</w:t>
      </w:r>
      <w:r>
        <w:rPr>
          <w:rStyle w:val="FootnoteReference"/>
        </w:rPr>
        <w:footnoteReference w:id="411"/>
      </w:r>
    </w:p>
    <w:p>
      <w:pPr>
        <w:pStyle w:val="WW-paragraph"/>
        <w:rPr/>
      </w:pPr>
      <w:r>
        <w:rPr/>
        <w:t xml:space="preserve">Here consciousness is said to depend on two conditions: a sense faculty and an object. In the following discourse Sāriputta adds a third: engagement, which means attention. But the word for ‘engagement’ is </w:t>
      </w:r>
      <w:r>
        <w:rPr>
          <w:rStyle w:val="wwc-pali"/>
        </w:rPr>
        <w:t>samannāhāra</w:t>
      </w:r>
      <w:r>
        <w:rPr/>
        <w:t>, which literally means ‘bringing together’, so it might also be a synonym for sense impression (or ‘contact’), in which case this passage doesn’t really add a third condition.</w:t>
      </w:r>
      <w:r>
        <w:rPr>
          <w:rStyle w:val="FootnoteReference"/>
        </w:rPr>
        <w:footnoteReference w:id="412"/>
      </w:r>
    </w:p>
    <w:p>
      <w:pPr>
        <w:pStyle w:val="WW-blockquote"/>
        <w:rPr/>
      </w:pPr>
      <w:bookmarkStart w:id="100" w:name="bqseg101"/>
      <w:bookmarkEnd w:id="100"/>
      <w:r>
        <w:rPr/>
        <w:t>If the internal sense of sight is intact, but no external sight comes within its scope, and there is no corresponding engagement there, then the corresponding section of consciousness [i.e. sight-consciousness] does not arise. If the internal sense of sight is intact, an external sight comes within its scope, but there is no corresponding engagement there, then the corresponding section of consciousness also does not arise. But if the internal sense of sight is intact, an external sight comes within its scope, and there is corresponding engagement there, then the corresponding section of consciousness does arise. [Similar for the other five senses.]</w:t>
      </w:r>
      <w:r>
        <w:rPr>
          <w:rStyle w:val="FootnoteReference"/>
        </w:rPr>
        <w:footnoteReference w:id="413"/>
      </w:r>
    </w:p>
    <w:p>
      <w:pPr>
        <w:pStyle w:val="WW-paragraph"/>
        <w:rPr/>
      </w:pPr>
      <w:r>
        <w:rPr/>
        <w:t>The corresponding sections of consciousness mentioned by Sāriputta are the types of consciousness corresponding to the particular types of sense impression: sight-consciousness, hearing-consciousness, and so forth. For each of the six senses, a different type of consciousness arises, as listed in the table below.</w:t>
      </w:r>
    </w:p>
    <w:p>
      <w:pPr>
        <w:pStyle w:val="WW-table-caption"/>
        <w:rPr/>
      </w:pPr>
      <w:r>
        <w:rPr/>
        <w:t>{SimpleNoRowBorders}Table 18. The six types of consciousness with their senses and objects</w:t>
      </w:r>
    </w:p>
    <w:tbl>
      <w:tblPr>
        <w:tblW w:w="6027" w:type="dxa"/>
        <w:jc w:val="start"/>
        <w:tblInd w:w="0" w:type="dxa"/>
        <w:tblLayout w:type="fixed"/>
        <w:tblCellMar>
          <w:top w:w="0" w:type="dxa"/>
          <w:start w:w="0" w:type="dxa"/>
          <w:bottom w:w="0" w:type="dxa"/>
          <w:end w:w="0" w:type="dxa"/>
        </w:tblCellMar>
      </w:tblPr>
      <w:tblGrid>
        <w:gridCol w:w="1459"/>
        <w:gridCol w:w="1952"/>
        <w:gridCol w:w="2616"/>
      </w:tblGrid>
      <w:tr>
        <w:trPr/>
        <w:tc>
          <w:tcPr>
            <w:tcW w:w="1459" w:type="dxa"/>
            <w:tcBorders/>
            <w:vAlign w:val="center"/>
          </w:tcPr>
          <w:p>
            <w:pPr>
              <w:pStyle w:val="WW-paragraph"/>
              <w:spacing w:before="170" w:after="170"/>
              <w:rPr/>
            </w:pPr>
            <w:r>
              <w:rPr>
                <w:rStyle w:val="Strong"/>
              </w:rPr>
              <w:t>Sense faculty</w:t>
            </w:r>
          </w:p>
        </w:tc>
        <w:tc>
          <w:tcPr>
            <w:tcW w:w="1952" w:type="dxa"/>
            <w:tcBorders/>
            <w:vAlign w:val="center"/>
          </w:tcPr>
          <w:p>
            <w:pPr>
              <w:pStyle w:val="WW-paragraph"/>
              <w:spacing w:before="170" w:after="170"/>
              <w:rPr/>
            </w:pPr>
            <w:r>
              <w:rPr>
                <w:rStyle w:val="Strong"/>
              </w:rPr>
              <w:t>Object</w:t>
            </w:r>
          </w:p>
        </w:tc>
        <w:tc>
          <w:tcPr>
            <w:tcW w:w="2616" w:type="dxa"/>
            <w:tcBorders/>
            <w:vAlign w:val="center"/>
          </w:tcPr>
          <w:p>
            <w:pPr>
              <w:pStyle w:val="WW-paragraph"/>
              <w:spacing w:before="170" w:after="170"/>
              <w:rPr/>
            </w:pPr>
            <w:r>
              <w:rPr>
                <w:rStyle w:val="Strong"/>
              </w:rPr>
              <w:t>Section of consciousness</w:t>
            </w:r>
          </w:p>
        </w:tc>
      </w:tr>
      <w:tr>
        <w:trPr/>
        <w:tc>
          <w:tcPr>
            <w:tcW w:w="1459" w:type="dxa"/>
            <w:tcBorders/>
            <w:vAlign w:val="center"/>
          </w:tcPr>
          <w:p>
            <w:pPr>
              <w:pStyle w:val="WW-paragraph"/>
              <w:spacing w:before="170" w:after="170"/>
              <w:rPr/>
            </w:pPr>
            <w:r>
              <w:rPr/>
              <w:t>Sight</w:t>
            </w:r>
          </w:p>
        </w:tc>
        <w:tc>
          <w:tcPr>
            <w:tcW w:w="1952" w:type="dxa"/>
            <w:tcBorders/>
            <w:vAlign w:val="center"/>
          </w:tcPr>
          <w:p>
            <w:pPr>
              <w:pStyle w:val="WW-paragraph"/>
              <w:spacing w:before="170" w:after="170"/>
              <w:rPr/>
            </w:pPr>
            <w:r>
              <w:rPr/>
              <w:t>Sights</w:t>
            </w:r>
          </w:p>
        </w:tc>
        <w:tc>
          <w:tcPr>
            <w:tcW w:w="2616" w:type="dxa"/>
            <w:tcBorders/>
            <w:vAlign w:val="center"/>
          </w:tcPr>
          <w:p>
            <w:pPr>
              <w:pStyle w:val="WW-paragraph"/>
              <w:spacing w:before="170" w:after="170"/>
              <w:rPr/>
            </w:pPr>
            <w:r>
              <w:rPr/>
              <w:t>Sight-consciousness</w:t>
            </w:r>
          </w:p>
        </w:tc>
      </w:tr>
      <w:tr>
        <w:trPr/>
        <w:tc>
          <w:tcPr>
            <w:tcW w:w="1459" w:type="dxa"/>
            <w:tcBorders/>
            <w:vAlign w:val="center"/>
          </w:tcPr>
          <w:p>
            <w:pPr>
              <w:pStyle w:val="WW-paragraph"/>
              <w:spacing w:before="170" w:after="170"/>
              <w:rPr/>
            </w:pPr>
            <w:r>
              <w:rPr/>
              <w:t>Hearing</w:t>
            </w:r>
          </w:p>
        </w:tc>
        <w:tc>
          <w:tcPr>
            <w:tcW w:w="1952" w:type="dxa"/>
            <w:tcBorders/>
            <w:vAlign w:val="center"/>
          </w:tcPr>
          <w:p>
            <w:pPr>
              <w:pStyle w:val="WW-paragraph"/>
              <w:spacing w:before="170" w:after="170"/>
              <w:rPr/>
            </w:pPr>
            <w:r>
              <w:rPr/>
              <w:t>Sounds</w:t>
            </w:r>
          </w:p>
        </w:tc>
        <w:tc>
          <w:tcPr>
            <w:tcW w:w="2616" w:type="dxa"/>
            <w:tcBorders/>
            <w:vAlign w:val="center"/>
          </w:tcPr>
          <w:p>
            <w:pPr>
              <w:pStyle w:val="WW-paragraph"/>
              <w:spacing w:before="170" w:after="170"/>
              <w:rPr/>
            </w:pPr>
            <w:r>
              <w:rPr/>
              <w:t>Hearing-consciousness</w:t>
            </w:r>
          </w:p>
        </w:tc>
      </w:tr>
      <w:tr>
        <w:trPr/>
        <w:tc>
          <w:tcPr>
            <w:tcW w:w="1459" w:type="dxa"/>
            <w:tcBorders/>
            <w:vAlign w:val="center"/>
          </w:tcPr>
          <w:p>
            <w:pPr>
              <w:pStyle w:val="WW-paragraph"/>
              <w:spacing w:before="170" w:after="170"/>
              <w:rPr/>
            </w:pPr>
            <w:r>
              <w:rPr/>
              <w:t>Smell</w:t>
            </w:r>
          </w:p>
        </w:tc>
        <w:tc>
          <w:tcPr>
            <w:tcW w:w="1952" w:type="dxa"/>
            <w:tcBorders/>
            <w:vAlign w:val="center"/>
          </w:tcPr>
          <w:p>
            <w:pPr>
              <w:pStyle w:val="WW-paragraph"/>
              <w:spacing w:before="170" w:after="170"/>
              <w:rPr/>
            </w:pPr>
            <w:r>
              <w:rPr/>
              <w:t>Smells</w:t>
            </w:r>
          </w:p>
        </w:tc>
        <w:tc>
          <w:tcPr>
            <w:tcW w:w="2616" w:type="dxa"/>
            <w:tcBorders/>
            <w:vAlign w:val="center"/>
          </w:tcPr>
          <w:p>
            <w:pPr>
              <w:pStyle w:val="WW-paragraph"/>
              <w:spacing w:before="170" w:after="170"/>
              <w:rPr/>
            </w:pPr>
            <w:r>
              <w:rPr/>
              <w:t>Smell-consciousness</w:t>
            </w:r>
          </w:p>
        </w:tc>
      </w:tr>
      <w:tr>
        <w:trPr/>
        <w:tc>
          <w:tcPr>
            <w:tcW w:w="1459" w:type="dxa"/>
            <w:tcBorders/>
            <w:vAlign w:val="center"/>
          </w:tcPr>
          <w:p>
            <w:pPr>
              <w:pStyle w:val="WW-paragraph"/>
              <w:spacing w:before="170" w:after="170"/>
              <w:rPr/>
            </w:pPr>
            <w:r>
              <w:rPr/>
              <w:t>Taste</w:t>
            </w:r>
          </w:p>
        </w:tc>
        <w:tc>
          <w:tcPr>
            <w:tcW w:w="1952" w:type="dxa"/>
            <w:tcBorders/>
            <w:vAlign w:val="center"/>
          </w:tcPr>
          <w:p>
            <w:pPr>
              <w:pStyle w:val="WW-paragraph"/>
              <w:spacing w:before="170" w:after="170"/>
              <w:rPr/>
            </w:pPr>
            <w:r>
              <w:rPr/>
              <w:t>Flavors</w:t>
            </w:r>
          </w:p>
        </w:tc>
        <w:tc>
          <w:tcPr>
            <w:tcW w:w="2616" w:type="dxa"/>
            <w:tcBorders/>
            <w:vAlign w:val="center"/>
          </w:tcPr>
          <w:p>
            <w:pPr>
              <w:pStyle w:val="WW-paragraph"/>
              <w:spacing w:before="170" w:after="170"/>
              <w:rPr/>
            </w:pPr>
            <w:r>
              <w:rPr/>
              <w:t>Taste-consciousness</w:t>
            </w:r>
          </w:p>
        </w:tc>
      </w:tr>
      <w:tr>
        <w:trPr/>
        <w:tc>
          <w:tcPr>
            <w:tcW w:w="1459" w:type="dxa"/>
            <w:tcBorders/>
            <w:vAlign w:val="center"/>
          </w:tcPr>
          <w:p>
            <w:pPr>
              <w:pStyle w:val="WW-paragraph"/>
              <w:spacing w:before="170" w:after="170"/>
              <w:rPr/>
            </w:pPr>
            <w:r>
              <w:rPr/>
              <w:t>Touch</w:t>
            </w:r>
          </w:p>
        </w:tc>
        <w:tc>
          <w:tcPr>
            <w:tcW w:w="1952" w:type="dxa"/>
            <w:tcBorders/>
            <w:vAlign w:val="center"/>
          </w:tcPr>
          <w:p>
            <w:pPr>
              <w:pStyle w:val="WW-paragraph"/>
              <w:spacing w:before="170" w:after="170"/>
              <w:rPr/>
            </w:pPr>
            <w:r>
              <w:rPr/>
              <w:t>Tangibles</w:t>
            </w:r>
          </w:p>
        </w:tc>
        <w:tc>
          <w:tcPr>
            <w:tcW w:w="2616" w:type="dxa"/>
            <w:tcBorders/>
            <w:vAlign w:val="center"/>
          </w:tcPr>
          <w:p>
            <w:pPr>
              <w:pStyle w:val="WW-paragraph"/>
              <w:spacing w:before="170" w:after="170"/>
              <w:rPr/>
            </w:pPr>
            <w:r>
              <w:rPr/>
              <w:t>Touch-consciousness</w:t>
            </w:r>
          </w:p>
        </w:tc>
      </w:tr>
      <w:tr>
        <w:trPr/>
        <w:tc>
          <w:tcPr>
            <w:tcW w:w="1459" w:type="dxa"/>
            <w:tcBorders/>
            <w:vAlign w:val="center"/>
          </w:tcPr>
          <w:p>
            <w:pPr>
              <w:pStyle w:val="WW-paragraph"/>
              <w:spacing w:before="170" w:after="170"/>
              <w:rPr/>
            </w:pPr>
            <w:r>
              <w:rPr/>
              <w:t>Mind</w:t>
            </w:r>
          </w:p>
        </w:tc>
        <w:tc>
          <w:tcPr>
            <w:tcW w:w="1952" w:type="dxa"/>
            <w:tcBorders/>
            <w:vAlign w:val="center"/>
          </w:tcPr>
          <w:p>
            <w:pPr>
              <w:pStyle w:val="WW-paragraph"/>
              <w:spacing w:before="170" w:after="170"/>
              <w:rPr/>
            </w:pPr>
            <w:r>
              <w:rPr/>
              <w:t>Mental phenomena</w:t>
            </w:r>
          </w:p>
        </w:tc>
        <w:tc>
          <w:tcPr>
            <w:tcW w:w="2616" w:type="dxa"/>
            <w:tcBorders/>
            <w:vAlign w:val="center"/>
          </w:tcPr>
          <w:p>
            <w:pPr>
              <w:pStyle w:val="WW-paragraph"/>
              <w:spacing w:before="170" w:after="170"/>
              <w:rPr/>
            </w:pPr>
            <w:r>
              <w:rPr/>
              <w:t>Mind-consciousness</w:t>
            </w:r>
          </w:p>
        </w:tc>
      </w:tr>
    </w:tbl>
    <w:p>
      <w:pPr>
        <w:pStyle w:val="WW-paragraph"/>
        <w:rPr/>
      </w:pPr>
      <w:r>
        <w:rPr/>
        <w:t xml:space="preserve">In the </w:t>
      </w:r>
      <w:r>
        <w:rPr>
          <w:rStyle w:val="wwc-sesame"/>
        </w:rPr>
        <w:t>Longer Discourse on the Ending of Craving</w:t>
      </w:r>
      <w:r>
        <w:rPr/>
        <w:t>, the Buddha compares sense impressions to fires:</w:t>
      </w:r>
    </w:p>
    <w:p>
      <w:pPr>
        <w:pStyle w:val="WW-blockquote"/>
        <w:rPr/>
      </w:pPr>
      <w:bookmarkStart w:id="101" w:name="bqseg102"/>
      <w:bookmarkEnd w:id="101"/>
      <w:r>
        <w:rPr/>
        <w:t>Mendicants, a fire is named after whatever its burning depends on. When a fire burns dependent on logs, it is named a log fire; when on twigs, a twig fire; when on grass, a grass fire; when on dung, a dung fire; when on chaff, a chaff-fire; and when on rubbish, a rubbish fire. Likewise, a consciousness is named after whatever its arising depends on. When a consciousness arises dependent on the sense of sight and sights, it is named sight-consciousness; when on the sense of hearing and sounds, hearing-consciousness; when on the sense of smell and smells, smell-consciousness; when on the sense of taste and flavors, taste-consciousness; when on the sense of touch and tangibles, touch-consciousness; and when on the mind and mental phenomena, mind-consciousness.</w:t>
      </w:r>
      <w:r>
        <w:rPr>
          <w:rStyle w:val="FootnoteReference"/>
        </w:rPr>
        <w:footnoteReference w:id="414"/>
      </w:r>
    </w:p>
    <w:p>
      <w:pPr>
        <w:pStyle w:val="WW-paragraph"/>
        <w:rPr/>
      </w:pPr>
      <w:r>
        <w:rPr/>
        <w:t>The Buddha then explains that if the nutriment—a synonym for fuel</w:t>
      </w:r>
      <w:r>
        <w:rPr>
          <w:rStyle w:val="FootnoteReference"/>
        </w:rPr>
        <w:footnoteReference w:id="415"/>
      </w:r>
      <w:r>
        <w:rPr/>
        <w:t>—ceases, the thing that depends on it also ceases:</w:t>
      </w:r>
    </w:p>
    <w:p>
      <w:pPr>
        <w:pStyle w:val="WW-blockquote"/>
        <w:rPr/>
      </w:pPr>
      <w:bookmarkStart w:id="102" w:name="bqseg103"/>
      <w:bookmarkEnd w:id="102"/>
      <w:r>
        <w:rPr/>
        <w:t>“</w:t>
      </w:r>
      <w:r>
        <w:rPr/>
        <w:t>Mendicants, do you see that this has come to be?”</w:t>
      </w:r>
    </w:p>
    <w:p>
      <w:pPr>
        <w:pStyle w:val="WW-blockquote"/>
        <w:rPr/>
      </w:pPr>
      <w:r>
        <w:rPr/>
        <w:t>“</w:t>
      </w:r>
      <w:r>
        <w:rPr/>
        <w:t>Yes, sir.”</w:t>
      </w:r>
    </w:p>
    <w:p>
      <w:pPr>
        <w:pStyle w:val="WW-blockquote"/>
        <w:rPr/>
      </w:pPr>
      <w:r>
        <w:rPr/>
        <w:t>“</w:t>
      </w:r>
      <w:r>
        <w:rPr/>
        <w:t>Do you see that it originated from that nutriment [i.e. fuel]?”</w:t>
      </w:r>
    </w:p>
    <w:p>
      <w:pPr>
        <w:pStyle w:val="WW-blockquote"/>
        <w:rPr/>
      </w:pPr>
      <w:r>
        <w:rPr/>
        <w:t>“</w:t>
      </w:r>
      <w:r>
        <w:rPr/>
        <w:t>Yes, sir.”</w:t>
      </w:r>
    </w:p>
    <w:p>
      <w:pPr>
        <w:pStyle w:val="WW-blockquote"/>
        <w:rPr/>
      </w:pPr>
      <w:r>
        <w:rPr/>
        <w:t>“</w:t>
      </w:r>
      <w:r>
        <w:rPr/>
        <w:t>Do you see that if that nutriment ceases, what has come to be is also bound to cease?”</w:t>
      </w:r>
    </w:p>
    <w:p>
      <w:pPr>
        <w:pStyle w:val="WW-blockquote"/>
        <w:rPr/>
      </w:pPr>
      <w:r>
        <w:rPr/>
        <w:t>“</w:t>
      </w:r>
      <w:r>
        <w:rPr/>
        <w:t>Yes, sir.”</w:t>
      </w:r>
    </w:p>
    <w:p>
      <w:pPr>
        <w:pStyle w:val="WW-paragraph"/>
        <w:rPr/>
      </w:pPr>
      <w:r>
        <w:rPr/>
        <w:t>Without nutriment, without fuel, there can be no fire. As Sāriputta said elsewhere, a fire that runs out of fuel is impermanent, of the nature to end and vanish.</w:t>
      </w:r>
      <w:r>
        <w:rPr>
          <w:rStyle w:val="FootnoteReference"/>
        </w:rPr>
        <w:footnoteReference w:id="416"/>
      </w:r>
      <w:r>
        <w:rPr/>
        <w:t xml:space="preserve"> So the point of the simile that, just like fire can’t exist without fuel, consciousness can’t exist without an object. In other words, consciousness is always conscious </w:t>
      </w:r>
      <w:r>
        <w:rPr>
          <w:rStyle w:val="Emphasis"/>
        </w:rPr>
        <w:t>of</w:t>
      </w:r>
      <w:r>
        <w:rPr/>
        <w:t xml:space="preserve"> something.</w:t>
      </w:r>
      <w:r>
        <w:rPr>
          <w:rStyle w:val="FootnoteReference"/>
        </w:rPr>
        <w:footnoteReference w:id="417"/>
      </w:r>
    </w:p>
    <w:p>
      <w:pPr>
        <w:pStyle w:val="WW-figure"/>
        <w:rPr/>
      </w:pPr>
      <w:r>
        <w:rPr/>
        <w:t>./img/fires.png=Six fires burning different substances (logs, twigs, grass, dung, chaff, and rubbish) labeled ‘sight’, ‘hearing’, smell’, ‘taste’, ‘touch’ and ‘mind’. Next to it is a pile of ashes labeled ‘no senses’.=80=border</w:t>
        <w:br/>
        <w:t>Figure 25. Fire as a simile for the six types of consciousness</w:t>
      </w:r>
    </w:p>
    <w:p>
      <w:pPr>
        <w:pStyle w:val="WW-paragraph"/>
        <w:rPr/>
      </w:pPr>
      <w:r>
        <w:rPr/>
        <w:t>Venerable Nandaka and a group of nuns once discussed the same simile, also making a connection between consciousness and sensation. They concluded that, just like there can be no fire without fuel, there can be no sensation or consciousness without any object:</w:t>
      </w:r>
    </w:p>
    <w:p>
      <w:pPr>
        <w:pStyle w:val="WW-blockquote"/>
        <w:rPr/>
      </w:pPr>
      <w:bookmarkStart w:id="103" w:name="bqseg104"/>
      <w:bookmarkEnd w:id="103"/>
      <w:r>
        <w:rPr/>
        <w:t>“</w:t>
      </w:r>
      <w:r>
        <w:rPr/>
        <w:t>Venerable [Nandaka], by correctly understanding things in line with reality, we have seen that the six types of consciousness are temporary (</w:t>
      </w:r>
      <w:r>
        <w:rPr>
          <w:rStyle w:val="wwc-pali"/>
        </w:rPr>
        <w:t>anicca</w:t>
      </w:r>
      <w:r>
        <w:rPr/>
        <w:t>).”</w:t>
      </w:r>
    </w:p>
    <w:p>
      <w:pPr>
        <w:pStyle w:val="WW-blockquote"/>
        <w:rPr/>
      </w:pPr>
      <w:r>
        <w:rPr/>
        <w:t>“</w:t>
      </w:r>
      <w:r>
        <w:rPr/>
        <w:t>Very good, Sisters! That is what noble disciples see when they correctly understand things in line with reality. Imagine a burning oil lamp. Its oil, wick, flame, and light are all temporary and changing. If someone would say the oil, wick, and flame may be temporary and changing, but the light is permanent, constant, eternal, and unchanging, would they be right?”</w:t>
      </w:r>
    </w:p>
    <w:p>
      <w:pPr>
        <w:pStyle w:val="WW-blockquote"/>
        <w:rPr/>
      </w:pPr>
      <w:r>
        <w:rPr/>
        <w:t>“</w:t>
      </w:r>
      <w:r>
        <w:rPr/>
        <w:t>No, sir. Why? Because the oil, wick, and flame are all temporary and changing, let alone the light.”</w:t>
      </w:r>
    </w:p>
    <w:p>
      <w:pPr>
        <w:pStyle w:val="WW-blockquote"/>
        <w:rPr/>
      </w:pPr>
      <w:r>
        <w:rPr/>
        <w:t>“</w:t>
      </w:r>
      <w:r>
        <w:rPr/>
        <w:t>Likewise, if someone said the six senses are temporary and changing, but the sensations that depend on the six senses—whether pleasant, painful, or neutral—are permanent, constant, eternal, and unchanging, would they be right?”</w:t>
      </w:r>
    </w:p>
    <w:p>
      <w:pPr>
        <w:pStyle w:val="WW-blockquote"/>
        <w:rPr/>
      </w:pPr>
      <w:r>
        <w:rPr/>
        <w:t>“</w:t>
      </w:r>
      <w:r>
        <w:rPr/>
        <w:t>No, sir. Why? Because every sensation [and hence every consciousness] arises dependent on corresponding requirements. When the requirements cease, the corresponding sensation ceases too.”</w:t>
      </w:r>
    </w:p>
    <w:p>
      <w:pPr>
        <w:pStyle w:val="WW-blockquote"/>
        <w:rPr/>
      </w:pPr>
      <w:r>
        <w:rPr/>
        <w:t>“</w:t>
      </w:r>
      <w:r>
        <w:rPr/>
        <w:t>Very good, Sisters! That is what noble disciples see when they correctly understand things in line with reality.”</w:t>
      </w:r>
      <w:r>
        <w:rPr>
          <w:rStyle w:val="FootnoteReference"/>
        </w:rPr>
        <w:footnoteReference w:id="418"/>
      </w:r>
    </w:p>
    <w:p>
      <w:pPr>
        <w:pStyle w:val="WW-paragraph"/>
        <w:rPr/>
      </w:pPr>
      <w:r>
        <w:rPr/>
        <w:t>The conditions for consciousness here are two: the sense faculty and its objects. The Buddha therefore also said instances of consciousness depend on a pair (</w:t>
      </w:r>
      <w:r>
        <w:rPr>
          <w:rStyle w:val="wwc-pali"/>
        </w:rPr>
        <w:t>dvaya</w:t>
      </w:r>
      <w:r>
        <w:rPr/>
        <w:t>):</w:t>
      </w:r>
    </w:p>
    <w:p>
      <w:pPr>
        <w:pStyle w:val="WW-blockquote"/>
        <w:rPr/>
      </w:pPr>
      <w:bookmarkStart w:id="104" w:name="bqseg105"/>
      <w:bookmarkEnd w:id="104"/>
      <w:r>
        <w:rPr/>
        <w:t>And what is a pair? The sense of sight and sights; the sense of hearing and sounds; the sense of smell and smells; the sense of taste and flavors; the sense of touch and tangibles; the mind and mental phenomena. That is what’s called a pair.</w:t>
      </w:r>
      <w:r>
        <w:rPr>
          <w:rStyle w:val="FootnoteReference"/>
        </w:rPr>
        <w:footnoteReference w:id="419"/>
      </w:r>
    </w:p>
    <w:p>
      <w:pPr>
        <w:pStyle w:val="WW-space"/>
        <w:rPr/>
      </w:pPr>
      <w:r>
        <w:rPr/>
        <w:t>0</w:t>
      </w:r>
    </w:p>
    <w:p>
      <w:pPr>
        <w:pStyle w:val="WW-blockquote"/>
        <w:rPr/>
      </w:pPr>
      <w:bookmarkStart w:id="105" w:name="bqseg106"/>
      <w:bookmarkEnd w:id="105"/>
      <w:r>
        <w:rPr/>
        <w:t>Mendicants, consciousness originates dependent on a pair. And how does consciousness originate dependent on a pair? A sight-consciousness arises dependent on the sense of sight and sights. The sense of sight is temporary, changing, and fluctuating; sights are temporary, changing, and fluctuating. So this pair sways and wavers; it is temporary, changing, and fluctuating.</w:t>
      </w:r>
    </w:p>
    <w:p>
      <w:pPr>
        <w:pStyle w:val="WW-blockquote"/>
        <w:rPr/>
      </w:pPr>
      <w:r>
        <w:rPr/>
        <w:t>Sight-consciousness is temporary, changing, and fluctuating. The conditions and requirements for the arising of sight-consciousness are temporary, changing, and fluctuating, so, since sight-consciousness arises dependent on temporary requirements, how could it be permanent?</w:t>
      </w:r>
    </w:p>
    <w:p>
      <w:pPr>
        <w:pStyle w:val="WW-blockquote"/>
        <w:rPr/>
      </w:pPr>
      <w:r>
        <w:rPr/>
        <w:t>The union, meeting, congregation of these three things [i.e. the pair plus consciousness] is called sense impression of sight. Sense impression of sight is temporary, changing, and fluctuating. The conditions and requirements for the arising of sense impression of sight are temporary, changing, and fluctuating, so, since sense impression of sight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A hearing-consciousness … a smell-consciousness … a taste-consciousness … a touch-consciousness […]</w:t>
      </w:r>
    </w:p>
    <w:p>
      <w:pPr>
        <w:pStyle w:val="WW-blockquote"/>
        <w:rPr/>
      </w:pPr>
      <w:r>
        <w:rPr/>
        <w:t>A mind-consciousness arises dependent on the mind and mental phenomena. The mind is temporary, changing, and fluctuating; mental phenomena are temporary, changing, and fluctuating. So this pair sways and wavers; it is temporary, changing, and fluctuating.</w:t>
      </w:r>
    </w:p>
    <w:p>
      <w:pPr>
        <w:pStyle w:val="WW-blockquote"/>
        <w:rPr/>
      </w:pPr>
      <w:r>
        <w:rPr/>
        <w:t>Mind-consciousness is temporary, changing, and fluctuating. The conditions and requirements for the arising of mind-consciousness are temporary, changing, and fluctuating, so, since mind-consciousness arises dependent on temporary requirements, how could it be permanent?</w:t>
      </w:r>
    </w:p>
    <w:p>
      <w:pPr>
        <w:pStyle w:val="WW-blockquote"/>
        <w:rPr/>
      </w:pPr>
      <w:r>
        <w:rPr/>
        <w:t>The union, meeting, congregation of these three things is called sense impression of the mind. Sense impression of the mind is temporary, changing, and fluctuating. The conditions and requirements for the arising of sense impression of the mind are temporary, changing, and fluctuating, so, since sense impression of the mind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That is how consciousness originates dependent on a pair.</w:t>
      </w:r>
      <w:r>
        <w:rPr>
          <w:rStyle w:val="FootnoteReference"/>
        </w:rPr>
        <w:footnoteReference w:id="420"/>
      </w:r>
    </w:p>
    <w:p>
      <w:pPr>
        <w:pStyle w:val="WW-paragraph"/>
        <w:rPr/>
      </w:pPr>
      <w:r>
        <w:rPr/>
        <w:t>In all these discussions on sense impression there is no mention of willful actions or karma or even ignorance. So once more, to be absolutely clear: this origination of consciousness as a result of sense impressions is not the same as its origination depending on willful action. These are two different teachings which explain fundamentally different principles.</w:t>
      </w:r>
    </w:p>
    <w:p>
      <w:pPr>
        <w:pStyle w:val="WW-chapter-section-1"/>
        <w:ind w:hanging="0" w:start="0"/>
        <w:rPr/>
      </w:pPr>
      <w:r>
        <w:rPr/>
        <w:t>Understanding sense impressions through meditation</w:t>
      </w:r>
    </w:p>
    <w:p>
      <w:pPr>
        <w:pStyle w:val="WW-paragraph"/>
        <w:rPr/>
      </w:pPr>
      <w:r>
        <w:rPr/>
        <w:t>The teachings on sense impressions are not just abstract theories. The workings of consciousness can be seen through direct experience. To be able to do so, consciousness first has to be simplified. Just like you can’t understand a conversation when six people are talking to you at the same time, when all six senses are happening at once, it is difficult if not impossible to see how the process of consciousness functions.</w:t>
      </w:r>
    </w:p>
    <w:p>
      <w:pPr>
        <w:pStyle w:val="WW-paragraph"/>
        <w:rPr/>
      </w:pPr>
      <w:r>
        <w:rPr/>
        <w:t>This is where meditation comes in. In deep meditation the five senses are completely left behind, leaving only mind-consciousness. After such an experience of jhāna you should ask yourself whether this refined consciousness depends on an object too, just like consciousness which was based on five senses. If the object of awareness would disappear, would this mental consciousness disappear too? If you are perceptive enough, you will have to conclude that it does. Since the object of awareness in such a state is very subtle, it can be hard to come to this conclusion, which explains why some people who have these experiences take them to be some form of unity, an ultimate essence or a self.</w:t>
      </w:r>
      <w:r>
        <w:rPr>
          <w:rStyle w:val="FootnoteReference"/>
        </w:rPr>
        <w:footnoteReference w:id="421"/>
      </w:r>
      <w:r>
        <w:rPr/>
        <w:t xml:space="preserve"> But the Buddha said: “Any sensation coming from sense impression of the mind […] is subject to disintegration.”</w:t>
      </w:r>
      <w:r>
        <w:rPr>
          <w:rStyle w:val="FootnoteReference"/>
        </w:rPr>
        <w:footnoteReference w:id="422"/>
      </w:r>
      <w:r>
        <w:rPr/>
        <w:t xml:space="preserve"> The </w:t>
      </w:r>
      <w:r>
        <w:rPr>
          <w:rStyle w:val="wwc-sesame"/>
        </w:rPr>
        <w:t>Sappurisa Sutta</w:t>
      </w:r>
      <w:r>
        <w:rPr/>
        <w:t xml:space="preserve"> also says that a worthy person reflects: “The Buddha has said to not identify with the attainment of the first jhāna. For whatever you imagine it is, it is different from that.”</w:t>
      </w:r>
      <w:r>
        <w:rPr>
          <w:rStyle w:val="FootnoteReference"/>
        </w:rPr>
        <w:footnoteReference w:id="423"/>
      </w:r>
    </w:p>
    <w:p>
      <w:pPr>
        <w:pStyle w:val="WW-paragraph"/>
        <w:rPr/>
      </w:pPr>
      <w:r>
        <w:rPr/>
        <w:t>A further way to understand the nature of consciousness is by seeing instances of consciousness arising and ceasing more directly. Rather than reflecting back on a previous experience of meditation, the arising and ceasing of sense impressions can be perceived in real time. It is like playing a movie at slow speed and seeing it to be a collection of still images which created an illusion of continuity. You will then also realize that the six types of consciousness are indeed separate things, not joined together by anything other than the deluded mind.</w:t>
      </w:r>
      <w:r>
        <w:rPr>
          <w:rStyle w:val="FootnoteReference"/>
        </w:rPr>
        <w:footnoteReference w:id="424"/>
      </w:r>
      <w:r>
        <w:rPr/>
        <w:t xml:space="preserve"> I am not sure to what extent this type of experience can be actively pursued, however, or whether it just happens when the mind is ready. Either way, it will also depend on having a calm and sharp mind which has abandoned the hindrances, so my pragmatic advice in this regard would still be to develop deep states of meditation. In my view, all real understanding of consciousness will be based on these experiences, not only of its momentary arising but also of its continuation between lives.</w:t>
      </w:r>
    </w:p>
    <w:p>
      <w:pPr>
        <w:pStyle w:val="WW-chapter-section-1"/>
        <w:ind w:hanging="0" w:start="0"/>
        <w:rPr/>
      </w:pPr>
      <w:r>
        <w:rPr/>
        <w:t>Sense impressions depending on external nāmarūpa</w:t>
      </w:r>
    </w:p>
    <w:p>
      <w:pPr>
        <w:pStyle w:val="WW-paragraph"/>
        <w:rPr/>
      </w:pPr>
      <w:r>
        <w:rPr/>
        <w:t>The cessation sequence of Dependent Arising starts with abandoning ignorance, but as mentioned a number of times before, not all factors cease the same moment ignorance is abandoned. Many of them, including consciousness and the immaterial aspects and body, remain until the death of the enlightened being. As long as they are still alive, they still have the six senses, and as a consequence they still experience sense impressions and sensations, including painful ones:</w:t>
      </w:r>
    </w:p>
    <w:p>
      <w:pPr>
        <w:pStyle w:val="WW-blockquote"/>
        <w:rPr/>
      </w:pPr>
      <w:bookmarkStart w:id="106" w:name="bqseg107"/>
      <w:bookmarkEnd w:id="106"/>
      <w:r>
        <w:rPr/>
        <w:t>“</w:t>
      </w:r>
      <w:r>
        <w:rPr/>
        <w:t>When learned [enlightened] noble disciples are impinged by painful physical sensations, they do not sorrow, mourn, and grief, and cry beating their chest, all confused.”</w:t>
      </w:r>
      <w:r>
        <w:rPr>
          <w:rStyle w:val="FootnoteReference"/>
        </w:rPr>
        <w:footnoteReference w:id="425"/>
      </w:r>
    </w:p>
    <w:p>
      <w:pPr>
        <w:pStyle w:val="WW-paragraph"/>
        <w:rPr/>
      </w:pPr>
      <w:r>
        <w:rPr/>
        <w:t>The discourse later clarifies that the learned noble disciple in this case refers to the enlightened one, for they are said to have overcome rebirth.</w:t>
      </w:r>
    </w:p>
    <w:p>
      <w:pPr>
        <w:pStyle w:val="WW-paragraph"/>
        <w:rPr/>
      </w:pPr>
      <w:r>
        <w:rPr/>
        <w:t xml:space="preserve">That sense impressions and sensations do not cease at enlightenment is also mentioned in the </w:t>
      </w:r>
      <w:r>
        <w:rPr>
          <w:rStyle w:val="wwc-sesame"/>
        </w:rPr>
        <w:t>Discourse on the Foolish and Wise</w:t>
      </w:r>
      <w:r>
        <w:rPr/>
        <w:t xml:space="preserve"> in the </w:t>
      </w:r>
      <w:r>
        <w:rPr>
          <w:rStyle w:val="wwc-sesame"/>
        </w:rPr>
        <w:t>Nidāna Saṁyutta</w:t>
      </w:r>
      <w:r>
        <w:rPr/>
        <w:t xml:space="preserve">, where the Buddha describes the perspectives of the unenlightened (the foolish) and the enlightened (the wise). </w:t>
      </w:r>
      <w:r>
        <w:rPr>
          <w:rStyle w:val="Emphasis"/>
        </w:rPr>
        <w:t>Both</w:t>
      </w:r>
      <w:r>
        <w:rPr/>
        <w:t xml:space="preserve"> are said to experience sense impressions dependent on “the pair” described in the previous section, although in this discourse the pair is detailed differently. Instead of the six senses and their objects, the pair is “this [conscious] body, and external </w:t>
      </w:r>
      <w:r>
        <w:rPr>
          <w:rStyle w:val="wwc-pali"/>
        </w:rPr>
        <w:t>nāmarūpa</w:t>
      </w:r>
      <w:r>
        <w:rPr/>
        <w:t xml:space="preserve">”, the latter half of which contains a unique use of the word </w:t>
      </w:r>
      <w:r>
        <w:rPr>
          <w:rStyle w:val="wwc-pali"/>
        </w:rPr>
        <w:t>nāmarūpa</w:t>
      </w:r>
      <w:r>
        <w:rPr/>
        <w:t>. I render it ‘external things with their names and forms’, which I will explain afterwards.</w:t>
      </w:r>
    </w:p>
    <w:p>
      <w:pPr>
        <w:pStyle w:val="WW-blockquote"/>
        <w:rPr/>
      </w:pPr>
      <w:bookmarkStart w:id="107" w:name="bqseg108"/>
      <w:bookmarkEnd w:id="107"/>
      <w:r>
        <w:rPr/>
        <w:t>“</w:t>
      </w:r>
      <w:r>
        <w:rPr/>
        <w:t>Mendicants, the fool’s current [conscious] body originated because they were obstructed by ignorance and chained by craving [in the past life]. And so there is a pair: this [conscious] body, and external things with their names and forms. Dependent on this pair there are sense impressions. There are just the six senses, and when impinged by sense impressions at one or more of them, the fool feels pleasure and pain.</w:t>
      </w:r>
    </w:p>
    <w:p>
      <w:pPr>
        <w:pStyle w:val="WW-blockquote"/>
        <w:rPr/>
      </w:pPr>
      <w:r>
        <w:rPr/>
        <w:t xml:space="preserve">The wise person’s current [conscious] body also originated because they were obstructed by ignorance and chained by craving. And so there is a pair: this [conscious] body, and external things with their names and forms. Dependent on this pair there are sense impressions. There are just the six senses, and when impinged by sense impressions at one or more of them, the wise person </w:t>
      </w:r>
      <w:r>
        <w:rPr>
          <w:rStyle w:val="Emphasis"/>
        </w:rPr>
        <w:t>also</w:t>
      </w:r>
      <w:r>
        <w:rPr/>
        <w:t xml:space="preserve"> feels pleasure and pain.</w:t>
      </w:r>
    </w:p>
    <w:p>
      <w:pPr>
        <w:pStyle w:val="WW-blockquote"/>
        <w:rPr/>
      </w:pPr>
      <w:r>
        <w:rPr/>
        <w:t>What then is the difference between the foolish and the wise?”</w:t>
      </w:r>
    </w:p>
    <w:p>
      <w:pPr>
        <w:pStyle w:val="WW-blockquote"/>
        <w:rPr/>
      </w:pPr>
      <w:r>
        <w:rPr/>
        <w:t>“</w:t>
      </w:r>
      <w:r>
        <w:rPr/>
        <w:t>Venerable sir, it would be good if you would explain that yourself, since you, the Buddha, are the root of our teachings and our guide and refuge for them. After we hear it from you, we will remember it.”</w:t>
      </w:r>
    </w:p>
    <w:p>
      <w:pPr>
        <w:pStyle w:val="WW-blockquote"/>
        <w:rPr/>
      </w:pPr>
      <w:r>
        <w:rPr/>
        <w:t>“</w:t>
      </w:r>
      <w:r>
        <w:rPr/>
        <w:t>Then please listen and pay close attention to what I shall say.”</w:t>
      </w:r>
    </w:p>
    <w:p>
      <w:pPr>
        <w:pStyle w:val="WW-blockquote"/>
        <w:rPr/>
      </w:pPr>
      <w:r>
        <w:rPr/>
        <w:t>“</w:t>
      </w:r>
      <w:r>
        <w:rPr/>
        <w:t>Yes, sir,” the mendicants replied.</w:t>
      </w:r>
    </w:p>
    <w:p>
      <w:pPr>
        <w:pStyle w:val="WW-blockquote"/>
        <w:rPr/>
      </w:pPr>
      <w:r>
        <w:rPr/>
        <w:t>The Buddha then said: “The fool’s current body has originated by them having been obstructed by ignorance and chained by craving. And they have not abandoned that ignorance nor fully ended that craving. Why? Because they have not lived the holy life for the complete ending of suffering. Therefore, when their body falls apart, the fool will travel on to another body. Traveling on to another body, they won’t get liberated from birth, old age and death, and sorrow, grief, pain, sadness, and distress. They won’t get liberated from suffering, I tell you.</w:t>
      </w:r>
    </w:p>
    <w:p>
      <w:pPr>
        <w:pStyle w:val="WW-blockquote"/>
        <w:rPr/>
      </w:pPr>
      <w:r>
        <w:rPr/>
        <w:t>The wise person’s current body has also originated by them having been obstructed by ignorance and chained by craving. But they have abandoned that ignorance and fully ended that craving. Why? Because they have lived the holy life for the complete ending of suffering. Therefore, when their body falls apart, the wise person will not travel on to another body. Not traveling on to another body, they get liberated from birth, old age and death, and sorrow, grief, pain, sadness, and distress. They get liberated from suffering, I tell you.”</w:t>
      </w:r>
      <w:r>
        <w:rPr>
          <w:rStyle w:val="FootnoteReference"/>
        </w:rPr>
        <w:footnoteReference w:id="426"/>
      </w:r>
    </w:p>
    <w:p>
      <w:pPr>
        <w:pStyle w:val="WW-paragraph"/>
        <w:rPr/>
      </w:pPr>
      <w:r>
        <w:rPr/>
        <w:t>The Pāli version mentions only ‘body’ as one part of the pair (the other part being the external things), but the Sanskrit and Chinese parallels mention ‘the body with its consciousness’.</w:t>
      </w:r>
      <w:r>
        <w:rPr>
          <w:rStyle w:val="FootnoteReference"/>
        </w:rPr>
        <w:footnoteReference w:id="427"/>
      </w:r>
      <w:r>
        <w:rPr/>
        <w:t xml:space="preserve"> This expression refers to the whole being, with consciousness standing for the mind. It basically stands for the six senses, which the </w:t>
      </w:r>
      <w:r>
        <w:rPr>
          <w:rStyle w:val="wwc-sesame"/>
        </w:rPr>
        <w:t>Discourse on the Foolish and Wise</w:t>
      </w:r>
      <w:r>
        <w:rPr/>
        <w:t xml:space="preserve"> indeed mentions as a synonym. Elsewhere the Pāli Canon also mentions ‘the body with its consciousness’,</w:t>
      </w:r>
      <w:r>
        <w:rPr>
          <w:rStyle w:val="FootnoteReference"/>
        </w:rPr>
        <w:footnoteReference w:id="428"/>
      </w:r>
      <w:r>
        <w:rPr/>
        <w:t xml:space="preserve"> always in combination with ‘all external objects’ (or ‘all external marks’, </w:t>
      </w:r>
      <w:r>
        <w:rPr>
          <w:rStyle w:val="wwc-pali"/>
        </w:rPr>
        <w:t>bahiddhā sabbanimittā</w:t>
      </w:r>
      <w:r>
        <w:rPr/>
        <w:t>), with a mark here being “a sign […] by which something or someone is recognised or identified”.</w:t>
      </w:r>
      <w:r>
        <w:rPr>
          <w:rStyle w:val="FootnoteReference"/>
        </w:rPr>
        <w:footnoteReference w:id="429"/>
      </w:r>
      <w:r>
        <w:rPr/>
        <w:t xml:space="preserve"> This </w:t>
      </w:r>
      <w:r>
        <w:rPr>
          <w:rStyle w:val="wwc-pali"/>
        </w:rPr>
        <w:t>bahiddhā sabbanimittā</w:t>
      </w:r>
      <w:r>
        <w:rPr/>
        <w:t xml:space="preserve"> is synonymous to </w:t>
      </w:r>
      <w:r>
        <w:rPr>
          <w:rStyle w:val="wwc-pali"/>
        </w:rPr>
        <w:t>bahiddhā nāmarūpa</w:t>
      </w:r>
      <w:r>
        <w:rPr/>
        <w:t xml:space="preserve">, because the names and forms are certain “marks” by which the objects are recognized. In his translations of the </w:t>
      </w:r>
      <w:r>
        <w:rPr>
          <w:rStyle w:val="wwc-sesame"/>
        </w:rPr>
        <w:t>Aṅguttara Nikāya</w:t>
      </w:r>
      <w:r>
        <w:rPr/>
        <w:t xml:space="preserve">, Bhikkhu Bodhi therefore translates </w:t>
      </w:r>
      <w:r>
        <w:rPr>
          <w:rStyle w:val="wwc-pali"/>
        </w:rPr>
        <w:t>bahiddhā sabbanimittā</w:t>
      </w:r>
      <w:r>
        <w:rPr/>
        <w:t xml:space="preserve"> simply as ‘all external objects’, akin to how I translate </w:t>
      </w:r>
      <w:r>
        <w:rPr>
          <w:rStyle w:val="wwc-pali"/>
        </w:rPr>
        <w:t>bahiddhā nāmarūpa</w:t>
      </w:r>
      <w:r>
        <w:rPr/>
        <w:t xml:space="preserve"> (‘external things with their names and forms’).</w:t>
      </w:r>
      <w:r>
        <w:rPr>
          <w:rStyle w:val="FootnoteReference"/>
        </w:rPr>
        <w:footnoteReference w:id="430"/>
      </w:r>
    </w:p>
    <w:p>
      <w:pPr>
        <w:pStyle w:val="WW-paragraph"/>
        <w:rPr/>
      </w:pPr>
      <w:r>
        <w:rPr/>
        <w:t>So in the Pāli Canon there are a handful of different ways to describe the pair of things that underlies sense impressions, as listed in the table below.</w:t>
      </w:r>
    </w:p>
    <w:p>
      <w:pPr>
        <w:pStyle w:val="WW-table-caption"/>
        <w:rPr/>
      </w:pPr>
      <w:r>
        <w:rPr/>
        <w:t>{SimpleNoRowBorders}Table 19. Different names for the senses and objects</w:t>
      </w:r>
    </w:p>
    <w:tbl>
      <w:tblPr>
        <w:tblW w:w="6240" w:type="dxa"/>
        <w:jc w:val="start"/>
        <w:tblInd w:w="0" w:type="dxa"/>
        <w:tblLayout w:type="fixed"/>
        <w:tblCellMar>
          <w:top w:w="0" w:type="dxa"/>
          <w:start w:w="0" w:type="dxa"/>
          <w:bottom w:w="0" w:type="dxa"/>
          <w:end w:w="0" w:type="dxa"/>
        </w:tblCellMar>
      </w:tblPr>
      <w:tblGrid>
        <w:gridCol w:w="2444"/>
        <w:gridCol w:w="3795"/>
      </w:tblGrid>
      <w:tr>
        <w:trPr/>
        <w:tc>
          <w:tcPr>
            <w:tcW w:w="2444" w:type="dxa"/>
            <w:tcBorders/>
            <w:vAlign w:val="center"/>
          </w:tcPr>
          <w:p>
            <w:pPr>
              <w:pStyle w:val="WW-paragraph"/>
              <w:spacing w:before="170" w:after="170"/>
              <w:rPr/>
            </w:pPr>
            <w:r>
              <w:rPr>
                <w:rStyle w:val="Strong"/>
              </w:rPr>
              <w:t>The observing faculty</w:t>
            </w:r>
          </w:p>
        </w:tc>
        <w:tc>
          <w:tcPr>
            <w:tcW w:w="3795" w:type="dxa"/>
            <w:tcBorders/>
            <w:vAlign w:val="center"/>
          </w:tcPr>
          <w:p>
            <w:pPr>
              <w:pStyle w:val="WW-paragraph"/>
              <w:spacing w:before="170" w:after="170"/>
              <w:rPr/>
            </w:pPr>
            <w:r>
              <w:rPr>
                <w:rStyle w:val="Strong"/>
              </w:rPr>
              <w:t>The observed objects</w:t>
            </w:r>
          </w:p>
        </w:tc>
      </w:tr>
      <w:tr>
        <w:trPr/>
        <w:tc>
          <w:tcPr>
            <w:tcW w:w="2444" w:type="dxa"/>
            <w:tcBorders/>
            <w:vAlign w:val="center"/>
          </w:tcPr>
          <w:p>
            <w:pPr>
              <w:pStyle w:val="WW-paragraph"/>
              <w:spacing w:before="170" w:after="170"/>
              <w:rPr/>
            </w:pPr>
            <w:r>
              <w:rPr/>
              <w:t>The six senses</w:t>
            </w:r>
          </w:p>
        </w:tc>
        <w:tc>
          <w:tcPr>
            <w:tcW w:w="3795" w:type="dxa"/>
            <w:tcBorders/>
            <w:vAlign w:val="center"/>
          </w:tcPr>
          <w:p>
            <w:pPr>
              <w:pStyle w:val="WW-paragraph"/>
              <w:spacing w:before="170" w:after="170"/>
              <w:rPr/>
            </w:pPr>
            <w:r>
              <w:rPr/>
              <w:t>The six objects (sights, sounds, etc.)</w:t>
            </w:r>
          </w:p>
        </w:tc>
      </w:tr>
      <w:tr>
        <w:trPr/>
        <w:tc>
          <w:tcPr>
            <w:tcW w:w="2444" w:type="dxa"/>
            <w:tcBorders/>
            <w:vAlign w:val="center"/>
          </w:tcPr>
          <w:p>
            <w:pPr>
              <w:pStyle w:val="WW-paragraph"/>
              <w:spacing w:before="170" w:after="170"/>
              <w:rPr/>
            </w:pPr>
            <w:r>
              <w:rPr/>
              <w:t>The internal sense bases</w:t>
            </w:r>
          </w:p>
        </w:tc>
        <w:tc>
          <w:tcPr>
            <w:tcW w:w="3795" w:type="dxa"/>
            <w:tcBorders/>
            <w:vAlign w:val="center"/>
          </w:tcPr>
          <w:p>
            <w:pPr>
              <w:pStyle w:val="WW-paragraph"/>
              <w:spacing w:before="170" w:after="170"/>
              <w:rPr/>
            </w:pPr>
            <w:r>
              <w:rPr/>
              <w:t>The external sense bases</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objects (</w:t>
            </w:r>
            <w:r>
              <w:rPr>
                <w:rStyle w:val="wwc-pali"/>
              </w:rPr>
              <w:t>bahiddhā nimitta</w:t>
            </w:r>
            <w:r>
              <w:rPr/>
              <w:t>)</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things with names and forms</w:t>
              <w:br/>
              <w:t>(</w:t>
            </w:r>
            <w:r>
              <w:rPr>
                <w:rStyle w:val="wwc-pali"/>
              </w:rPr>
              <w:t>bahiddhā nāmarūpa</w:t>
            </w:r>
            <w:r>
              <w:rPr/>
              <w:t>)</w:t>
            </w:r>
          </w:p>
        </w:tc>
      </w:tr>
    </w:tbl>
    <w:p>
      <w:pPr>
        <w:pStyle w:val="WW-paragraph"/>
        <w:rPr/>
      </w:pPr>
      <w:r>
        <w:rPr/>
        <w:t xml:space="preserve">The </w:t>
      </w:r>
      <w:r>
        <w:rPr>
          <w:rStyle w:val="wwc-sesame"/>
        </w:rPr>
        <w:t>Discourse on the Foolish and Wise</w:t>
      </w:r>
      <w:r>
        <w:rPr/>
        <w:t xml:space="preserve"> uses the term </w:t>
      </w:r>
      <w:r>
        <w:rPr>
          <w:rStyle w:val="wwc-pali"/>
        </w:rPr>
        <w:t>nāmarūpa</w:t>
      </w:r>
      <w:r>
        <w:rPr/>
        <w:t xml:space="preserve"> in a way that is unique, namely as </w:t>
      </w:r>
      <w:r>
        <w:rPr>
          <w:rStyle w:val="wwc-pali"/>
        </w:rPr>
        <w:t>bahiddhā nāmarūpa</w:t>
      </w:r>
      <w:r>
        <w:rPr/>
        <w:t>, which literally means ‘</w:t>
      </w:r>
      <w:r>
        <w:rPr>
          <w:rStyle w:val="Emphasis"/>
        </w:rPr>
        <w:t>external</w:t>
      </w:r>
      <w:r>
        <w:rPr/>
        <w:t xml:space="preserve"> name and form’. The commentary interprets this to be the minds and bodies of other beings, but that is too simplistic. The term here refers to all things outside of, or external to, the being. In ancient India objects were considered to have intrinsic names and forms, just like beings. As Schmithausen noted: “Historically, the term </w:t>
      </w:r>
      <w:r>
        <w:rPr>
          <w:rStyle w:val="wwc-pali"/>
        </w:rPr>
        <w:t>nāmarūpa</w:t>
      </w:r>
      <w:r>
        <w:rPr/>
        <w:t xml:space="preserve"> is not limited to living beings. It can, for example in Vedic usage, refer to all sorts of individualized things.”</w:t>
      </w:r>
      <w:r>
        <w:rPr>
          <w:rStyle w:val="FootnoteReference"/>
        </w:rPr>
        <w:footnoteReference w:id="431"/>
      </w:r>
      <w:r>
        <w:rPr/>
        <w:t xml:space="preserve"> In this context the form is the appearance of an object in the world, the name is what the object is called. Both these aspects were considered at least by some to be essential parts of the object themselves, just like the personal name was believed to be a part of the being. “The name of the ghee […] was considered to be identical with the ghee itself”, Gonda gives as an example.</w:t>
      </w:r>
      <w:r>
        <w:rPr>
          <w:rStyle w:val="FootnoteReference"/>
        </w:rPr>
        <w:footnoteReference w:id="432"/>
      </w:r>
    </w:p>
    <w:p>
      <w:pPr>
        <w:pStyle w:val="WW-paragraph"/>
        <w:rPr/>
      </w:pPr>
      <w:r>
        <w:rPr/>
        <w:t xml:space="preserve">This use of </w:t>
      </w:r>
      <w:r>
        <w:rPr>
          <w:rStyle w:val="wwc-pali"/>
        </w:rPr>
        <w:t>nāmarūpa</w:t>
      </w:r>
      <w:r>
        <w:rPr/>
        <w:t xml:space="preserve"> is very uncommon in the early Buddhist texts, where the term usually refers to individual beings, not objects. Venerable Bhikkhu Bodhi describes </w:t>
      </w:r>
      <w:r>
        <w:rPr>
          <w:rStyle w:val="wwc-pali"/>
        </w:rPr>
        <w:t>bahiddhā nāmarūpa</w:t>
      </w:r>
      <w:r>
        <w:rPr/>
        <w:t xml:space="preserve"> as “a rare example of the term </w:t>
      </w:r>
      <w:r>
        <w:rPr>
          <w:rStyle w:val="Emphasis"/>
        </w:rPr>
        <w:t>nāmarūpa</w:t>
      </w:r>
      <w:r>
        <w:rPr/>
        <w:t xml:space="preserve"> being employed to represent the entire field of experience available to consciousness […] While the sense bases [i.e. the senses and their objects] are usually shown to be the condition for contact and are also called a dyad [or ‘pair’], it seems that here the text intends the term dyad to denote one’s own conscious body and ‘external name-and-form’.”</w:t>
      </w:r>
      <w:r>
        <w:rPr>
          <w:rStyle w:val="FootnoteReference"/>
        </w:rPr>
        <w:footnoteReference w:id="433"/>
      </w:r>
      <w:r>
        <w:rPr/>
        <w:t xml:space="preserve"> Put differently, that this is not the ordinary use of </w:t>
      </w:r>
      <w:r>
        <w:rPr>
          <w:rStyle w:val="wwc-pali"/>
        </w:rPr>
        <w:t>nāmarūpa</w:t>
      </w:r>
      <w:r>
        <w:rPr/>
        <w:t xml:space="preserve"> is indicated by sense impression (or ‘contact’) arising from the conscious body and this external </w:t>
      </w:r>
      <w:r>
        <w:rPr>
          <w:rStyle w:val="wwc-pali"/>
        </w:rPr>
        <w:t>nāmarūpa</w:t>
      </w:r>
      <w:r>
        <w:rPr/>
        <w:t xml:space="preserve"> instead of the usual six senses and their objects. This is not how the term </w:t>
      </w:r>
      <w:r>
        <w:rPr>
          <w:rStyle w:val="wwc-pali"/>
        </w:rPr>
        <w:t>nāmarūpa</w:t>
      </w:r>
      <w:r>
        <w:rPr/>
        <w:t xml:space="preserve"> is normally used. Hamilton stated: “In principle </w:t>
      </w:r>
      <w:r>
        <w:rPr>
          <w:rStyle w:val="wwc-pali"/>
        </w:rPr>
        <w:t>nāmarūpa</w:t>
      </w:r>
      <w:r>
        <w:rPr/>
        <w:t xml:space="preserve"> might apply to that which is external to the human being [as in </w:t>
      </w:r>
      <w:r>
        <w:rPr>
          <w:rStyle w:val="wwc-pali"/>
        </w:rPr>
        <w:t>bahiddhā</w:t>
      </w:r>
      <w:r>
        <w:rPr>
          <w:rStyle w:val="Emphasis"/>
        </w:rPr>
        <w:t xml:space="preserve"> </w:t>
      </w:r>
      <w:r>
        <w:rPr>
          <w:rStyle w:val="wwc-pali"/>
        </w:rPr>
        <w:t>nāmarūpa</w:t>
      </w:r>
      <w:r>
        <w:rPr/>
        <w:t xml:space="preserve">]. But when it is found in the context of the </w:t>
      </w:r>
      <w:r>
        <w:rPr>
          <w:rStyle w:val="wwc-pali"/>
        </w:rPr>
        <w:t>paṭiccasamuppāda</w:t>
      </w:r>
      <w:r>
        <w:rPr/>
        <w:t xml:space="preserve"> [Dependent Arising] formula it applies to the human being […] In its most common context, the </w:t>
      </w:r>
      <w:r>
        <w:rPr>
          <w:rStyle w:val="wwc-pali"/>
        </w:rPr>
        <w:t>paṭiccasamuppāda</w:t>
      </w:r>
      <w:r>
        <w:rPr/>
        <w:t xml:space="preserve"> formula, it refers to name and form of the individual human being; in other contexts [the </w:t>
      </w:r>
      <w:r>
        <w:rPr>
          <w:rStyle w:val="wwc-sesame"/>
        </w:rPr>
        <w:t>Discourse on the Foolish and Wise</w:t>
      </w:r>
      <w:r>
        <w:rPr/>
        <w:t>] it refers to the name and form of any objects.”</w:t>
      </w:r>
      <w:r>
        <w:rPr>
          <w:rStyle w:val="FootnoteReference"/>
        </w:rPr>
        <w:footnoteReference w:id="434"/>
      </w:r>
      <w:r>
        <w:rPr/>
        <w:t xml:space="preserve"> In other words, this discourse does not describe the ordinary </w:t>
      </w:r>
      <w:r>
        <w:rPr>
          <w:rStyle w:val="wwc-pali"/>
        </w:rPr>
        <w:t>nāmarūpa</w:t>
      </w:r>
      <w:r>
        <w:rPr/>
        <w:t xml:space="preserve"> of Dependent Arising.</w:t>
      </w:r>
    </w:p>
    <w:p>
      <w:pPr>
        <w:pStyle w:val="WW-paragraph"/>
        <w:rPr/>
      </w:pPr>
      <w:r>
        <w:rPr/>
        <w:t xml:space="preserve">The </w:t>
      </w:r>
      <w:r>
        <w:rPr>
          <w:rStyle w:val="wwc-pali"/>
        </w:rPr>
        <w:t>bahiddhā nāmarūpa</w:t>
      </w:r>
      <w:r>
        <w:rPr/>
        <w:t xml:space="preserve"> of the </w:t>
      </w:r>
      <w:r>
        <w:rPr>
          <w:rStyle w:val="wwc-sesame"/>
        </w:rPr>
        <w:t>Discourse on the Foolish and Wise</w:t>
      </w:r>
      <w:r>
        <w:rPr/>
        <w:t xml:space="preserve"> are specified to be </w:t>
      </w:r>
      <w:r>
        <w:rPr>
          <w:rStyle w:val="Emphasis"/>
        </w:rPr>
        <w:t>external</w:t>
      </w:r>
      <w:r>
        <w:rPr/>
        <w:t xml:space="preserve">. This opposes them to the usual </w:t>
      </w:r>
      <w:r>
        <w:rPr>
          <w:rStyle w:val="wwc-pali"/>
        </w:rPr>
        <w:t>nāmarūpa</w:t>
      </w:r>
      <w:r>
        <w:rPr/>
        <w:t xml:space="preserve"> in Dependent Arising, which, being part of the individual, we could call internal. The Buddha was interested in the origination and cessation of suffering, which exists inside the person, not in that of external objects. As noted by Falk: “The comparatively much lesser frequency of [</w:t>
      </w:r>
      <w:r>
        <w:rPr>
          <w:rStyle w:val="wwc-pali"/>
        </w:rPr>
        <w:t>nāmarūpa</w:t>
      </w:r>
      <w:r>
        <w:rPr/>
        <w:t>’s] occurrence in the latter sense [of objects] is merely proportional to the uneven distribution of interest between the two unit-aspects of concrete existence: the individual and the extra-individual.”</w:t>
      </w:r>
      <w:r>
        <w:rPr>
          <w:rStyle w:val="FootnoteReference"/>
        </w:rPr>
        <w:footnoteReference w:id="435"/>
      </w:r>
      <w:r>
        <w:rPr/>
        <w:t xml:space="preserve"> Of note is also that the </w:t>
      </w:r>
      <w:r>
        <w:rPr>
          <w:rStyle w:val="wwc-sesame"/>
        </w:rPr>
        <w:t>Discourse on the Foolish and Wise</w:t>
      </w:r>
      <w:r>
        <w:rPr/>
        <w:t xml:space="preserve"> says the body (with its consciousness) has originated from ignorance, but the external </w:t>
      </w:r>
      <w:r>
        <w:rPr>
          <w:rStyle w:val="wwc-pali"/>
        </w:rPr>
        <w:t>nāmarūpa</w:t>
      </w:r>
      <w:r>
        <w:rPr/>
        <w:t xml:space="preserve"> has not. This makes sense, since external objects are not created by ignorance. In contrast, the standard </w:t>
      </w:r>
      <w:r>
        <w:rPr>
          <w:rStyle w:val="wwc-pali"/>
        </w:rPr>
        <w:t>nāmarūpa</w:t>
      </w:r>
      <w:r>
        <w:rPr/>
        <w:t xml:space="preserve"> in Dependent Arising does have its roots in ignorance.</w:t>
      </w:r>
    </w:p>
    <w:p>
      <w:pPr>
        <w:pStyle w:val="WW-paragraph"/>
        <w:rPr/>
      </w:pPr>
      <w:r>
        <w:rPr/>
        <w:t xml:space="preserve">However, some interpreters understand </w:t>
      </w:r>
      <w:r>
        <w:rPr>
          <w:rStyle w:val="wwc-pali"/>
        </w:rPr>
        <w:t>nāmarūpa</w:t>
      </w:r>
      <w:r>
        <w:rPr/>
        <w:t xml:space="preserve"> in the standard twelvefold sequence to also refer to external objects, not to the sentient being.</w:t>
      </w:r>
      <w:r>
        <w:rPr>
          <w:rStyle w:val="FootnoteReference"/>
        </w:rPr>
        <w:footnoteReference w:id="436"/>
      </w:r>
      <w:r>
        <w:rPr/>
        <w:t xml:space="preserve"> Others take </w:t>
      </w:r>
      <w:r>
        <w:rPr>
          <w:rStyle w:val="wwc-pali"/>
        </w:rPr>
        <w:t>nāmarūpa</w:t>
      </w:r>
      <w:r>
        <w:rPr/>
        <w:t xml:space="preserve"> to be certain dualistic cognitions which are abandoned by enlightened beings.</w:t>
      </w:r>
      <w:r>
        <w:rPr>
          <w:rStyle w:val="FootnoteReference"/>
        </w:rPr>
        <w:footnoteReference w:id="437"/>
      </w:r>
      <w:r>
        <w:rPr/>
        <w:t xml:space="preserve"> The latter interpretation clashes with the </w:t>
      </w:r>
      <w:r>
        <w:rPr>
          <w:rStyle w:val="wwc-sesame"/>
        </w:rPr>
        <w:t>Discourse on the Foolish and Wise</w:t>
      </w:r>
      <w:r>
        <w:rPr/>
        <w:t xml:space="preserve">, which says the wise still experience </w:t>
      </w:r>
      <w:r>
        <w:rPr>
          <w:rStyle w:val="wwc-pali"/>
        </w:rPr>
        <w:t>nāmarūpa</w:t>
      </w:r>
      <w:r>
        <w:rPr/>
        <w:t xml:space="preserve">, be it of the external type. On top of that, </w:t>
      </w:r>
      <w:r>
        <w:rPr>
          <w:rStyle w:val="wwc-pali"/>
        </w:rPr>
        <w:t>rūpa</w:t>
      </w:r>
      <w:r>
        <w:rPr/>
        <w:t xml:space="preserve"> ceases at the passing away of an enlightened being, not at the moment of enlightenment, and the same goes for feelings and perceptions, which are part of the definition of </w:t>
      </w:r>
      <w:r>
        <w:rPr>
          <w:rStyle w:val="wwc-pali"/>
        </w:rPr>
        <w:t>nāma</w:t>
      </w:r>
      <w:r>
        <w:rPr/>
        <w:t>.</w:t>
      </w:r>
      <w:r>
        <w:rPr>
          <w:rStyle w:val="FootnoteReference"/>
        </w:rPr>
        <w:footnoteReference w:id="438"/>
      </w:r>
      <w:r>
        <w:rPr/>
        <w:t xml:space="preserve"> Such interpretations also have some other problems, among which:</w:t>
      </w:r>
    </w:p>
    <w:p>
      <w:pPr>
        <w:pStyle w:val="WW-paragraph"/>
        <w:numPr>
          <w:ilvl w:val="0"/>
          <w:numId w:val="1"/>
        </w:numPr>
        <w:rPr/>
      </w:pPr>
      <w:r>
        <w:rPr/>
        <w:t xml:space="preserve">The Buddha’s definition of </w:t>
      </w:r>
      <w:r>
        <w:rPr>
          <w:rStyle w:val="wwc-pali"/>
        </w:rPr>
        <w:t>nāma</w:t>
      </w:r>
      <w:r>
        <w:rPr/>
        <w:t xml:space="preserve"> in the standard context of Dependent Arising includes things which are parts of beings and not of objects, such as attention and intention. Likewise, sense impressions, although they </w:t>
      </w:r>
      <w:r>
        <w:rPr>
          <w:rStyle w:val="Emphasis"/>
        </w:rPr>
        <w:t>depend</w:t>
      </w:r>
      <w:r>
        <w:rPr/>
        <w:t xml:space="preserve"> on the objects, are themselves not parts of objects either. The same applies to sensations and perceptions. As discussed earlier in this chapter, when sense impressions occur, sensations arise together with consciousness, both depending on the object. Sensations themselves are never treated as the object of consciousness. So this definition of </w:t>
      </w:r>
      <w:r>
        <w:rPr>
          <w:rStyle w:val="wwc-pali"/>
        </w:rPr>
        <w:t>nāma</w:t>
      </w:r>
      <w:r>
        <w:rPr/>
        <w:t xml:space="preserve"> does not apply to external </w:t>
      </w:r>
      <w:r>
        <w:rPr>
          <w:rStyle w:val="wwc-pali"/>
        </w:rPr>
        <w:t>nāmarūpa</w:t>
      </w:r>
      <w:r>
        <w:rPr/>
        <w:t>.</w:t>
      </w:r>
    </w:p>
    <w:p>
      <w:pPr>
        <w:pStyle w:val="WW-paragraph"/>
        <w:numPr>
          <w:ilvl w:val="0"/>
          <w:numId w:val="1"/>
        </w:numPr>
        <w:rPr/>
      </w:pPr>
      <w:r>
        <w:rPr>
          <w:rStyle w:val="wwc-pali"/>
        </w:rPr>
        <w:t>Nāmarūpa</w:t>
      </w:r>
      <w:r>
        <w:rPr/>
        <w:t xml:space="preserve"> in the standard sequence is the condition for the six senses, which are defined as the faculties of the eye, ear, etc.; </w:t>
      </w:r>
      <w:r>
        <w:rPr>
          <w:rStyle w:val="Emphasis"/>
        </w:rPr>
        <w:t>not</w:t>
      </w:r>
      <w:r>
        <w:rPr/>
        <w:t xml:space="preserve"> as the objects of sights, smells, etc. Since these senses are internal and not external, so is the </w:t>
      </w:r>
      <w:r>
        <w:rPr>
          <w:rStyle w:val="wwc-pali"/>
        </w:rPr>
        <w:t>nāmarūpa</w:t>
      </w:r>
      <w:r>
        <w:rPr/>
        <w:t xml:space="preserve"> which is their precursor. In simpler terms, external objects or cognitive processes don’t develop into the six senses.</w:t>
      </w:r>
    </w:p>
    <w:p>
      <w:pPr>
        <w:pStyle w:val="WW-paragraph"/>
        <w:numPr>
          <w:ilvl w:val="0"/>
          <w:numId w:val="1"/>
        </w:numPr>
        <w:rPr/>
      </w:pPr>
      <w:r>
        <w:rPr/>
        <w:t>The external objects or cognitions also do not depend on willful actions or karma, especially not physical and verbal ones.</w:t>
      </w:r>
      <w:r>
        <w:rPr>
          <w:rStyle w:val="FootnoteReference"/>
        </w:rPr>
        <w:footnoteReference w:id="439"/>
      </w:r>
    </w:p>
    <w:p>
      <w:pPr>
        <w:pStyle w:val="WW-paragraph"/>
        <w:numPr>
          <w:ilvl w:val="0"/>
          <w:numId w:val="1"/>
        </w:numPr>
        <w:rPr/>
      </w:pPr>
      <w:r>
        <w:rPr/>
        <w:t xml:space="preserve">It is said about the dependency between </w:t>
      </w:r>
      <w:r>
        <w:rPr>
          <w:rStyle w:val="wwc-pali"/>
        </w:rPr>
        <w:t>nāmarūpa</w:t>
      </w:r>
      <w:r>
        <w:rPr/>
        <w:t xml:space="preserve"> and consciousness that “it is to this extent that beings can get born, age, die, pass on, and get reborn”.</w:t>
      </w:r>
      <w:r>
        <w:rPr>
          <w:rStyle w:val="FootnoteReference"/>
        </w:rPr>
        <w:footnoteReference w:id="440"/>
      </w:r>
      <w:r>
        <w:rPr/>
        <w:t xml:space="preserve"> External objects and cognitive processes don’t age or die.</w:t>
      </w:r>
    </w:p>
    <w:p>
      <w:pPr>
        <w:pStyle w:val="WW-paragraph"/>
        <w:numPr>
          <w:ilvl w:val="0"/>
          <w:numId w:val="1"/>
        </w:numPr>
        <w:rPr/>
      </w:pPr>
      <w:r>
        <w:rPr/>
        <w:t>The objects and cognitions are not conceived in the womb and are not reborn (</w:t>
      </w:r>
      <w:r>
        <w:rPr>
          <w:rStyle w:val="wwc-pali"/>
        </w:rPr>
        <w:t>abhinibbati</w:t>
      </w:r>
      <w:r>
        <w:rPr/>
        <w:t xml:space="preserve">), both of which </w:t>
      </w:r>
      <w:r>
        <w:rPr>
          <w:rStyle w:val="wwc-pali"/>
        </w:rPr>
        <w:t>nāmarūpa</w:t>
      </w:r>
      <w:r>
        <w:rPr/>
        <w:t xml:space="preserve"> is said to do.</w:t>
      </w:r>
      <w:r>
        <w:rPr>
          <w:rStyle w:val="FootnoteReference"/>
        </w:rPr>
        <w:footnoteReference w:id="441"/>
      </w:r>
    </w:p>
    <w:p>
      <w:pPr>
        <w:pStyle w:val="WW-paragraph"/>
        <w:numPr>
          <w:ilvl w:val="0"/>
          <w:numId w:val="1"/>
        </w:numPr>
        <w:rPr/>
      </w:pPr>
      <w:r>
        <w:rPr/>
        <w:t xml:space="preserve">As discussed in the previous chapter, the dependency between </w:t>
      </w:r>
      <w:r>
        <w:rPr>
          <w:rStyle w:val="wwc-pali"/>
        </w:rPr>
        <w:t>nāmarūpa</w:t>
      </w:r>
      <w:r>
        <w:rPr/>
        <w:t xml:space="preserve"> and consciousness goes both ways. But in the teachings on sense impressions, the dependency goes one way only. Consciousness is said to arise dependent on the six senses and their objects, but the senses and the objects are never said to be dependent on consciousness.</w:t>
      </w:r>
      <w:r>
        <w:rPr>
          <w:rStyle w:val="FootnoteReference"/>
        </w:rPr>
        <w:footnoteReference w:id="442"/>
      </w:r>
    </w:p>
    <w:p>
      <w:pPr>
        <w:pStyle w:val="WW-paragraph"/>
        <w:rPr/>
      </w:pPr>
      <w:r>
        <w:rPr/>
        <w:t>On the last point Schmithausen wrote:</w:t>
      </w:r>
    </w:p>
    <w:p>
      <w:pPr>
        <w:pStyle w:val="WW-blockquote"/>
        <w:rPr/>
      </w:pPr>
      <w:r>
        <w:rPr/>
        <w:t xml:space="preserve">[The </w:t>
      </w:r>
      <w:r>
        <w:rPr>
          <w:rStyle w:val="wwc-sesame"/>
        </w:rPr>
        <w:t>Discourse on the Foolish and Wise</w:t>
      </w:r>
      <w:r>
        <w:rPr/>
        <w:t xml:space="preserve">], however, cannot be used to justify the view that in the twelve-membered formula name-and-form also means the sense </w:t>
      </w:r>
      <w:r>
        <w:rPr>
          <w:rStyle w:val="Emphasis"/>
        </w:rPr>
        <w:t>objects</w:t>
      </w:r>
      <w:r>
        <w:rPr/>
        <w:t xml:space="preserve">. For in the twelve-membered chain ‘name-and-form’ is explicitly stated to be conditioned by </w:t>
      </w:r>
      <w:r>
        <w:rPr>
          <w:rStyle w:val="wwc-pali"/>
        </w:rPr>
        <w:t>vijñāna</w:t>
      </w:r>
      <w:r>
        <w:rPr/>
        <w:t xml:space="preserve">, and this is appropriate for the living sentient body, which becomes as such only through </w:t>
      </w:r>
      <w:r>
        <w:rPr>
          <w:rStyle w:val="wwc-pali"/>
        </w:rPr>
        <w:t>vijñāna</w:t>
      </w:r>
      <w:r>
        <w:rPr/>
        <w:t xml:space="preserve"> [continuing from the past life], but it would be remarkable for the objects. Indeed, in [this discourse] there is no mention that ‘external name-and-form’, i.e. the objects, are conditioned by </w:t>
      </w:r>
      <w:r>
        <w:rPr>
          <w:rStyle w:val="wwc-pali"/>
        </w:rPr>
        <w:t>vijñāna</w:t>
      </w:r>
      <w:r>
        <w:rPr/>
        <w:t xml:space="preserve">. They are referred to simply as the second condition for sense impressions [the first being the (conscious) body]; the text says nothing about their origin. […] Interdependency exists […] only between </w:t>
      </w:r>
      <w:r>
        <w:rPr>
          <w:rStyle w:val="wwc-pali"/>
        </w:rPr>
        <w:t>viññāṇa</w:t>
      </w:r>
      <w:r>
        <w:rPr/>
        <w:t xml:space="preserve"> on the one hand—insofar as this is not so much an act of consciousness but rather the </w:t>
      </w:r>
      <w:r>
        <w:rPr>
          <w:rStyle w:val="Emphasis"/>
        </w:rPr>
        <w:t>faculty</w:t>
      </w:r>
      <w:r>
        <w:rPr/>
        <w:t xml:space="preserve"> of consciousness and feeling [i.e. not moments of consciousness but the general existence of consciousness as a whole]—and on the other hand ‘name-and-form’ in the sense of this living body which contains the capacity of consciousness and feeling […]. However, an </w:t>
      </w:r>
      <w:r>
        <w:rPr>
          <w:rStyle w:val="Emphasis"/>
        </w:rPr>
        <w:t>inter</w:t>
      </w:r>
      <w:r>
        <w:rPr/>
        <w:t xml:space="preserve">dependence between consciousness (or the sense faculties) and the </w:t>
      </w:r>
      <w:r>
        <w:rPr>
          <w:rStyle w:val="Emphasis"/>
        </w:rPr>
        <w:t>objects</w:t>
      </w:r>
      <w:r>
        <w:rPr/>
        <w:t>, is, as far as I can see, not spoken of or even hinted at anywhere.</w:t>
      </w:r>
      <w:r>
        <w:rPr>
          <w:rStyle w:val="FootnoteReference"/>
        </w:rPr>
        <w:footnoteReference w:id="443"/>
      </w:r>
    </w:p>
    <w:p>
      <w:pPr>
        <w:pStyle w:val="WW-paragraph"/>
        <w:rPr/>
      </w:pPr>
      <w:r>
        <w:rPr/>
        <w:t>As a matter of fact, in §101 Sāriputta states there can be external forms without an arising of consciousness: “If the internal sense of sight is intact, an external sight [or ‘form’] comes within its scope, but there is no corresponding engagement there, then the corresponding section of consciousness does not arise.” This statement allows there to be external forms without sight-consciousness, meaning the object does not depend on consciousness. The external forms here seem to be such things as the water in the ocean or a fire in a village mentioned earlier,</w:t>
      </w:r>
      <w:r>
        <w:rPr>
          <w:rStyle w:val="FootnoteReference"/>
        </w:rPr>
        <w:footnoteReference w:id="444"/>
      </w:r>
      <w:r>
        <w:rPr/>
        <w:t xml:space="preserve"> the “form” of which can be seen with the eye. Such things intuitively exist also when we aren’t conscious of them, even if our perceptions may not perfectly reflect what actually exists in the external world. So, the suttas are concerned with the dependency of consciousness on the objects, but not with the dependency of the objects on consciousness, otherwise Sāriputta would not have phrased things the way he did, in a teaching specifically about the relationship between consciousness and its objects. To be clear, I point this out not to make a metaphysical claim about the existence of material things external to the perceiver, nor do I suggest Sāriputta intended to do so. Such ontological speculation is not a concern of early Buddhist thought.</w:t>
      </w:r>
      <w:r>
        <w:rPr>
          <w:rStyle w:val="FootnoteReference"/>
        </w:rPr>
        <w:footnoteReference w:id="445"/>
      </w:r>
      <w:r>
        <w:rPr/>
        <w:t xml:space="preserve"> I point this out just to emphasize that </w:t>
      </w:r>
      <w:r>
        <w:rPr>
          <w:rStyle w:val="wwc-pali"/>
        </w:rPr>
        <w:t>nāmarūpa</w:t>
      </w:r>
      <w:r>
        <w:rPr/>
        <w:t xml:space="preserve"> in the standard teachings of Dependent Arising does not refer to the objects of consciousness, since </w:t>
      </w:r>
      <w:r>
        <w:rPr>
          <w:rStyle w:val="wwc-pali"/>
        </w:rPr>
        <w:t>nāmarūpa</w:t>
      </w:r>
      <w:r>
        <w:rPr/>
        <w:t xml:space="preserve"> is specifically said to depend on consciousness, yet the objects aren’t. Yes, in the </w:t>
      </w:r>
      <w:r>
        <w:rPr>
          <w:rStyle w:val="wwc-sesame"/>
        </w:rPr>
        <w:t>Discourse on the Foolish and Wise</w:t>
      </w:r>
      <w:r>
        <w:rPr/>
        <w:t xml:space="preserve"> the term refers to the external things—therefore it is specifically called </w:t>
      </w:r>
      <w:r>
        <w:rPr>
          <w:rStyle w:val="Strong"/>
        </w:rPr>
        <w:t>external</w:t>
      </w:r>
      <w:r>
        <w:rPr/>
        <w:t xml:space="preserve"> </w:t>
      </w:r>
      <w:r>
        <w:rPr>
          <w:rStyle w:val="wwc-pali"/>
        </w:rPr>
        <w:t>nāmarūpa</w:t>
      </w:r>
      <w:r>
        <w:rPr/>
        <w:t xml:space="preserve">—but in the list of twelve factors it refers to the being, to the “internal” </w:t>
      </w:r>
      <w:r>
        <w:rPr>
          <w:rStyle w:val="wwc-pali"/>
        </w:rPr>
        <w:t>nāmarūpa</w:t>
      </w:r>
      <w:r>
        <w:rPr/>
        <w:t>.</w:t>
      </w:r>
    </w:p>
    <w:p>
      <w:pPr>
        <w:pStyle w:val="WW-paragraph"/>
        <w:rPr/>
      </w:pPr>
      <w:r>
        <w:rPr/>
        <w:t xml:space="preserve">The reader may wonder why </w:t>
      </w:r>
      <w:r>
        <w:rPr>
          <w:rStyle w:val="wwc-pali"/>
        </w:rPr>
        <w:t>nāmarūpa</w:t>
      </w:r>
      <w:r>
        <w:rPr/>
        <w:t xml:space="preserve"> in the standard teachings is not specifically called internal, but, as discussed in </w:t>
      </w:r>
      <w:r>
        <w:rPr>
          <w:rStyle w:val="internal-reference"/>
        </w:rPr>
        <w:t>Chapter 3</w:t>
      </w:r>
      <w:r>
        <w:rPr/>
        <w:t>, this is analogous to the six senses (</w:t>
      </w:r>
      <w:r>
        <w:rPr>
          <w:rStyle w:val="wwc-pali"/>
        </w:rPr>
        <w:t>saḷāyatana</w:t>
      </w:r>
      <w:r>
        <w:rPr/>
        <w:t xml:space="preserve">) not being called internal. In context of Dependent Arising the </w:t>
      </w:r>
      <w:r>
        <w:rPr>
          <w:rStyle w:val="wwc-pali"/>
        </w:rPr>
        <w:t>salāyatana</w:t>
      </w:r>
      <w:r>
        <w:rPr/>
        <w:t xml:space="preserve"> are defined as the six sense faculties of sight, hearing, and so forth (literally the eye, ear, and so on). These are elsewhere specifically called internal, but it was considered unnecessary for this to be stated in the standard sequence, likely for sake of brevity. So too, it is assumed that the audience understands that </w:t>
      </w:r>
      <w:r>
        <w:rPr>
          <w:rStyle w:val="wwc-pali"/>
        </w:rPr>
        <w:t>nāmarūpa</w:t>
      </w:r>
      <w:r>
        <w:rPr/>
        <w:t xml:space="preserve"> in Dependent Arising refers to the “internal” being, not to the external objects.</w:t>
      </w:r>
    </w:p>
    <w:p>
      <w:pPr>
        <w:pStyle w:val="WW-chapter-section-1"/>
        <w:ind w:hanging="0" w:start="0"/>
        <w:rPr/>
      </w:pPr>
      <w:r>
        <w:rPr/>
        <w:t>Sense impressions depending on internal nāmarūpa</w:t>
      </w:r>
    </w:p>
    <w:p>
      <w:pPr>
        <w:pStyle w:val="WW-paragraph"/>
        <w:rPr/>
      </w:pPr>
      <w:r>
        <w:rPr/>
        <w:t xml:space="preserve">Continuing our discussion on sense impressions, the </w:t>
      </w:r>
      <w:r>
        <w:rPr>
          <w:rStyle w:val="wwc-sesame"/>
        </w:rPr>
        <w:t>Mahānidāna Sutta</w:t>
      </w:r>
      <w:r>
        <w:rPr/>
        <w:t xml:space="preserve"> contains a passage which multiple intelligent scholars consider to be very cryptic or even close to nonsensical. It describes a dependency of sense impressions (</w:t>
      </w:r>
      <w:r>
        <w:rPr>
          <w:rStyle w:val="wwc-pali"/>
        </w:rPr>
        <w:t>phassa</w:t>
      </w:r>
      <w:r>
        <w:rPr/>
        <w:t xml:space="preserve">) on </w:t>
      </w:r>
      <w:r>
        <w:rPr>
          <w:rStyle w:val="wwc-pali"/>
        </w:rPr>
        <w:t>nāmarūpa</w:t>
      </w:r>
      <w:r>
        <w:rPr/>
        <w:t>, which is different from its usual dependency on the six senses. Olalde says the passage is extremely unclear, and Vetter says he can make little sense of it without reading it in light of the Chinese parallels.</w:t>
      </w:r>
      <w:r>
        <w:rPr>
          <w:rStyle w:val="FootnoteReference"/>
        </w:rPr>
        <w:footnoteReference w:id="446"/>
      </w:r>
      <w:r>
        <w:rPr/>
        <w:t xml:space="preserve"> Venerable Bodhi is more reserved but wrote, quite out of character with the rest of his work, that “interpretation [of this passage] cannot be settled by scholarship alone but also requires reflection and intuition”, and also calls some of the terms it contains “peculiar”.</w:t>
      </w:r>
      <w:r>
        <w:rPr>
          <w:rStyle w:val="FootnoteReference"/>
        </w:rPr>
        <w:footnoteReference w:id="447"/>
      </w:r>
    </w:p>
    <w:p>
      <w:pPr>
        <w:pStyle w:val="WW-paragraph"/>
        <w:rPr/>
      </w:pPr>
      <w:r>
        <w:rPr/>
        <w:t>The passage uniquely splits sense impressions up into two parts: ‘impinging impression’ and ‘designating impression’. As far as the early Pāli texts go, both terms are only found in this sutta and never explained anywhere else, but it is generally understood that the former refers to the sense impressions of the five senses and the latter to the mental processes of labeling and recognition, although the commentary thinks it stands for all mental sense impressions.</w:t>
      </w:r>
      <w:r>
        <w:rPr>
          <w:rStyle w:val="FootnoteReference"/>
        </w:rPr>
        <w:footnoteReference w:id="448"/>
      </w:r>
      <w:r>
        <w:rPr/>
        <w:t xml:space="preserve"> I’m not fully convinced of these assumptions, but will adopt them for the sake of argument.</w:t>
      </w:r>
    </w:p>
    <w:p>
      <w:pPr>
        <w:pStyle w:val="WW-paragraph"/>
        <w:rPr/>
      </w:pPr>
      <w:r>
        <w:rPr/>
        <w:t>In ‘designating impression’ (</w:t>
      </w:r>
      <w:r>
        <w:rPr>
          <w:rStyle w:val="wwc-pali"/>
        </w:rPr>
        <w:t>adhivacana-samphassa</w:t>
      </w:r>
      <w:r>
        <w:rPr/>
        <w:t xml:space="preserve">) there is likely a connection with the literal meaning of </w:t>
      </w:r>
      <w:r>
        <w:rPr>
          <w:rStyle w:val="wwc-pali"/>
        </w:rPr>
        <w:t>nāma</w:t>
      </w:r>
      <w:r>
        <w:rPr/>
        <w:t xml:space="preserve"> of ‘name’. However, this does not mean that we should see the two as synonyms, that we should take </w:t>
      </w:r>
      <w:r>
        <w:rPr>
          <w:rStyle w:val="wwc-pali"/>
        </w:rPr>
        <w:t>nāma</w:t>
      </w:r>
      <w:r>
        <w:rPr/>
        <w:t xml:space="preserve"> to be identical to this designating impression. First off, </w:t>
      </w:r>
      <w:r>
        <w:rPr>
          <w:rStyle w:val="wwc-pali"/>
        </w:rPr>
        <w:t>nāma</w:t>
      </w:r>
      <w:r>
        <w:rPr/>
        <w:t xml:space="preserve"> is a noun, not a verb. It literally means one’s proper name, not ‘nam</w:t>
      </w:r>
      <w:r>
        <w:rPr>
          <w:rStyle w:val="Emphasis"/>
        </w:rPr>
        <w:t>ing</w:t>
      </w:r>
      <w:r>
        <w:rPr/>
        <w:t>’, which is a process.</w:t>
      </w:r>
      <w:r>
        <w:rPr>
          <w:rStyle w:val="FootnoteReference"/>
        </w:rPr>
        <w:footnoteReference w:id="449"/>
      </w:r>
      <w:r>
        <w:rPr/>
        <w:t xml:space="preserve"> Also, the passage in question never actually equates </w:t>
      </w:r>
      <w:r>
        <w:rPr>
          <w:rStyle w:val="wwc-pali"/>
        </w:rPr>
        <w:t>nāma</w:t>
      </w:r>
      <w:r>
        <w:rPr/>
        <w:t xml:space="preserve"> to designating impression; it only says </w:t>
      </w:r>
      <w:r>
        <w:rPr>
          <w:rStyle w:val="wwc-pali"/>
        </w:rPr>
        <w:t>nāma</w:t>
      </w:r>
      <w:r>
        <w:rPr/>
        <w:t xml:space="preserve"> is a necessary condition for it to occur. It does not even mention </w:t>
      </w:r>
      <w:r>
        <w:rPr>
          <w:rStyle w:val="wwc-pali"/>
        </w:rPr>
        <w:t>nāma</w:t>
      </w:r>
      <w:r>
        <w:rPr/>
        <w:t xml:space="preserve"> itself, but refers to it in the compound </w:t>
      </w:r>
      <w:r>
        <w:rPr>
          <w:rStyle w:val="wwc-pali"/>
        </w:rPr>
        <w:t>nāmakāya</w:t>
      </w:r>
      <w:r>
        <w:rPr/>
        <w:t>, the ‘collection of immaterial aspects’, which is another very unusual term.</w:t>
      </w:r>
    </w:p>
    <w:p>
      <w:pPr>
        <w:pStyle w:val="WW-paragraph"/>
        <w:rPr/>
      </w:pPr>
      <w:r>
        <w:rPr/>
        <w:t>Here is my translation of the passage:</w:t>
      </w:r>
    </w:p>
    <w:p>
      <w:pPr>
        <w:pStyle w:val="WW-blockquote"/>
        <w:rPr/>
      </w:pPr>
      <w:bookmarkStart w:id="108" w:name="bqseg109"/>
      <w:bookmarkEnd w:id="108"/>
      <w:r>
        <w:rPr/>
        <w:t>“</w:t>
      </w:r>
      <w:r>
        <w:rPr/>
        <w:t>Ānanda, I said sense impressions depend on the immaterial aspects and body, which is to be understood as follows:</w:t>
      </w:r>
    </w:p>
    <w:p>
      <w:pPr>
        <w:pStyle w:val="WW-blockquote"/>
        <w:rPr/>
      </w:pPr>
      <w:r>
        <w:rPr>
          <w:rStyle w:val="wwc-list-margin"/>
        </w:rPr>
        <w:t>[1]</w:t>
      </w:r>
      <w:r>
        <w:rPr/>
        <w:t xml:space="preserve"> If there were no features—no attributes, aspects, or details—by which there is a description of the collection of immaterial aspects (</w:t>
      </w:r>
      <w:r>
        <w:rPr>
          <w:rStyle w:val="wwc-pali"/>
        </w:rPr>
        <w:t>nāmakāya</w:t>
      </w:r>
      <w:r>
        <w:rPr/>
        <w:t>), could there be designating impressions inside the collection of bodily aspects (</w:t>
      </w:r>
      <w:r>
        <w:rPr>
          <w:rStyle w:val="wwc-pali"/>
        </w:rPr>
        <w:t>rūpakāya</w:t>
      </w:r>
      <w:r>
        <w:rPr/>
        <w:t>)?”</w:t>
      </w:r>
    </w:p>
    <w:p>
      <w:pPr>
        <w:pStyle w:val="WW-blockquote"/>
        <w:rPr/>
      </w:pPr>
      <w:r>
        <w:rPr/>
        <w:t>“</w:t>
      </w:r>
      <w:r>
        <w:rPr/>
        <w:t>No, sir.”</w:t>
      </w:r>
    </w:p>
    <w:p>
      <w:pPr>
        <w:pStyle w:val="WW-blockquote"/>
        <w:rPr/>
      </w:pPr>
      <w:r>
        <w:rPr>
          <w:rStyle w:val="wwc-list-margin"/>
        </w:rPr>
        <w:t>[2]</w:t>
      </w:r>
      <w:r>
        <w:rPr/>
        <w:t xml:space="preserve"> “If there were no features—no attributes, aspects, or details—by which there is a description of the collection of bodily aspects, could there be impinging impressions inside the collection of immaterial aspect?”</w:t>
      </w:r>
    </w:p>
    <w:p>
      <w:pPr>
        <w:pStyle w:val="WW-blockquote"/>
        <w:rPr/>
      </w:pPr>
      <w:r>
        <w:rPr/>
        <w:t>“</w:t>
      </w:r>
      <w:r>
        <w:rPr/>
        <w:t>No, sir.”</w:t>
      </w:r>
    </w:p>
    <w:p>
      <w:pPr>
        <w:pStyle w:val="WW-blockquote"/>
        <w:rPr/>
      </w:pPr>
      <w:r>
        <w:rPr>
          <w:rStyle w:val="wwc-list-margin"/>
        </w:rPr>
        <w:t>[3]</w:t>
      </w:r>
      <w:r>
        <w:rPr/>
        <w:t xml:space="preserve"> “If there were no features—no attributes, aspects, or details—by which there is a description of the collections of immaterial aspect and bodily aspects, could there be designating impressions or impinging impressions?”</w:t>
      </w:r>
    </w:p>
    <w:p>
      <w:pPr>
        <w:pStyle w:val="WW-blockquote"/>
        <w:rPr/>
      </w:pPr>
      <w:r>
        <w:rPr/>
        <w:t>“</w:t>
      </w:r>
      <w:r>
        <w:rPr/>
        <w:t>No, sir.”</w:t>
      </w:r>
    </w:p>
    <w:p>
      <w:pPr>
        <w:pStyle w:val="WW-blockquote"/>
        <w:rPr/>
      </w:pPr>
      <w:r>
        <w:rPr>
          <w:rStyle w:val="wwc-list-margin"/>
        </w:rPr>
        <w:t>[4]</w:t>
      </w:r>
      <w:r>
        <w:rPr/>
        <w:t xml:space="preserve"> “If there were no features—no attributes, aspects, or details—by which there is a description of the immaterial aspects and body, could there be sense impressions?”</w:t>
      </w:r>
    </w:p>
    <w:p>
      <w:pPr>
        <w:pStyle w:val="WW-blockquote"/>
        <w:rPr/>
      </w:pPr>
      <w:r>
        <w:rPr/>
        <w:t>“</w:t>
      </w:r>
      <w:r>
        <w:rPr/>
        <w:t>No, sir.”</w:t>
      </w:r>
    </w:p>
    <w:p>
      <w:pPr>
        <w:pStyle w:val="WW-blockquote"/>
        <w:rPr/>
      </w:pPr>
      <w:r>
        <w:rPr/>
        <w:t>“</w:t>
      </w:r>
      <w:r>
        <w:rPr/>
        <w:t>Therefore, the condition, source, origin, and requirement for sense impressions is the individual’s immaterial aspects and body.”</w:t>
      </w:r>
      <w:r>
        <w:rPr>
          <w:rStyle w:val="FootnoteReference"/>
        </w:rPr>
        <w:footnoteReference w:id="450"/>
      </w:r>
    </w:p>
    <w:p>
      <w:pPr>
        <w:pStyle w:val="WW-paragraph"/>
        <w:rPr/>
      </w:pPr>
      <w:r>
        <w:rPr/>
        <w:t>As I indicated before, it is all a bit of a riddle. But let me rephrase and explain the four points that are being made:</w:t>
      </w:r>
    </w:p>
    <w:p>
      <w:pPr>
        <w:pStyle w:val="WW-blockquote"/>
        <w:rPr/>
      </w:pPr>
      <w:r>
        <w:rPr>
          <w:rStyle w:val="wwc-list-margin"/>
        </w:rPr>
        <w:t>[1]</w:t>
      </w:r>
      <w:r>
        <w:rPr/>
        <w:t xml:space="preserve"> Suppose those things we refer to when we speak of ‘the immaterial aspects’ did not exist. (That is, there are no perceptions, sensations, attention, etc.) Then inside the body (which in that case lacks a mind) there would be no recognition of things.</w:t>
      </w:r>
    </w:p>
    <w:p>
      <w:pPr>
        <w:pStyle w:val="WW-paragraph"/>
        <w:rPr/>
      </w:pPr>
      <w:r>
        <w:rPr/>
        <w:t>This means that without mental activity you cannot recognize or label things, or as Bhikkhu Bodhi phrases it: “Designation cannot take place in a material body devoid of mentality.”</w:t>
      </w:r>
      <w:r>
        <w:rPr>
          <w:rStyle w:val="FootnoteReference"/>
        </w:rPr>
        <w:footnoteReference w:id="451"/>
      </w:r>
    </w:p>
    <w:p>
      <w:pPr>
        <w:pStyle w:val="WW-blockquote"/>
        <w:rPr/>
      </w:pPr>
      <w:r>
        <w:rPr>
          <w:rStyle w:val="wwc-list-margin"/>
        </w:rPr>
        <w:t>[2]</w:t>
      </w:r>
      <w:r>
        <w:rPr/>
        <w:t xml:space="preserve"> Suppose those things we refer to when we speak of ‘the bodily aspects’ did not exist. (That is, there are no organs, body parts, etc.) Then inside the mind (which in that case lacks a body) there would be no awareness of external things.</w:t>
      </w:r>
    </w:p>
    <w:p>
      <w:pPr>
        <w:pStyle w:val="WW-paragraph"/>
        <w:rPr/>
      </w:pPr>
      <w:r>
        <w:rPr/>
        <w:t xml:space="preserve">This means that without the five senses the mind can’t cognize the world. With respect to this the </w:t>
      </w:r>
      <w:r>
        <w:rPr>
          <w:rStyle w:val="wwc-sesame"/>
        </w:rPr>
        <w:t>Mahāvedalla Sutta</w:t>
      </w:r>
      <w:r>
        <w:rPr/>
        <w:t xml:space="preserve"> says: “The five faculties have different fields, different domains, and they do not experience each others’ fields and domain. […] The mind experiences their fields, their domains.”</w:t>
      </w:r>
      <w:r>
        <w:rPr>
          <w:rStyle w:val="FootnoteReference"/>
        </w:rPr>
        <w:footnoteReference w:id="452"/>
      </w:r>
    </w:p>
    <w:p>
      <w:pPr>
        <w:pStyle w:val="WW-blockquote"/>
        <w:rPr/>
      </w:pPr>
      <w:r>
        <w:rPr>
          <w:rStyle w:val="wwc-list-margin"/>
        </w:rPr>
        <w:t>[3]</w:t>
      </w:r>
      <w:r>
        <w:rPr/>
        <w:t xml:space="preserve"> Suppose those things we refer to when we speak of ‘the immaterial aspects’ and ‘the bodily aspects’ did not exist. (That is, there are no perceptions, no body parts, etc.) Then (lacking a body and mind) there would be no sense impressions at all.</w:t>
      </w:r>
    </w:p>
    <w:p>
      <w:pPr>
        <w:pStyle w:val="WW-blockquote"/>
        <w:rPr/>
      </w:pPr>
      <w:r>
        <w:rPr>
          <w:rStyle w:val="wwc-list-margin"/>
        </w:rPr>
        <w:t>[4]</w:t>
      </w:r>
      <w:r>
        <w:rPr/>
        <w:t xml:space="preserve"> Suppose that which we refer to when we speak of ‘the immaterial aspects and body’ did not exist. (That is, there is no being.) Then (since there is no existence) there would be no sense impressions at all.</w:t>
      </w:r>
    </w:p>
    <w:p>
      <w:pPr>
        <w:pStyle w:val="WW-paragraph"/>
        <w:rPr/>
      </w:pPr>
      <w:r>
        <w:rPr/>
        <w:t>These last two statement effectively say the same thing. If there is no being, there simply are no sense impressions.</w:t>
      </w:r>
    </w:p>
    <w:p>
      <w:pPr>
        <w:pStyle w:val="WW-paragraph"/>
        <w:rPr/>
      </w:pPr>
      <w:r>
        <w:rPr/>
        <w:t xml:space="preserve">So in this passage too I understand </w:t>
      </w:r>
      <w:r>
        <w:rPr>
          <w:rStyle w:val="wwc-pali"/>
        </w:rPr>
        <w:t>nāma</w:t>
      </w:r>
      <w:r>
        <w:rPr/>
        <w:t xml:space="preserve"> and </w:t>
      </w:r>
      <w:r>
        <w:rPr>
          <w:rStyle w:val="wwc-pali"/>
        </w:rPr>
        <w:t>rūpa</w:t>
      </w:r>
      <w:r>
        <w:rPr/>
        <w:t xml:space="preserve"> to refer to parts of the being. This understanding is shared by various scholars,</w:t>
      </w:r>
      <w:r>
        <w:rPr>
          <w:rStyle w:val="FootnoteReference"/>
        </w:rPr>
        <w:footnoteReference w:id="453"/>
      </w:r>
      <w:r>
        <w:rPr/>
        <w:t xml:space="preserve"> including Bhikkhu Bodhi, who wrote that “it is clear that they are intended in the narrower sense, as two sides of the sentient organism, rather than in the broader sense as including the objective sphere [i.e. external objects].”</w:t>
      </w:r>
      <w:r>
        <w:rPr>
          <w:rStyle w:val="FootnoteReference"/>
        </w:rPr>
        <w:footnoteReference w:id="454"/>
      </w:r>
      <w:r>
        <w:rPr/>
        <w:t xml:space="preserve"> This interpretation also fits the only other instance of the term </w:t>
      </w:r>
      <w:r>
        <w:rPr>
          <w:rStyle w:val="wwc-pali"/>
        </w:rPr>
        <w:t>nāmakāya</w:t>
      </w:r>
      <w:r>
        <w:rPr/>
        <w:t xml:space="preserve"> in the early Pāli corpus, which is about the passing away of an enlightened being, when body and mind disappear.</w:t>
      </w:r>
      <w:r>
        <w:rPr>
          <w:rStyle w:val="FootnoteReference"/>
        </w:rPr>
        <w:footnoteReference w:id="455"/>
      </w:r>
      <w:r>
        <w:rPr/>
        <w:t xml:space="preserve"> It is also supported by the </w:t>
      </w:r>
      <w:r>
        <w:rPr>
          <w:rStyle w:val="wwc-sesame"/>
        </w:rPr>
        <w:t>Dīrgha Āgama</w:t>
      </w:r>
      <w:r>
        <w:rPr/>
        <w:t xml:space="preserve"> parallel to the </w:t>
      </w:r>
      <w:r>
        <w:rPr>
          <w:rStyle w:val="wwc-sesame"/>
        </w:rPr>
        <w:t>Mahānidāna Sutta</w:t>
      </w:r>
      <w:r>
        <w:rPr/>
        <w:t xml:space="preserve">, which overall is very similar to the Pāli version but at this specific passage is significantly different. The following translation is by Charles Patton, who translates </w:t>
      </w:r>
      <w:r>
        <w:rPr>
          <w:rStyle w:val="wwc-pali"/>
        </w:rPr>
        <w:t>phassa</w:t>
      </w:r>
      <w:r>
        <w:rPr/>
        <w:t xml:space="preserve"> (</w:t>
      </w:r>
      <w:r>
        <w:rPr/>
        <w:t>觸</w:t>
      </w:r>
      <w:r>
        <w:rPr/>
        <w:t>) as ‘contact’:</w:t>
      </w:r>
    </w:p>
    <w:p>
      <w:pPr>
        <w:pStyle w:val="WW-blockquote"/>
        <w:rPr/>
      </w:pPr>
      <w:bookmarkStart w:id="109" w:name="bqseg110"/>
      <w:bookmarkEnd w:id="109"/>
      <w:r>
        <w:rPr/>
        <w:t>“</w:t>
      </w:r>
      <w:r>
        <w:rPr/>
        <w:t>Ānanda, ‘contact exists conditioned by name and form.’ What does this mean?</w:t>
      </w:r>
    </w:p>
    <w:p>
      <w:pPr>
        <w:pStyle w:val="WW-blockquote"/>
        <w:rPr/>
      </w:pPr>
      <w:r>
        <w:rPr>
          <w:rStyle w:val="wwc-list-margin"/>
        </w:rPr>
        <w:t>[1]</w:t>
      </w:r>
      <w:r>
        <w:rPr/>
        <w:t xml:space="preserve"> Suppose that no sentient being had any name and form. Would there be mental contact?”</w:t>
      </w:r>
    </w:p>
    <w:p>
      <w:pPr>
        <w:pStyle w:val="WW-blockquote"/>
        <w:rPr/>
      </w:pPr>
      <w:r>
        <w:rPr/>
        <w:t>“</w:t>
      </w:r>
      <w:r>
        <w:rPr/>
        <w:t>There wouldn’t be.”</w:t>
      </w:r>
    </w:p>
    <w:p>
      <w:pPr>
        <w:pStyle w:val="WW-blockquote"/>
        <w:rPr/>
      </w:pPr>
      <w:r>
        <w:rPr>
          <w:rStyle w:val="wwc-list-margin"/>
        </w:rPr>
        <w:t>[2]</w:t>
      </w:r>
      <w:r>
        <w:rPr/>
        <w:t xml:space="preserve"> “Suppose that no sentient being had any physical form or appearance. Would there be physical contact?”</w:t>
      </w:r>
    </w:p>
    <w:p>
      <w:pPr>
        <w:pStyle w:val="WW-blockquote"/>
        <w:rPr/>
      </w:pPr>
      <w:r>
        <w:rPr/>
        <w:t>“</w:t>
      </w:r>
      <w:r>
        <w:rPr/>
        <w:t>There wouldn’t be.”</w:t>
      </w:r>
    </w:p>
    <w:p>
      <w:pPr>
        <w:pStyle w:val="WW-blockquote"/>
        <w:rPr/>
      </w:pPr>
      <w:r>
        <w:rPr>
          <w:rStyle w:val="wwc-list-margin"/>
        </w:rPr>
        <w:t>[3/4]</w:t>
      </w:r>
      <w:r>
        <w:rPr/>
        <w:t xml:space="preserve"> “Ānanda, suppose that there were no name and form. Would there be contact?”</w:t>
      </w:r>
    </w:p>
    <w:p>
      <w:pPr>
        <w:pStyle w:val="WW-blockquote"/>
        <w:rPr/>
      </w:pPr>
      <w:r>
        <w:rPr/>
        <w:t>“</w:t>
      </w:r>
      <w:r>
        <w:rPr/>
        <w:t>There wouldn’t be.”</w:t>
      </w:r>
    </w:p>
    <w:p>
      <w:pPr>
        <w:pStyle w:val="WW-blockquote"/>
        <w:rPr/>
      </w:pPr>
      <w:r>
        <w:rPr/>
        <w:t>“</w:t>
      </w:r>
      <w:r>
        <w:rPr/>
        <w:t>Ānanda, it’s for this reason that we know contact comes from name and form. ‘Contact exists conditioned by name and form.’ That’s the meaning of what I said.”</w:t>
      </w:r>
      <w:r>
        <w:rPr>
          <w:rStyle w:val="FootnoteReference"/>
        </w:rPr>
        <w:footnoteReference w:id="456"/>
      </w:r>
    </w:p>
    <w:p>
      <w:pPr>
        <w:pStyle w:val="WW-paragraph"/>
        <w:rPr/>
      </w:pPr>
      <w:r>
        <w:rPr/>
        <w:t xml:space="preserve">This version is unarguably way less cryptic than the Pāli. The wording is much simpler, and it also combines statements 3 and 4—which say the same thing, anyway—into one. It is impossible to tell whether these are simplifications made by the original Chinese translator or whether this version is more authentic, although the Pāli version does sound to me rather Abhidhammic and therefore late. Either way, the parallel validates that </w:t>
      </w:r>
      <w:r>
        <w:rPr>
          <w:rStyle w:val="wwc-pali"/>
        </w:rPr>
        <w:t>nāmarūpa</w:t>
      </w:r>
      <w:r>
        <w:rPr/>
        <w:t xml:space="preserve"> was at an early age believed to refer to the individual in this context also, because it specifically speaks of the name and form of </w:t>
      </w:r>
      <w:r>
        <w:rPr>
          <w:rStyle w:val="Emphasis"/>
        </w:rPr>
        <w:t>beings</w:t>
      </w:r>
      <w:r>
        <w:rPr/>
        <w:t xml:space="preserve"> (</w:t>
      </w:r>
      <w:r>
        <w:rPr/>
        <w:t>眾</w:t>
      </w:r>
      <w:r>
        <w:rPr/>
        <w:t>).</w:t>
      </w:r>
    </w:p>
    <w:p>
      <w:pPr>
        <w:pStyle w:val="WW-paragraph"/>
        <w:rPr/>
      </w:pPr>
      <w:r>
        <w:rPr/>
        <w:t xml:space="preserve">If we look a bit beyond this passage, there is an even clearer indication for this. Both the Chinese and Pāli discourses follow the passage directly with the development of </w:t>
      </w:r>
      <w:r>
        <w:rPr>
          <w:rStyle w:val="wwc-pali"/>
        </w:rPr>
        <w:t>nāmarūpa</w:t>
      </w:r>
      <w:r>
        <w:rPr/>
        <w:t xml:space="preserve"> in the mother’s womb, where it clearly refers to the organism—for one, because it talks about the rebirth (</w:t>
      </w:r>
      <w:r>
        <w:rPr>
          <w:rStyle w:val="wwc-pali"/>
        </w:rPr>
        <w:t>abhinibbati</w:t>
      </w:r>
      <w:r>
        <w:rPr/>
        <w:t xml:space="preserve">) of </w:t>
      </w:r>
      <w:r>
        <w:rPr>
          <w:rStyle w:val="wwc-pali"/>
        </w:rPr>
        <w:t>nāmarūpa</w:t>
      </w:r>
      <w:r>
        <w:rPr/>
        <w:t xml:space="preserve">. Since there is no indication that the meaning of </w:t>
      </w:r>
      <w:r>
        <w:rPr>
          <w:rStyle w:val="wwc-pali"/>
        </w:rPr>
        <w:t>nāmarūpa</w:t>
      </w:r>
      <w:r>
        <w:rPr/>
        <w:t xml:space="preserve"> shifts between these two passages, we can conclude that in both cases it refers to the being.</w:t>
      </w:r>
    </w:p>
    <w:p>
      <w:pPr>
        <w:pStyle w:val="WW-paragraph"/>
        <w:rPr/>
      </w:pPr>
      <w:r>
        <w:rPr/>
        <w:t xml:space="preserve">But even though </w:t>
      </w:r>
      <w:r>
        <w:rPr>
          <w:rStyle w:val="wwc-pali"/>
        </w:rPr>
        <w:t>nāmarūpa</w:t>
      </w:r>
      <w:r>
        <w:rPr/>
        <w:t xml:space="preserve"> has the same meaning in both passages, they do not convey the same conditionality. “The two formulas have different purposes and describe different processes”, concluded also Hamilton,</w:t>
      </w:r>
      <w:r>
        <w:rPr>
          <w:rStyle w:val="FootnoteReference"/>
        </w:rPr>
        <w:footnoteReference w:id="457"/>
      </w:r>
      <w:r>
        <w:rPr/>
        <w:t xml:space="preserve"> with the two formulas being the extremely rare ‘sense impressions depend on the immaterial aspects and body’ and the less unique but still uncommon ‘consciousness depends on the immaterial aspects and body’. As described earlier, sense impressions happen moment by moment, while the dependency of consciousness on the immaterial aspects and body focuses on the rebirth and overall existence of the aspect of existence of consciousness.</w:t>
      </w:r>
    </w:p>
    <w:p>
      <w:pPr>
        <w:pStyle w:val="WW-paragraph"/>
        <w:rPr/>
      </w:pPr>
      <w:r>
        <w:rPr/>
        <w:t xml:space="preserve">As also mentioned a few times before, some authors think </w:t>
      </w:r>
      <w:r>
        <w:rPr>
          <w:rStyle w:val="wwc-pali"/>
        </w:rPr>
        <w:t>nāmarūpa</w:t>
      </w:r>
      <w:r>
        <w:rPr/>
        <w:t xml:space="preserve"> in the standard sequence refers not to the being but to certain cognitive processes. Most passages commonly brought up in support of such views are not directly connected to Dependent Arising, however, and can also be interpreted differently.</w:t>
      </w:r>
      <w:r>
        <w:rPr>
          <w:rStyle w:val="FootnoteReference"/>
        </w:rPr>
        <w:footnoteReference w:id="458"/>
      </w:r>
      <w:r>
        <w:rPr/>
        <w:t xml:space="preserve"> Authors favoring this view also tend to emphasize the previous passage on </w:t>
      </w:r>
      <w:r>
        <w:rPr>
          <w:rStyle w:val="wwc-pali"/>
        </w:rPr>
        <w:t>nāmarūpa</w:t>
      </w:r>
      <w:r>
        <w:rPr/>
        <w:t xml:space="preserve"> and </w:t>
      </w:r>
      <w:r>
        <w:rPr>
          <w:rStyle w:val="Strong"/>
        </w:rPr>
        <w:t>sense impressions</w:t>
      </w:r>
      <w:r>
        <w:rPr/>
        <w:t xml:space="preserve">, using it to interpret the dependency between </w:t>
      </w:r>
      <w:r>
        <w:rPr>
          <w:rStyle w:val="wwc-pali"/>
        </w:rPr>
        <w:t>nāmarūpa</w:t>
      </w:r>
      <w:r>
        <w:rPr/>
        <w:t xml:space="preserve"> and </w:t>
      </w:r>
      <w:r>
        <w:rPr>
          <w:rStyle w:val="Strong"/>
        </w:rPr>
        <w:t>consciousness</w:t>
      </w:r>
      <w:r>
        <w:rPr/>
        <w:t xml:space="preserve">. They sideline the one passage that actually describes the dependency between </w:t>
      </w:r>
      <w:r>
        <w:rPr>
          <w:rStyle w:val="wwc-pali"/>
        </w:rPr>
        <w:t>nāmarūpa</w:t>
      </w:r>
      <w:r>
        <w:rPr/>
        <w:t xml:space="preserve"> and consciousness, the one mentioning the mother’s womb. This is problematic, for the passage on sense impressions is not only very cryptic and unique in many ways, it does not even describe the dependency between consciousness and </w:t>
      </w:r>
      <w:r>
        <w:rPr>
          <w:rStyle w:val="wwc-pali"/>
        </w:rPr>
        <w:t>nāmarūpa</w:t>
      </w:r>
      <w:r>
        <w:rPr/>
        <w:t>.</w:t>
      </w:r>
      <w:r>
        <w:rPr>
          <w:rStyle w:val="FootnoteReference"/>
        </w:rPr>
        <w:footnoteReference w:id="459"/>
      </w:r>
    </w:p>
    <w:p>
      <w:pPr>
        <w:pStyle w:val="WW-paragraph"/>
        <w:rPr/>
      </w:pPr>
      <w:r>
        <w:rPr/>
        <w:t xml:space="preserve">On top of this, in all four Chinese parallels of the </w:t>
      </w:r>
      <w:r>
        <w:rPr>
          <w:rStyle w:val="wwc-sesame"/>
        </w:rPr>
        <w:t>Mahānidāna Sutta</w:t>
      </w:r>
      <w:r>
        <w:rPr/>
        <w:t xml:space="preserve"> the passage is either significantly different or even completely missing.</w:t>
      </w:r>
      <w:r>
        <w:rPr>
          <w:rStyle w:val="FootnoteReference"/>
        </w:rPr>
        <w:footnoteReference w:id="460"/>
      </w:r>
      <w:r>
        <w:rPr/>
        <w:t xml:space="preserve"> Vetter also says certain parallel Sanskrit manuscripts, to which I have no access, do not contain the passage either.</w:t>
      </w:r>
      <w:r>
        <w:rPr>
          <w:rStyle w:val="FootnoteReference"/>
        </w:rPr>
        <w:footnoteReference w:id="461"/>
      </w:r>
      <w:r>
        <w:rPr/>
        <w:t xml:space="preserve"> One Chinese parallel does not even mention the dependency of sense impressions on </w:t>
      </w:r>
      <w:r>
        <w:rPr>
          <w:rStyle w:val="wwc-pali"/>
        </w:rPr>
        <w:t>nāmarūpa</w:t>
      </w:r>
      <w:r>
        <w:rPr/>
        <w:t xml:space="preserve"> at all, having sense impressions depend on the six senses throughout the entire discourse, as in the standard sequence.</w:t>
      </w:r>
      <w:r>
        <w:rPr>
          <w:rStyle w:val="FootnoteReference"/>
        </w:rPr>
        <w:footnoteReference w:id="462"/>
      </w:r>
      <w:r>
        <w:rPr/>
        <w:t xml:space="preserve"> The dependency of sense impressions on </w:t>
      </w:r>
      <w:r>
        <w:rPr>
          <w:rStyle w:val="wwc-pali"/>
        </w:rPr>
        <w:t>nāmarūpa</w:t>
      </w:r>
      <w:r>
        <w:rPr/>
        <w:t xml:space="preserve"> is also mentioned only once elsewhere in the Pāli Canon, and then only in passing in uninformative verse.</w:t>
      </w:r>
      <w:r>
        <w:rPr>
          <w:rStyle w:val="FootnoteReference"/>
        </w:rPr>
        <w:footnoteReference w:id="463"/>
      </w:r>
    </w:p>
    <w:p>
      <w:pPr>
        <w:pStyle w:val="WW-paragraph"/>
        <w:rPr/>
      </w:pPr>
      <w:r>
        <w:rPr/>
        <w:t xml:space="preserve">With all this in mind I consider it best to give this dependency at best a secondary place in our interpretation of the Dhamma. From a pragmatic perspective it adds little, anyway, since the dependency of sense impressions on </w:t>
      </w:r>
      <w:r>
        <w:rPr>
          <w:rStyle w:val="wwc-pali"/>
        </w:rPr>
        <w:t>nāmarūpa</w:t>
      </w:r>
      <w:r>
        <w:rPr/>
        <w:t xml:space="preserve"> is for all practical purposes the same as that of sense impressions on the six senses. This dependency is taught much more frequently in the suttas, so I think we can safely focus our contemplative efforts on it instead.</w:t>
      </w:r>
    </w:p>
    <w:p>
      <w:pPr>
        <w:pStyle w:val="WW-chapter-section-1"/>
        <w:ind w:hanging="0" w:start="0"/>
        <w:rPr/>
      </w:pPr>
      <w:r>
        <w:rPr/>
        <w:t>The totality of the six senses</w:t>
      </w:r>
    </w:p>
    <w:p>
      <w:pPr>
        <w:pStyle w:val="WW-paragraph"/>
        <w:rPr/>
      </w:pPr>
      <w:r>
        <w:rPr/>
        <w:t xml:space="preserve">At the start of this book I described the all-encompassing scope of the aspect of existence of consciousness, which encapsulates all types of consciousness. It is defined as the six types of consciousness belonging to the six senses, outside of which there is no other consciousness. The </w:t>
      </w:r>
      <w:r>
        <w:rPr>
          <w:rStyle w:val="wwc-sesame"/>
        </w:rPr>
        <w:t>Discourse on the Foolish and Wise</w:t>
      </w:r>
      <w:r>
        <w:rPr/>
        <w:t xml:space="preserve"> (§108) accordingly said that for both the unenlightened and the enlightened alike “there are </w:t>
      </w:r>
      <w:r>
        <w:rPr>
          <w:rStyle w:val="Emphasis"/>
        </w:rPr>
        <w:t>just</w:t>
      </w:r>
      <w:r>
        <w:rPr/>
        <w:t xml:space="preserve"> the six senses”. In the same vein, the six senses and their objects are said to be all (or ‘everything’, </w:t>
      </w:r>
      <w:r>
        <w:rPr>
          <w:rStyle w:val="wwc-pali"/>
        </w:rPr>
        <w:t>sabba</w:t>
      </w:r>
      <w:r>
        <w:rPr/>
        <w:t>):</w:t>
      </w:r>
    </w:p>
    <w:p>
      <w:pPr>
        <w:pStyle w:val="WW-blockquote"/>
        <w:rPr/>
      </w:pPr>
      <w:bookmarkStart w:id="110" w:name="bqseg111"/>
      <w:bookmarkEnd w:id="110"/>
      <w:r>
        <w:rPr/>
        <w:t>And what is all? The sense of sight and sights, the sense of hearing and sounds, the sense of smell and smells, the sense of taste and flavors, the sense of touch and tangibles, the mind and mental phenomena. That is what’s called all.</w:t>
      </w:r>
    </w:p>
    <w:p>
      <w:pPr>
        <w:pStyle w:val="WW-blockquote"/>
        <w:rPr/>
      </w:pPr>
      <w:r>
        <w:rPr/>
        <w:t>If someone would say they reject this as all and defined all as something else, their words would just be groundless. When questioned about it, they will be unable to explain and will get frustrated. Why? Because it is outside of their field of experience.</w:t>
      </w:r>
      <w:r>
        <w:rPr>
          <w:rStyle w:val="FootnoteReference"/>
        </w:rPr>
        <w:footnoteReference w:id="464"/>
      </w:r>
    </w:p>
    <w:p>
      <w:pPr>
        <w:pStyle w:val="WW-paragraph"/>
        <w:rPr/>
      </w:pPr>
      <w:r>
        <w:rPr/>
        <w:t xml:space="preserve">This passage probably implicitly refutes Brahmanical ideas, since </w:t>
      </w:r>
      <w:r>
        <w:rPr>
          <w:rStyle w:val="wwc-sesame"/>
        </w:rPr>
        <w:t>Upaniṣadic</w:t>
      </w:r>
      <w:r>
        <w:rPr/>
        <w:t xml:space="preserve"> Brahmins believed ‘the all’ to contain a self or even to be itself the self. In contrast, the Buddha says it is groundless to claim something, including a self, exists outside of the six senses and their objects.</w:t>
      </w:r>
      <w:r>
        <w:rPr>
          <w:rStyle w:val="FootnoteReference"/>
        </w:rPr>
        <w:footnoteReference w:id="465"/>
      </w:r>
      <w:r>
        <w:rPr/>
        <w:t xml:space="preserve"> To clarify the intent behind his statement, in another discourse he says the same about the pair of the senses and their objects:</w:t>
      </w:r>
    </w:p>
    <w:p>
      <w:pPr>
        <w:pStyle w:val="WW-blockquote"/>
        <w:rPr/>
      </w:pPr>
      <w:bookmarkStart w:id="111" w:name="bqseg112"/>
      <w:bookmarkEnd w:id="111"/>
      <w:r>
        <w:rPr/>
        <w:t>Mendicants, I will teach you a pair. Please listen. And what is the pair? The sense of sight and sights; the sense of hearing and sounds; the sense of smell and smells; the sense of taste and flavors; the sense of touch and tangibles; the mind and mental phenomena. That is what’s called a pair.</w:t>
      </w:r>
    </w:p>
    <w:p>
      <w:pPr>
        <w:pStyle w:val="WW-blockquote"/>
        <w:rPr/>
      </w:pPr>
      <w:r>
        <w:rPr/>
        <w:t>If someone would say they reject this pair and defined another pair, their words would just be groundless. When questioned about it, they will be unable to explain and will get frustrated. Why? Because it is outside of their field of experience.</w:t>
      </w:r>
      <w:r>
        <w:rPr>
          <w:rStyle w:val="FootnoteReference"/>
        </w:rPr>
        <w:footnoteReference w:id="466"/>
      </w:r>
    </w:p>
    <w:p>
      <w:pPr>
        <w:pStyle w:val="WW-paragraph"/>
        <w:rPr/>
      </w:pPr>
      <w:r>
        <w:rPr/>
        <w:t>Unless we assume the existence of a seventh set of sense faculty and object, a seventh type of dual consciousness, this statement must simply mean that there is nothing to be experienced outside of the six senses. The statement intends to limit experience to these six types of consciousness; it does not intend to allow room for some other dual awareness outside of them. The same logic applies to the senses and their objects being called ‘all’ in the earlier passage: there is no consciousness outside of them.</w:t>
      </w:r>
      <w:r>
        <w:rPr>
          <w:rStyle w:val="FootnoteReference"/>
        </w:rPr>
        <w:footnoteReference w:id="467"/>
      </w:r>
    </w:p>
    <w:p>
      <w:pPr>
        <w:pStyle w:val="WW-paragraph"/>
        <w:rPr/>
      </w:pPr>
      <w:r>
        <w:rPr/>
        <w:t>Another exchange between Koṭṭhita and Sāriputta also says that after the six senses cease, it is incorrect to assume something else still exists:</w:t>
      </w:r>
    </w:p>
    <w:p>
      <w:pPr>
        <w:pStyle w:val="WW-blockquote"/>
        <w:rPr/>
      </w:pPr>
      <w:bookmarkStart w:id="112" w:name="bqseg113"/>
      <w:bookmarkEnd w:id="112"/>
      <w:r>
        <w:rPr/>
        <w:t>Once Venerable Koṭṭhika the Great […] asked: “Venerable, after the six senses completely fade away and cease, does something else still exist?”</w:t>
      </w:r>
    </w:p>
    <w:p>
      <w:pPr>
        <w:pStyle w:val="WW-blockquote"/>
        <w:rPr/>
      </w:pPr>
      <w:r>
        <w:rPr/>
        <w:t>[Sāriputta:] “Don’t say so, venerable.”</w:t>
      </w:r>
      <w:r>
        <w:rPr>
          <w:rStyle w:val="FootnoteReference"/>
        </w:rPr>
        <w:footnoteReference w:id="468"/>
      </w:r>
    </w:p>
    <w:p>
      <w:pPr>
        <w:pStyle w:val="WW-blockquote"/>
        <w:rPr/>
      </w:pPr>
      <w:r>
        <w:rPr/>
        <w:t>“</w:t>
      </w:r>
      <w:r>
        <w:rPr/>
        <w:t>After the six senses completely fade away and cease, does something else no longer exist?”</w:t>
      </w:r>
      <w:r>
        <w:rPr>
          <w:rStyle w:val="FootnoteReference"/>
        </w:rPr>
        <w:footnoteReference w:id="469"/>
      </w:r>
    </w:p>
    <w:p>
      <w:pPr>
        <w:pStyle w:val="WW-blockquote"/>
        <w:rPr/>
      </w:pPr>
      <w:r>
        <w:rPr/>
        <w:t>“</w:t>
      </w:r>
      <w:r>
        <w:rPr/>
        <w:t>Don’t say so.”</w:t>
      </w:r>
    </w:p>
    <w:p>
      <w:pPr>
        <w:pStyle w:val="WW-blockquote"/>
        <w:rPr/>
      </w:pPr>
      <w:r>
        <w:rPr/>
        <w:t>“</w:t>
      </w:r>
      <w:r>
        <w:rPr/>
        <w:t>After the six senses completely fade away and cease, does something else both still exist and no longer exist?”</w:t>
      </w:r>
    </w:p>
    <w:p>
      <w:pPr>
        <w:pStyle w:val="WW-blockquote"/>
        <w:rPr/>
      </w:pPr>
      <w:r>
        <w:rPr/>
        <w:t>“</w:t>
      </w:r>
      <w:r>
        <w:rPr/>
        <w:t>Don’t say so.”</w:t>
      </w:r>
    </w:p>
    <w:p>
      <w:pPr>
        <w:pStyle w:val="WW-blockquote"/>
        <w:rPr/>
      </w:pPr>
      <w:r>
        <w:rPr/>
        <w:t>“</w:t>
      </w:r>
      <w:r>
        <w:rPr/>
        <w:t>After the six senses completely fade away and cease, does something else neither still exist nor no longer exist?”</w:t>
      </w:r>
    </w:p>
    <w:p>
      <w:pPr>
        <w:pStyle w:val="WW-blockquote"/>
        <w:rPr/>
      </w:pPr>
      <w:r>
        <w:rPr/>
        <w:t>“</w:t>
      </w:r>
      <w:r>
        <w:rPr/>
        <w:t>Don’t say so.”</w:t>
      </w:r>
      <w:r>
        <w:rPr>
          <w:rStyle w:val="FootnoteReference"/>
        </w:rPr>
        <w:footnoteReference w:id="470"/>
      </w:r>
    </w:p>
    <w:p>
      <w:pPr>
        <w:pStyle w:val="WW-paragraph"/>
        <w:rPr/>
      </w:pPr>
      <w:r>
        <w:rPr/>
        <w:t xml:space="preserve">Koṭṭhika then asks why Sāriputta replied the way he did. Sāriputta explains that each statement elaborates (or ‘proliferates’, </w:t>
      </w:r>
      <w:r>
        <w:rPr>
          <w:rStyle w:val="wwc-pali"/>
        </w:rPr>
        <w:t>papañceti</w:t>
      </w:r>
      <w:r>
        <w:rPr/>
        <w:t xml:space="preserve">) beyond the proper scope of elaboration, which is the six senses. That is because all four statements assume </w:t>
      </w:r>
      <w:r>
        <w:rPr>
          <w:rStyle w:val="Emphasis"/>
        </w:rPr>
        <w:t>something</w:t>
      </w:r>
      <w:r>
        <w:rPr/>
        <w:t xml:space="preserve"> beyond the six senses. Even saying that after the six senses cease, something else </w:t>
      </w:r>
      <w:r>
        <w:rPr>
          <w:rStyle w:val="Emphasis"/>
        </w:rPr>
        <w:t>no longer</w:t>
      </w:r>
      <w:r>
        <w:rPr/>
        <w:t xml:space="preserve"> exists, assumes something else existed beforehand. This would for example be the view of the annihilationists, as the commentary indeed notes, who think that a self ceases alongside the six senses. This is a wrong view, which is why Sāriputta replies, ‘don’t say so’. Since the six senses are all there is to the individual, it is also incorrect to assume that after the death of an enlightened being something else still exists for them.</w:t>
      </w:r>
    </w:p>
    <w:p>
      <w:pPr>
        <w:pStyle w:val="WW-paragraph"/>
        <w:rPr/>
      </w:pPr>
      <w:r>
        <w:rPr/>
        <w:t>The right view which avoids all these misconceptions comes from the realization that there is nothing beyond the six senses, so that when the six senses cease permanently, there will be no experience left. This can be realized by going through a temporary cessation of all six types of consciousness by letting go of all awareness for a moment. When consciousness arises again afterwards, the mind can conclude that there is no possibility for any type of self or for any consciousness outside of the six senses.</w:t>
      </w:r>
    </w:p>
    <w:p>
      <w:pPr>
        <w:pStyle w:val="WW-paragraph"/>
        <w:rPr/>
      </w:pPr>
      <w:r>
        <w:rPr/>
        <w:t>To clarify that the permanent cessation of the six senses happens at the death of an enlightened being and not at enlightenment, in one discourse the Buddha specifically says he still has each of the six senses.</w:t>
      </w:r>
      <w:r>
        <w:rPr>
          <w:rStyle w:val="FootnoteReference"/>
        </w:rPr>
        <w:footnoteReference w:id="471"/>
      </w:r>
      <w:r>
        <w:rPr/>
        <w:t xml:space="preserve"> Elsewhere he refers to their cessation using the future tense:</w:t>
      </w:r>
    </w:p>
    <w:p>
      <w:pPr>
        <w:pStyle w:val="WW-blockquote"/>
        <w:rPr/>
      </w:pPr>
      <w:bookmarkStart w:id="113" w:name="bqseg114"/>
      <w:bookmarkEnd w:id="113"/>
      <w:r>
        <w:rPr/>
        <w:t xml:space="preserve">Trained [i.e. enlightened] mendicants understand the six faculties: the faculty of sight, the faculty of hearing, the faculty of smell, the faculty of taste, the faculty of touch, and the mental faculty. They understand that these six faculties </w:t>
      </w:r>
      <w:r>
        <w:rPr>
          <w:rStyle w:val="Emphasis"/>
        </w:rPr>
        <w:t>will</w:t>
      </w:r>
      <w:r>
        <w:rPr/>
        <w:t xml:space="preserve"> totally and completely cease without remnant, and that no other six faculties will arise anywhere in any way.</w:t>
      </w:r>
      <w:r>
        <w:rPr>
          <w:rStyle w:val="FootnoteReference"/>
        </w:rPr>
        <w:footnoteReference w:id="472"/>
      </w:r>
    </w:p>
    <w:p>
      <w:pPr>
        <w:pStyle w:val="WW-space"/>
        <w:rPr/>
      </w:pPr>
      <w:r>
        <w:rPr/>
        <w:t>0</w:t>
      </w:r>
    </w:p>
    <w:p>
      <w:pPr>
        <w:pStyle w:val="WW-paragraph"/>
        <w:rPr/>
      </w:pPr>
      <w:r>
        <w:rPr/>
        <w:t>To end this part with a little polemic, the fact that the six senses—as well as many other factors of Dependent Arising—only cease at death, presents a problem for interpretations that remove literal rebirth from Dependent Arising. By having the whole sequence cease in a moment or so, these interpretations effectively say enlightened beings, who have no more ignorance, also have no more six senses, no more consciousness, no more sensations, and so forth. They no longer get old or die either… Not only does this make no logical sense, it also goes against the many discourses which indicate enlightened beings still experience these things.</w:t>
      </w:r>
    </w:p>
    <w:p>
      <w:pPr>
        <w:pStyle w:val="WW-paragraph"/>
        <w:rPr/>
      </w:pPr>
      <w:r>
        <w:rPr/>
        <w:t>Some such interpretations do allow for rebirth on a larger timescale, being sort of a compromise,</w:t>
      </w:r>
      <w:r>
        <w:rPr>
          <w:rStyle w:val="FootnoteReference"/>
        </w:rPr>
        <w:footnoteReference w:id="473"/>
      </w:r>
      <w:r>
        <w:rPr/>
        <w:t xml:space="preserve"> but that way of reasoning seems logically flawed. If we hold that the six senses or old age and death, say, cease at the moment of enlightenment, then we can’t also hold they cease </w:t>
      </w:r>
      <w:r>
        <w:rPr>
          <w:rStyle w:val="Emphasis"/>
        </w:rPr>
        <w:t>again</w:t>
      </w:r>
      <w:r>
        <w:rPr/>
        <w:t xml:space="preserve"> at the end of life. Things either cease, or they do not. We can’t have it both ways.</w:t>
      </w:r>
    </w:p>
    <w:p>
      <w:pPr>
        <w:pStyle w:val="WW-paragraph"/>
        <w:rPr/>
      </w:pPr>
      <w:r>
        <w:rPr/>
        <w:t xml:space="preserve">At times the </w:t>
      </w:r>
      <w:r>
        <w:rPr>
          <w:rStyle w:val="wwc-sesame"/>
        </w:rPr>
        <w:t>Paṭiccasamuppāda Vibhaṅga</w:t>
      </w:r>
      <w:r>
        <w:rPr/>
        <w:t xml:space="preserve"> of the </w:t>
      </w:r>
      <w:r>
        <w:rPr>
          <w:rStyle w:val="wwc-sesame"/>
        </w:rPr>
        <w:t>Abhidhamma</w:t>
      </w:r>
      <w:r>
        <w:rPr/>
        <w:t xml:space="preserve"> has been referenced to support such dual interpretations. This text indeed seems to describe the twelvefold sequence in two ways: once as the process of rebirth, once as the process of the arising of momentary “dhammas”. However, it also makes a strict distinction between the two, calling the former “the sutta analysis” and the latter “the </w:t>
      </w:r>
      <w:r>
        <w:rPr>
          <w:rStyle w:val="wwc-sesame"/>
        </w:rPr>
        <w:t>Abhidhamma</w:t>
      </w:r>
      <w:r>
        <w:rPr/>
        <w:t xml:space="preserve"> analysis”. It understands the suttas to teach rebirth; the momentary process is specific to the </w:t>
      </w:r>
      <w:r>
        <w:rPr>
          <w:rStyle w:val="wwc-sesame"/>
        </w:rPr>
        <w:t>Abhidhamma</w:t>
      </w:r>
      <w:r>
        <w:rPr/>
        <w:t xml:space="preserve">. The </w:t>
      </w:r>
      <w:r>
        <w:rPr>
          <w:rStyle w:val="wwc-sesame"/>
        </w:rPr>
        <w:t>Abhidhamma</w:t>
      </w:r>
      <w:r>
        <w:rPr/>
        <w:t xml:space="preserve"> analysis also doesn’t discuss the same twelve factors. It generally omits the five physical senses, for instance, referring only to the mind. In all, it teaches a distinctly different doctrine. Also, even though the </w:t>
      </w:r>
      <w:r>
        <w:rPr>
          <w:rStyle w:val="wwc-sesame"/>
        </w:rPr>
        <w:t>Abhidhamma</w:t>
      </w:r>
      <w:r>
        <w:rPr/>
        <w:t xml:space="preserve"> gets called upon for support, usually its own momentary interpretation is ignored thereafter, being replaced by the interpretations of the respective authors, which tend to be distinctly different. The only common theme is that both don’t include literal rebirth.</w:t>
      </w:r>
    </w:p>
    <w:p>
      <w:pPr>
        <w:pStyle w:val="WW-chapter-section-1"/>
        <w:ind w:hanging="0" w:start="0"/>
        <w:rPr/>
      </w:pPr>
      <w:r>
        <w:rPr/>
        <w:t>Summary of part II</w:t>
      </w:r>
    </w:p>
    <w:p>
      <w:pPr>
        <w:pStyle w:val="WW-paragraph"/>
        <w:rPr/>
      </w:pPr>
      <w:r>
        <w:rPr/>
        <w:t>To sum up, in this part we have seen that:</w:t>
      </w:r>
    </w:p>
    <w:p>
      <w:pPr>
        <w:pStyle w:val="WW-paragraph"/>
        <w:numPr>
          <w:ilvl w:val="0"/>
          <w:numId w:val="16"/>
        </w:numPr>
        <w:rPr/>
      </w:pPr>
      <w:r>
        <w:rPr/>
        <w:t>The four nutriments are a metaphor used primarily to illustrate rebirth.</w:t>
      </w:r>
    </w:p>
    <w:p>
      <w:pPr>
        <w:pStyle w:val="WW-paragraph"/>
        <w:numPr>
          <w:ilvl w:val="0"/>
          <w:numId w:val="16"/>
        </w:numPr>
        <w:rPr/>
      </w:pPr>
      <w:r>
        <w:rPr/>
        <w:t>Consciousness being ‘established’ (</w:t>
      </w:r>
      <w:r>
        <w:rPr>
          <w:rStyle w:val="wwc-pali"/>
        </w:rPr>
        <w:t>patiṭṭhita</w:t>
      </w:r>
      <w:r>
        <w:rPr/>
        <w:t>) implies its rebirth in a certain place.</w:t>
      </w:r>
    </w:p>
    <w:p>
      <w:pPr>
        <w:pStyle w:val="WW-paragraph"/>
        <w:numPr>
          <w:ilvl w:val="0"/>
          <w:numId w:val="16"/>
        </w:numPr>
        <w:rPr/>
      </w:pPr>
      <w:r>
        <w:rPr/>
        <w:t xml:space="preserve">The rebirth of consciousness is compared to the planting of a seed, in which case ‘planted’ is a more suitable translation for </w:t>
      </w:r>
      <w:r>
        <w:rPr>
          <w:rStyle w:val="wwc-pali"/>
        </w:rPr>
        <w:t>patiṭṭhita</w:t>
      </w:r>
      <w:r>
        <w:rPr/>
        <w:t>.</w:t>
      </w:r>
    </w:p>
    <w:p>
      <w:pPr>
        <w:pStyle w:val="WW-paragraph"/>
        <w:numPr>
          <w:ilvl w:val="0"/>
          <w:numId w:val="16"/>
        </w:numPr>
        <w:rPr/>
      </w:pPr>
      <w:r>
        <w:rPr/>
        <w:t xml:space="preserve">The dependency between consciousness and </w:t>
      </w:r>
      <w:r>
        <w:rPr>
          <w:rStyle w:val="wwc-pali"/>
        </w:rPr>
        <w:t>nāmarūpa</w:t>
      </w:r>
      <w:r>
        <w:rPr/>
        <w:t xml:space="preserve"> means that there is no type of existence where either of these factors can exist in isolation.</w:t>
      </w:r>
    </w:p>
    <w:p>
      <w:pPr>
        <w:pStyle w:val="WW-paragraph"/>
        <w:numPr>
          <w:ilvl w:val="0"/>
          <w:numId w:val="16"/>
        </w:numPr>
        <w:rPr/>
      </w:pPr>
      <w:r>
        <w:rPr/>
        <w:t>The dependency of consciousness on sense impressions teaches that any instance of any type of consciousness depends on an object.</w:t>
      </w:r>
      <w:r>
        <w:br w:type="page"/>
      </w:r>
    </w:p>
    <w:p>
      <w:pPr>
        <w:pStyle w:val="WW-epigram-image"/>
        <w:spacing w:before="0" w:after="0"/>
        <w:rPr/>
      </w:pPr>
      <w:r>
        <w:rPr/>
        <w:t>fleuron/beam2.png=Fleuron:A drawing of car headlight=10</w:t>
      </w:r>
    </w:p>
    <w:p>
      <w:pPr>
        <w:pStyle w:val="WW-part"/>
        <w:spacing w:before="170" w:after="170"/>
        <w:rPr/>
      </w:pPr>
      <w:r>
        <w:rPr/>
        <w:t>Part III. The Simile of the Light Beam</w:t>
      </w:r>
      <w:r>
        <w:br w:type="page"/>
      </w:r>
    </w:p>
    <w:p>
      <w:pPr>
        <w:pStyle w:val="WW-Chapter"/>
        <w:spacing w:before="0" w:after="567"/>
        <w:ind w:hanging="0" w:start="0"/>
        <w:rPr/>
      </w:pPr>
      <w:r>
        <w:rPr/>
        <w:t>10. No inclinations, no rebirth, no consciousness</w:t>
      </w:r>
    </w:p>
    <w:p>
      <w:pPr>
        <w:pStyle w:val="WW-paragraph"/>
        <w:rPr/>
      </w:pPr>
      <w:r>
        <w:rPr/>
        <w:t xml:space="preserve">This third and final part discusses the cessation of consciousness, which is the eventual outcome of abandoning ignorance and craving. As such it is particularly interesting from the practitioner’s perspective, but as noted in the preface, this work is primarily a textual analysis aimed at determining the meaning of </w:t>
      </w:r>
      <w:r>
        <w:rPr>
          <w:rStyle w:val="wwc-pali"/>
        </w:rPr>
        <w:t>appatiṭṭhita viññāṇa</w:t>
      </w:r>
      <w:r>
        <w:rPr/>
        <w:t>, so I will leave most of the practical applications to speak for themselves.</w:t>
      </w:r>
    </w:p>
    <w:p>
      <w:pPr>
        <w:pStyle w:val="WW-paragraph"/>
        <w:rPr/>
      </w:pPr>
      <w:r>
        <w:rPr/>
        <w:t>Before turning to the simile of the light beam itself, the current chapter discusses the cessation sequence of Dependent Arising, which says that if there are no willful actions at death, there can be no rebirth of consciousness. The canon describes this idea in various ways, not always using the term ‘willful actions’ but also alternatives like ‘intentions’, ‘inclinations’, ‘tendencies’, ‘attraction’, and ‘taking up’—all active forces in the mind that, just like craving, can propel the stream of consciousness into a next life.</w:t>
      </w:r>
    </w:p>
    <w:p>
      <w:pPr>
        <w:pStyle w:val="WW-chapter-section-1"/>
        <w:ind w:hanging="0" w:start="0"/>
        <w:rPr/>
      </w:pPr>
      <w:r>
        <w:rPr/>
        <w:t>No tendencies, no inclination</w:t>
      </w:r>
    </w:p>
    <w:p>
      <w:pPr>
        <w:pStyle w:val="WW-paragraph"/>
        <w:rPr/>
      </w:pPr>
      <w:r>
        <w:rPr/>
        <w:t xml:space="preserve">The </w:t>
      </w:r>
      <w:r>
        <w:rPr>
          <w:rStyle w:val="wwc-sesame"/>
        </w:rPr>
        <w:t>Seeds Discourse</w:t>
      </w:r>
      <w:r>
        <w:rPr/>
        <w:t xml:space="preserve"> (§76) mentions the passing on and rebirth of consciousness, its departing and arriving, its continuation after death, and its planting and sprouting. All these terms, which in various ways refer to rebirth, also occur in the </w:t>
      </w:r>
      <w:r>
        <w:rPr>
          <w:rStyle w:val="wwc-sesame"/>
        </w:rPr>
        <w:t>Third Discourse on Intention</w:t>
      </w:r>
      <w:r>
        <w:rPr/>
        <w:t>:</w:t>
      </w:r>
    </w:p>
    <w:p>
      <w:pPr>
        <w:pStyle w:val="WW-blockquote"/>
        <w:rPr/>
      </w:pPr>
      <w:bookmarkStart w:id="114" w:name="bqseg115"/>
      <w:bookmarkEnd w:id="114"/>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an inclination [to a certain rebirth]. If there is an inclination, there is departing and arriving. If there is departing and arriving, there is passing on and being reborn. If there is passing on and being reborn, future birth, old age and death, and sorrow, grief, pain, sadness, and distress come to be. That is how this whole mass of suffering originates.</w:t>
      </w:r>
    </w:p>
    <w:p>
      <w:pPr>
        <w:pStyle w:val="WW-blockquote"/>
        <w:rPr/>
      </w:pPr>
      <w:r>
        <w:rPr/>
        <w:t>If you don’t intend, don’t plan, but still have a tendency towards something, then that is a foundation for the continuation of consciousness. [Continued as the previous paragraph.] That is how this whole mass of suffering originates.</w:t>
      </w:r>
    </w:p>
    <w:p>
      <w:pPr>
        <w:pStyle w:val="WW-blockquote"/>
        <w:rPr/>
      </w:pPr>
      <w:r>
        <w:rPr/>
        <w:t>But if you don’t intend, don’t plan, and do not have a tendency towards anything, there is no foundation for the continuation of consciousness. If there is no foundation, there will be no support for the planting of consciousness. If consciousness is not planted, it will not sprout, and there is no inclination. If there is no inclination, there is no departing and arriving. If there is no departing and arriving, there is no passing on and being reborn. If there is no passing on and being reborn, future birth, old age and death, and sorrow, grief, pain, sadness, and distress do not come to be. That is how this whole mass of suffering ceases.</w:t>
      </w:r>
      <w:r>
        <w:rPr>
          <w:rStyle w:val="FootnoteReference"/>
        </w:rPr>
        <w:footnoteReference w:id="474"/>
      </w:r>
    </w:p>
    <w:p>
      <w:pPr>
        <w:pStyle w:val="WW-paragraph"/>
        <w:rPr/>
      </w:pPr>
      <w:r>
        <w:rPr/>
        <w:t>All three discourses on intention, this one included, have two paragraphs on origination and one on cessation.</w:t>
      </w:r>
      <w:r>
        <w:rPr>
          <w:rStyle w:val="FootnoteReference"/>
        </w:rPr>
        <w:footnoteReference w:id="475"/>
      </w:r>
      <w:r>
        <w:rPr/>
        <w:t xml:space="preserve"> We do not find this structure in any other text, and the Chinese parallels also lack the second paragraph.</w:t>
      </w:r>
      <w:r>
        <w:rPr>
          <w:rStyle w:val="FootnoteReference"/>
        </w:rPr>
        <w:footnoteReference w:id="476"/>
      </w:r>
      <w:r>
        <w:rPr/>
        <w:t xml:space="preserve"> Choong Mun-keat thinks “it is therefore possible that the unshared statements [the second paragraphs] were added in the Pāli tradition”.</w:t>
      </w:r>
      <w:r>
        <w:rPr>
          <w:rStyle w:val="FootnoteReference"/>
        </w:rPr>
        <w:footnoteReference w:id="477"/>
      </w:r>
      <w:r>
        <w:rPr/>
        <w:t xml:space="preserve"> For this reason I will not discuss the difference between the first two paragraphs, which from a pragmatic perspective is very minor, anyway. I will just focus on the first and third.</w:t>
      </w:r>
    </w:p>
    <w:p>
      <w:pPr>
        <w:pStyle w:val="WW-paragraph"/>
        <w:rPr/>
      </w:pPr>
      <w:r>
        <w:rPr/>
        <w:t xml:space="preserve">The three discourses on intention are part of the </w:t>
      </w:r>
      <w:r>
        <w:rPr>
          <w:rStyle w:val="wwc-sesame"/>
          <w:b/>
          <w:u w:val="single"/>
        </w:rPr>
        <w:t>Nidāna Saṁyutta</w:t>
      </w:r>
      <w:r>
        <w:rPr/>
        <w:t xml:space="preserve">. As Choong Mun-keat also noted, they present the same basic principles as the standard sequence of Dependent Arising, even though their terminology is a bit different. The </w:t>
      </w:r>
      <w:r>
        <w:rPr>
          <w:rStyle w:val="wwc-sesame"/>
        </w:rPr>
        <w:t>Third Discourse on Intention</w:t>
      </w:r>
      <w:r>
        <w:rPr/>
        <w:t xml:space="preserve"> above, for example, starts with intentions, which represent willful actions coming from ignorance, and ends with “this whole mass of suffering”, just like the standard sequence.</w:t>
      </w:r>
    </w:p>
    <w:p>
      <w:pPr>
        <w:pStyle w:val="WW-paragraph"/>
        <w:rPr/>
      </w:pPr>
      <w:r>
        <w:rPr/>
        <w:t xml:space="preserve">Many of the phrases of the origination sequence of this discourse function in parallel. As shown in the discussion of the </w:t>
      </w:r>
      <w:r>
        <w:rPr>
          <w:rStyle w:val="wwc-sesame"/>
        </w:rPr>
        <w:t>Seeds Discourse</w:t>
      </w:r>
      <w:r>
        <w:rPr/>
        <w:t xml:space="preserve">, the planting and sprouting of consciousness metaphorically describes its passing on and being reborn. The term ‘inclination’ I understand here to be an inclination to a certain rebirth, being effectively synonymous to ‘what you have a tendency towards’. So despite the order of the factors, the planting of the seed of consciousness does not happen </w:t>
      </w:r>
      <w:r>
        <w:rPr>
          <w:rStyle w:val="Emphasis"/>
        </w:rPr>
        <w:t>before</w:t>
      </w:r>
      <w:r>
        <w:rPr/>
        <w:t xml:space="preserve"> one has this inclination; it occurs in tandem with it. If you have an inclination to be reborn in a certain state, you in a sense plant your consciousness there, and then that is where your next life will occur. But if you don’t have such tendencies and inclinations, there is nothing to drive consciousness on after death. You won’t “replant” your consciousness, and there will not be a next life.</w:t>
      </w:r>
    </w:p>
    <w:p>
      <w:pPr>
        <w:pStyle w:val="WW-chapter-section-1"/>
        <w:ind w:hanging="0" w:start="0"/>
        <w:rPr/>
      </w:pPr>
      <w:r>
        <w:rPr/>
        <w:t>No attraction, no movement</w:t>
      </w:r>
    </w:p>
    <w:p>
      <w:pPr>
        <w:pStyle w:val="WW-paragraph"/>
        <w:rPr/>
      </w:pPr>
      <w:r>
        <w:rPr/>
        <w:t xml:space="preserve">A passage repeated throughout the Nikāyas has a very similar statement on cessation as the </w:t>
      </w:r>
      <w:r>
        <w:rPr>
          <w:rStyle w:val="wwc-sesame"/>
        </w:rPr>
        <w:t>Third Discourse on Intention</w:t>
      </w:r>
      <w:r>
        <w:rPr/>
        <w:t>, helping to clarify this ‘inclination’:</w:t>
      </w:r>
    </w:p>
    <w:p>
      <w:pPr>
        <w:pStyle w:val="WW-blockquote"/>
        <w:rPr/>
      </w:pPr>
      <w:bookmarkStart w:id="115" w:name="bqseg116"/>
      <w:bookmarkEnd w:id="115"/>
      <w:r>
        <w:rPr/>
        <w:t>If you need things, you will move. If you don’t need things, you won’t move. If there is no movement, there will be calm. If there is calm, there is no inclination [to a rebirth]. If there is no inclination, there is no departing and arriving. If there is no departing and arriving, there is no passing on and being reborn. If there is no passing on and being reborn, [after death] you will not be here, not in the beyond, nor in between the two. Just that is the end of suffering.</w:t>
      </w:r>
      <w:r>
        <w:rPr>
          <w:rStyle w:val="FootnoteReference"/>
        </w:rPr>
        <w:footnoteReference w:id="478"/>
      </w:r>
    </w:p>
    <w:p>
      <w:pPr>
        <w:pStyle w:val="WW-paragraph"/>
        <w:rPr/>
      </w:pPr>
      <w:r>
        <w:rPr/>
        <w:t>The terms ‘here’ and ‘the beyond’ mean a life in this world or another, as the commentary notes.</w:t>
      </w:r>
      <w:r>
        <w:rPr>
          <w:rStyle w:val="FootnoteReference"/>
        </w:rPr>
        <w:footnoteReference w:id="479"/>
      </w:r>
      <w:r>
        <w:rPr/>
        <w:t xml:space="preserve"> The ‘in between the two’ is commonly understood to refer to the time between death and the next life proper.</w:t>
      </w:r>
      <w:r>
        <w:rPr>
          <w:rStyle w:val="FootnoteReference"/>
        </w:rPr>
        <w:footnoteReference w:id="480"/>
      </w:r>
      <w:r>
        <w:rPr/>
        <w:t xml:space="preserve"> It is somewhat like a ghost state, a being who left one life but hasn’t yet started the next. Such a state is accepted by most early schools but rejected by the Theravāda, even though there is evidence for this in the Pāli Canon itself. As Venerable Bodhi notes to the above passage: “Though the </w:t>
      </w:r>
      <w:r>
        <w:rPr>
          <w:rStyle w:val="wwc-sesame"/>
        </w:rPr>
        <w:t>Theravāda Abhidhamma</w:t>
      </w:r>
      <w:r>
        <w:rPr/>
        <w:t xml:space="preserve"> and the commentaries argue against the existence of an </w:t>
      </w:r>
      <w:r>
        <w:rPr>
          <w:rStyle w:val="wwc-pali"/>
        </w:rPr>
        <w:t>antarabhava</w:t>
      </w:r>
      <w:r>
        <w:rPr/>
        <w:t xml:space="preserve"> [in-between state], a number of canonical texts seem to support this notion.”</w:t>
      </w:r>
      <w:r>
        <w:rPr>
          <w:rStyle w:val="FootnoteReference"/>
        </w:rPr>
        <w:footnoteReference w:id="481"/>
      </w:r>
    </w:p>
    <w:p>
      <w:pPr>
        <w:pStyle w:val="WW-paragraph"/>
        <w:rPr/>
      </w:pPr>
      <w:r>
        <w:rPr/>
        <w:t>In-between state or not, the consequence of “if you don’t need things, you won’t move” is the end of rebirth, when “there is no passing on and being reborn”. This is also clarified by the following verse, where the connection between taking up (</w:t>
      </w:r>
      <w:r>
        <w:rPr>
          <w:rStyle w:val="wwc-pali"/>
        </w:rPr>
        <w:t>upādāna</w:t>
      </w:r>
      <w:r>
        <w:rPr/>
        <w:t>) and existence is the same as that of the default sequence, where taking up leads to further existence.</w:t>
      </w:r>
    </w:p>
    <w:p>
      <w:pPr>
        <w:pStyle w:val="WW-line-block"/>
        <w:rPr/>
      </w:pPr>
      <w:bookmarkStart w:id="116" w:name="bqseg117"/>
      <w:bookmarkEnd w:id="116"/>
      <w:r>
        <w:rPr/>
        <w:t>Those who don’t need anything do not move.</w:t>
        <w:br/>
        <w:t>But those who need things, taking them up,</w:t>
        <w:br/>
        <w:t>go from one state of existence to another,</w:t>
        <w:br/>
        <w:t>never getting out of transmigration.</w:t>
      </w:r>
      <w:r>
        <w:rPr>
          <w:rStyle w:val="FootnoteReference"/>
        </w:rPr>
        <w:footnoteReference w:id="482"/>
      </w:r>
    </w:p>
    <w:p>
      <w:pPr>
        <w:pStyle w:val="WW-paragraph"/>
        <w:rPr/>
      </w:pPr>
      <w:r>
        <w:rPr/>
        <w:t xml:space="preserve">The line “if you don’t need things, you won’t move” also harks back to the </w:t>
      </w:r>
      <w:r>
        <w:rPr>
          <w:rStyle w:val="wwc-sesame"/>
        </w:rPr>
        <w:t>Seeds Discourse</w:t>
      </w:r>
      <w:r>
        <w:rPr/>
        <w:t xml:space="preserve">, which says, “when content, you do not stir”. The inclination towards rebirth is also referred to in that discourse, namely as “consciousness would continue to exist if it is </w:t>
      </w:r>
      <w:r>
        <w:rPr>
          <w:rStyle w:val="Emphasis"/>
        </w:rPr>
        <w:t>attracted</w:t>
      </w:r>
      <w:r>
        <w:rPr/>
        <w:t xml:space="preserve"> to form”. To be inclined to things, to have a tendency towards them, or to be attracted to them: it’s all the same idea.</w:t>
      </w:r>
    </w:p>
    <w:p>
      <w:pPr>
        <w:pStyle w:val="WW-paragraph"/>
        <w:rPr/>
      </w:pPr>
      <w:r>
        <w:rPr/>
        <w:t xml:space="preserve">The discourse preceding the </w:t>
      </w:r>
      <w:r>
        <w:rPr>
          <w:rStyle w:val="wwc-sesame"/>
        </w:rPr>
        <w:t>Seeds Discourse</w:t>
      </w:r>
      <w:r>
        <w:rPr/>
        <w:t xml:space="preserve"> in the </w:t>
      </w:r>
      <w:r>
        <w:rPr>
          <w:rStyle w:val="wwc-sesame"/>
        </w:rPr>
        <w:t>Saṁyutta Nikāya</w:t>
      </w:r>
      <w:r>
        <w:rPr/>
        <w:t xml:space="preserve"> omits the simile of the seed but otherwise is nearly identical. It starts with this ‘attraction’ (</w:t>
      </w:r>
      <w:r>
        <w:rPr>
          <w:rStyle w:val="wwc-pali"/>
        </w:rPr>
        <w:t>upaya</w:t>
      </w:r>
      <w:r>
        <w:rPr/>
        <w:t>, literally ‘moving towards’):</w:t>
      </w:r>
    </w:p>
    <w:p>
      <w:pPr>
        <w:pStyle w:val="WW-blockquote"/>
        <w:rPr/>
      </w:pPr>
      <w:bookmarkStart w:id="117" w:name="bqseg118"/>
      <w:bookmarkEnd w:id="117"/>
      <w:r>
        <w:rPr/>
        <w:t>Mendicants, if you are attracted to anything, you are not liberated. If you are not attracted to anything, you are liberated. Consciousness would continue to exist if it is attracted to form. Founded on form, planted in form, and sprinkled with enjoyment, it would develop, sprout, and mature. Consciousness would continue to exist if it is attracted to sensation … perception …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 there will be no support for the planting of consciousness, because when desire is abandoned, its foundation is destroyed. Not planted, consciousness will not sprout.</w:t>
      </w:r>
    </w:p>
    <w:p>
      <w:pPr>
        <w:pStyle w:val="WW-blockquote"/>
        <w:rPr/>
      </w:pPr>
      <w:r>
        <w:rPr/>
        <w:t>And not willfully creating anything, the mind is liberated.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483"/>
      </w:r>
    </w:p>
    <w:p>
      <w:pPr>
        <w:pStyle w:val="WW-paragraph"/>
        <w:rPr/>
      </w:pPr>
      <w:r>
        <w:rPr/>
        <w:t>To not willfully create anything refers to the absence of willful actions (</w:t>
      </w:r>
      <w:r>
        <w:rPr>
          <w:rStyle w:val="wwc-pali"/>
        </w:rPr>
        <w:t>saṅkhāras</w:t>
      </w:r>
      <w:r>
        <w:rPr/>
        <w:t>).</w:t>
      </w:r>
      <w:r>
        <w:rPr>
          <w:rStyle w:val="FootnoteReference"/>
        </w:rPr>
        <w:footnoteReference w:id="484"/>
      </w:r>
      <w:r>
        <w:rPr/>
        <w:t xml:space="preserve"> When the mind is content and steady, there is no will directed towards any type of existence. Because you are not attracted to anything, including existence itself, you will no longer take up a next life. As stated in the cessation sequence, if taking up ceases, existence will cease—or alternatively, if willful actions cease, consciousness will cease.</w:t>
      </w:r>
    </w:p>
    <w:p>
      <w:pPr>
        <w:pStyle w:val="WW-chapter-section-1"/>
        <w:ind w:hanging="0" w:start="0"/>
        <w:rPr/>
      </w:pPr>
      <w:r>
        <w:rPr/>
        <w:t>No willful actions, no taking up</w:t>
      </w:r>
    </w:p>
    <w:p>
      <w:pPr>
        <w:pStyle w:val="WW-paragraph"/>
        <w:rPr/>
      </w:pPr>
      <w:r>
        <w:rPr/>
        <w:t>The last paragraph of the previous passage said the mind is liberated and steady when it has no more willful actions. The next passage says it is liberated and steady when it no longer takes anything up after losing its desires. This reinforces the connection between willful actions and taking up, which I earlier argued function more or less in parallel.</w:t>
      </w:r>
    </w:p>
    <w:p>
      <w:pPr>
        <w:pStyle w:val="WW-blockquote"/>
        <w:rPr/>
      </w:pPr>
      <w:bookmarkStart w:id="118" w:name="bqseg119"/>
      <w:bookmarkEnd w:id="118"/>
      <w:r>
        <w:rPr/>
        <w:t>Mendicants, if the mind loses desire for the elements of form, sensation, perception, will, and consciousness, it gets liberated from the defilements because it no longer takes anything up. When liberated, it will be steady. When steady, it will be content. When content, you do not stir. Unstirred, you personally get fully extinguished. You will understand that the holy l</w:t>
      </w:r>
      <w:r>
        <w:rPr>
          <w:rStyle w:val="FootnoteReference"/>
        </w:rPr>
        <w:footnoteReference w:id="485"/>
      </w:r>
      <w:r>
        <w:rPr/>
        <w:t>ife is finished, that the work is done, that rebirth has ended, so there won’t be another life.</w:t>
      </w:r>
    </w:p>
    <w:p>
      <w:pPr>
        <w:pStyle w:val="WW-paragraph"/>
        <w:rPr/>
      </w:pPr>
      <w:r>
        <w:rPr/>
        <w:t>The next passage makes a direct connection between willful actions and taking up, also again mentioning the stability of the unstirred mind:</w:t>
      </w:r>
    </w:p>
    <w:p>
      <w:pPr>
        <w:pStyle w:val="WW-blockquote"/>
        <w:rPr/>
      </w:pPr>
      <w:bookmarkStart w:id="119" w:name="bqseg120"/>
      <w:bookmarkEnd w:id="119"/>
      <w:r>
        <w:rPr/>
        <w:t>“</w:t>
      </w:r>
      <w:r>
        <w:rPr/>
        <w:t>If you have abandoned ignorance and knowledge has arisen, then because of that you will no longer perform meritorious willful actions, demeritorious willful actions, or undisturbable willful actions. Not willing and not intending, you will not take up anything in the world. When you do not take anything up, you do not stir. Unstirred, you personally get fully extinguished. You will understand that the holy life is finished, that the work is done, that rebirth has ended, so there won’t be another life.” […]</w:t>
      </w:r>
    </w:p>
    <w:p>
      <w:pPr>
        <w:pStyle w:val="WW-blockquote"/>
        <w:rPr/>
      </w:pPr>
      <w:r>
        <w:rPr/>
        <w:t>“</w:t>
      </w:r>
      <w:r>
        <w:rPr/>
        <w:t>What do you think, mendicants? If you have no more defilements, can you still perform meritorious, demeritorious, or undisturbable willful actions?”</w:t>
      </w:r>
    </w:p>
    <w:p>
      <w:pPr>
        <w:pStyle w:val="WW-blockquote"/>
        <w:rPr/>
      </w:pPr>
      <w:r>
        <w:rPr/>
        <w:t>“</w:t>
      </w:r>
      <w:r>
        <w:rPr/>
        <w:t>No, sir.”</w:t>
      </w:r>
    </w:p>
    <w:p>
      <w:pPr>
        <w:pStyle w:val="WW-blockquote"/>
        <w:rPr/>
      </w:pPr>
      <w:r>
        <w:rPr/>
        <w:t>“</w:t>
      </w:r>
      <w:r>
        <w:rPr/>
        <w:t>If willful actions cease, if there are no more willful actions at all, would there be consciousness?’’</w:t>
      </w:r>
    </w:p>
    <w:p>
      <w:pPr>
        <w:pStyle w:val="WW-blockquote"/>
        <w:rPr/>
      </w:pPr>
      <w:r>
        <w:rPr/>
        <w:t>“</w:t>
      </w:r>
      <w:r>
        <w:rPr/>
        <w:t>No, sir.”</w:t>
      </w:r>
    </w:p>
    <w:p>
      <w:pPr>
        <w:pStyle w:val="WW-blockquote"/>
        <w:rPr/>
      </w:pPr>
      <w:r>
        <w:rPr/>
        <w:t>“</w:t>
      </w:r>
      <w:r>
        <w:rPr/>
        <w:t>If consciousness ceases, if there is no more consciousness at all, would there be any immaterial aspects or body?’’</w:t>
      </w:r>
    </w:p>
    <w:p>
      <w:pPr>
        <w:pStyle w:val="WW-blockquote"/>
        <w:rPr/>
      </w:pPr>
      <w:r>
        <w:rPr/>
        <w:t>“</w:t>
      </w:r>
      <w:r>
        <w:rPr/>
        <w:t>No, sir.”</w:t>
      </w:r>
    </w:p>
    <w:p>
      <w:pPr>
        <w:pStyle w:val="WW-blockquote"/>
        <w:rPr/>
      </w:pPr>
      <w:r>
        <w:rPr/>
        <w:t>“</w:t>
      </w:r>
      <w:r>
        <w:rPr/>
        <w:t>If the immaterial aspects and body cease, if there are no more immaterial aspects and body at all, would there be the six senses?”</w:t>
      </w:r>
    </w:p>
    <w:p>
      <w:pPr>
        <w:pStyle w:val="WW-blockquote"/>
        <w:rPr/>
      </w:pPr>
      <w:r>
        <w:rPr/>
        <w:t>“</w:t>
      </w:r>
      <w:r>
        <w:rPr/>
        <w:t>No, sir.”</w:t>
      </w:r>
    </w:p>
    <w:p>
      <w:pPr>
        <w:pStyle w:val="WW-blockquote"/>
        <w:rPr/>
      </w:pPr>
      <w:r>
        <w:rPr/>
        <w:t>[And so on.]</w:t>
      </w:r>
      <w:r>
        <w:rPr>
          <w:rStyle w:val="FootnoteReference"/>
        </w:rPr>
        <w:footnoteReference w:id="486"/>
      </w:r>
    </w:p>
    <w:p>
      <w:pPr>
        <w:pStyle w:val="WW-paragraph"/>
        <w:rPr/>
      </w:pPr>
      <w:r>
        <w:rPr/>
        <w:t>The table below lists some central concepts of the previous two passages alongside the standard description of Dependent Arising. It illustrates once again the parallelism of the ignorance and craving sequences, this time in their cessation mode.</w:t>
      </w:r>
    </w:p>
    <w:p>
      <w:pPr>
        <w:pStyle w:val="WW-table-caption"/>
        <w:rPr/>
      </w:pPr>
      <w:r>
        <w:rPr/>
        <w:t>{SimpleNoRowBorders}Table 20. Parallel cessation sequences</w:t>
      </w:r>
    </w:p>
    <w:tbl>
      <w:tblPr>
        <w:tblW w:w="8116" w:type="dxa"/>
        <w:jc w:val="start"/>
        <w:tblInd w:w="0" w:type="dxa"/>
        <w:tblLayout w:type="fixed"/>
        <w:tblCellMar>
          <w:top w:w="0" w:type="dxa"/>
          <w:start w:w="0" w:type="dxa"/>
          <w:bottom w:w="0" w:type="dxa"/>
          <w:end w:w="0" w:type="dxa"/>
        </w:tblCellMar>
      </w:tblPr>
      <w:tblGrid>
        <w:gridCol w:w="2139"/>
        <w:gridCol w:w="2448"/>
        <w:gridCol w:w="1504"/>
        <w:gridCol w:w="2024"/>
      </w:tblGrid>
      <w:tr>
        <w:trPr/>
        <w:tc>
          <w:tcPr>
            <w:tcW w:w="2139" w:type="dxa"/>
            <w:tcBorders/>
            <w:vAlign w:val="center"/>
          </w:tcPr>
          <w:p>
            <w:pPr>
              <w:pStyle w:val="TableHeading"/>
              <w:rPr>
                <w:b w:val="false"/>
                <w:bCs w:val="false"/>
              </w:rPr>
            </w:pPr>
            <w:r>
              <w:rPr>
                <w:rStyle w:val="Strong"/>
                <w:b/>
                <w:bCs/>
              </w:rPr>
              <w:t>Ignorance sequence</w:t>
            </w:r>
          </w:p>
        </w:tc>
        <w:tc>
          <w:tcPr>
            <w:tcW w:w="2448" w:type="dxa"/>
            <w:tcBorders/>
            <w:vAlign w:val="center"/>
          </w:tcPr>
          <w:p>
            <w:pPr>
              <w:pStyle w:val="TableHeading"/>
              <w:rPr/>
            </w:pPr>
            <w:r>
              <w:rPr>
                <w:rStyle w:val="Strong"/>
                <w:b/>
                <w:bCs/>
              </w:rPr>
              <w:t>Craving sequence</w:t>
            </w:r>
          </w:p>
        </w:tc>
        <w:tc>
          <w:tcPr>
            <w:tcW w:w="1504" w:type="dxa"/>
            <w:tcBorders/>
            <w:vAlign w:val="center"/>
          </w:tcPr>
          <w:p>
            <w:pPr>
              <w:pStyle w:val="TableHeading"/>
              <w:rPr/>
            </w:pPr>
            <w:r>
              <w:rPr>
                <w:rStyle w:val="Strong"/>
                <w:b/>
                <w:bCs/>
              </w:rPr>
              <w:t>§119</w:t>
            </w:r>
          </w:p>
        </w:tc>
        <w:tc>
          <w:tcPr>
            <w:tcW w:w="2024" w:type="dxa"/>
            <w:tcBorders/>
            <w:vAlign w:val="center"/>
          </w:tcPr>
          <w:p>
            <w:pPr>
              <w:pStyle w:val="TableHeading"/>
              <w:rPr/>
            </w:pPr>
            <w:r>
              <w:rPr>
                <w:rStyle w:val="Strong"/>
                <w:b/>
                <w:bCs/>
              </w:rPr>
              <w:t>§120</w:t>
            </w:r>
          </w:p>
        </w:tc>
      </w:tr>
      <w:tr>
        <w:trPr/>
        <w:tc>
          <w:tcPr>
            <w:tcW w:w="2139" w:type="dxa"/>
            <w:tcBorders/>
            <w:vAlign w:val="center"/>
          </w:tcPr>
          <w:p>
            <w:pPr>
              <w:pStyle w:val="TableContents"/>
              <w:rPr/>
            </w:pPr>
            <w:r>
              <w:rPr/>
              <w:t>1. No ignorance</w:t>
              <w:br/>
              <w:t>2. No willful actions</w:t>
            </w:r>
          </w:p>
        </w:tc>
        <w:tc>
          <w:tcPr>
            <w:tcW w:w="2448" w:type="dxa"/>
            <w:tcBorders/>
            <w:vAlign w:val="center"/>
          </w:tcPr>
          <w:p>
            <w:pPr>
              <w:pStyle w:val="TableContents"/>
              <w:rPr/>
            </w:pPr>
            <w:r>
              <w:rPr/>
              <w:t>8. No craving</w:t>
              <w:br/>
              <w:t>9. No taking up</w:t>
            </w:r>
          </w:p>
        </w:tc>
        <w:tc>
          <w:tcPr>
            <w:tcW w:w="1504" w:type="dxa"/>
            <w:tcBorders/>
            <w:vAlign w:val="center"/>
          </w:tcPr>
          <w:p>
            <w:pPr>
              <w:pStyle w:val="TableContents"/>
              <w:rPr/>
            </w:pPr>
            <w:r>
              <w:rPr/>
              <w:t xml:space="preserve">• </w:t>
            </w:r>
            <w:r>
              <w:rPr/>
              <w:t>No desire</w:t>
              <w:br/>
              <w:t>• No taking up</w:t>
            </w:r>
          </w:p>
        </w:tc>
        <w:tc>
          <w:tcPr>
            <w:tcW w:w="2024" w:type="dxa"/>
            <w:tcBorders/>
            <w:vAlign w:val="center"/>
          </w:tcPr>
          <w:p>
            <w:pPr>
              <w:pStyle w:val="TableContents"/>
              <w:rPr/>
            </w:pPr>
            <w:r>
              <w:rPr/>
              <w:t xml:space="preserve">• </w:t>
            </w:r>
            <w:r>
              <w:rPr/>
              <w:t>No ignorance</w:t>
              <w:br/>
              <w:t>• No willful actions</w:t>
              <w:br/>
              <w:t>• No taking up</w:t>
            </w:r>
          </w:p>
        </w:tc>
      </w:tr>
      <w:tr>
        <w:trPr/>
        <w:tc>
          <w:tcPr>
            <w:tcW w:w="2139" w:type="dxa"/>
            <w:tcBorders/>
            <w:vAlign w:val="center"/>
          </w:tcPr>
          <w:p>
            <w:pPr>
              <w:pStyle w:val="TableContents"/>
              <w:rPr/>
            </w:pPr>
            <w:r>
              <w:rPr/>
              <w:t>3. No consciousness</w:t>
              <w:br/>
              <w:t>4. No nāmarūpa</w:t>
            </w:r>
          </w:p>
        </w:tc>
        <w:tc>
          <w:tcPr>
            <w:tcW w:w="2448" w:type="dxa"/>
            <w:tcBorders/>
            <w:vAlign w:val="center"/>
          </w:tcPr>
          <w:p>
            <w:pPr>
              <w:pStyle w:val="TableContents"/>
              <w:rPr/>
            </w:pPr>
            <w:r>
              <w:rPr/>
              <w:t>10. No existence</w:t>
              <w:br/>
              <w:t>11. No birth</w:t>
            </w:r>
          </w:p>
        </w:tc>
        <w:tc>
          <w:tcPr>
            <w:tcW w:w="1504" w:type="dxa"/>
            <w:tcBorders/>
            <w:vAlign w:val="center"/>
          </w:tcPr>
          <w:p>
            <w:pPr>
              <w:pStyle w:val="TableContents"/>
              <w:rPr/>
            </w:pPr>
            <w:r>
              <w:rPr/>
              <w:t xml:space="preserve">• </w:t>
            </w:r>
            <w:r>
              <w:rPr/>
              <w:t>No rebirth</w:t>
            </w:r>
          </w:p>
        </w:tc>
        <w:tc>
          <w:tcPr>
            <w:tcW w:w="2024" w:type="dxa"/>
            <w:tcBorders/>
            <w:vAlign w:val="center"/>
          </w:tcPr>
          <w:p>
            <w:pPr>
              <w:pStyle w:val="TableContents"/>
              <w:rPr/>
            </w:pPr>
            <w:r>
              <w:rPr/>
              <w:t xml:space="preserve">• </w:t>
            </w:r>
            <w:r>
              <w:rPr/>
              <w:t>No consciousness</w:t>
              <w:br/>
              <w:t>• No nāmarūpa</w:t>
            </w:r>
          </w:p>
        </w:tc>
      </w:tr>
      <w:tr>
        <w:trPr>
          <w:trHeight w:val="324" w:hRule="atLeast"/>
        </w:trPr>
        <w:tc>
          <w:tcPr>
            <w:tcW w:w="2139" w:type="dxa"/>
            <w:tcBorders/>
            <w:vAlign w:val="center"/>
          </w:tcPr>
          <w:p>
            <w:pPr>
              <w:pStyle w:val="TableContents"/>
              <w:rPr/>
            </w:pPr>
            <w:r>
              <w:rPr/>
              <w:t>5. No six senses</w:t>
              <w:br/>
              <w:t>6. …</w:t>
            </w:r>
          </w:p>
        </w:tc>
        <w:tc>
          <w:tcPr>
            <w:tcW w:w="2448" w:type="dxa"/>
            <w:tcBorders/>
            <w:vAlign w:val="center"/>
          </w:tcPr>
          <w:p>
            <w:pPr>
              <w:pStyle w:val="TableContents"/>
              <w:rPr/>
            </w:pPr>
            <w:r>
              <w:rPr/>
              <w:t>12. No suffering,</w:t>
              <w:br/>
              <w:t>  incl. old age and death</w:t>
            </w:r>
          </w:p>
        </w:tc>
        <w:tc>
          <w:tcPr>
            <w:tcW w:w="1504" w:type="dxa"/>
            <w:tcBorders/>
            <w:vAlign w:val="center"/>
          </w:tcPr>
          <w:p>
            <w:pPr>
              <w:pStyle w:val="TableContents"/>
              <w:rPr/>
            </w:pPr>
            <w:r>
              <w:rPr/>
            </w:r>
          </w:p>
        </w:tc>
        <w:tc>
          <w:tcPr>
            <w:tcW w:w="2024" w:type="dxa"/>
            <w:tcBorders/>
            <w:vAlign w:val="center"/>
          </w:tcPr>
          <w:p>
            <w:pPr>
              <w:pStyle w:val="TableContents"/>
              <w:rPr/>
            </w:pPr>
            <w:r>
              <w:rPr/>
              <w:t xml:space="preserve">• </w:t>
            </w:r>
            <w:r>
              <w:rPr/>
              <w:t>No six senses</w:t>
              <w:br/>
              <w:t>• …</w:t>
            </w:r>
          </w:p>
        </w:tc>
      </w:tr>
    </w:tbl>
    <w:p>
      <w:pPr>
        <w:pStyle w:val="WW-paragraph"/>
        <w:rPr/>
      </w:pPr>
      <w:r>
        <w:rPr/>
        <w:t>Notice especially the close connection between willful actions and taking up. These factors can be regarded as the forces in the mind that create rebirth based on ignorance and craving. Put briefly, you’ll crave whatever you are ignorant about, whatever part of the aspects of existence you haven’t fully understood to be impermanent, suffering, and without a self. Craving that, your will is directed towards it, and you will take it up again at death.</w:t>
      </w:r>
    </w:p>
    <w:p>
      <w:pPr>
        <w:pStyle w:val="WW-paragraph"/>
        <w:rPr/>
      </w:pPr>
      <w:r>
        <w:rPr/>
        <w:t xml:space="preserve">The table also indicates that the factors of consciousness and existence cease in parallel. With this knowledge, let’s recall the </w:t>
      </w:r>
      <w:r>
        <w:rPr>
          <w:rStyle w:val="wwc-sesame"/>
        </w:rPr>
        <w:t>Seeds Discourse</w:t>
      </w:r>
      <w:r>
        <w:rPr/>
        <w:t>, which says: “If you have abandoned desire […] there will be no support for the planting of consciousness […]. Not planted, consciousness will not sprout.” We can now also rephrase this as: “If you have abandoned craving, there will be no taking up of a next existence. Not continuing to exist, there will be no future birth.” What I’m saying (in a convoluted way, but I’ll be more direct in the next chapter) is that not planting the seed of consciousness implies the end of rebirth and existence. As Kalupahana wrote: “In the case of a person who has attained enlightenment and has therefore eliminated craving for existence, consciousness finds no support [</w:t>
      </w:r>
      <w:r>
        <w:rPr>
          <w:rStyle w:val="wwc-pali"/>
        </w:rPr>
        <w:t>appatiṭṭhita</w:t>
      </w:r>
      <w:r>
        <w:rPr/>
        <w:t>] in a new psychophysical personality [</w:t>
      </w:r>
      <w:r>
        <w:rPr>
          <w:rStyle w:val="wwc-pali"/>
        </w:rPr>
        <w:t>nāmarūpa</w:t>
      </w:r>
      <w:r>
        <w:rPr/>
        <w:t>], and as a result he is not reborn.”</w:t>
      </w:r>
      <w:r>
        <w:rPr>
          <w:rStyle w:val="FootnoteReference"/>
        </w:rPr>
        <w:footnoteReference w:id="487"/>
      </w:r>
    </w:p>
    <w:p>
      <w:pPr>
        <w:pStyle w:val="WW-figure"/>
        <w:rPr/>
      </w:pPr>
      <w:r>
        <w:rPr/>
        <w:t>./img/seed4.png=A broken seed laying on the ground next to a watering can standing on the ground. The seed is labeled ‘consciousness not planted’, the can ‘no craving’, the absence of a plant ‘no life’.=30=border</w:t>
        <w:br/>
        <w:t>Figure 26. An unplanted seed as a simile for the end of rebirth</w:t>
      </w:r>
    </w:p>
    <w:p>
      <w:pPr>
        <w:pStyle w:val="WW-paragraph"/>
        <w:rPr/>
      </w:pPr>
      <w:r>
        <w:rPr/>
        <w:t>The metaphor of the seed has its limitations, as all metaphors do. What happens to an unplanted physical seed does not accurately represent what happens to consciousness. While an unplanted physical seed keeps existing, when the metaphorical seed of consciousness is not planted again after death, consciousness completely ceases. We found similar limitations in the simile of the bundles of reeds. We must keep in mind the main message of the simile of the seed. The central point is not what happens to the seed, but that when no seed is planted, there is no growth of another plant, which illustrates there being no next life after death. If, however, we wish to extend the metaphor of the seed, we can imagine that unplanted seeds that are “not broken, spoiled, or damaged by the wind or sun” eventually will break. This then represents consciousness coming to an end.</w:t>
      </w:r>
      <w:r>
        <w:rPr>
          <w:rStyle w:val="FootnoteReference"/>
        </w:rPr>
        <w:footnoteReference w:id="488"/>
      </w:r>
      <w:r>
        <w:br w:type="page"/>
      </w:r>
    </w:p>
    <w:p>
      <w:pPr>
        <w:pStyle w:val="WW-Chapter"/>
        <w:spacing w:before="0" w:after="567"/>
        <w:ind w:hanging="0" w:start="0"/>
        <w:rPr/>
      </w:pPr>
      <w:r>
        <w:rPr/>
        <w:t>11. A fading beam of light</w:t>
      </w:r>
    </w:p>
    <w:p>
      <w:pPr>
        <w:pStyle w:val="WW-chapter-section-1"/>
        <w:ind w:hanging="0" w:start="0"/>
        <w:rPr/>
      </w:pPr>
      <w:r>
        <w:rPr/>
        <w:t>Appatiṭṭhita viññāṇa and the cessation of consciousness</w:t>
      </w:r>
    </w:p>
    <w:p>
      <w:pPr>
        <w:pStyle w:val="WW-paragraph"/>
        <w:rPr/>
      </w:pPr>
      <w:r>
        <w:rPr/>
        <w:t xml:space="preserve">Now that we understand the similes of the painting and the seed, we can finally consider that of the light beam. To remind the reader, this simile directly follows the simile of the painting in the </w:t>
      </w:r>
      <w:r>
        <w:rPr>
          <w:rStyle w:val="wwc-sesame"/>
        </w:rPr>
        <w:t>If There is Desire Discourse</w:t>
      </w:r>
      <w:r>
        <w:rPr/>
        <w:t xml:space="preserve"> and is by some understood to describe a certain kind of unestablished consciousness of the enlightened being. However, it actually illustrates the cessation sequence of Dependent Arising, which includes the cessation of consciousness. This becomes especially apparent when we compare the simile to the cessation paragraph of the </w:t>
      </w:r>
      <w:r>
        <w:rPr>
          <w:rStyle w:val="wwc-sesame"/>
        </w:rPr>
        <w:t>Second Discourse on Intention</w:t>
      </w:r>
      <w:r>
        <w:rPr/>
        <w:t>. Both are given below, followed by the default cessation sequence.</w:t>
      </w:r>
    </w:p>
    <w:p>
      <w:pPr>
        <w:pStyle w:val="WW-paragraph"/>
        <w:rPr/>
      </w:pPr>
      <w:r>
        <w:rPr/>
        <w:t xml:space="preserve">From the </w:t>
      </w:r>
      <w:r>
        <w:rPr>
          <w:rStyle w:val="wwc-sesame"/>
        </w:rPr>
        <w:t>If There is Desire Discourse</w:t>
      </w:r>
      <w:r>
        <w:rPr/>
        <w:t>:</w:t>
      </w:r>
    </w:p>
    <w:p>
      <w:pPr>
        <w:pStyle w:val="WW-blockquote"/>
        <w:rPr/>
      </w:pPr>
      <w:bookmarkStart w:id="120" w:name="bqseg121"/>
      <w:bookmarkEnd w:id="120"/>
      <w:r>
        <w:rPr/>
        <w:t>“</w:t>
      </w:r>
      <w:r>
        <w:rPr/>
        <w:t>Mendicants, imagine a house or a hall with windows facing the north, south, and east. When the sun rises and a beam of light enters through a window, where would that beam plant down (</w:t>
      </w:r>
      <w:r>
        <w:rPr>
          <w:rStyle w:val="wwc-pali"/>
        </w:rPr>
        <w:t>patiṭṭhita</w:t>
      </w:r>
      <w:r>
        <w:rPr/>
        <w:t>)?”</w:t>
      </w:r>
      <w:r>
        <w:rPr>
          <w:rStyle w:val="FootnoteReference"/>
        </w:rPr>
        <w:footnoteReference w:id="489"/>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w:t>
      </w:r>
      <w:r>
        <w:rPr>
          <w:rStyle w:val="wwc-pali"/>
        </w:rPr>
        <w:t>appatiṭṭhita</w:t>
      </w:r>
      <w:r>
        <w:rPr/>
        <w:t>) anywhere, sir.”</w:t>
      </w:r>
    </w:p>
    <w:p>
      <w:pPr>
        <w:pStyle w:val="WW-blockquote"/>
        <w:rPr/>
      </w:pPr>
      <w:r>
        <w:rPr/>
        <w:t>“</w:t>
      </w:r>
      <w:r>
        <w:rPr/>
        <w:t>Likewise, if there is no desire, enjoyment, and craving for the nutriment of edible food, then consciousness will not get planted and will not sprout. When consciousness is not planted (</w:t>
      </w:r>
      <w:r>
        <w:rPr>
          <w:rStyle w:val="wwc-pali"/>
        </w:rPr>
        <w:t>appatiṭṭhita</w:t>
      </w:r>
      <w:r>
        <w:rPr/>
        <w:t>) and does not sprout, there is no conception of any immaterial aspects and body. When there is no conception of any immaterial aspects and body, no willful actions develop. When no willful actions develop, no existence in a future life is produced. When no existence in a future life is produced, there is no future birth, old age, and death. When there is no future birth, old age, and death, then there will be no sorrow, anxiety, and distress, I tell you.”</w:t>
      </w:r>
    </w:p>
    <w:p>
      <w:pPr>
        <w:pStyle w:val="WW-blockquote"/>
        <w:rPr/>
      </w:pPr>
      <w:r>
        <w:rPr/>
        <w:t>[Similar for the other nutriments.]</w:t>
      </w:r>
      <w:r>
        <w:rPr>
          <w:rStyle w:val="FootnoteReference"/>
        </w:rPr>
        <w:footnoteReference w:id="490"/>
      </w:r>
    </w:p>
    <w:p>
      <w:pPr>
        <w:pStyle w:val="WW-paragraph"/>
        <w:rPr/>
      </w:pPr>
      <w:r>
        <w:rPr/>
        <w:t xml:space="preserve">From the </w:t>
      </w:r>
      <w:r>
        <w:rPr>
          <w:rStyle w:val="wwc-sesame"/>
        </w:rPr>
        <w:t>Second Discourse on Intention</w:t>
      </w:r>
      <w:r>
        <w:rPr/>
        <w:t>:</w:t>
      </w:r>
    </w:p>
    <w:p>
      <w:pPr>
        <w:pStyle w:val="WW-blockquote"/>
        <w:rPr/>
      </w:pPr>
      <w:bookmarkStart w:id="121" w:name="bqseg122"/>
      <w:bookmarkEnd w:id="121"/>
      <w:r>
        <w:rPr/>
        <w:t>If you don’t intend, don’t plan, and do not have a tendency towards anything, there is no foundation for the continuation of consciousness. If there is no foundation, there will be no support for the planting of consciousness. If consciousness is not planted, it will not sprout, and there is no conception of any immaterial aspects and body. If the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comes to cease.</w:t>
      </w:r>
      <w:r>
        <w:rPr>
          <w:rStyle w:val="FootnoteReference"/>
        </w:rPr>
        <w:footnoteReference w:id="491"/>
      </w:r>
    </w:p>
    <w:p>
      <w:pPr>
        <w:pStyle w:val="WW-paragraph"/>
        <w:rPr/>
      </w:pPr>
      <w:r>
        <w:rPr/>
        <w:t>And the default cessation sequence:</w:t>
      </w:r>
    </w:p>
    <w:p>
      <w:pPr>
        <w:pStyle w:val="WW-blockquote"/>
        <w:rPr/>
      </w:pPr>
      <w:bookmarkStart w:id="122" w:name="bqseg123"/>
      <w:bookmarkEnd w:id="122"/>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comes to cease.</w:t>
      </w:r>
      <w:r>
        <w:rPr>
          <w:rStyle w:val="FootnoteReference"/>
        </w:rPr>
        <w:footnoteReference w:id="492"/>
      </w:r>
    </w:p>
    <w:p>
      <w:pPr>
        <w:pStyle w:val="WW-paragraph"/>
        <w:rPr/>
      </w:pPr>
      <w:r>
        <w:rPr/>
        <w:t xml:space="preserve">The first two texts both contain </w:t>
      </w:r>
      <w:r>
        <w:rPr>
          <w:rStyle w:val="wwc-pali"/>
        </w:rPr>
        <w:t>appatiṭṭhita viññāṇa</w:t>
      </w:r>
      <w:r>
        <w:rPr/>
        <w:t xml:space="preserve">, which some translators have translated as ‘unestablished consciousness’. This may not be wrong per se, but it can be misleading, because it actually means ‘consciousness is </w:t>
      </w:r>
      <w:r>
        <w:rPr>
          <w:rStyle w:val="Emphasis"/>
        </w:rPr>
        <w:t>not</w:t>
      </w:r>
      <w:r>
        <w:rPr/>
        <w:t xml:space="preserve"> established’—or alternatively, ‘not planted’. This is indicated directly in the second text, where </w:t>
      </w:r>
      <w:r>
        <w:rPr>
          <w:rStyle w:val="wwc-pali"/>
        </w:rPr>
        <w:t>appatiṭṭhita viññāṇa</w:t>
      </w:r>
      <w:r>
        <w:rPr/>
        <w:t xml:space="preserve"> is alternatively phrased as </w:t>
      </w:r>
      <w:r>
        <w:rPr>
          <w:rStyle w:val="Emphasis"/>
        </w:rPr>
        <w:t xml:space="preserve">patiṭṭhā </w:t>
      </w:r>
      <w:r>
        <w:rPr>
          <w:rStyle w:val="wwc-pali"/>
        </w:rPr>
        <w:t xml:space="preserve">viññāṇassa </w:t>
      </w:r>
      <w:r>
        <w:rPr>
          <w:rStyle w:val="wwc-pali"/>
          <w:b/>
          <w:bCs/>
        </w:rPr>
        <w:t>na</w:t>
      </w:r>
      <w:r>
        <w:rPr>
          <w:rStyle w:val="wwc-pali"/>
        </w:rPr>
        <w:t xml:space="preserve"> hoti</w:t>
      </w:r>
      <w:r>
        <w:rPr/>
        <w:t xml:space="preserve">, ‘there is </w:t>
      </w:r>
      <w:r>
        <w:rPr>
          <w:rStyle w:val="Emphasis"/>
        </w:rPr>
        <w:t>no</w:t>
      </w:r>
      <w:r>
        <w:rPr/>
        <w:t xml:space="preserve"> planting of consciousness’. Therefore, </w:t>
      </w:r>
      <w:r>
        <w:rPr>
          <w:rStyle w:val="wwc-pali"/>
        </w:rPr>
        <w:t>appatiṭṭhita viññāṇa</w:t>
      </w:r>
      <w:r>
        <w:rPr/>
        <w:t xml:space="preserve"> is not a unique kind of consciousness that is unestablished; it means the </w:t>
      </w:r>
      <w:r>
        <w:rPr>
          <w:rStyle w:val="Emphasis"/>
        </w:rPr>
        <w:t>not</w:t>
      </w:r>
      <w:r>
        <w:rPr/>
        <w:t xml:space="preserve"> establishing, or not planting, of the standard aggregate of consciousness. It is a simple but important difference. Rather than describing a </w:t>
      </w:r>
      <w:r>
        <w:rPr>
          <w:rStyle w:val="Emphasis"/>
        </w:rPr>
        <w:t>type</w:t>
      </w:r>
      <w:r>
        <w:rPr/>
        <w:t xml:space="preserve"> of consciousness, </w:t>
      </w:r>
      <w:r>
        <w:rPr>
          <w:rStyle w:val="wwc-pali"/>
        </w:rPr>
        <w:t>appatiṭṭhita</w:t>
      </w:r>
      <w:r>
        <w:rPr/>
        <w:t xml:space="preserve"> indicates what </w:t>
      </w:r>
      <w:r>
        <w:rPr>
          <w:rStyle w:val="Emphasis"/>
        </w:rPr>
        <w:t>happens</w:t>
      </w:r>
      <w:r>
        <w:rPr/>
        <w:t xml:space="preserve"> to consciousness. Semantically the word </w:t>
      </w:r>
      <w:r>
        <w:rPr>
          <w:rStyle w:val="wwc-pali"/>
        </w:rPr>
        <w:t>appatiṭṭhita</w:t>
      </w:r>
      <w:r>
        <w:rPr/>
        <w:t>, which is a past participle, functions as a verb rather than an adjective. Venerable Anālayo likewise thinks that we should “prevent reifying the idea of a type of consciousness that is unestablished”.</w:t>
      </w:r>
      <w:r>
        <w:rPr>
          <w:rStyle w:val="FootnoteReference"/>
        </w:rPr>
        <w:footnoteReference w:id="493"/>
      </w:r>
    </w:p>
    <w:p>
      <w:pPr>
        <w:pStyle w:val="WW-paragraph"/>
        <w:rPr/>
      </w:pPr>
      <w:r>
        <w:rPr>
          <w:rStyle w:val="wwc-pali"/>
        </w:rPr>
        <w:t>Appatiṭṭhita viññāṇa</w:t>
      </w:r>
      <w:r>
        <w:rPr/>
        <w:t xml:space="preserve"> specifically implies the cessation of consciousness, which happens when the seed for rebirth is not planted again at death because there is no more desire for the four nutriments. As Venerable Bodhi notes at the </w:t>
      </w:r>
      <w:r>
        <w:rPr>
          <w:rStyle w:val="wwc-sesame"/>
        </w:rPr>
        <w:t>If There is Desire Discourse</w:t>
      </w:r>
      <w:r>
        <w:rPr/>
        <w:t xml:space="preserve">: “Its purport is not that an ‘unestablished consciousness’ remains after the arahant’s </w:t>
      </w:r>
      <w:r>
        <w:rPr>
          <w:rStyle w:val="wwc-pali"/>
        </w:rPr>
        <w:t>parinibbāna</w:t>
      </w:r>
      <w:r>
        <w:rPr/>
        <w:t>, but that his consciousness, being devoid of lust, does not ‘become established in’ the four nutriments in any way that might generate a future existence.”</w:t>
      </w:r>
      <w:r>
        <w:rPr>
          <w:rStyle w:val="FootnoteReference"/>
        </w:rPr>
        <w:footnoteReference w:id="494"/>
      </w:r>
      <w:r>
        <w:rPr/>
        <w:t xml:space="preserve"> The direct connection between </w:t>
      </w:r>
      <w:r>
        <w:rPr>
          <w:rStyle w:val="wwc-pali"/>
        </w:rPr>
        <w:t>appatiṭṭhita viññāṇa</w:t>
      </w:r>
      <w:r>
        <w:rPr/>
        <w:t xml:space="preserve"> and the cessation of consciousness becomes particularly apparent when comparing the above three passages, as in the next table.</w:t>
      </w:r>
    </w:p>
    <w:p>
      <w:pPr>
        <w:pStyle w:val="WW-table-caption"/>
        <w:rPr/>
      </w:pPr>
      <w:r>
        <w:rPr/>
        <w:t>{SimpleNoRowBorders}Table 21. Not planting of consciousness alongside cessation sequence</w:t>
      </w:r>
    </w:p>
    <w:tbl>
      <w:tblPr>
        <w:tblW w:w="7977" w:type="dxa"/>
        <w:jc w:val="start"/>
        <w:tblInd w:w="0" w:type="dxa"/>
        <w:tblLayout w:type="fixed"/>
        <w:tblCellMar>
          <w:top w:w="0" w:type="dxa"/>
          <w:start w:w="0" w:type="dxa"/>
          <w:bottom w:w="0" w:type="dxa"/>
          <w:end w:w="0" w:type="dxa"/>
        </w:tblCellMar>
      </w:tblPr>
      <w:tblGrid>
        <w:gridCol w:w="2092"/>
        <w:gridCol w:w="2919"/>
        <w:gridCol w:w="2966"/>
      </w:tblGrid>
      <w:tr>
        <w:trPr/>
        <w:tc>
          <w:tcPr>
            <w:tcW w:w="2092" w:type="dxa"/>
            <w:tcBorders/>
            <w:vAlign w:val="center"/>
          </w:tcPr>
          <w:p>
            <w:pPr>
              <w:pStyle w:val="TableHeading"/>
              <w:rPr/>
            </w:pPr>
            <w:r>
              <w:rPr>
                <w:rStyle w:val="Strong"/>
                <w:b/>
                <w:bCs/>
              </w:rPr>
              <w:t>Standard sequence</w:t>
            </w:r>
          </w:p>
        </w:tc>
        <w:tc>
          <w:tcPr>
            <w:tcW w:w="2919" w:type="dxa"/>
            <w:tcBorders/>
            <w:vAlign w:val="center"/>
          </w:tcPr>
          <w:p>
            <w:pPr>
              <w:pStyle w:val="TableHeading"/>
              <w:rPr/>
            </w:pPr>
            <w:r>
              <w:rPr>
                <w:rStyle w:val="Strong"/>
                <w:b/>
                <w:bCs/>
              </w:rPr>
              <w:t>Second Discourse</w:t>
              <w:br/>
              <w:t>on Intention (§122)</w:t>
            </w:r>
          </w:p>
        </w:tc>
        <w:tc>
          <w:tcPr>
            <w:tcW w:w="2966" w:type="dxa"/>
            <w:tcBorders/>
            <w:vAlign w:val="center"/>
          </w:tcPr>
          <w:p>
            <w:pPr>
              <w:pStyle w:val="TableHeading"/>
              <w:rPr/>
            </w:pPr>
            <w:r>
              <w:rPr>
                <w:rStyle w:val="Strong"/>
                <w:b/>
                <w:bCs/>
              </w:rPr>
              <w:t>If There Is Desire</w:t>
              <w:br/>
              <w:t>Discourse (§121)</w:t>
            </w:r>
          </w:p>
        </w:tc>
      </w:tr>
      <w:tr>
        <w:trPr/>
        <w:tc>
          <w:tcPr>
            <w:tcW w:w="2092" w:type="dxa"/>
            <w:tcBorders/>
            <w:vAlign w:val="center"/>
          </w:tcPr>
          <w:p>
            <w:pPr>
              <w:pStyle w:val="TableContents"/>
              <w:rPr/>
            </w:pPr>
            <w:r>
              <w:rPr/>
              <w:t>1. No ignorance</w:t>
              <w:br/>
              <w:t>2. No willful actions</w:t>
            </w:r>
          </w:p>
        </w:tc>
        <w:tc>
          <w:tcPr>
            <w:tcW w:w="2919" w:type="dxa"/>
            <w:tcBorders/>
            <w:vAlign w:val="center"/>
          </w:tcPr>
          <w:p>
            <w:pPr>
              <w:pStyle w:val="TableContents"/>
              <w:rPr/>
            </w:pPr>
            <w:r>
              <w:rPr/>
              <w:br/>
              <w:t>• You don’t intend, etc.</w:t>
            </w:r>
          </w:p>
        </w:tc>
        <w:tc>
          <w:tcPr>
            <w:tcW w:w="2966" w:type="dxa"/>
            <w:tcBorders/>
            <w:vAlign w:val="center"/>
          </w:tcPr>
          <w:p>
            <w:pPr>
              <w:pStyle w:val="TableContents"/>
              <w:rPr/>
            </w:pPr>
            <w:r>
              <w:rPr/>
              <w:br/>
              <w:t>• There is no desire, etc.</w:t>
            </w:r>
          </w:p>
        </w:tc>
      </w:tr>
      <w:tr>
        <w:trPr/>
        <w:tc>
          <w:tcPr>
            <w:tcW w:w="2092" w:type="dxa"/>
            <w:tcBorders/>
            <w:vAlign w:val="center"/>
          </w:tcPr>
          <w:p>
            <w:pPr>
              <w:pStyle w:val="TableContents"/>
              <w:rPr/>
            </w:pPr>
            <w:r>
              <w:rPr/>
              <w:t>3. No consciousness</w:t>
              <w:br/>
              <w:t>4. No nāmarūpa</w:t>
            </w:r>
          </w:p>
        </w:tc>
        <w:tc>
          <w:tcPr>
            <w:tcW w:w="2919" w:type="dxa"/>
            <w:tcBorders/>
            <w:vAlign w:val="center"/>
          </w:tcPr>
          <w:p>
            <w:pPr>
              <w:pStyle w:val="TableContents"/>
              <w:rPr/>
            </w:pPr>
            <w:r>
              <w:rPr/>
              <w:t xml:space="preserve">• </w:t>
            </w:r>
            <w:r>
              <w:rPr/>
              <w:t>Not planting consciousness</w:t>
              <w:br/>
              <w:t>• No conception of nāmarūpa</w:t>
            </w:r>
          </w:p>
        </w:tc>
        <w:tc>
          <w:tcPr>
            <w:tcW w:w="2966" w:type="dxa"/>
            <w:tcBorders/>
            <w:vAlign w:val="center"/>
          </w:tcPr>
          <w:p>
            <w:pPr>
              <w:pStyle w:val="TableContents"/>
              <w:rPr/>
            </w:pPr>
            <w:r>
              <w:rPr/>
              <w:t xml:space="preserve">• </w:t>
            </w:r>
            <w:r>
              <w:rPr/>
              <w:t>Not planting consciousness</w:t>
              <w:br/>
              <w:t>• No conception of nāmarūpa</w:t>
              <w:br/>
              <w:t>• No willful actions develop</w:t>
              <w:br/>
              <w:t>• No production of existence</w:t>
              <w:br/>
              <w:t>• No birth</w:t>
            </w:r>
          </w:p>
        </w:tc>
      </w:tr>
      <w:tr>
        <w:trPr/>
        <w:tc>
          <w:tcPr>
            <w:tcW w:w="2092" w:type="dxa"/>
            <w:tcBorders/>
            <w:vAlign w:val="center"/>
          </w:tcPr>
          <w:p>
            <w:pPr>
              <w:pStyle w:val="TableContents"/>
              <w:rPr/>
            </w:pPr>
            <w:r>
              <w:rPr/>
              <w:t>5. No six senses</w:t>
              <w:br/>
              <w:t>6. No sense impr.</w:t>
              <w:br/>
              <w:t>7. …</w:t>
            </w:r>
          </w:p>
        </w:tc>
        <w:tc>
          <w:tcPr>
            <w:tcW w:w="2919" w:type="dxa"/>
            <w:tcBorders/>
            <w:vAlign w:val="center"/>
          </w:tcPr>
          <w:p>
            <w:pPr>
              <w:pStyle w:val="TableContents"/>
              <w:rPr/>
            </w:pPr>
            <w:r>
              <w:rPr/>
              <w:t xml:space="preserve">• </w:t>
            </w:r>
            <w:r>
              <w:rPr/>
              <w:t>No six senses</w:t>
              <w:br/>
              <w:t>• No sense impressions</w:t>
              <w:br/>
              <w:t>• …</w:t>
            </w:r>
          </w:p>
        </w:tc>
        <w:tc>
          <w:tcPr>
            <w:tcW w:w="2966" w:type="dxa"/>
            <w:tcBorders/>
            <w:vAlign w:val="center"/>
          </w:tcPr>
          <w:p>
            <w:pPr>
              <w:pStyle w:val="TableContents"/>
              <w:rPr/>
            </w:pPr>
            <w:r>
              <w:rPr/>
              <w:t xml:space="preserve">• </w:t>
            </w:r>
            <w:r>
              <w:rPr/>
              <w:t>No suffering,</w:t>
              <w:br/>
              <w:t>  incl. old age and death</w:t>
            </w:r>
          </w:p>
        </w:tc>
      </w:tr>
    </w:tbl>
    <w:p>
      <w:pPr>
        <w:pStyle w:val="WW-paragraph"/>
        <w:rPr/>
      </w:pPr>
      <w:r>
        <w:rPr/>
        <w:t xml:space="preserve">In the </w:t>
      </w:r>
      <w:r>
        <w:rPr>
          <w:rStyle w:val="wwc-sesame"/>
        </w:rPr>
        <w:t>Second Discourse on Intention</w:t>
      </w:r>
      <w:r>
        <w:rPr/>
        <w:t xml:space="preserve"> “consciousness is not planted” is placed after “if you don’t intend” and before “there is no conception of any immaterial aspects and body […] the immaterial aspects and body cease”, which is followed by the rest of the cessation sequence. So the sequence is: no intentions › no planting of consciousness › cessation of immaterial aspects and body › etc. This is simply a rephrasing of the standard cessation sequence: cessation of willful actions › cessation of consciousness › cessation of immaterial aspects and body › etc. The not planting of consciousness takes the place of the cessation of consciousness, so this cessation is what </w:t>
      </w:r>
      <w:r>
        <w:rPr>
          <w:rStyle w:val="wwc-pali"/>
        </w:rPr>
        <w:t>appatiṭṭhita viññāṇa</w:t>
      </w:r>
      <w:r>
        <w:rPr/>
        <w:t xml:space="preserve"> implies.</w:t>
      </w:r>
    </w:p>
    <w:p>
      <w:pPr>
        <w:pStyle w:val="WW-chapter-section-1"/>
        <w:ind w:hanging="0" w:start="0"/>
        <w:rPr/>
      </w:pPr>
      <w:r>
        <w:rPr/>
        <w:t>Interpreting the simile of the light beam</w:t>
      </w:r>
    </w:p>
    <w:p>
      <w:pPr>
        <w:pStyle w:val="WW-paragraph"/>
        <w:rPr/>
      </w:pPr>
      <w:r>
        <w:rPr/>
        <w:t xml:space="preserve">But we can wonder, if </w:t>
      </w:r>
      <w:r>
        <w:rPr>
          <w:rStyle w:val="wwc-pali"/>
        </w:rPr>
        <w:t>appatiṭṭhita viññāṇa</w:t>
      </w:r>
      <w:r>
        <w:rPr/>
        <w:t xml:space="preserve"> refers to the cessation of consciousness, how does this fit the simile of the light beam? To start answering that question, let’s recall the metaphor of the seed, which tells us that if the seed of consciousness is not planted in anything when there is no desire, it cannot continue to exist. The desire for existence is what keeps consciousness moving from life to life. If there is no such desire anymore, there is no more cause for the continuation of consciousness after death. The seed of consciousness then no longer gets planted in any realm, and there will be no next life. As the </w:t>
      </w:r>
      <w:r>
        <w:rPr>
          <w:rStyle w:val="wwc-sesame"/>
        </w:rPr>
        <w:t>First Discourse on Intention</w:t>
      </w:r>
      <w:r>
        <w:rPr/>
        <w:t xml:space="preserve"> puts it:</w:t>
      </w:r>
    </w:p>
    <w:p>
      <w:pPr>
        <w:pStyle w:val="WW-blockquote"/>
        <w:rPr/>
      </w:pPr>
      <w:bookmarkStart w:id="123" w:name="bqseg124"/>
      <w:bookmarkEnd w:id="123"/>
      <w:r>
        <w:rPr/>
        <w:t>But if you don’t intend, don’t plan, and do not have a tendency towards anything, there is no foundation for the continuation of consciousness. If there is no foundation, there will be no support for the planting of consciousness. If consciousness is not planted, it will not sprout, and no existence in a future life is produced. When no existence in a future life is produced, no future birth, old age and death, and sorrow, grief, pain, sadness, and distress come to be. That is how this whole mass of suffering ceases.</w:t>
      </w:r>
      <w:r>
        <w:rPr>
          <w:rStyle w:val="FootnoteReference"/>
        </w:rPr>
        <w:footnoteReference w:id="495"/>
      </w:r>
    </w:p>
    <w:p>
      <w:pPr>
        <w:pStyle w:val="WW-paragraph"/>
        <w:rPr/>
      </w:pPr>
      <w:r>
        <w:rPr/>
        <w:t>This is a very neat summary of the fundamental principles of the cessation sequence of Dependent Arising. It is all about ending existence through stopping the mental forces that generate rebirth.</w:t>
      </w:r>
    </w:p>
    <w:p>
      <w:pPr>
        <w:pStyle w:val="WW-paragraph"/>
        <w:rPr/>
      </w:pPr>
      <w:r>
        <w:rPr/>
        <w:t>The simile of the light beam describes the same principles. I interpret it as follows: The wall, earth, and water stand for the three realms of existence, just like the board, wall, and canvas in the simile of the painting. Helmut Hecker thought the same: “The triad of wall, earth, and water could here refer to the ‘three worlds’. […] The wall is the coarsest footing (sense world); the natural earth […] is comparable to the [form] world; and the finer substance of the water would be comparable to the formless world.”</w:t>
      </w:r>
      <w:r>
        <w:rPr>
          <w:rStyle w:val="FootnoteReference"/>
        </w:rPr>
        <w:footnoteReference w:id="496"/>
      </w:r>
      <w:r>
        <w:rPr/>
        <w:t xml:space="preserve"> If the light beam were to hit any of the three surfaces, the surface is lit up. This stands for consciousness taking rebirth in the respective realm. But if the beam does not hit anything, if it does not “plant down” anywhere, nothing lights up. This stands for consciousness not going to any of the three realms after death.</w:t>
      </w:r>
      <w:r>
        <w:rPr>
          <w:rStyle w:val="FootnoteReference"/>
        </w:rPr>
        <w:footnoteReference w:id="497"/>
      </w:r>
      <w:r>
        <w:rPr/>
        <w:t xml:space="preserve"> Not being reborn, consciousness will cease, just like a beam of light traveling through air will eventually fade out.</w:t>
      </w:r>
    </w:p>
    <w:p>
      <w:pPr>
        <w:pStyle w:val="WW-figure"/>
        <w:rPr/>
      </w:pPr>
      <w:r>
        <w:rPr/>
        <w:t>./img/beam.png=A light beam entering a window and hitting a wall. Below is the earth and further below water. The beam is labeled ‘stream of consciousness’, the light on the wall ‘rebirth’, and the wall, earth, and water ‘the three realms’.=30=border</w:t>
        <w:br/>
        <w:t>./img/beamno.png=A light beam entering a window but there is no more wall, earth, or water. The beam fades out into the darkness below. The end of the faded beam is labeled ‘no rebirth’.=30=border</w:t>
        <w:br/>
        <w:t>Figure 27. A fading light beam as a simile for the cessation of consciousness</w:t>
      </w:r>
    </w:p>
    <w:p>
      <w:pPr>
        <w:pStyle w:val="WW-paragraph"/>
        <w:rPr/>
      </w:pPr>
      <w:r>
        <w:rPr/>
        <w:t>It would be wrong to assume the Buddha intended the beam of light, and therefore consciousness, to continue forever. As Langer criticized Harvey, this is “over-interpreting the simile of the sun beam”.</w:t>
      </w:r>
      <w:r>
        <w:rPr>
          <w:rStyle w:val="FootnoteReference"/>
        </w:rPr>
        <w:footnoteReference w:id="498"/>
      </w:r>
      <w:r>
        <w:rPr/>
        <w:t xml:space="preserve"> Recall the limited nature of the simile of the seed. The essential point of that simile is not what happens to the unplanted seed: what matters is whether a plant grows or not. The situation with the beam is similar. What happens to the beam isn’t the primary concern. The essential point is that </w:t>
      </w:r>
      <w:r>
        <w:rPr>
          <w:rStyle w:val="Emphasis"/>
        </w:rPr>
        <w:t>nothing lights up</w:t>
      </w:r>
      <w:r>
        <w:rPr/>
        <w:t>, which stands for there being no more existence after death, and hence no more consciousness.</w:t>
      </w:r>
    </w:p>
    <w:p>
      <w:pPr>
        <w:pStyle w:val="WW-paragraph"/>
        <w:rPr/>
      </w:pPr>
      <w:r>
        <w:rPr/>
        <w:t>Not only do people like Harvey take the simile too far, they also seem not to have considered the historic situation. People in the Buddha’s time likely had no idea about the behavior of light in a vacuum. (That they had little scientific understanding is shown by the belief, mentioned in the same discourse, that the earth floated on water.)</w:t>
      </w:r>
      <w:r>
        <w:rPr>
          <w:rStyle w:val="FootnoteReference"/>
        </w:rPr>
        <w:footnoteReference w:id="499"/>
      </w:r>
      <w:r>
        <w:rPr/>
        <w:t xml:space="preserve"> When imagining a beam that doesn’t hit anything, they would not have envisioned a beam of light that continues forever in the endless void of space, like we might nowadays. They more likely thought of scenes like the cover of this book: rays shining through a misty forest canopy that fade out before they can reach the forest floor.</w:t>
      </w:r>
    </w:p>
    <w:p>
      <w:pPr>
        <w:pStyle w:val="WW-paragraph"/>
        <w:rPr/>
      </w:pPr>
      <w:r>
        <w:rPr/>
        <w:t xml:space="preserve">The </w:t>
      </w:r>
      <w:r>
        <w:rPr>
          <w:rStyle w:val="wwc-sesame"/>
        </w:rPr>
        <w:t>Saṁyukta Āgama</w:t>
      </w:r>
      <w:r>
        <w:rPr/>
        <w:t xml:space="preserve"> sheds light on the matter too. While the </w:t>
      </w:r>
      <w:r>
        <w:rPr>
          <w:rStyle w:val="wwc-sesame"/>
        </w:rPr>
        <w:t>If There is Desire Discourse</w:t>
      </w:r>
      <w:r>
        <w:rPr/>
        <w:t xml:space="preserve"> in the Pāli Canon has two distinct similes to describe the origination and cessation of consciousness (respectively the painting and the light beam) the Chinese collection contains multiple parallel sutras which apply similar similes to both origination and cessation. One of these sutras illustrates the arising of consciousness with a painter who draws a picture, just as the Pāli, but the cessation of consciousness with a painter who fails to paint an image on empty space.</w:t>
      </w:r>
      <w:r>
        <w:rPr>
          <w:rStyle w:val="FootnoteReference"/>
        </w:rPr>
        <w:footnoteReference w:id="500"/>
      </w:r>
      <w:r>
        <w:rPr/>
        <w:t xml:space="preserve"> The idea of being unable to paint on empty space also occurs elsewhere in the Pāli Canon, with no connection to Dependent Arising or consciousness,</w:t>
      </w:r>
      <w:r>
        <w:rPr>
          <w:rStyle w:val="FootnoteReference"/>
        </w:rPr>
        <w:footnoteReference w:id="501"/>
      </w:r>
      <w:r>
        <w:rPr/>
        <w:t xml:space="preserve"> but it seems this idea, although left unspoken in the </w:t>
      </w:r>
      <w:r>
        <w:rPr>
          <w:rStyle w:val="wwc-sesame"/>
        </w:rPr>
        <w:t>If There is Desire Discourse</w:t>
      </w:r>
      <w:r>
        <w:rPr/>
        <w:t>, is also implied there. This imagery clarifies the simile of the beam. Just like no figure can be painted on empty air, a beam of light cannot alight empty air. This, as the parallel sutras also state, stands for there being “no production of future existence” (</w:t>
      </w:r>
      <w:r>
        <w:rPr/>
        <w:t>當來有不生</w:t>
      </w:r>
      <w:r>
        <w:rPr/>
        <w:t>) when “consciousness no longer exists” (</w:t>
      </w:r>
      <w:r>
        <w:rPr/>
        <w:t>識不住</w:t>
      </w:r>
      <w:r>
        <w:rPr/>
        <w:t>).</w:t>
      </w:r>
    </w:p>
    <w:p>
      <w:pPr>
        <w:pStyle w:val="WW-figure"/>
        <w:rPr/>
      </w:pPr>
      <w:r>
        <w:rPr/>
        <w:t>./img/painteryes.png=A painter painting on a canvas=30=border</w:t>
        <w:br/>
        <w:t>./img/painterno.png=A painter painting in thin air=30=border</w:t>
        <w:br/>
        <w:t>Figure 28. Not painting a picture as a simile for the end of rebirth</w:t>
      </w:r>
    </w:p>
    <w:p>
      <w:pPr>
        <w:pStyle w:val="WW-chapter-section-1"/>
        <w:ind w:hanging="0" w:start="0"/>
        <w:rPr/>
      </w:pPr>
      <w:r>
        <w:rPr/>
        <w:t>Consciousness unestablished in this life?</w:t>
      </w:r>
    </w:p>
    <w:p>
      <w:pPr>
        <w:pStyle w:val="WW-paragraph"/>
        <w:rPr/>
      </w:pPr>
      <w:r>
        <w:rPr/>
        <w:t xml:space="preserve">Some authors, although they may not believe in a consciousness after </w:t>
      </w:r>
      <w:r>
        <w:rPr>
          <w:rStyle w:val="wwc-pali"/>
        </w:rPr>
        <w:t>parinibbāna</w:t>
      </w:r>
      <w:r>
        <w:rPr/>
        <w:t xml:space="preserve">, still suggest </w:t>
      </w:r>
      <w:r>
        <w:rPr>
          <w:rStyle w:val="wwc-pali"/>
        </w:rPr>
        <w:t>appatiṭṭhita viññāṇa</w:t>
      </w:r>
      <w:r>
        <w:rPr/>
        <w:t xml:space="preserve"> could be some sort of unestablished consciousness of </w:t>
      </w:r>
      <w:r>
        <w:rPr>
          <w:rStyle w:val="Emphasis"/>
        </w:rPr>
        <w:t>living</w:t>
      </w:r>
      <w:r>
        <w:rPr/>
        <w:t xml:space="preserve"> enlightened beings.</w:t>
      </w:r>
      <w:r>
        <w:rPr>
          <w:rStyle w:val="FootnoteReference"/>
        </w:rPr>
        <w:footnoteReference w:id="502"/>
      </w:r>
      <w:r>
        <w:rPr/>
        <w:t xml:space="preserve"> But enlightened beings still have the standard aggregate of consciousness, not a special kind of consciousness. It is of course true that their minds are free from a sense of self and all defilements that spring from it, but their consciousness is still dependently originated through sense impressions and still depends on its objects. Their aggregate of consciousness also still exists in a certain realm where at their birth it was established or ‘planted’ (</w:t>
      </w:r>
      <w:r>
        <w:rPr>
          <w:rStyle w:val="wwc-pali"/>
        </w:rPr>
        <w:t>patiṭṭha</w:t>
      </w:r>
      <w:r>
        <w:rPr/>
        <w:t xml:space="preserve">). As Langer explains: “The </w:t>
      </w:r>
      <w:r>
        <w:rPr>
          <w:rStyle w:val="wwc-pali"/>
        </w:rPr>
        <w:t>viññāṇa</w:t>
      </w:r>
      <w:r>
        <w:rPr/>
        <w:t xml:space="preserve"> of an arahant is still </w:t>
      </w:r>
      <w:r>
        <w:rPr>
          <w:rStyle w:val="wwc-pali"/>
        </w:rPr>
        <w:t>patiṭṭha</w:t>
      </w:r>
      <w:r>
        <w:rPr/>
        <w:t>—that is, fixed in a form of existence such as a body—as long as his lifespan is not exhausted.”</w:t>
      </w:r>
      <w:r>
        <w:rPr>
          <w:rStyle w:val="FootnoteReference"/>
        </w:rPr>
        <w:footnoteReference w:id="503"/>
      </w:r>
    </w:p>
    <w:p>
      <w:pPr>
        <w:pStyle w:val="WW-paragraph"/>
        <w:rPr/>
      </w:pPr>
      <w:r>
        <w:rPr/>
        <w:t xml:space="preserve">Langer is also somewhat open to the possibility that the enlightened one’s consciousness may be unestablished in some other sense during their life, like it no longer being attached to anything. I agree with this on a pragmatic level but disagree with the semantics, because it doesn’t seem to be what the Buddha meant by </w:t>
      </w:r>
      <w:r>
        <w:rPr>
          <w:rStyle w:val="wwc-pali"/>
        </w:rPr>
        <w:t>appatiṭṭhita viññāṇa</w:t>
      </w:r>
      <w:r>
        <w:rPr/>
        <w:t xml:space="preserve">. As explained, the non-establishment of consciousness refers to its cessation, and this only happens when the enlightened one passes away. </w:t>
      </w:r>
      <w:r>
        <w:rPr>
          <w:rStyle w:val="wwc-pali"/>
        </w:rPr>
        <w:t>Appatiṭṭhita viññāṇa</w:t>
      </w:r>
      <w:r>
        <w:rPr/>
        <w:t xml:space="preserve"> specifically implies the cessation of existence, not an undetached state of mind, which is why the </w:t>
      </w:r>
      <w:r>
        <w:rPr>
          <w:rStyle w:val="wwc-sesame"/>
        </w:rPr>
        <w:t>If There is Desire Discourse</w:t>
      </w:r>
      <w:r>
        <w:rPr/>
        <w:t xml:space="preserve"> follows it directly with “there is no conception of any immaterial aspects and body” and “no existence in a future life is produced”.</w:t>
      </w:r>
    </w:p>
    <w:p>
      <w:pPr>
        <w:pStyle w:val="WW-paragraph"/>
        <w:rPr/>
      </w:pPr>
      <w:r>
        <w:rPr/>
        <w:t xml:space="preserve">In her defense, Langer relies largely on the Seeds Discourse, one line of which she reads as follows: “This non-established consciousness, not growing [or ‘sprouting’], not willing, is </w:t>
      </w:r>
      <w:r>
        <w:rPr>
          <w:rStyle w:val="Emphasis"/>
        </w:rPr>
        <w:t>liberated</w:t>
      </w:r>
      <w:r>
        <w:rPr/>
        <w:t>.”</w:t>
      </w:r>
      <w:r>
        <w:rPr>
          <w:rStyle w:val="FootnoteReference"/>
        </w:rPr>
        <w:footnoteReference w:id="504"/>
      </w:r>
      <w:r>
        <w:rPr/>
        <w:t xml:space="preserve"> At first glance this is a natural translation, and it indeed sounds like consciousness is liberated and non-established for the living enlightened being. However, when we consider the context and Chinese parallels, this is not the preferred reading. Like Nyānaponika and other translators, I think it should be interpreted differently.</w:t>
      </w:r>
      <w:r>
        <w:rPr>
          <w:rStyle w:val="FootnoteReference"/>
        </w:rPr>
        <w:footnoteReference w:id="505"/>
      </w:r>
      <w:r>
        <w:rPr/>
        <w:t xml:space="preserve"> I translated it as: “Not planted, consciousness will not sprout [in a next life]. And not willing anything, </w:t>
      </w:r>
      <w:r>
        <w:rPr>
          <w:rStyle w:val="Emphasis"/>
        </w:rPr>
        <w:t>the mind</w:t>
      </w:r>
      <w:r>
        <w:rPr/>
        <w:t xml:space="preserve"> is liberated.”</w:t>
      </w:r>
    </w:p>
    <w:p>
      <w:pPr>
        <w:pStyle w:val="WW-chapter-section-1"/>
        <w:ind w:hanging="0" w:start="0"/>
        <w:rPr/>
      </w:pPr>
      <w:r>
        <w:rPr/>
        <w:t>Consciousness after enlightenment</w:t>
      </w:r>
    </w:p>
    <w:p>
      <w:pPr>
        <w:pStyle w:val="WW-paragraph"/>
        <w:rPr/>
      </w:pPr>
      <w:r>
        <w:rPr/>
        <w:t xml:space="preserve">If they don’t have a type of unestablished consciousness, how do enlightened beings actually experience consciousness? That is an interesting question, but it may be somewhat misguided. As will be discussed in the next chapter, there are no enlightened </w:t>
      </w:r>
      <w:r>
        <w:rPr>
          <w:rStyle w:val="Emphasis"/>
        </w:rPr>
        <w:t>beings</w:t>
      </w:r>
      <w:r>
        <w:rPr/>
        <w:t xml:space="preserve"> as such who experience consciousness. You may feel like there is somebody behind consciousness, or that there is some sort of constancy in it, but these are just illusions of a “self” tacked onto consciousness. For the enlightened beings that illusion has disappeared. Then there is just consciousness, without the perception that anybody is experiencing it.</w:t>
      </w:r>
    </w:p>
    <w:p>
      <w:pPr>
        <w:pStyle w:val="WW-paragraph"/>
        <w:rPr/>
      </w:pPr>
      <w:r>
        <w:rPr/>
        <w:t>But what would that be like? The Buddha once put it very succinctly: “Consciousness of the past and future is temporary, let alone that of the present.”</w:t>
      </w:r>
      <w:r>
        <w:rPr>
          <w:rStyle w:val="FootnoteReference"/>
        </w:rPr>
        <w:footnoteReference w:id="506"/>
      </w:r>
      <w:r>
        <w:rPr/>
        <w:t xml:space="preserve"> He also said:</w:t>
      </w:r>
    </w:p>
    <w:p>
      <w:pPr>
        <w:pStyle w:val="WW-blockquote"/>
        <w:rPr/>
      </w:pPr>
      <w:bookmarkStart w:id="124" w:name="bqseg125"/>
      <w:bookmarkEnd w:id="124"/>
      <w:r>
        <w:rPr/>
        <w:t>Consciousness that is permanent, constant, eternal, and not of the nature to change, that the wise in the world agree does not exist, and I also say it does not exist. […] Consciousness that is temporary, suffering, and of the nature to change, that the wise in the world agree exists, and I also say it exists.</w:t>
      </w:r>
      <w:r>
        <w:rPr>
          <w:rStyle w:val="FootnoteReference"/>
        </w:rPr>
        <w:footnoteReference w:id="507"/>
      </w:r>
    </w:p>
    <w:p>
      <w:pPr>
        <w:pStyle w:val="WW-space"/>
        <w:rPr/>
      </w:pPr>
      <w:r>
        <w:rPr/>
        <w:t>0</w:t>
      </w:r>
    </w:p>
    <w:p>
      <w:pPr>
        <w:pStyle w:val="WW-blockquote"/>
        <w:rPr/>
      </w:pPr>
      <w:bookmarkStart w:id="125" w:name="bqseg126"/>
      <w:bookmarkEnd w:id="125"/>
      <w:r>
        <w:rPr/>
        <w:t>Unlearned ordinary people may get disillusioned with this body which consists of four elements, may lose desire for it, and may be liberated from it. Why? The growth and decay of the body are visible, and so are its taking up and laying down. Therefore, unlearned ordinary people may get disillusioned with it, lose desire for it, and be liberated from it. But what is called ‘mind,’ ‘sentience,’ and also ‘consciousness,’</w:t>
      </w:r>
      <w:r>
        <w:rPr>
          <w:rStyle w:val="FootnoteReference"/>
        </w:rPr>
        <w:footnoteReference w:id="508"/>
      </w:r>
      <w:r>
        <w:rPr/>
        <w:t xml:space="preserve"> that they are not able to get disillusioned with, lose desire for, or be liberated from. Why? For a long time they have been holding on to it, cherishing it, and grasping at it, as being them, as being theirs, as being their self. Therefore, unlearned ordinary people are not able to get disillusioned with it, lose desire for it, or be liberated from it.</w:t>
      </w:r>
    </w:p>
    <w:p>
      <w:pPr>
        <w:pStyle w:val="WW-blockquote"/>
        <w:rPr/>
      </w:pPr>
      <w:r>
        <w:rPr/>
        <w:t>Unlearned ordinary people would better take this body which consists of the four elements as their self, instead of the mind. Why? This body is seen to exist for one year, or for two, three, four, or five years; for ten, twenty, thirty, forty, fifty, or a hundred years, or even more. But what is called ‘mind,’ ‘sentience,’ and also ‘consciousness,’ that arises as one thing and ceases as another by day and night. Just as a monkey swinging through a forest grabs one branch, lets it go, grabs another, lets it go, and grabs yet another, likewise, what is called ‘mind,’ ‘sentience,’ and also ‘consciousness,’ that arises as one thing and ceases as another by day and night.</w:t>
      </w:r>
      <w:r>
        <w:rPr>
          <w:rStyle w:val="FootnoteReference"/>
        </w:rPr>
        <w:footnoteReference w:id="509"/>
      </w:r>
    </w:p>
    <w:p>
      <w:pPr>
        <w:pStyle w:val="WW-paragraph"/>
        <w:rPr/>
      </w:pPr>
      <w:r>
        <w:rPr/>
        <w:t>The sense of self is extremely beguiling. It makes consciousness appear constant, making it seem like different instances of awareness at the six different senses have something in common. It may feel like the person who reads this sentence is the same person who read the previous one. It may feel like it’s the same person who hears sounds and thinks thoughts. But this feeling of there being something inside that is aware of it all—whether we call it ‘me’, ‘the knower’, ‘unestablished consciousness’, or whatever—is actually the deluded sense of self. If consciousness were a constant, it would be a monkey sitting still on a single branch, quietly looking out over the forest. But like a monkey grabbing different branches all the time, consciousness always arises and ceases, with each instance of consciousness being new and unique.</w:t>
      </w:r>
    </w:p>
    <w:p>
      <w:pPr>
        <w:pStyle w:val="WW-paragraph"/>
        <w:rPr/>
      </w:pPr>
      <w:r>
        <w:rPr/>
        <w:t>These are some deep concepts, which even stream winners only have limited insights into. But with practice, and as they reach the next stages of enlightenment, their understanding will grow. Once they completely removed ignorance, they will no longer feel like there is any sort of observer inside. Having lost the illusion of constancy that links one instance of consciousness to the next, rather than experiencing a constant kind of awareness, consciousness will be perceived as discontinuous.</w:t>
      </w:r>
    </w:p>
    <w:p>
      <w:pPr>
        <w:pStyle w:val="WW-paragraph"/>
        <w:rPr/>
      </w:pPr>
      <w:r>
        <w:rPr/>
        <w:t>The noble ones also know that consciousness cannot be featureless or without object—the very opposite, in fact. They see that all sensations, and hence all consciousness</w:t>
      </w:r>
      <w:r>
        <w:rPr>
          <w:rStyle w:val="Emphasis"/>
        </w:rPr>
        <w:t>es</w:t>
      </w:r>
      <w:r>
        <w:rPr/>
        <w:t xml:space="preserve">, depend on sense impressions, which in turn depend on the six senses. This is part of their insight into </w:t>
      </w:r>
      <w:r>
        <w:rPr>
          <w:rStyle w:val="wwc-pali"/>
        </w:rPr>
        <w:t>anatta</w:t>
      </w:r>
      <w:r>
        <w:rPr/>
        <w:t>:</w:t>
      </w:r>
    </w:p>
    <w:p>
      <w:pPr>
        <w:pStyle w:val="WW-blockquote"/>
        <w:rPr/>
      </w:pPr>
      <w:bookmarkStart w:id="126" w:name="bqseg127"/>
      <w:bookmarkEnd w:id="126"/>
      <w:r>
        <w:rPr/>
        <w:t>[Moḷiyaphagguna:] “Venerable sir, who has sense impressions?”</w:t>
      </w:r>
      <w:r>
        <w:rPr>
          <w:rStyle w:val="FootnoteReference"/>
        </w:rPr>
        <w:footnoteReference w:id="510"/>
      </w:r>
    </w:p>
    <w:p>
      <w:pPr>
        <w:pStyle w:val="WW-blockquote"/>
        <w:rPr/>
      </w:pPr>
      <w:r>
        <w:rPr/>
        <w:t>“</w:t>
      </w:r>
      <w:r>
        <w:rPr/>
        <w:t xml:space="preserve">That is not a valid question,” the Buddha replied. “I don’t say that </w:t>
      </w:r>
      <w:r>
        <w:rPr>
          <w:rStyle w:val="Emphasis"/>
        </w:rPr>
        <w:t>somebody</w:t>
      </w:r>
      <w:r>
        <w:rPr/>
        <w:t xml:space="preserve"> has sense impressions. If I would, it would be a valid question, but I don’t. However, if someone would ask me what sense impressions depend on, then that is a valid question, and to that I would answer that sense impressions are dependent on the six senses. And dependent on sense impressions, there are sensations.”</w:t>
      </w:r>
    </w:p>
    <w:p>
      <w:pPr>
        <w:pStyle w:val="WW-blockquote"/>
        <w:rPr/>
      </w:pPr>
      <w:r>
        <w:rPr/>
        <w:t>“</w:t>
      </w:r>
      <w:r>
        <w:rPr/>
        <w:t>Venerable sir, who senses [sensations]?”</w:t>
      </w:r>
    </w:p>
    <w:p>
      <w:pPr>
        <w:pStyle w:val="WW-blockquote"/>
        <w:rPr/>
      </w:pPr>
      <w:r>
        <w:rPr/>
        <w:t>“</w:t>
      </w:r>
      <w:r>
        <w:rPr/>
        <w:t xml:space="preserve">That is not a valid question,” the Buddha replied. “I don’t say that </w:t>
      </w:r>
      <w:r>
        <w:rPr>
          <w:rStyle w:val="Emphasis"/>
        </w:rPr>
        <w:t>somebody</w:t>
      </w:r>
      <w:r>
        <w:rPr/>
        <w:t xml:space="preserve"> senses. If I would, it would be a valid question, but I don’t. However, if someone would ask me what sensations depend on, then that is a valid question, and to that I would answer that sensations are dependent on sense impressions.”</w:t>
      </w:r>
      <w:r>
        <w:rPr>
          <w:rStyle w:val="FootnoteReference"/>
        </w:rPr>
        <w:footnoteReference w:id="511"/>
      </w:r>
    </w:p>
    <w:p>
      <w:pPr>
        <w:pStyle w:val="WW-paragraph"/>
        <w:rPr/>
      </w:pPr>
      <w:r>
        <w:rPr/>
        <w:t>Some interpretations of Dependent Arising suggest sense impression (or ‘contact’) is the arising of the sense of ‘I’ when things are “contacted”.</w:t>
      </w:r>
      <w:r>
        <w:rPr>
          <w:rStyle w:val="FootnoteReference"/>
        </w:rPr>
        <w:footnoteReference w:id="512"/>
      </w:r>
      <w:r>
        <w:rPr/>
        <w:t xml:space="preserve"> But the Buddha says the opposite here. Sense impressions happen without anybody experiencing them, without any ‘I’. They happen simply because there are the six senses. As seen before, enlightened beings still have the six senses and still undergo sense impressions. Therefore, as stated at §106, their consciousness also “sways and wavers; it is temporary, changing, and fluctuating”. Elsewhere the Buddha says that when ignorance is abandoned, the six types of sense impression and consciousness still exist; they are just looked at differently.</w:t>
      </w:r>
      <w:r>
        <w:rPr>
          <w:rStyle w:val="FootnoteReference"/>
        </w:rPr>
        <w:footnoteReference w:id="513"/>
      </w:r>
    </w:p>
    <w:p>
      <w:pPr>
        <w:pStyle w:val="WW-paragraph"/>
        <w:rPr/>
      </w:pPr>
      <w:r>
        <w:rPr/>
        <w:t>Certain interpretations of Dependent Arising also suggest that ignorance creates a certain duality between subject and object. This duality is said to disappear at enlightenment, quite similar if not identical to the teachings of Advaita (‘nondual’) Vedanta.</w:t>
      </w:r>
      <w:r>
        <w:rPr>
          <w:rStyle w:val="FootnoteReference"/>
        </w:rPr>
        <w:footnoteReference w:id="514"/>
      </w:r>
      <w:r>
        <w:rPr/>
        <w:t xml:space="preserve"> Venerable Anālayo already critiqued such views, stating: “The subject-object duality is not problematized in early Buddhist thought.”</w:t>
      </w:r>
      <w:r>
        <w:rPr>
          <w:rStyle w:val="FootnoteReference"/>
        </w:rPr>
        <w:footnoteReference w:id="515"/>
      </w:r>
      <w:r>
        <w:rPr/>
        <w:t xml:space="preserve"> And here too reality is the opposite from what is proposed. It is actually the sense of self which makes it seem like awareness and its objects have something in common, hence making it feel nondual. This delusion is more subtle than what many think the sense of self is all about: the thoughts of ‘I’ (in here) versus ‘them’ (out there), which is a certain kind of “duality” which indeed has to be abandoned, although the suttas never call this a duality or treat it as such. The duality the discourses actually describe exists on a deeper level and is not abandoned by the enlightened one. When it is understood, consciousness is perceived as it actually is: to be the result of what the Buddha called a ‘pair’ (or ‘duality’, </w:t>
      </w:r>
      <w:r>
        <w:rPr>
          <w:rStyle w:val="wwc-pali"/>
        </w:rPr>
        <w:t>dvaya</w:t>
      </w:r>
      <w:r>
        <w:rPr/>
        <w:t>, the same word as in Advaita).</w:t>
      </w:r>
      <w:r>
        <w:rPr>
          <w:rStyle w:val="FootnoteReference"/>
        </w:rPr>
        <w:footnoteReference w:id="516"/>
      </w:r>
      <w:r>
        <w:rPr/>
        <w:t xml:space="preserve"> As the </w:t>
      </w:r>
      <w:r>
        <w:rPr>
          <w:rStyle w:val="wwc-sesame"/>
        </w:rPr>
        <w:t>Discourse on the Foolish and Wise</w:t>
      </w:r>
      <w:r>
        <w:rPr/>
        <w:t xml:space="preserve"> said, this pair still exists for the wise.</w:t>
      </w:r>
      <w:r>
        <w:rPr>
          <w:rStyle w:val="FootnoteReference"/>
        </w:rPr>
        <w:footnoteReference w:id="517"/>
      </w:r>
      <w:r>
        <w:rPr/>
        <w:t xml:space="preserve"> Consciousness isn’t nondual. It is very much dual, including that of the enlightened—and in a sense </w:t>
      </w:r>
      <w:r>
        <w:rPr>
          <w:rStyle w:val="Emphasis"/>
        </w:rPr>
        <w:t>especially</w:t>
      </w:r>
      <w:r>
        <w:rPr/>
        <w:t xml:space="preserve"> that of the enlightened, as they don’t have the feeling of “sameness” in consciousness anymore.</w:t>
      </w:r>
    </w:p>
    <w:p>
      <w:pPr>
        <w:pStyle w:val="WW-chapter-section-1"/>
        <w:ind w:hanging="0" w:start="0"/>
        <w:rPr/>
      </w:pPr>
      <w:r>
        <w:rPr/>
        <w:t>Consciousness as a magic trick</w:t>
      </w:r>
    </w:p>
    <w:p>
      <w:pPr>
        <w:pStyle w:val="WW-paragraph"/>
        <w:rPr/>
      </w:pPr>
      <w:r>
        <w:rPr/>
        <w:t>Of all five aspects of existence consciousness is especially prone to illusions of sameness and self. This may explain why another simile compares it to a magic trick:</w:t>
      </w:r>
    </w:p>
    <w:p>
      <w:pPr>
        <w:pStyle w:val="WW-blockquote"/>
        <w:rPr/>
      </w:pPr>
      <w:bookmarkStart w:id="127" w:name="bqseg128"/>
      <w:bookmarkEnd w:id="127"/>
      <w:r>
        <w:rPr/>
        <w:t>Mendicants, imagine an illusion which a magician or a magician’s apprentice displays at a crossroad. A man with good eyesight inspects it, examines it, and properly investigates it. To him it will appear void, hollow, and without an essence. For what essence can there be in an illusion? Likewise, you inspect, examine, and properly investigate whatever consciousness there may be—whether past, present, or future; here or elsewhere; internal or external; coarse or subtle; lowly or sublime. To you it will appear void, hollow, and without an essence. For what essence can there be in consciousness?</w:t>
      </w:r>
      <w:r>
        <w:rPr>
          <w:rStyle w:val="FootnoteReference"/>
        </w:rPr>
        <w:footnoteReference w:id="518"/>
      </w:r>
    </w:p>
    <w:p>
      <w:pPr>
        <w:pStyle w:val="WW-paragraph"/>
        <w:rPr/>
      </w:pPr>
      <w:r>
        <w:rPr/>
        <w:t>This is all the discourses say about this simile, so we must be careful when making any inferences beyond those obviously intended. It is incorrect to say consciousness creates the illusion, for instance.</w:t>
      </w:r>
      <w:r>
        <w:rPr>
          <w:rStyle w:val="FootnoteReference"/>
        </w:rPr>
        <w:footnoteReference w:id="519"/>
      </w:r>
      <w:r>
        <w:rPr/>
        <w:t xml:space="preserve"> Consciousness is compared to an illusion, but it is the magician who creates this illusion, not consciousness itself. And in a deeper sense it is actually the audience who upholds the illusion by not understanding the magician’s trick. So if I were to expand on the simile, I’d do so with reservation, but would suggest that the magician stands for ignorance, and that the real illusion is not consciousness itself but the unenlightened person’s delusion that there is a constant entity in it. If consciousness itself created the delusion, this would be problematic, because enlightened beings still have consciousness.</w:t>
      </w:r>
    </w:p>
    <w:p>
      <w:pPr>
        <w:pStyle w:val="WW-paragraph"/>
        <w:rPr/>
      </w:pPr>
      <w:r>
        <w:rPr/>
        <w:t>Enlightened beings have seen the empty nature of the five aspects of existence completely. They still experience them, but they no longer perceive a self in it, no longer identify with it. A well-known passage also explains this:</w:t>
      </w:r>
    </w:p>
    <w:p>
      <w:pPr>
        <w:pStyle w:val="WW-blockquote"/>
        <w:rPr/>
      </w:pPr>
      <w:bookmarkStart w:id="128" w:name="bqseg129"/>
      <w:bookmarkEnd w:id="128"/>
      <w:r>
        <w:rPr/>
        <w:t xml:space="preserve">Any kind of form … sensation … perception … will … consciousness in terms of which you might declare there to be </w:t>
      </w:r>
      <w:r>
        <w:rPr>
          <w:rStyle w:val="Emphasis"/>
        </w:rPr>
        <w:t>a truth</w:t>
        <w:softHyphen/>
        <w:t>finder</w:t>
      </w:r>
      <w:r>
        <w:rPr/>
        <w:t>, truth</w:t>
        <w:softHyphen/>
        <w:t>finders have let go of. They cut it off at its roots, made it like a palm stump, put an end to it, so that it will not rearise in the future. Truth</w:t>
        <w:softHyphen/>
        <w:t>finders no longer identify with consciousness, being as deep, as difficult to get to the bottom of, and as hard to fathom as the ocean.</w:t>
      </w:r>
      <w:r>
        <w:rPr>
          <w:rStyle w:val="FootnoteReference"/>
        </w:rPr>
        <w:footnoteReference w:id="520"/>
      </w:r>
    </w:p>
    <w:p>
      <w:pPr>
        <w:pStyle w:val="WW-paragraph"/>
        <w:rPr/>
      </w:pPr>
      <w:r>
        <w:rPr/>
        <w:t>The passage is a bit cryptic. Notice first that the Buddha says truth</w:t>
        <w:softHyphen/>
        <w:t xml:space="preserve">finders (which here stands for any enlightened beings) made the aspects of existence not rearise </w:t>
      </w:r>
      <w:r>
        <w:rPr>
          <w:rStyle w:val="Emphasis"/>
        </w:rPr>
        <w:t>in the future</w:t>
      </w:r>
      <w:r>
        <w:rPr/>
        <w:t>. In other words, the aspects of existence including consciousness still exist, but they won’t be recreated through rebirth. Enlightened beings have put an end to them in the same sense that pressing the power button on a computer brings the operating system to an end. The screen doesn’t become blank instantly. The computer will still have to go through its shutdown sequence. This shutdown sequence is like the last life of the enlightened being.</w:t>
      </w:r>
    </w:p>
    <w:p>
      <w:pPr>
        <w:pStyle w:val="WW-paragraph"/>
        <w:rPr/>
      </w:pPr>
      <w:r>
        <w:rPr/>
        <w:t xml:space="preserve">Others might say or “declare” that there is a truly existent </w:t>
      </w:r>
      <w:r>
        <w:rPr>
          <w:rStyle w:val="Emphasis"/>
        </w:rPr>
        <w:t>truth</w:t>
        <w:softHyphen/>
        <w:t>finder</w:t>
      </w:r>
      <w:r>
        <w:rPr/>
        <w:t xml:space="preserve"> in terms of consciousness, that there is </w:t>
      </w:r>
      <w:r>
        <w:rPr>
          <w:rStyle w:val="Emphasis"/>
        </w:rPr>
        <w:t>a truth</w:t>
        <w:softHyphen/>
        <w:t>finder</w:t>
      </w:r>
      <w:r>
        <w:rPr/>
        <w:t xml:space="preserve"> who </w:t>
      </w:r>
      <w:r>
        <w:rPr>
          <w:rStyle w:val="Emphasis"/>
        </w:rPr>
        <w:t>has</w:t>
      </w:r>
      <w:r>
        <w:rPr/>
        <w:t xml:space="preserve">, </w:t>
      </w:r>
      <w:r>
        <w:rPr>
          <w:rStyle w:val="Emphasis"/>
        </w:rPr>
        <w:t>is</w:t>
      </w:r>
      <w:r>
        <w:rPr/>
        <w:t xml:space="preserve">, or </w:t>
      </w:r>
      <w:r>
        <w:rPr>
          <w:rStyle w:val="Emphasis"/>
        </w:rPr>
        <w:t>owns</w:t>
      </w:r>
      <w:r>
        <w:rPr/>
        <w:t xml:space="preserve"> consciousness. But to the enlightened one there is just essence-less consciousness without any owner or experiencer. They no longer identify with consciousness in any way. They no longer identify with the label ‘truth</w:t>
        <w:softHyphen/>
        <w:t>finder’ either, which others reify to be some kind of being or self. This lack of identification is deep and hard to fathom.</w:t>
      </w:r>
    </w:p>
    <w:p>
      <w:pPr>
        <w:pStyle w:val="WW-paragraph"/>
        <w:rPr/>
      </w:pPr>
      <w:r>
        <w:rPr/>
        <w:t>The next chapter discusses this absence of a self (</w:t>
      </w:r>
      <w:r>
        <w:rPr>
          <w:rStyle w:val="wwc-pali"/>
        </w:rPr>
        <w:t>anatta</w:t>
      </w:r>
      <w:r>
        <w:rPr/>
        <w:t>) further. It is nearly impossible to put this principle into words without sounding alien. Even saying “</w:t>
      </w:r>
      <w:r>
        <w:rPr>
          <w:rStyle w:val="Emphasis"/>
        </w:rPr>
        <w:t>they</w:t>
      </w:r>
      <w:r>
        <w:rPr/>
        <w:t xml:space="preserve"> don’t identify” already implies too much, because there is no substantial, unchanging </w:t>
      </w:r>
      <w:r>
        <w:rPr>
          <w:rStyle w:val="Emphasis"/>
        </w:rPr>
        <w:t>they</w:t>
      </w:r>
      <w:r>
        <w:rPr/>
        <w:t xml:space="preserve"> as such. Therefore, when the Buddha says truth</w:t>
        <w:softHyphen/>
        <w:t>finders are like an ocean, it doesn’t mean that truth</w:t>
        <w:softHyphen/>
        <w:t>finders truly exist as an entity.</w:t>
      </w:r>
      <w:r>
        <w:rPr>
          <w:rStyle w:val="FootnoteReference"/>
        </w:rPr>
        <w:footnoteReference w:id="521"/>
      </w:r>
      <w:r>
        <w:rPr/>
        <w:t xml:space="preserve"> It is just a way of speaking, another metaphor. In fact, too get overly philosophical, even ‘ocean’ is just a concept that only exists in the mind, just a name for a collection of water droplets that constantly evaporate and rain down again.</w:t>
      </w:r>
    </w:p>
    <w:p>
      <w:pPr>
        <w:pStyle w:val="WW-paragraph"/>
        <w:rPr/>
      </w:pPr>
      <w:r>
        <w:rPr/>
        <w:t>“</w:t>
      </w:r>
      <w:r>
        <w:rPr/>
        <w:t>Their” insight into the temporary and empty nature of consciousness makes “truth</w:t>
        <w:softHyphen/>
        <w:t>finders” drop all attachment to it. The cessation of consciousness will be perceived as a higher peace, with consciousness considered to be suffering in comparison. With this insight, consciousness will not be planted (</w:t>
      </w:r>
      <w:r>
        <w:rPr>
          <w:rStyle w:val="wwc-pali"/>
        </w:rPr>
        <w:t>appatiṭṭhita viññāṇa</w:t>
      </w:r>
      <w:r>
        <w:rPr/>
        <w:t>) in a next life. Not being replanted, consciousness will cease. It’s like the computer screen turns to black after the shutdown sequence.</w:t>
      </w:r>
      <w:r>
        <w:br w:type="page"/>
      </w:r>
    </w:p>
    <w:p>
      <w:pPr>
        <w:pStyle w:val="WW-Chapter"/>
        <w:spacing w:before="0" w:after="567"/>
        <w:ind w:hanging="0" w:start="0"/>
        <w:rPr/>
      </w:pPr>
      <w:r>
        <w:rPr/>
        <w:t>12. No support for consciousness</w:t>
      </w:r>
    </w:p>
    <w:p>
      <w:pPr>
        <w:pStyle w:val="WW-paragraph"/>
        <w:rPr/>
      </w:pPr>
      <w:r>
        <w:rPr/>
        <w:t xml:space="preserve">The previous chapter answered the question we set out to answer: what does </w:t>
      </w:r>
      <w:r>
        <w:rPr>
          <w:rStyle w:val="wwc-pali"/>
        </w:rPr>
        <w:t>appatiṭṭhita viññāṇa</w:t>
      </w:r>
      <w:r>
        <w:rPr/>
        <w:t xml:space="preserve"> mean? To further cement the idea that this refers the cessation of existence when consciousness is not established (or “planted”) in another life, this chapter discusses a related idea, of consciousness not being </w:t>
      </w:r>
      <w:r>
        <w:rPr>
          <w:rStyle w:val="Emphasis"/>
        </w:rPr>
        <w:t>supported</w:t>
      </w:r>
      <w:r>
        <w:rPr/>
        <w:t xml:space="preserve"> by anything.</w:t>
      </w:r>
    </w:p>
    <w:p>
      <w:pPr>
        <w:pStyle w:val="WW-chapter-section-1"/>
        <w:ind w:hanging="0" w:start="0"/>
        <w:rPr/>
      </w:pPr>
      <w:r>
        <w:rPr/>
        <w:t>Godhika’s passing away</w:t>
      </w:r>
    </w:p>
    <w:p>
      <w:pPr>
        <w:pStyle w:val="WW-paragraph"/>
        <w:rPr/>
      </w:pPr>
      <w:r>
        <w:rPr/>
        <w:t>In one sutta—the narrative of which I take with a big pinch of salt, but which is illustrative regardless—a monk named Godhika commits suicide but attains enlightenment at the time of his death. After he passed away, the god Māra tries to find where Godhika was reborn, wondering “where is Godhika’s consciousness planted?” The Buddha sees Māra and tells the attending mendicants:</w:t>
      </w:r>
    </w:p>
    <w:p>
      <w:pPr>
        <w:pStyle w:val="WW-blockquote"/>
        <w:rPr/>
      </w:pPr>
      <w:bookmarkStart w:id="129" w:name="bqseg130"/>
      <w:bookmarkEnd w:id="129"/>
      <w:r>
        <w:rPr/>
        <w:t>That is Māra the Evil One seeking for Godhika’s consciousness, wondering: ‘Where is Godhika’s consciousness planted?’ But with no consciousness planted anywhere, Godhika was fully extinguished.</w:t>
      </w:r>
    </w:p>
    <w:p>
      <w:pPr>
        <w:pStyle w:val="WW-paragraph"/>
        <w:rPr/>
      </w:pPr>
      <w:r>
        <w:rPr/>
        <w:t>Māra then says:</w:t>
      </w:r>
    </w:p>
    <w:p>
      <w:pPr>
        <w:pStyle w:val="WW-line-block"/>
        <w:rPr/>
      </w:pPr>
      <w:r>
        <w:rPr/>
        <w:t>I searched above, below, and across,</w:t>
        <w:br/>
        <w:t>in the four quarters and in between,</w:t>
        <w:br/>
        <w:t>but could not find</w:t>
        <w:br/>
        <w:t>where Godhika has gone.</w:t>
      </w:r>
    </w:p>
    <w:p>
      <w:pPr>
        <w:pStyle w:val="WW-paragraph"/>
        <w:rPr/>
      </w:pPr>
      <w:r>
        <w:rPr/>
        <w:t>The Buddha replies:</w:t>
      </w:r>
    </w:p>
    <w:p>
      <w:pPr>
        <w:pStyle w:val="WW-line-block"/>
        <w:rPr/>
      </w:pPr>
      <w:r>
        <w:rPr/>
        <w:t>Having defeated the army of Mortality,</w:t>
        <w:br/>
        <w:t>not coming back to another life,</w:t>
        <w:br/>
        <w:t>having pulled out craving with its root,</w:t>
        <w:br/>
        <w:t>Godhika got fully extinguished.</w:t>
      </w:r>
      <w:r>
        <w:rPr>
          <w:rStyle w:val="FootnoteReference"/>
        </w:rPr>
        <w:footnoteReference w:id="522"/>
      </w:r>
    </w:p>
    <w:p>
      <w:pPr>
        <w:pStyle w:val="WW-paragraph"/>
        <w:rPr/>
      </w:pPr>
      <w:r>
        <w:rPr/>
        <w:t>Mortality (</w:t>
      </w:r>
      <w:r>
        <w:rPr>
          <w:rStyle w:val="wwc-pali"/>
        </w:rPr>
        <w:t>maccu</w:t>
      </w:r>
      <w:r>
        <w:rPr/>
        <w:t>) is another name for Māra (lit. death/killer), who is death personified. His army is the mental defilements.</w:t>
      </w:r>
      <w:r>
        <w:rPr>
          <w:rStyle w:val="FootnoteReference"/>
        </w:rPr>
        <w:footnoteReference w:id="523"/>
      </w:r>
      <w:r>
        <w:rPr/>
        <w:t xml:space="preserve"> Just like this army of Mortality is a symbolism, the overall story of this discourse may symbolic too, with the inability to be found by Māra representing Godhika’s escape from death. I am also skeptical of highly developed beings committing suicide, but for the sake of discussion I will treat the discourse literally from hereon.</w:t>
      </w:r>
    </w:p>
    <w:p>
      <w:pPr>
        <w:pStyle w:val="WW-paragraph"/>
        <w:rPr/>
      </w:pPr>
      <w:r>
        <w:rPr/>
        <w:t xml:space="preserve">Notice that Māra says he searched for where </w:t>
      </w:r>
      <w:r>
        <w:rPr>
          <w:rStyle w:val="Emphasis"/>
        </w:rPr>
        <w:t>Godhika had gone</w:t>
      </w:r>
      <w:r>
        <w:rPr/>
        <w:t xml:space="preserve"> and the Buddha says Māra searched for where </w:t>
      </w:r>
      <w:r>
        <w:rPr>
          <w:rStyle w:val="Emphasis"/>
        </w:rPr>
        <w:t>consciousness was planted</w:t>
      </w:r>
      <w:r>
        <w:rPr/>
        <w:t>. This confirms two things I suggested earlier: that consciousness can refer to the person more generally, and that its planting refers to going to a certain place after death.</w:t>
      </w:r>
    </w:p>
    <w:p>
      <w:pPr>
        <w:pStyle w:val="WW-paragraph"/>
        <w:rPr/>
      </w:pPr>
      <w:r>
        <w:rPr/>
        <w:t>As discussed in the previous chapter, there have been suggestions that ‘with no consciousness planted’ (</w:t>
      </w:r>
      <w:r>
        <w:rPr>
          <w:rStyle w:val="wwc-pali"/>
        </w:rPr>
        <w:t>appatiṭṭha viññāṇa</w:t>
      </w:r>
      <w:r>
        <w:rPr/>
        <w:t>) describes the living enlightened being. But when the Buddha says Godhika had no consciousness planted anywhere, he is not referring to Godhika’s consciousness while he was still alive. Firstly, Māra searched for Godhika’s consciousness only after he died, wondering where Godhika has gone. He wanted to know where Godhika was reborn, where his consciousness was planted (</w:t>
      </w:r>
      <w:r>
        <w:rPr>
          <w:rStyle w:val="wwc-pali"/>
        </w:rPr>
        <w:t>patiṭṭhita</w:t>
      </w:r>
      <w:r>
        <w:rPr/>
        <w:t>). This idea is accordingly translated as “where his consciousness was reborn” (</w:t>
      </w:r>
      <w:r>
        <w:rPr/>
        <w:t>識神當生何處</w:t>
      </w:r>
      <w:r>
        <w:rPr/>
        <w:t xml:space="preserve">) in a </w:t>
      </w:r>
      <w:r>
        <w:rPr>
          <w:rStyle w:val="wwc-sesame"/>
        </w:rPr>
        <w:t>Saṁyukta Āgama</w:t>
      </w:r>
      <w:r>
        <w:rPr/>
        <w:t xml:space="preserve"> parallel to the </w:t>
      </w:r>
      <w:r>
        <w:rPr>
          <w:rStyle w:val="wwc-sesame"/>
        </w:rPr>
        <w:t>Vakkali Sutta</w:t>
      </w:r>
      <w:r>
        <w:rPr/>
        <w:t>, a text about a monk named Vakkali with a very similar storyline.</w:t>
      </w:r>
      <w:r>
        <w:rPr>
          <w:rStyle w:val="FootnoteReference"/>
        </w:rPr>
        <w:footnoteReference w:id="524"/>
      </w:r>
      <w:r>
        <w:rPr/>
        <w:t xml:space="preserve"> In an </w:t>
      </w:r>
      <w:r>
        <w:rPr>
          <w:rStyle w:val="wwc-sesame"/>
        </w:rPr>
        <w:t>Ekottarika</w:t>
      </w:r>
      <w:r>
        <w:rPr/>
        <w:t xml:space="preserve"> parallel, Māra wonders where Vakkali’s consciousness was established (</w:t>
      </w:r>
      <w:r>
        <w:rPr/>
        <w:t>識為何所在</w:t>
      </w:r>
      <w:r>
        <w:rPr/>
        <w:t>), in what realm it was reborn and where it had travelled on to (</w:t>
      </w:r>
      <w:r>
        <w:rPr/>
        <w:t>在何處生遊</w:t>
      </w:r>
      <w:r>
        <w:rPr/>
        <w:t>), whether he had become human or non-human, a god or spirit or such.</w:t>
      </w:r>
      <w:r>
        <w:rPr>
          <w:rStyle w:val="FootnoteReference"/>
        </w:rPr>
        <w:footnoteReference w:id="525"/>
      </w:r>
      <w:r>
        <w:rPr/>
        <w:t xml:space="preserve"> Both parallels confirm that the process that gets reborn was called ‘consciousness’</w:t>
      </w:r>
      <w:r>
        <w:rPr>
          <w:rStyle w:val="FootnoteReference"/>
        </w:rPr>
        <w:footnoteReference w:id="526"/>
      </w:r>
      <w:r>
        <w:rPr/>
        <w:t xml:space="preserve"> and that the planting of consciousness refers to being reborn in a certain place. In this light it makes sense for the </w:t>
      </w:r>
      <w:r>
        <w:rPr>
          <w:rStyle w:val="Emphasis"/>
        </w:rPr>
        <w:t>not</w:t>
      </w:r>
      <w:r>
        <w:rPr/>
        <w:t xml:space="preserve"> planting of consciousness to mean not going to any place after death, not some sort of enlightened state of mind. Secondly, the non-planting of consciousness can’t refer to the living being because Godhika (as well as Vakkali) wasn’t yet enlightened while still alive. The discourse says before death he only attained </w:t>
      </w:r>
      <w:r>
        <w:rPr>
          <w:rStyle w:val="Emphasis"/>
        </w:rPr>
        <w:t>temporary</w:t>
      </w:r>
      <w:r>
        <w:rPr/>
        <w:t xml:space="preserve"> liberation of mind, which refers to states of meditation.</w:t>
      </w:r>
      <w:r>
        <w:rPr>
          <w:rStyle w:val="FootnoteReference"/>
        </w:rPr>
        <w:footnoteReference w:id="527"/>
      </w:r>
      <w:r>
        <w:rPr/>
        <w:t xml:space="preserve"> He attained enlightenment only at the point of dying, at which moment he didn’t plant his consciousness in a new state of existence.</w:t>
      </w:r>
    </w:p>
    <w:p>
      <w:pPr>
        <w:pStyle w:val="WW-paragraph"/>
        <w:rPr/>
      </w:pPr>
      <w:r>
        <w:rPr/>
        <w:t>After they pass away, enlightened beings “have no destination”, because they “broke apart transmigration, cut off all destinations, won’t have a next life” and “will not be reborn anywhere at all”.</w:t>
      </w:r>
      <w:r>
        <w:rPr>
          <w:rStyle w:val="FootnoteReference"/>
        </w:rPr>
        <w:footnoteReference w:id="528"/>
      </w:r>
      <w:r>
        <w:rPr/>
        <w:t xml:space="preserve"> That is something the ordinary gods don’t understand, which is why Māra kept looking for Godhika.</w:t>
      </w:r>
    </w:p>
    <w:p>
      <w:pPr>
        <w:pStyle w:val="WW-paragraph"/>
        <w:rPr/>
      </w:pPr>
      <w:r>
        <w:rPr/>
        <w:t>The Buddha also said:</w:t>
      </w:r>
    </w:p>
    <w:p>
      <w:pPr>
        <w:pStyle w:val="WW-line-block"/>
        <w:rPr/>
      </w:pPr>
      <w:bookmarkStart w:id="130" w:name="bqseg131"/>
      <w:bookmarkEnd w:id="130"/>
      <w:r>
        <w:rPr/>
        <w:t>Enlightened, without defilements—</w:t>
        <w:br/>
        <w:t>gods, spirits, and humans</w:t>
        <w:br/>
        <w:t>do not understand their destination:</w:t>
        <w:br/>
        <w:t>them I call brahmins.</w:t>
      </w:r>
      <w:r>
        <w:rPr>
          <w:rStyle w:val="FootnoteReference"/>
        </w:rPr>
        <w:footnoteReference w:id="529"/>
      </w:r>
    </w:p>
    <w:p>
      <w:pPr>
        <w:pStyle w:val="WW-paragraph"/>
        <w:rPr/>
      </w:pPr>
      <w:r>
        <w:rPr/>
        <w:t>This doesn’t mean enlightened beings have some sort of mystical destination which is unknown to others. It is a poetic way of saying that they have no destination after death, and that ordinary beings do not understand this. It means their “destination” is the end of all destinations, the end of all states of existence.</w:t>
      </w:r>
    </w:p>
    <w:p>
      <w:pPr>
        <w:pStyle w:val="WW-paragraph"/>
        <w:rPr/>
      </w:pPr>
      <w:r>
        <w:rPr/>
        <w:t xml:space="preserve">The reason Māra could not find Godhika’s consciousness is that, as the Buddha states, Godhika got fully extinguished. This refers to </w:t>
      </w:r>
      <w:r>
        <w:rPr>
          <w:rStyle w:val="wwc-pali"/>
        </w:rPr>
        <w:t>parinibbāna</w:t>
      </w:r>
      <w:r>
        <w:rPr/>
        <w:t>, the passing away of an enlightened being. At that time consciousness, not being planted again in any realm of existence, comes to an end:</w:t>
      </w:r>
    </w:p>
    <w:p>
      <w:pPr>
        <w:pStyle w:val="WW-line-block"/>
        <w:rPr/>
      </w:pPr>
      <w:bookmarkStart w:id="131" w:name="bqseg132"/>
      <w:bookmarkEnd w:id="131"/>
      <w:r>
        <w:rPr/>
        <w:t>Suffering depends on consciousness.</w:t>
        <w:br/>
        <w:t>After you know this problem,</w:t>
        <w:br/>
        <w:t>being hungerless, you get fully extinguished,</w:t>
        <w:br/>
        <w:t>when consciousness subsides.</w:t>
      </w:r>
      <w:r>
        <w:rPr>
          <w:rStyle w:val="FootnoteReference"/>
        </w:rPr>
        <w:footnoteReference w:id="530"/>
      </w:r>
    </w:p>
    <w:p>
      <w:pPr>
        <w:pStyle w:val="WW-paragraph"/>
        <w:rPr/>
      </w:pPr>
      <w:r>
        <w:rPr/>
        <w:t xml:space="preserve">A </w:t>
      </w:r>
      <w:r>
        <w:rPr>
          <w:rStyle w:val="wwc-sesame"/>
        </w:rPr>
        <w:t>Saṁyukta Āgama</w:t>
      </w:r>
      <w:r>
        <w:rPr/>
        <w:t xml:space="preserve"> parallel to the </w:t>
      </w:r>
      <w:r>
        <w:rPr>
          <w:rStyle w:val="wwc-sesame"/>
        </w:rPr>
        <w:t>Godhika Sutta</w:t>
      </w:r>
      <w:r>
        <w:rPr/>
        <w:t xml:space="preserve"> verifies this understanding. It says Godhika attained </w:t>
      </w:r>
      <w:r>
        <w:rPr>
          <w:rStyle w:val="wwc-pali"/>
        </w:rPr>
        <w:t>nirvāṇa</w:t>
      </w:r>
      <w:r>
        <w:rPr/>
        <w:t>, where there exists no consciousness (</w:t>
      </w:r>
      <w:r>
        <w:rPr/>
        <w:t>涅槃無有神識</w:t>
      </w:r>
      <w:r>
        <w:rPr/>
        <w:t>), and he did not go to any place (</w:t>
      </w:r>
      <w:r>
        <w:rPr/>
        <w:t>無所至方</w:t>
      </w:r>
      <w:r>
        <w:rPr/>
        <w:t>).</w:t>
      </w:r>
      <w:r>
        <w:rPr>
          <w:rStyle w:val="FootnoteReference"/>
        </w:rPr>
        <w:footnoteReference w:id="531"/>
      </w:r>
      <w:r>
        <w:rPr/>
        <w:t xml:space="preserve"> The latter expression appears to refers to </w:t>
      </w:r>
      <w:r>
        <w:rPr>
          <w:rStyle w:val="wwc-pali"/>
        </w:rPr>
        <w:t>appatiṭṭhita</w:t>
      </w:r>
      <w:r>
        <w:rPr/>
        <w:t xml:space="preserve"> and might even be a translation of its Sanskrit equivalent. So to conclude this brief analysis of the </w:t>
      </w:r>
      <w:r>
        <w:rPr>
          <w:rStyle w:val="wwc-sesame"/>
        </w:rPr>
        <w:t>Godhika Sutta</w:t>
      </w:r>
      <w:r>
        <w:rPr/>
        <w:t xml:space="preserve">: the Āgama parallels interpret </w:t>
      </w:r>
      <w:r>
        <w:rPr>
          <w:rStyle w:val="wwc-pali"/>
        </w:rPr>
        <w:t>appatiṭṭhita viññāṇa</w:t>
      </w:r>
      <w:r>
        <w:rPr/>
        <w:t xml:space="preserve"> just as suggested here, as referring to the cessation of consciousness when there is no rebirth, when consciousness is not reestablished in any realm.</w:t>
      </w:r>
    </w:p>
    <w:p>
      <w:pPr>
        <w:pStyle w:val="WW-chapter-section-1"/>
        <w:ind w:hanging="0" w:start="0"/>
        <w:rPr/>
      </w:pPr>
      <w:r>
        <w:rPr/>
        <w:t>Why the gods can’t find a Tathāgata</w:t>
      </w:r>
    </w:p>
    <w:p>
      <w:pPr>
        <w:pStyle w:val="WW-paragraph"/>
        <w:rPr/>
      </w:pPr>
      <w:r>
        <w:rPr/>
        <w:t xml:space="preserve">Māra was not the only divine being seeking in vain for the consciousness of an enlightened being who passed away. In the </w:t>
      </w:r>
      <w:r>
        <w:rPr>
          <w:rStyle w:val="wwc-sesame"/>
        </w:rPr>
        <w:t>Simile of the Snake Discourse</w:t>
      </w:r>
      <w:r>
        <w:rPr/>
        <w:t>, after giving a lengthy teaching on enlightenment and the non-existence of a self, the Buddha describes other gods (</w:t>
      </w:r>
      <w:r>
        <w:rPr>
          <w:rStyle w:val="wwc-pali"/>
        </w:rPr>
        <w:t>devas</w:t>
      </w:r>
      <w:r>
        <w:rPr/>
        <w:t>) doing the same, failing to find a truth</w:t>
        <w:softHyphen/>
        <w:t>finder. In this context ‘truth</w:t>
        <w:softHyphen/>
        <w:t>finder’ (</w:t>
      </w:r>
      <w:r>
        <w:rPr>
          <w:rStyle w:val="wwc-pali"/>
        </w:rPr>
        <w:t>tathāgata</w:t>
      </w:r>
      <w:r>
        <w:rPr/>
        <w:t>)</w:t>
      </w:r>
      <w:r>
        <w:rPr>
          <w:rStyle w:val="FootnoteReference"/>
        </w:rPr>
        <w:footnoteReference w:id="532"/>
      </w:r>
      <w:r>
        <w:rPr/>
        <w:t xml:space="preserve"> refers to any enlightened being, not just the Buddha.</w:t>
      </w:r>
    </w:p>
    <w:p>
      <w:pPr>
        <w:pStyle w:val="WW-blockquote"/>
        <w:rPr/>
      </w:pPr>
      <w:bookmarkStart w:id="132" w:name="bqseg133"/>
      <w:bookmarkEnd w:id="132"/>
      <w:r>
        <w:rPr/>
        <w:t>When the gods including Indra, Brahmā, and Pajāpati seek for a mendicant who had such a liberated mind, wondering what that truth</w:t>
        <w:softHyphen/>
        <w:t xml:space="preserve">finder’s consciousness is supported by, they will not find it. Why? Even while alive there is no </w:t>
      </w:r>
      <w:r>
        <w:rPr>
          <w:rStyle w:val="Emphasis"/>
        </w:rPr>
        <w:t>truth</w:t>
        <w:softHyphen/>
        <w:t>finder</w:t>
      </w:r>
      <w:r>
        <w:rPr/>
        <w:t xml:space="preserve"> to be found, I tell you.</w:t>
      </w:r>
    </w:p>
    <w:p>
      <w:pPr>
        <w:pStyle w:val="WW-blockquote"/>
        <w:rPr/>
      </w:pPr>
      <w:r>
        <w:rPr/>
        <w:t>When I state and explain this, some renunciants and brahmins slander me, baselessly, untruthfully, and falsely arguing that I am an annihilationist. They say: “The renunciant Gotama declares the annihilation, the destruction, the eradication, of an actually existing being.” Because I am not, and because I do not declare that, they slander me when saying so. In the past and also now, what I declare is that there is only suffering and a cessation of suffering.</w:t>
      </w:r>
      <w:r>
        <w:rPr>
          <w:rStyle w:val="FootnoteReference"/>
        </w:rPr>
        <w:footnoteReference w:id="533"/>
      </w:r>
    </w:p>
    <w:p>
      <w:pPr>
        <w:pStyle w:val="WW-paragraph"/>
        <w:rPr/>
      </w:pPr>
      <w:r>
        <w:rPr/>
        <w:t>Like Māra’s search for Godhika, this passage could be symbolic. It might just say that enlightened beings surpass even the most powerful gods and are not reborn even among them. However, I will treat it literally again.</w:t>
      </w:r>
    </w:p>
    <w:p>
      <w:pPr>
        <w:pStyle w:val="WW-paragraph"/>
        <w:rPr/>
      </w:pPr>
      <w:r>
        <w:rPr/>
        <w:t>The phrase “even while alive there is no truth</w:t>
        <w:softHyphen/>
        <w:t>finder to be found”</w:t>
      </w:r>
      <w:r>
        <w:rPr>
          <w:rStyle w:val="FootnoteReference"/>
        </w:rPr>
        <w:footnoteReference w:id="534"/>
      </w:r>
      <w:r>
        <w:rPr/>
        <w:t xml:space="preserve"> was translated by Venerable Bodhi as “one thus gone (</w:t>
      </w:r>
      <w:r>
        <w:rPr>
          <w:rStyle w:val="wwc-pali"/>
        </w:rPr>
        <w:t>tathāgata</w:t>
      </w:r>
      <w:r>
        <w:rPr/>
        <w:t xml:space="preserve">) is untraceable here and now”, but this does not mean that there exists some real tathāgata-being who is somehow “untraceable”. Despite this potentially confusing translation, Bodhi notes the commentary understands this sentence to be about </w:t>
      </w:r>
      <w:r>
        <w:rPr>
          <w:rStyle w:val="wwc-pali"/>
        </w:rPr>
        <w:t>anatta</w:t>
      </w:r>
      <w:r>
        <w:rPr/>
        <w:t>, the absence of a self.</w:t>
      </w:r>
      <w:r>
        <w:rPr>
          <w:rStyle w:val="FootnoteReference"/>
        </w:rPr>
        <w:footnoteReference w:id="535"/>
      </w:r>
      <w:r>
        <w:rPr/>
        <w:t xml:space="preserve"> The commentary is correct, for this is what the discourse explained at great length just before and continues with afterwards. The idea is that there is no entity called ‘a truth</w:t>
        <w:softHyphen/>
        <w:t xml:space="preserve">finder’ in the first place. The word is nothing but a label for empty processes, a convenient way to refer to the five aspects of existence of the enlightened one. In other words, there is no essence or self to be found, nothing which truly is </w:t>
      </w:r>
      <w:r>
        <w:rPr>
          <w:rStyle w:val="Emphasis"/>
        </w:rPr>
        <w:t>the</w:t>
      </w:r>
      <w:r>
        <w:rPr/>
        <w:t xml:space="preserve"> truth</w:t>
        <w:softHyphen/>
        <w:t>finder. There is no such fundamentally existing truth</w:t>
        <w:softHyphen/>
        <w:t>finder, not only after death, when existence has ceased, but also before, while the enlightened being (or more correctly, the enlightened set of khandhas) was still alive.</w:t>
      </w:r>
      <w:r>
        <w:rPr>
          <w:rStyle w:val="FootnoteReference"/>
        </w:rPr>
        <w:footnoteReference w:id="536"/>
      </w:r>
      <w:r>
        <w:rPr/>
        <w:t xml:space="preserve"> Venerable Bodhi therefore also wrote: “He [the enlightened being] does not even see a self-existent Tathāgata to die, let alone to be eternalized or annihilated after death.”</w:t>
      </w:r>
      <w:r>
        <w:rPr>
          <w:rStyle w:val="FootnoteReference"/>
        </w:rPr>
        <w:footnoteReference w:id="537"/>
      </w:r>
    </w:p>
    <w:p>
      <w:pPr>
        <w:pStyle w:val="WW-paragraph"/>
        <w:rPr/>
      </w:pPr>
      <w:r>
        <w:rPr/>
        <w:t xml:space="preserve">Because there is no essence in the five aspects of existence including consciousness, when consciousness is no longer supported by anything, it can completely cease at </w:t>
      </w:r>
      <w:r>
        <w:rPr>
          <w:rStyle w:val="wwc-pali"/>
        </w:rPr>
        <w:t>parinibbāna</w:t>
      </w:r>
      <w:r>
        <w:rPr/>
        <w:t>. That is why the gods are unable to find any enlightened being or their consciousness.</w:t>
      </w:r>
    </w:p>
    <w:p>
      <w:pPr>
        <w:pStyle w:val="WW-paragraph"/>
        <w:rPr/>
      </w:pPr>
      <w:r>
        <w:rPr/>
        <w:t>There are a couple of verses in the Pāli Canon in which gods also seem to be unable to find the enlightened being while alive, which seems to refer to them no longer thinking in terms of ‘I exist’.</w:t>
      </w:r>
      <w:r>
        <w:rPr>
          <w:rStyle w:val="FootnoteReference"/>
        </w:rPr>
        <w:footnoteReference w:id="538"/>
      </w:r>
      <w:r>
        <w:rPr/>
        <w:t xml:space="preserve"> But unlike the above passage, these texts don’t mention a search for consciousness, which I think is an important difference. In the </w:t>
      </w:r>
      <w:r>
        <w:rPr>
          <w:rStyle w:val="wwc-sesame"/>
        </w:rPr>
        <w:t>Simile of the Snake Discourse</w:t>
      </w:r>
      <w:r>
        <w:rPr/>
        <w:t xml:space="preserve"> ‘consciousness’ I suggest means that which continues from life to life. When the gods failed to find the enlightened one’s consciousness, they failed to find where they were reborn. This may not be immediately obvious, because the text does not explicitly mention that anyone has died. As a result the passage has been interpreted to describe the enlightened mind during life.</w:t>
      </w:r>
      <w:r>
        <w:rPr>
          <w:rStyle w:val="FootnoteReference"/>
        </w:rPr>
        <w:footnoteReference w:id="539"/>
      </w:r>
      <w:r>
        <w:rPr/>
        <w:t xml:space="preserve"> But there are multiple reasons that the passage may instead concern what happens after death. The rest of this chapter will share these reasons while also further explaining the concept of </w:t>
      </w:r>
      <w:r>
        <w:rPr>
          <w:rStyle w:val="wwc-pali"/>
        </w:rPr>
        <w:t>anatta</w:t>
      </w:r>
      <w:r>
        <w:rPr/>
        <w:t>.</w:t>
      </w:r>
    </w:p>
    <w:p>
      <w:pPr>
        <w:pStyle w:val="WW-chapter-section-1"/>
        <w:ind w:hanging="0" w:start="0"/>
        <w:rPr/>
      </w:pPr>
      <w:r>
        <w:rPr/>
        <w:t>Deities looking for the place of rebirth</w:t>
      </w:r>
    </w:p>
    <w:p>
      <w:pPr>
        <w:pStyle w:val="WW-paragraph"/>
        <w:rPr/>
      </w:pPr>
      <w:r>
        <w:rPr/>
        <w:t xml:space="preserve">The </w:t>
      </w:r>
      <w:r>
        <w:rPr>
          <w:rStyle w:val="Strong"/>
        </w:rPr>
        <w:t>first reason</w:t>
      </w:r>
      <w:r>
        <w:rPr/>
        <w:t xml:space="preserve"> that the inquiry of the gods in the </w:t>
      </w:r>
      <w:r>
        <w:rPr>
          <w:rStyle w:val="wwc-sesame"/>
        </w:rPr>
        <w:t>Simile of the Snake Discourse</w:t>
      </w:r>
      <w:r>
        <w:rPr/>
        <w:t xml:space="preserve"> could concern the enlightened being who passed away, is the great similarity with Māra’s inquiry in the </w:t>
      </w:r>
      <w:r>
        <w:rPr>
          <w:rStyle w:val="wwc-sesame"/>
        </w:rPr>
        <w:t>Godhika Sutta</w:t>
      </w:r>
      <w:r>
        <w:rPr/>
        <w:t>. Māra sought but could not find where Godhika’s consciousness was planted after his death; the gods sought but could not find what the consciousness of the enlightened mendicant was supported by. The words for ‘sought’ and ‘cannot find’ are the exact same in both cases, as is of course ‘consciousness’. The words ‘supported’ (</w:t>
      </w:r>
      <w:r>
        <w:rPr>
          <w:rStyle w:val="wwc-pali"/>
        </w:rPr>
        <w:t>nissita</w:t>
      </w:r>
      <w:r>
        <w:rPr/>
        <w:t>) and ‘planted’ (</w:t>
      </w:r>
      <w:r>
        <w:rPr>
          <w:rStyle w:val="wwc-pali"/>
        </w:rPr>
        <w:t>patiṭṭha</w:t>
      </w:r>
      <w:r>
        <w:rPr/>
        <w:t xml:space="preserve">) are different but convey the same idea. There is a direct connection between them in the sentence: “All seeds and plants that develop, sprout, and mature, do so </w:t>
      </w:r>
      <w:r>
        <w:rPr>
          <w:rStyle w:val="Emphasis"/>
        </w:rPr>
        <w:t>supported</w:t>
      </w:r>
      <w:r>
        <w:rPr/>
        <w:t xml:space="preserve"> by the earth, </w:t>
      </w:r>
      <w:r>
        <w:rPr>
          <w:rStyle w:val="Emphasis"/>
        </w:rPr>
        <w:t>planted</w:t>
      </w:r>
      <w:r>
        <w:rPr/>
        <w:t xml:space="preserve"> in the earth.”</w:t>
      </w:r>
      <w:r>
        <w:rPr>
          <w:rStyle w:val="FootnoteReference"/>
        </w:rPr>
        <w:footnoteReference w:id="540"/>
      </w:r>
    </w:p>
    <w:p>
      <w:pPr>
        <w:pStyle w:val="WW-paragraph"/>
        <w:rPr/>
      </w:pPr>
      <w:r>
        <w:rPr/>
        <w:t xml:space="preserve">The </w:t>
      </w:r>
      <w:r>
        <w:rPr>
          <w:rStyle w:val="wwc-sesame"/>
        </w:rPr>
        <w:t>Seeds Discourse</w:t>
      </w:r>
      <w:r>
        <w:rPr/>
        <w:t xml:space="preserve"> says that if the seed of consciousness is not fueled by desire for the aspects of existence, it can’t be planted in a next life, because “when desire is abandoned, its foundation is destroyed” (§76). Put differently, without a foundation (i.e. support) consciousness cannot be established in any realm. When the gods failed to find what the consciousness of the enlightened mendicant was supported by, it therefore means they could not find where they were reborn. They were in the same situation as Māra failing to find where Godhika’s consciousness was planted.</w:t>
      </w:r>
    </w:p>
    <w:p>
      <w:pPr>
        <w:pStyle w:val="WW-paragraph"/>
        <w:rPr/>
      </w:pPr>
      <w:r>
        <w:rPr/>
        <w:t>The next verse conveys the same idea, using nearly identical expressions for ‘search’ and ‘will not find’:</w:t>
      </w:r>
    </w:p>
    <w:p>
      <w:pPr>
        <w:pStyle w:val="WW-line-block"/>
        <w:rPr/>
      </w:pPr>
      <w:bookmarkStart w:id="133" w:name="bqseg134"/>
      <w:bookmarkEnd w:id="133"/>
      <w:r>
        <w:rPr/>
        <w:t>They stopped defining themselves, didn’t fall into conceit.</w:t>
        <w:br/>
        <w:t>They cut the knots, were untroubled, without wants.</w:t>
        <w:br/>
        <w:t>In life they cut off craving for any immaterial aspects or body.</w:t>
        <w:br/>
        <w:t>Though humans and gods may search for them</w:t>
        <w:br/>
        <w:t>in this world or the beyond, they will not find them,</w:t>
        <w:br/>
        <w:t>not in heaven nor in any abode.</w:t>
      </w:r>
      <w:r>
        <w:rPr>
          <w:rStyle w:val="FootnoteReference"/>
        </w:rPr>
        <w:footnoteReference w:id="541"/>
      </w:r>
    </w:p>
    <w:p>
      <w:pPr>
        <w:pStyle w:val="WW-paragraph"/>
        <w:rPr/>
      </w:pPr>
      <w:r>
        <w:rPr/>
        <w:t>This verse too concerns the situation after death.</w:t>
      </w:r>
      <w:r>
        <w:rPr>
          <w:rStyle w:val="FootnoteReference"/>
        </w:rPr>
        <w:footnoteReference w:id="542"/>
      </w:r>
      <w:r>
        <w:rPr/>
        <w:t xml:space="preserve"> The past tense used in the first two lines already indicates this, referring back to when the enlightened one was still alive, and the line “</w:t>
      </w:r>
      <w:r>
        <w:rPr>
          <w:rStyle w:val="Emphasis"/>
        </w:rPr>
        <w:t>in life</w:t>
      </w:r>
      <w:r>
        <w:rPr/>
        <w:t xml:space="preserve"> they cut off craving for any immaterial aspects and body” makes it unmistakable. A verse in the </w:t>
      </w:r>
      <w:r>
        <w:rPr>
          <w:rStyle w:val="wwc-sesame"/>
        </w:rPr>
        <w:t>Suttanipāta</w:t>
      </w:r>
      <w:r>
        <w:rPr/>
        <w:t xml:space="preserve"> mentions the same: “In life he cut off craving for any immaterial aspects and body […] he crossed over birth and death.”</w:t>
      </w:r>
      <w:r>
        <w:rPr>
          <w:rStyle w:val="FootnoteReference"/>
        </w:rPr>
        <w:footnoteReference w:id="543"/>
      </w:r>
      <w:r>
        <w:rPr/>
        <w:t xml:space="preserve"> The Buddha said this after being asked by Vaṅgīsa whether his recently deceased preceptor had attained full extinguishment or not.</w:t>
      </w:r>
    </w:p>
    <w:p>
      <w:pPr>
        <w:pStyle w:val="WW-paragraph"/>
        <w:rPr/>
      </w:pPr>
      <w:r>
        <w:rPr/>
        <w:t>Both verses specifically mention craving for any immaterial aspects and body (</w:t>
      </w:r>
      <w:r>
        <w:rPr>
          <w:rStyle w:val="wwc-pali"/>
        </w:rPr>
        <w:t>nāmarūpa</w:t>
      </w:r>
      <w:r>
        <w:rPr/>
        <w:t xml:space="preserve">), which is also illustrative. As we have seen, in Dependent Arising this factor has a strong link with rebirth, just like consciousness. If there is no desire for </w:t>
      </w:r>
      <w:r>
        <w:rPr>
          <w:rStyle w:val="wwc-pali"/>
        </w:rPr>
        <w:t>nāmarūpa</w:t>
      </w:r>
      <w:r>
        <w:rPr/>
        <w:t>, then there is no support for the rebirth of consciousness.</w:t>
      </w:r>
    </w:p>
    <w:p>
      <w:pPr>
        <w:pStyle w:val="WW-paragraph"/>
        <w:rPr/>
      </w:pPr>
      <w:r>
        <w:rPr/>
        <w:t xml:space="preserve">The </w:t>
      </w:r>
      <w:r>
        <w:rPr>
          <w:rStyle w:val="Strong"/>
        </w:rPr>
        <w:t>second reason</w:t>
      </w:r>
      <w:r>
        <w:rPr/>
        <w:t xml:space="preserve"> the inquiry of the gods in the </w:t>
      </w:r>
      <w:r>
        <w:rPr>
          <w:rStyle w:val="wwc-sesame"/>
        </w:rPr>
        <w:t>Simile of the Snake Discourse</w:t>
      </w:r>
      <w:r>
        <w:rPr/>
        <w:t xml:space="preserve"> concerns the situation after death, is that the gods are specifically looking for the enlightened one’s </w:t>
      </w:r>
      <w:r>
        <w:rPr>
          <w:rStyle w:val="Emphasis"/>
        </w:rPr>
        <w:t>consciousness</w:t>
      </w:r>
      <w:r>
        <w:rPr/>
        <w:t>. I fail to see why they would try to do this for a living enlightened being, who is generally still conscious. The gods are instead looking for the enlightened being after death, with “what consciousness is supported by” referring to the place where they thought their consciousness could have been reborn. I suppose that ordinarily they see beings dying and getting reborn in various places, using the divine sight they, as divine beings, possess. But when an enlightened being dies, they see no one going anywhere, so then they start wondering where their consciousness has gone. In this context ‘consciousness’ means the life force or mind that travels on and continues from life to life, not just mere awareness.</w:t>
      </w:r>
    </w:p>
    <w:p>
      <w:pPr>
        <w:pStyle w:val="WW-paragraph"/>
        <w:rPr/>
      </w:pPr>
      <w:r>
        <w:rPr/>
        <w:t xml:space="preserve">If we understood the gods’ quest for the support of consciousness to occur while the enlightened one was still alive, it would mean they were attempting to read their minds in one way or other, somehow wondering how the enlightened one’s consciousness would be supported during their life. This inquiry seems not only rather strange, it also has no equivalent anywhere in the canon. The divine sight that sees beings getting reborn is mentioned frequently, on the other hand. We can also wonder, if the gods </w:t>
      </w:r>
      <w:r>
        <w:rPr>
          <w:rStyle w:val="Emphasis"/>
        </w:rPr>
        <w:t>were</w:t>
      </w:r>
      <w:r>
        <w:rPr/>
        <w:t xml:space="preserve"> doing some sort of mind reading, why would they suddenly be unable to do so for an enlightened one? In other places in the canon, various gods, Māra included, seem to have no trouble reading even the mind of the Buddha.</w:t>
      </w:r>
      <w:r>
        <w:rPr>
          <w:rStyle w:val="FootnoteReference"/>
        </w:rPr>
        <w:footnoteReference w:id="544"/>
      </w:r>
      <w:r>
        <w:rPr/>
        <w:t xml:space="preserve"> Finally, if they </w:t>
      </w:r>
      <w:r>
        <w:rPr>
          <w:rStyle w:val="Emphasis"/>
        </w:rPr>
        <w:t>did</w:t>
      </w:r>
      <w:r>
        <w:rPr/>
        <w:t xml:space="preserve"> try to read the enlightened being’s mind to see “what that truth</w:t>
        <w:softHyphen/>
        <w:t>finder’s consciousness is supported by”—assuming such a question makes sense to ask of a living person—why would the answer be different from that of unenlightened beings? As we have seen, consciousness arises dependent on an object and is established in a certain realm even for the wise. So while alive, in this sense the consciousness of the enlightened one is still supported by something.</w:t>
      </w:r>
    </w:p>
    <w:p>
      <w:pPr>
        <w:pStyle w:val="WW-chapter-section-1"/>
        <w:ind w:hanging="0" w:start="0"/>
        <w:rPr/>
      </w:pPr>
      <w:r>
        <w:rPr/>
        <w:t>Only suffering ceases</w:t>
      </w:r>
    </w:p>
    <w:p>
      <w:pPr>
        <w:pStyle w:val="WW-paragraph"/>
        <w:rPr/>
      </w:pPr>
      <w:r>
        <w:rPr/>
        <w:t xml:space="preserve">The </w:t>
      </w:r>
      <w:r>
        <w:rPr>
          <w:rStyle w:val="Strong"/>
        </w:rPr>
        <w:t>third reason</w:t>
      </w:r>
      <w:r>
        <w:rPr/>
        <w:t xml:space="preserve"> the passage seems to concern the situation after death, is that the Buddha, after he declares the gods’ inability to find the consciousness of an enlightened being, gets accused of being an annihilationist. The annihilationists believed there is a real existent being, a self, that gets destroyed at death. The Buddha instead taught that life, including consciousness, is a process which has no self, so when consciousness ceases at the death of an enlightened one, nothing of essence is annihilated. But when he indicated this by saying that the gods can’t find the consciousness (because it doesn’t exist anymore), some in his audience misunderstood it as the annihilation of an essence and then accused the Buddha of being an annihilationist. If the passage concerned the consciousness of a living being, they would have had no reason to do so.</w:t>
      </w:r>
    </w:p>
    <w:p>
      <w:pPr>
        <w:pStyle w:val="WW-paragraph"/>
        <w:rPr/>
      </w:pPr>
      <w:r>
        <w:rPr/>
        <w:t xml:space="preserve">The Buddha responds to the accusations by saying, “there is only suffering and a cessation of suffering”. This means that, while annihilationists declared there to be a real existent being or self that gets annihilated, the Buddha declared there is only suffering, no self, so that what ceases is also only suffering, not a self. The </w:t>
      </w:r>
      <w:r>
        <w:rPr>
          <w:rStyle w:val="wwc-sesame"/>
        </w:rPr>
        <w:t>Madhyama Āgama</w:t>
      </w:r>
      <w:r>
        <w:rPr/>
        <w:t xml:space="preserve"> clarifies this idea further:</w:t>
      </w:r>
    </w:p>
    <w:p>
      <w:pPr>
        <w:pStyle w:val="WW-blockquote"/>
        <w:rPr/>
      </w:pPr>
      <w:bookmarkStart w:id="134" w:name="bqseg135"/>
      <w:bookmarkEnd w:id="134"/>
      <w:r>
        <w:rPr/>
        <w:t>There is no self; there is nothing that belongs to a self; [all this] is empty of a self and empty of anything that belongs to a self. When phenomena arise, they arise; when phenomena cease, they cease. All this is [just] a combination of causes and conditions, giving rise to suffering. If the causes and conditions were not present, then all suffering would cease.</w:t>
      </w:r>
      <w:r>
        <w:rPr>
          <w:rStyle w:val="FootnoteReference"/>
        </w:rPr>
        <w:footnoteReference w:id="545"/>
      </w:r>
    </w:p>
    <w:p>
      <w:pPr>
        <w:pStyle w:val="WW-paragraph"/>
        <w:rPr/>
      </w:pPr>
      <w:r>
        <w:rPr/>
        <w:t>Venerable Vajirā likewise said:</w:t>
      </w:r>
    </w:p>
    <w:p>
      <w:pPr>
        <w:pStyle w:val="WW-line-block"/>
        <w:rPr/>
      </w:pPr>
      <w:bookmarkStart w:id="135" w:name="bqseg136"/>
      <w:bookmarkEnd w:id="135"/>
      <w:r>
        <w:rPr/>
        <w:t>Just as there is the word ‘chariot’</w:t>
        <w:br/>
        <w:t>for an assembly of parts,</w:t>
        <w:br/>
        <w:t>so there is just the convention ‘a being’</w:t>
        <w:br/>
        <w:t>when there are the aspects of existence.</w:t>
      </w:r>
    </w:p>
    <w:p>
      <w:pPr>
        <w:pStyle w:val="WW-line-block"/>
        <w:rPr/>
      </w:pPr>
      <w:r>
        <w:rPr/>
        <w:t>It is only suffering that comes to be,</w:t>
        <w:br/>
        <w:t>only suffering that exists and vanishes.</w:t>
        <w:br/>
        <w:t>Nothing but suffering comes to be;</w:t>
        <w:br/>
        <w:t>nothing but suffering ceases.</w:t>
      </w:r>
      <w:r>
        <w:rPr>
          <w:rStyle w:val="FootnoteReference"/>
        </w:rPr>
        <w:footnoteReference w:id="546"/>
      </w:r>
    </w:p>
    <w:p>
      <w:pPr>
        <w:pStyle w:val="WW-paragraph"/>
        <w:rPr/>
      </w:pPr>
      <w:r>
        <w:rPr/>
        <w:t>In other words, life is just a collection of the aspects of existence (</w:t>
      </w:r>
      <w:r>
        <w:rPr>
          <w:rStyle w:val="wwc-pali"/>
        </w:rPr>
        <w:t>khandhas</w:t>
      </w:r>
      <w:r>
        <w:rPr/>
        <w:t xml:space="preserve">). There is no real </w:t>
      </w:r>
      <w:r>
        <w:rPr>
          <w:rStyle w:val="Emphasis"/>
        </w:rPr>
        <w:t>being</w:t>
      </w:r>
      <w:r>
        <w:rPr/>
        <w:t xml:space="preserve"> inside these aspects of existence, like there is no real </w:t>
      </w:r>
      <w:r>
        <w:rPr>
          <w:rStyle w:val="Emphasis"/>
        </w:rPr>
        <w:t>truth</w:t>
        <w:softHyphen/>
        <w:t>finder</w:t>
      </w:r>
      <w:r>
        <w:rPr/>
        <w:t xml:space="preserve"> either. Both ‘being’ and ‘truth</w:t>
        <w:softHyphen/>
        <w:t>finder’ are just conventional labels that people use; they don’t exist in any fundamental sense, just like a chariot is just a name for a collection of parts. Therefore, when suffering ceases, it is just suffering that ceases, not a self.</w:t>
      </w:r>
    </w:p>
    <w:p>
      <w:pPr>
        <w:pStyle w:val="WW-paragraph"/>
        <w:rPr/>
      </w:pPr>
      <w:r>
        <w:rPr/>
        <w:t xml:space="preserve">The same point is made more systematically in the </w:t>
      </w:r>
      <w:r>
        <w:rPr>
          <w:rStyle w:val="wwc-sesame"/>
        </w:rPr>
        <w:t>Yamaka Sutta</w:t>
      </w:r>
      <w:r>
        <w:rPr/>
        <w:t>, where Venerable Yamaka initially holds an annihilationist view:</w:t>
      </w:r>
    </w:p>
    <w:p>
      <w:pPr>
        <w:pStyle w:val="WW-blockquote"/>
        <w:rPr/>
      </w:pPr>
      <w:bookmarkStart w:id="136" w:name="bqseg137"/>
      <w:bookmarkEnd w:id="136"/>
      <w:r>
        <w:rPr/>
        <w:t>In the evening Venerable Sāriputta got out of seclusion, went to Venerable Yamaka, and exchanged greetings with him. After a friendly greeting and exchange he sat down to a side. He then asked: “Venerable Yamaka, is it true that you shared this view: ‘As I understand the Buddha’s teaching, a mendicant who has no more defilements is annihilated and destroyed when their body falls apart, and after death they no longer exist’?”</w:t>
      </w:r>
    </w:p>
    <w:p>
      <w:pPr>
        <w:pStyle w:val="WW-blockquote"/>
        <w:rPr/>
      </w:pPr>
      <w:r>
        <w:rPr/>
        <w:t>“</w:t>
      </w:r>
      <w:r>
        <w:rPr/>
        <w:t>I did, venerable.”</w:t>
      </w:r>
    </w:p>
    <w:p>
      <w:pPr>
        <w:pStyle w:val="WW-blockquote"/>
        <w:rPr/>
      </w:pPr>
      <w:r>
        <w:rPr/>
        <w:t>“</w:t>
      </w:r>
      <w:r>
        <w:rPr/>
        <w:t>What do you think, Venerable Yamaka? Do you regard a truth</w:t>
        <w:softHyphen/>
        <w:t>finder to be form?”</w:t>
      </w:r>
    </w:p>
    <w:p>
      <w:pPr>
        <w:pStyle w:val="WW-blockquote"/>
        <w:rPr/>
      </w:pPr>
      <w:r>
        <w:rPr/>
        <w:t>“</w:t>
      </w:r>
      <w:r>
        <w:rPr/>
        <w:t>No, venerable.”</w:t>
      </w:r>
    </w:p>
    <w:p>
      <w:pPr>
        <w:pStyle w:val="WW-blockquote"/>
        <w:rPr/>
      </w:pPr>
      <w:r>
        <w:rPr/>
        <w:t>“</w:t>
      </w:r>
      <w:r>
        <w:rPr/>
        <w:t>Do you regard a truth</w:t>
        <w:softHyphen/>
        <w:t>finder to be sensation, perception, will, or consciousness?”</w:t>
      </w:r>
    </w:p>
    <w:p>
      <w:pPr>
        <w:pStyle w:val="WW-blockquote"/>
        <w:rPr/>
      </w:pPr>
      <w:r>
        <w:rPr/>
        <w:t>“</w:t>
      </w:r>
      <w:r>
        <w:rPr/>
        <w:t>No, venerable.”</w:t>
      </w:r>
    </w:p>
    <w:p>
      <w:pPr>
        <w:pStyle w:val="WW-blockquote"/>
        <w:rPr/>
      </w:pPr>
      <w:r>
        <w:rPr/>
        <w:t>“</w:t>
      </w:r>
      <w:r>
        <w:rPr/>
        <w:t>Do you regard a truth</w:t>
        <w:softHyphen/>
        <w:t>finder to be a part of form?”</w:t>
      </w:r>
    </w:p>
    <w:p>
      <w:pPr>
        <w:pStyle w:val="WW-blockquote"/>
        <w:rPr/>
      </w:pPr>
      <w:r>
        <w:rPr/>
        <w:t>“</w:t>
      </w:r>
      <w:r>
        <w:rPr/>
        <w:t>No, venerable.”</w:t>
      </w:r>
    </w:p>
    <w:p>
      <w:pPr>
        <w:pStyle w:val="WW-blockquote"/>
        <w:rPr/>
      </w:pPr>
      <w:r>
        <w:rPr/>
        <w:t>“</w:t>
      </w:r>
      <w:r>
        <w:rPr/>
        <w:t>Do you regard a truth</w:t>
        <w:softHyphen/>
        <w:t>finder to exist outside of form?”</w:t>
      </w:r>
    </w:p>
    <w:p>
      <w:pPr>
        <w:pStyle w:val="WW-blockquote"/>
        <w:rPr/>
      </w:pPr>
      <w:r>
        <w:rPr/>
        <w:t>“</w:t>
      </w:r>
      <w:r>
        <w:rPr/>
        <w:t>No, venerable.”</w:t>
      </w:r>
    </w:p>
    <w:p>
      <w:pPr>
        <w:pStyle w:val="WW-blockquote"/>
        <w:rPr/>
      </w:pPr>
      <w:r>
        <w:rPr/>
        <w:t>“</w:t>
      </w:r>
      <w:r>
        <w:rPr/>
        <w:t>Do you regard a truth</w:t>
        <w:softHyphen/>
        <w:t>finder to be a part of sensation, perception, will, or consciousness?”</w:t>
      </w:r>
    </w:p>
    <w:p>
      <w:pPr>
        <w:pStyle w:val="WW-blockquote"/>
        <w:rPr/>
      </w:pPr>
      <w:r>
        <w:rPr/>
        <w:t>“</w:t>
      </w:r>
      <w:r>
        <w:rPr/>
        <w:t>No, venerable.”</w:t>
      </w:r>
    </w:p>
    <w:p>
      <w:pPr>
        <w:pStyle w:val="WW-blockquote"/>
        <w:rPr/>
      </w:pPr>
      <w:r>
        <w:rPr/>
        <w:t>“</w:t>
      </w:r>
      <w:r>
        <w:rPr/>
        <w:t>Do you regard a truth</w:t>
        <w:softHyphen/>
        <w:t>finder to exist outside of sensation, perception, will, or consciousness?”</w:t>
      </w:r>
    </w:p>
    <w:p>
      <w:pPr>
        <w:pStyle w:val="WW-blockquote"/>
        <w:rPr/>
      </w:pPr>
      <w:r>
        <w:rPr/>
        <w:t>“</w:t>
      </w:r>
      <w:r>
        <w:rPr/>
        <w:t>No, venerable.”</w:t>
      </w:r>
    </w:p>
    <w:p>
      <w:pPr>
        <w:pStyle w:val="WW-blockquote"/>
        <w:rPr/>
      </w:pPr>
      <w:r>
        <w:rPr/>
        <w:t>“</w:t>
      </w:r>
      <w:r>
        <w:rPr/>
        <w:t>Do you regard a truth</w:t>
        <w:softHyphen/>
        <w:t xml:space="preserve">finder to be form, sensation, perception, will, </w:t>
      </w:r>
      <w:r>
        <w:rPr>
          <w:rStyle w:val="Emphasis"/>
        </w:rPr>
        <w:t>and</w:t>
      </w:r>
      <w:r>
        <w:rPr/>
        <w:t xml:space="preserve"> consciousness?”</w:t>
      </w:r>
    </w:p>
    <w:p>
      <w:pPr>
        <w:pStyle w:val="WW-blockquote"/>
        <w:rPr/>
      </w:pPr>
      <w:r>
        <w:rPr/>
        <w:t>“</w:t>
      </w:r>
      <w:r>
        <w:rPr/>
        <w:t>No, venerable.”</w:t>
      </w:r>
    </w:p>
    <w:p>
      <w:pPr>
        <w:pStyle w:val="WW-blockquote"/>
        <w:rPr/>
      </w:pPr>
      <w:r>
        <w:rPr/>
        <w:t>“</w:t>
      </w:r>
      <w:r>
        <w:rPr/>
        <w:t>Do you regard a truth</w:t>
        <w:softHyphen/>
        <w:t>finder to be someone who has no form, sensation, perception, will, or consciousness?”</w:t>
      </w:r>
    </w:p>
    <w:p>
      <w:pPr>
        <w:pStyle w:val="WW-blockquote"/>
        <w:rPr/>
      </w:pPr>
      <w:r>
        <w:rPr/>
        <w:t>“</w:t>
      </w:r>
      <w:r>
        <w:rPr/>
        <w:t>No, venerable.”</w:t>
      </w:r>
    </w:p>
    <w:p>
      <w:pPr>
        <w:pStyle w:val="WW-blockquote"/>
        <w:rPr/>
      </w:pPr>
      <w:r>
        <w:rPr/>
        <w:t>“</w:t>
      </w:r>
      <w:r>
        <w:rPr/>
        <w:t xml:space="preserve">But, Venerable Yamaka, since you can’t find </w:t>
      </w:r>
      <w:r>
        <w:rPr>
          <w:rStyle w:val="Emphasis"/>
        </w:rPr>
        <w:t>a truth</w:t>
        <w:softHyphen/>
        <w:t>finder</w:t>
      </w:r>
      <w:r>
        <w:rPr/>
        <w:t xml:space="preserve"> to actually or really exist even while alive, was it right for you to say: ‘As I understand the Buddha’s teaching, a mendicant who has no more defilements is annihilated and destroyed when their body falls apart, and after death they no longer exist’?”</w:t>
      </w:r>
    </w:p>
    <w:p>
      <w:pPr>
        <w:pStyle w:val="WW-blockquote"/>
        <w:rPr/>
      </w:pPr>
      <w:r>
        <w:rPr/>
        <w:t>“</w:t>
      </w:r>
      <w:r>
        <w:rPr/>
        <w:t>Venerable Sāriputta, I held that bad misconception formerly, when I was ignorant. But now that I have heard the teaching explained by you, I have abandoned that bad misconception and apprehended the teaching.”</w:t>
      </w:r>
    </w:p>
    <w:p>
      <w:pPr>
        <w:pStyle w:val="WW-blockquote"/>
        <w:rPr/>
      </w:pPr>
      <w:r>
        <w:rPr/>
        <w:t>“</w:t>
      </w:r>
      <w:r>
        <w:rPr/>
        <w:t>Then how would you answer if people would ask you what has become of an enlightened, undefiled mendicant when their body fell apart, after death?”</w:t>
      </w:r>
    </w:p>
    <w:p>
      <w:pPr>
        <w:pStyle w:val="WW-blockquote"/>
        <w:rPr/>
      </w:pPr>
      <w:r>
        <w:rPr/>
        <w:t>“</w:t>
      </w:r>
      <w:r>
        <w:rPr/>
        <w:t>Venerable, if people would ask me that, I would answer: ‘Form, sensation, perception, will, and consciousness are temporary. What is temporary is painful. What is painful has ceased, has passed away.’”</w:t>
      </w:r>
    </w:p>
    <w:p>
      <w:pPr>
        <w:pStyle w:val="WW-blockquote"/>
        <w:rPr/>
      </w:pPr>
      <w:r>
        <w:rPr/>
        <w:t>“</w:t>
      </w:r>
      <w:r>
        <w:rPr/>
        <w:t>Very good, Venerable Yamaka!”</w:t>
      </w:r>
      <w:r>
        <w:rPr>
          <w:rStyle w:val="FootnoteReference"/>
        </w:rPr>
        <w:footnoteReference w:id="547"/>
      </w:r>
    </w:p>
    <w:p>
      <w:pPr>
        <w:pStyle w:val="WW-paragraph"/>
        <w:rPr/>
      </w:pPr>
      <w:r>
        <w:rPr/>
        <w:t xml:space="preserve">To summarize, when an enlightened “being” passes away, in reality it is only the cessation of the five aspects of existence. No real </w:t>
      </w:r>
      <w:r>
        <w:rPr>
          <w:rStyle w:val="Emphasis"/>
        </w:rPr>
        <w:t>being</w:t>
      </w:r>
      <w:r>
        <w:rPr/>
        <w:t xml:space="preserve"> or </w:t>
      </w:r>
      <w:r>
        <w:rPr>
          <w:rStyle w:val="Emphasis"/>
        </w:rPr>
        <w:t>truth</w:t>
        <w:softHyphen/>
        <w:t>finder</w:t>
      </w:r>
      <w:r>
        <w:rPr/>
        <w:t xml:space="preserve"> or </w:t>
      </w:r>
      <w:r>
        <w:rPr>
          <w:rStyle w:val="Emphasis"/>
        </w:rPr>
        <w:t>mendicant</w:t>
      </w:r>
      <w:r>
        <w:rPr/>
        <w:t xml:space="preserve"> is ever destroyed, because those things didn’t exist as true entities in the first place. There were only the temporary aspects of existence, only suffering. And because these were ephemeral and without substance from the start, their ending is not rightly called annihilation, but called cessation instead.</w:t>
      </w:r>
    </w:p>
    <w:p>
      <w:pPr>
        <w:pStyle w:val="WW-paragraph"/>
        <w:rPr/>
      </w:pPr>
      <w:r>
        <w:rPr/>
        <w:t xml:space="preserve">The </w:t>
      </w:r>
      <w:r>
        <w:rPr>
          <w:rStyle w:val="wwc-sesame"/>
        </w:rPr>
        <w:t>Yamaka Sutta</w:t>
      </w:r>
      <w:r>
        <w:rPr/>
        <w:t xml:space="preserve"> also brings us to the </w:t>
      </w:r>
      <w:r>
        <w:rPr>
          <w:rStyle w:val="Strong"/>
        </w:rPr>
        <w:t>fourth reason</w:t>
      </w:r>
      <w:r>
        <w:rPr/>
        <w:t xml:space="preserve"> the gods’ search for consciousness happened after death. The phrase “since you can’t find a truth</w:t>
        <w:softHyphen/>
        <w:t>finder to actually or really exist even while alive”, which Sāriputta spoke here, is almost identical to “even while alive there is no truth</w:t>
        <w:softHyphen/>
        <w:t xml:space="preserve">finder to be found”, which the Buddha spoke in the </w:t>
      </w:r>
      <w:r>
        <w:rPr>
          <w:rStyle w:val="wwc-sesame"/>
        </w:rPr>
        <w:t>Simile of the Snake Discourse</w:t>
      </w:r>
      <w:r>
        <w:rPr/>
        <w:t xml:space="preserve"> when he explained why the gods can’t find the truth</w:t>
        <w:softHyphen/>
        <w:t>finder. We can compare this to §90, which uses a similar phrasing: “A self or anything belonging to a self are not found to actually or really exist.” The point is, again, that even in their lifetime ‘truth</w:t>
        <w:softHyphen/>
        <w:t>finder’ was only a label for the self-less aspects of existence.</w:t>
      </w:r>
    </w:p>
    <w:p>
      <w:pPr>
        <w:pStyle w:val="WW-paragraph"/>
        <w:rPr/>
      </w:pPr>
      <w:r>
        <w:rPr/>
        <w:t>The words I translated as ‘even while alive’ (</w:t>
      </w:r>
      <w:r>
        <w:rPr>
          <w:rStyle w:val="wwc-pali"/>
        </w:rPr>
        <w:t>diṭṭheva dhamme</w:t>
      </w:r>
      <w:r>
        <w:rPr/>
        <w:t>) are continually contrasted to a situation after death.</w:t>
      </w:r>
      <w:r>
        <w:rPr>
          <w:rStyle w:val="FootnoteReference"/>
        </w:rPr>
        <w:footnoteReference w:id="548"/>
      </w:r>
      <w:r>
        <w:rPr/>
        <w:t xml:space="preserve"> Their inclusion in the statement of the </w:t>
      </w:r>
      <w:r>
        <w:rPr>
          <w:rStyle w:val="wwc-sesame"/>
        </w:rPr>
        <w:t>Simile of the Snake Discourse</w:t>
      </w:r>
      <w:r>
        <w:rPr/>
        <w:t xml:space="preserve"> indicates a contrast between life and death is also intended there.</w:t>
      </w:r>
    </w:p>
    <w:p>
      <w:pPr>
        <w:pStyle w:val="WW-paragraph"/>
        <w:rPr/>
      </w:pPr>
      <w:r>
        <w:rPr/>
        <w:t xml:space="preserve">The full phrase spoken by Venerable Sāriputta also occurs in the </w:t>
      </w:r>
      <w:r>
        <w:rPr>
          <w:rStyle w:val="wwc-sesame"/>
        </w:rPr>
        <w:t>Anurādha Sutta</w:t>
      </w:r>
      <w:r>
        <w:rPr/>
        <w:t>, where Venerable Anurādha holds an unspecified view of an existent truth</w:t>
        <w:softHyphen/>
        <w:t>finder after death:</w:t>
      </w:r>
    </w:p>
    <w:p>
      <w:pPr>
        <w:pStyle w:val="WW-blockquote"/>
        <w:rPr/>
      </w:pPr>
      <w:bookmarkStart w:id="137" w:name="bqseg138"/>
      <w:bookmarkEnd w:id="137"/>
      <w:r>
        <w:rPr/>
        <w:t>“</w:t>
      </w:r>
      <w:r>
        <w:rPr/>
        <w:t xml:space="preserve">But, Anurādha, since you can’t find </w:t>
      </w:r>
      <w:r>
        <w:rPr>
          <w:rStyle w:val="Emphasis"/>
        </w:rPr>
        <w:t>a truth</w:t>
        <w:softHyphen/>
        <w:t>finder</w:t>
      </w:r>
      <w:r>
        <w:rPr/>
        <w:t xml:space="preserve"> to actually or really exist even while alive, was it right for you to say: ‘When the Truth</w:t>
        <w:softHyphen/>
        <w:t>finder describes a truth</w:t>
        <w:softHyphen/>
        <w:t>finder—the best and highest of persons, who attained the highest—he declares them to be outside of the four cases: after death a truth</w:t>
        <w:softHyphen/>
        <w:t>finder still exists, or no longer exists, or both still exists and no longer exists, or neither still exists nor no longer exists’?”</w:t>
      </w:r>
    </w:p>
    <w:p>
      <w:pPr>
        <w:pStyle w:val="WW-blockquote"/>
        <w:rPr/>
      </w:pPr>
      <w:r>
        <w:rPr/>
        <w:t>“</w:t>
      </w:r>
      <w:r>
        <w:rPr/>
        <w:t>No, sir.”</w:t>
      </w:r>
    </w:p>
    <w:p>
      <w:pPr>
        <w:pStyle w:val="WW-blockquote"/>
        <w:rPr/>
      </w:pPr>
      <w:r>
        <w:rPr/>
        <w:t>“</w:t>
      </w:r>
      <w:r>
        <w:rPr/>
        <w:t>Very good, Anurādha! In the past and also now, what I declare is that there is only suffering and a cessation of suffering.”</w:t>
      </w:r>
      <w:r>
        <w:rPr>
          <w:rStyle w:val="FootnoteReference"/>
        </w:rPr>
        <w:footnoteReference w:id="549"/>
      </w:r>
    </w:p>
    <w:p>
      <w:pPr>
        <w:pStyle w:val="WW-paragraph"/>
        <w:rPr/>
      </w:pPr>
      <w:r>
        <w:rPr/>
        <w:t xml:space="preserve">The fundamental idea is again the same: all four cases, plus Anurādha’s fifth, are false because they all rely on the premise that there is or was an entity called </w:t>
      </w:r>
      <w:r>
        <w:rPr>
          <w:rStyle w:val="Emphasis"/>
        </w:rPr>
        <w:t>a truth</w:t>
        <w:softHyphen/>
        <w:t>finder</w:t>
      </w:r>
      <w:r>
        <w:rPr/>
        <w:t>, i.e., a self.</w:t>
      </w:r>
      <w:r>
        <w:rPr>
          <w:rStyle w:val="FootnoteReference"/>
        </w:rPr>
        <w:footnoteReference w:id="550"/>
      </w:r>
      <w:r>
        <w:rPr/>
        <w:t xml:space="preserve"> Views that presume the truth</w:t>
        <w:softHyphen/>
        <w:t>finder to be a real thing are also called imagination (</w:t>
      </w:r>
      <w:r>
        <w:rPr>
          <w:rStyle w:val="wwc-pali"/>
        </w:rPr>
        <w:t>maññita</w:t>
      </w:r>
      <w:r>
        <w:rPr/>
        <w:t xml:space="preserve">) of something that doesn’t really exist and elaboration (or ‘proliferation’, </w:t>
      </w:r>
      <w:r>
        <w:rPr>
          <w:rStyle w:val="wwc-pali"/>
        </w:rPr>
        <w:t>papañca</w:t>
      </w:r>
      <w:r>
        <w:rPr/>
        <w:t>) beyond what actually exists.</w:t>
      </w:r>
      <w:r>
        <w:rPr>
          <w:rStyle w:val="FootnoteReference"/>
        </w:rPr>
        <w:footnoteReference w:id="551"/>
      </w:r>
    </w:p>
    <w:p>
      <w:pPr>
        <w:pStyle w:val="WW-paragraph"/>
        <w:rPr/>
      </w:pPr>
      <w:r>
        <w:rPr/>
        <w:t xml:space="preserve">Not only do we meet in the above passage again the </w:t>
      </w:r>
      <w:r>
        <w:rPr>
          <w:rStyle w:val="wwc-sesame"/>
        </w:rPr>
        <w:t>Yamaka Sutta</w:t>
      </w:r>
      <w:r>
        <w:rPr/>
        <w:t xml:space="preserve">’s statement about not being able to find an actual </w:t>
      </w:r>
      <w:r>
        <w:rPr>
          <w:rStyle w:val="Emphasis"/>
        </w:rPr>
        <w:t>truth</w:t>
        <w:softHyphen/>
        <w:t>finder</w:t>
      </w:r>
      <w:r>
        <w:rPr/>
        <w:t xml:space="preserve">, we also get a reprise of the Buddha’s refutation of annihilationism in the </w:t>
      </w:r>
      <w:r>
        <w:rPr>
          <w:rStyle w:val="wwc-sesame"/>
        </w:rPr>
        <w:t>Simile of the Snake Discourse</w:t>
      </w:r>
      <w:r>
        <w:rPr/>
        <w:t xml:space="preserve">, saying he declares only suffering and a cessation of suffering. The </w:t>
      </w:r>
      <w:r>
        <w:rPr>
          <w:rStyle w:val="wwc-sesame"/>
        </w:rPr>
        <w:t>Anurādha Sutta</w:t>
      </w:r>
      <w:r>
        <w:rPr/>
        <w:t xml:space="preserve"> is the only other occurrence of both these sentences in the suttas, and it is again about the situation after death.</w:t>
      </w:r>
    </w:p>
    <w:p>
      <w:pPr>
        <w:pStyle w:val="WW-chapter-section-1"/>
        <w:ind w:hanging="0" w:start="0"/>
        <w:rPr/>
      </w:pPr>
      <w:r>
        <w:rPr/>
        <w:t>The advice to Anāthapiṇḍika</w:t>
      </w:r>
    </w:p>
    <w:p>
      <w:pPr>
        <w:pStyle w:val="WW-paragraph"/>
        <w:rPr/>
      </w:pPr>
      <w:r>
        <w:rPr/>
        <w:t xml:space="preserve">So far I have given four reasons why, when the gods wondered what an enlightened being’s consciousness is supported by, they must have done so after that being’s death. This in turn supports that the not planting of consciousness concerns the time around death as well. But I wish to present yet a </w:t>
      </w:r>
      <w:r>
        <w:rPr>
          <w:rStyle w:val="Strong"/>
        </w:rPr>
        <w:t>fifth reason</w:t>
      </w:r>
      <w:r>
        <w:rPr/>
        <w:t xml:space="preserve">, based on the </w:t>
      </w:r>
      <w:r>
        <w:rPr>
          <w:rStyle w:val="wwc-sesame"/>
        </w:rPr>
        <w:t>Advice to Anāthapiṇḍika Discourse</w:t>
      </w:r>
      <w:r>
        <w:rPr/>
        <w:t>, where Sāriputta visits Anāthapiṇḍika on his deathbed. The relevant section of the discourse is the following:</w:t>
      </w:r>
    </w:p>
    <w:p>
      <w:pPr>
        <w:pStyle w:val="WW-blockquote"/>
        <w:rPr/>
      </w:pPr>
      <w:bookmarkStart w:id="138" w:name="bqseg139"/>
      <w:bookmarkEnd w:id="138"/>
      <w:r>
        <w:rPr/>
        <w:t>Venerable Sāriputta went to Anāthapiṇḍika’s home with Venerable Ānanda as his attendant. He sat down on a prepared seat and said to Anāthapiṇḍika: “Anāthapiṇḍika, I hope you are keeping well and getting better. I hope that the pain is getting less, not worse, and noticeably so.”</w:t>
      </w:r>
    </w:p>
    <w:p>
      <w:pPr>
        <w:pStyle w:val="WW-blockquote"/>
        <w:rPr/>
      </w:pPr>
      <w:r>
        <w:rPr/>
        <w:t>“</w:t>
      </w:r>
      <w:r>
        <w:rPr/>
        <w:t>Venerable Sāriputta, I am not keeping well, not getting better. My pain is severe and it is getting worse, not less, and noticeably so. The winds piercing my head are so severe, it feels like a strong man is drilling into my head with a sharp spike. The headaches are so severe, it feels like a strong man is tightening a tough leather strap around my head. The winds slicing my belly are so severe, it feels like a skilled butcher or butcher’s apprentice is slicing open a cow’s belly with a carving knife. The burning in my body is so severe, it feels like two strong men grabbed a weaker man by the arms to burn and are scorching him in a charcoal pit. The burning in my body is that severe. I am not keeping well, not getting better. My pain is severe and it is getting worse, not less, and noticeably so.”</w:t>
      </w:r>
    </w:p>
    <w:p>
      <w:pPr>
        <w:pStyle w:val="WW-blockquote"/>
        <w:rPr/>
      </w:pPr>
      <w:r>
        <w:rPr/>
        <w:t>“</w:t>
      </w:r>
      <w:r>
        <w:rPr/>
        <w:t>In that case, householder, train yourself like this: ‘I will not take up the sense of sight, and my consciousness will not be supported by the sense of sight. I will not take up the sense of hearing, the sense of smell, the sense of taste, the sense of touch, and the mind, and my consciousness will not be supported by the sense of hearing, the sense of smell, the sense of taste, the sense of touch, and the mind.</w:t>
      </w:r>
    </w:p>
    <w:p>
      <w:pPr>
        <w:pStyle w:val="WW-blockquote"/>
        <w:rPr/>
      </w:pPr>
      <w:r>
        <w:rPr/>
        <w:t>I will not take up sights, and my consciousness will not be supported by sights. I will not take up sounds, smells, flavors, tangibles, and mental phenomena, and my consciousness will not be supported by sounds, smells, flavors, tangibles, and mental phenomena.</w:t>
      </w:r>
    </w:p>
    <w:p>
      <w:pPr>
        <w:pStyle w:val="WW-blockquote"/>
        <w:rPr/>
      </w:pPr>
      <w:r>
        <w:rPr/>
        <w:t>I will not take up sight-consciousness, and my consciousness will not be supported by sight-consciousness. I will not take up hearing-‍, smell-‍, taste-‍, touch-‍, and mind-consciousness, and my consciousness will not be supported by hearing-‍, smell-‍, taste-‍, touch-‍, and mind-consciousness.</w:t>
      </w:r>
    </w:p>
    <w:p>
      <w:pPr>
        <w:pStyle w:val="WW-blockquote"/>
        <w:rPr/>
      </w:pPr>
      <w:r>
        <w:rPr/>
        <w:t>I will not take up sense impressions of sight, and my consciousness will not be supported by sense impressions of sight. I will not take up sense impressions of hearing, smell, taste, touch, and the mind, and my consciousness will not be supported by sense impressions of hearing, smell, taste, touch, and the mind.</w:t>
      </w:r>
    </w:p>
    <w:p>
      <w:pPr>
        <w:pStyle w:val="WW-blockquote"/>
        <w:rPr/>
      </w:pPr>
      <w:r>
        <w:rPr/>
        <w:t>I will not take up sensations coming from sense impression of sight, and my consciousness will not be supported by sensations coming from sense impression of sight. I will not take up sensations coming from sense impression of hearing, smell, taste, touch, and the mind, and my consciousness will not be supported by sensations coming from sense impression of hearing, smell, taste, touch, and the mind.</w:t>
      </w:r>
    </w:p>
    <w:p>
      <w:pPr>
        <w:pStyle w:val="WW-blockquote"/>
        <w:rPr/>
      </w:pPr>
      <w:r>
        <w:rPr/>
        <w:t>I will not take up the element of earth, and my consciousness will not be supported by the element of earth. I will not take up the elements of water, fire, air, space, and consciousness, and my consciousness will not be supported by the elements of water, fire, air, space, and consciousness.</w:t>
      </w:r>
    </w:p>
    <w:p>
      <w:pPr>
        <w:pStyle w:val="WW-blockquote"/>
        <w:rPr/>
      </w:pPr>
      <w:r>
        <w:rPr/>
        <w:t>I will not take up form, and my consciousness will not be supported by form. I will not take up sensation, perception, will, and consciousness, and my consciousness will not be supported by sensation, perception, will, and consciousness.</w:t>
      </w:r>
    </w:p>
    <w:p>
      <w:pPr>
        <w:pStyle w:val="WW-blockquote"/>
        <w:rPr/>
      </w:pPr>
      <w:r>
        <w:rPr/>
        <w:t>I will not take up the state of unbounded space, and my consciousness will not be supported by the state of unbounded space. I will not take up the state of unbounded consciousness, the state of nothingness, and the state of neither awareness nor nonawareness, and my consciousness will not be supported by the state of unbounded consciousness, the state of nothingness, and the state of neither awareness nor nonawareness.</w:t>
      </w:r>
    </w:p>
    <w:p>
      <w:pPr>
        <w:pStyle w:val="WW-blockquote"/>
        <w:rPr/>
      </w:pPr>
      <w:r>
        <w:rPr/>
        <w:t>I will not take up this world, and my consciousness will not be supported by this world. I will not take up another world, and my consciousness will not be supported by another world.</w:t>
      </w:r>
    </w:p>
    <w:p>
      <w:pPr>
        <w:pStyle w:val="WW-blockquote"/>
        <w:rPr/>
      </w:pPr>
      <w:r>
        <w:rPr/>
        <w:t>I will not take up what is seen, heard, thought, and cognized, and what is attained, sought, and explored by the mind, and my consciousness will not be supported by what is seen, heard, thought, and cognized, and what is attained, sought, and explored by the mind.”</w:t>
      </w:r>
      <w:r>
        <w:rPr>
          <w:rStyle w:val="FootnoteReference"/>
        </w:rPr>
        <w:footnoteReference w:id="552"/>
      </w:r>
    </w:p>
    <w:p>
      <w:pPr>
        <w:pStyle w:val="WW-paragraph"/>
        <w:rPr/>
      </w:pPr>
      <w:r>
        <w:rPr/>
        <w:t>When Anāthapiṇḍika said his pains were not subsiding, he effectively told Sāriputta he was dying. As a response Sāriputta gave a teaching specifically for the dying man, starting with: “</w:t>
      </w:r>
      <w:r>
        <w:rPr>
          <w:rStyle w:val="Emphasis"/>
        </w:rPr>
        <w:t>In that case</w:t>
      </w:r>
      <w:r>
        <w:rPr/>
        <w:t xml:space="preserve"> [since you’re going to die soon], train yourself like this.” The discourse indeed says Anāthapiṇḍika passed away soon after.</w:t>
      </w:r>
    </w:p>
    <w:p>
      <w:pPr>
        <w:pStyle w:val="WW-paragraph"/>
        <w:rPr/>
      </w:pPr>
      <w:r>
        <w:rPr/>
        <w:t>Sāriputta’s instructions are in the future tense, which is also telling, because it is a very unusual way of teaching in Pāli. Sāriputta is specifically telling Anāthapiṇḍika what attitude to have at a later point in time, the time surrounding his death. At that point Anāthapiṇḍika should not have his consciousness supported by anything, including not by this world or another world, so that, as Sāriputta said elsewhere, “the stream of consciousness […] does not get planted back in this world and does not get planted in another world”.</w:t>
      </w:r>
      <w:r>
        <w:rPr>
          <w:rStyle w:val="FootnoteReference"/>
        </w:rPr>
        <w:footnoteReference w:id="553"/>
      </w:r>
      <w:r>
        <w:rPr/>
        <w:t xml:space="preserve"> Sāriputta’s instruction to not support consciousness with the aspects of existence is what the Buddha taught in the </w:t>
      </w:r>
      <w:r>
        <w:rPr>
          <w:rStyle w:val="wwc-sesame"/>
        </w:rPr>
        <w:t>Seeds Discourse</w:t>
      </w:r>
      <w:r>
        <w:rPr/>
        <w:t>: “If you have abandoned desire for form, sensation, perception, and will, there will be no support for the planting of consciousness, because when desire is abandoned, its foundation is destroyed.” I discussed extensively why this refers to rebirth, and this is what the advice to Anāthapiṇḍika is about as well.</w:t>
      </w:r>
    </w:p>
    <w:p>
      <w:pPr>
        <w:pStyle w:val="WW-paragraph"/>
        <w:rPr/>
      </w:pPr>
      <w:r>
        <w:rPr/>
        <w:t>The point being, the word for ‘supported’ (</w:t>
      </w:r>
      <w:r>
        <w:rPr>
          <w:rStyle w:val="wwc-pali"/>
        </w:rPr>
        <w:t>nissita</w:t>
      </w:r>
      <w:r>
        <w:rPr/>
        <w:t xml:space="preserve">) Sāriputta used in his instructions to Anāthapiṇḍika is the exact same the Buddha used in the </w:t>
      </w:r>
      <w:r>
        <w:rPr>
          <w:rStyle w:val="wwc-sesame"/>
        </w:rPr>
        <w:t>Simile of the Snake Discourse</w:t>
      </w:r>
      <w:r>
        <w:rPr/>
        <w:t xml:space="preserve"> when he mentioned gods looking for what the consciousness of a truth</w:t>
        <w:softHyphen/>
        <w:t xml:space="preserve">finder was </w:t>
      </w:r>
      <w:r>
        <w:rPr>
          <w:rStyle w:val="Emphasis"/>
        </w:rPr>
        <w:t>supported</w:t>
      </w:r>
      <w:r>
        <w:rPr/>
        <w:t xml:space="preserve"> by. So this is another indication the gods were searching for the enlightened being after they passed away.</w:t>
      </w:r>
    </w:p>
    <w:p>
      <w:pPr>
        <w:pStyle w:val="WW-chapter-section-1"/>
        <w:ind w:hanging="0" w:start="0"/>
        <w:rPr/>
      </w:pPr>
      <w:r>
        <w:rPr/>
        <w:t>Not supporting consciousness leading to full extinguishment</w:t>
      </w:r>
    </w:p>
    <w:p>
      <w:pPr>
        <w:pStyle w:val="WW-paragraph"/>
        <w:rPr/>
      </w:pPr>
      <w:r>
        <w:rPr/>
        <w:t>To close this chapter, below is one more statement on not supporting consciousness:</w:t>
      </w:r>
    </w:p>
    <w:p>
      <w:pPr>
        <w:pStyle w:val="WW-blockquote"/>
        <w:rPr/>
      </w:pPr>
      <w:bookmarkStart w:id="139" w:name="bqseg140"/>
      <w:bookmarkEnd w:id="139"/>
      <w:r>
        <w:rPr/>
        <w:t>[…] they attain equanimity. If they don’t enjoy, welcome, or keep holding on to that equanimity, it is no longer a support or fuel for consciousness. A mendicant without fuel/taking up, gets fully extinguished.</w:t>
      </w:r>
      <w:r>
        <w:rPr>
          <w:rStyle w:val="FootnoteReference"/>
        </w:rPr>
        <w:footnoteReference w:id="554"/>
      </w:r>
    </w:p>
    <w:p>
      <w:pPr>
        <w:pStyle w:val="WW-paragraph"/>
        <w:rPr/>
      </w:pPr>
      <w:r>
        <w:rPr/>
        <w:t xml:space="preserve">This statement first mentions the enlightened being, who no longer holds on to things, but it has implications that go beyond enlightenment. It stems from the </w:t>
      </w:r>
      <w:r>
        <w:rPr>
          <w:rStyle w:val="wwc-sesame"/>
        </w:rPr>
        <w:t>Way to the Undisturbable Discourse</w:t>
      </w:r>
      <w:r>
        <w:rPr/>
        <w:t>, which in an earlier passage (§56) said consciousness will travel on after death if it still has an attachment to the equanimity of the undisturbable states of meditation. The above statement closely follows that passage. It tells us that consciousness which is no longer supported by such equanimity, will no longer travel on after death.</w:t>
      </w:r>
    </w:p>
    <w:p>
      <w:pPr>
        <w:pStyle w:val="WW-paragraph"/>
        <w:rPr/>
      </w:pPr>
      <w:r>
        <w:rPr/>
        <w:t>When consciousness doesn’t travel on after death, the result is full extinguishment (</w:t>
      </w:r>
      <w:r>
        <w:rPr>
          <w:rStyle w:val="wwc-pali"/>
        </w:rPr>
        <w:t>parinibbāna</w:t>
      </w:r>
      <w:r>
        <w:rPr/>
        <w:t>), about which the Buddha also said: “Leaving no remnant, after this life, is where existence (</w:t>
      </w:r>
      <w:r>
        <w:rPr>
          <w:rStyle w:val="wwc-pali"/>
        </w:rPr>
        <w:t>bhava</w:t>
      </w:r>
      <w:r>
        <w:rPr/>
        <w:t>) completely ceases.”</w:t>
      </w:r>
      <w:r>
        <w:rPr>
          <w:rStyle w:val="FootnoteReference"/>
        </w:rPr>
        <w:footnoteReference w:id="555"/>
      </w:r>
      <w:r>
        <w:rPr/>
        <w:t xml:space="preserve"> At that point consciousness will completely cease as well. The connection </w:t>
      </w:r>
      <w:r>
        <w:rPr>
          <w:rStyle w:val="Emphasis"/>
        </w:rPr>
        <w:t>no craving › no fuel/taking up › no existence</w:t>
      </w:r>
      <w:r>
        <w:rPr/>
        <w:t xml:space="preserve"> of the default cessation sequence is the same as the implied </w:t>
      </w:r>
      <w:r>
        <w:rPr>
          <w:rStyle w:val="Emphasis"/>
        </w:rPr>
        <w:t>no enjoyment › no fuel/taking up › no consciousness</w:t>
      </w:r>
      <w:r>
        <w:rPr/>
        <w:t xml:space="preserve"> in the above passage.</w:t>
      </w:r>
      <w:r>
        <w:br w:type="page"/>
      </w:r>
    </w:p>
    <w:p>
      <w:pPr>
        <w:pStyle w:val="WW-Chapter"/>
        <w:spacing w:before="0" w:after="567"/>
        <w:ind w:hanging="0" w:start="0"/>
        <w:rPr/>
      </w:pPr>
      <w:r>
        <w:rPr/>
        <w:t>13. The cessation of consciousness</w:t>
      </w:r>
    </w:p>
    <w:p>
      <w:pPr>
        <w:pStyle w:val="WW-chapter-section-1"/>
        <w:ind w:hanging="0" w:start="0"/>
        <w:rPr/>
      </w:pPr>
      <w:r>
        <w:rPr/>
        <w:t>The “state” of non-consciousness</w:t>
      </w:r>
    </w:p>
    <w:p>
      <w:pPr>
        <w:pStyle w:val="WW-paragraph"/>
        <w:rPr/>
      </w:pPr>
      <w:r>
        <w:rPr/>
        <w:t>In his instructions to Anāthapiṇḍika, Sāriputta gave a long list of potential supports for consciousness, but he did not include the cessation of perception and feeling (</w:t>
      </w:r>
      <w:r>
        <w:rPr>
          <w:rStyle w:val="wwc-pali"/>
        </w:rPr>
        <w:t>saññāvedayitanirodha</w:t>
      </w:r>
      <w:r>
        <w:rPr/>
        <w:t xml:space="preserve">), which I prefer to call ‘the cessation of awareness and what is experienced’. </w:t>
      </w:r>
      <w:r>
        <w:rPr>
          <w:rStyle w:val="FootnoteReference"/>
        </w:rPr>
        <w:footnoteReference w:id="556"/>
      </w:r>
      <w:r>
        <w:rPr/>
        <w:t>This omission is purposeful, because consciousness is inseparable from perceptions and sensations, as mentioned at §99. When their cessation is reached, consciousness therefore stops as well. That is why this state can’t function as a support for consciousness.</w:t>
      </w:r>
    </w:p>
    <w:p>
      <w:pPr>
        <w:pStyle w:val="WW-paragraph"/>
        <w:rPr/>
      </w:pPr>
      <w:r>
        <w:rPr/>
        <w:t>The cessation of awareness and what is experienced is only temporary. Consciousness does not cease forever upon its attainment and can come back again. It only ceases forever when an enlightened being dies. Then “only bodily remains will be left” and there is “no more consciousness at all”:</w:t>
      </w:r>
    </w:p>
    <w:p>
      <w:pPr>
        <w:pStyle w:val="WW-blockquote"/>
        <w:rPr/>
      </w:pPr>
      <w:bookmarkStart w:id="140" w:name="bqseg141"/>
      <w:bookmarkEnd w:id="140"/>
      <w:r>
        <w:rPr/>
        <w:t>“</w:t>
      </w:r>
      <w:r>
        <w:rPr/>
        <w:t>Imagine a man would take a pot out of a potter’s kiln and place it on the smooth ground. Its heat would dissipate right then, and mere potsherds would be left over. Likewise, [as an enlightened being] you understand that when your body falls apart, after death, when life comes to an end, all that is experienced, not being enjoyed, will cool off right then, and only bodily remains will be left.</w:t>
      </w:r>
    </w:p>
    <w:p>
      <w:pPr>
        <w:pStyle w:val="WW-blockquote"/>
        <w:rPr/>
      </w:pPr>
      <w:r>
        <w:rPr/>
        <w:t>What do you think, mendicants? If you have no more defilements, can you still perform meritorious, demeritorious, or undisturbable willful actions?”</w:t>
      </w:r>
    </w:p>
    <w:p>
      <w:pPr>
        <w:pStyle w:val="WW-blockquote"/>
        <w:rPr/>
      </w:pPr>
      <w:r>
        <w:rPr/>
        <w:t>“</w:t>
      </w:r>
      <w:r>
        <w:rPr/>
        <w:t>No, sir.”</w:t>
      </w:r>
    </w:p>
    <w:p>
      <w:pPr>
        <w:pStyle w:val="WW-blockquote"/>
        <w:rPr/>
      </w:pPr>
      <w:r>
        <w:rPr/>
        <w:t>“</w:t>
      </w:r>
      <w:r>
        <w:rPr/>
        <w:t>If willful actions cease, if there are no more willful actions at all, would there be consciousness?’’</w:t>
      </w:r>
    </w:p>
    <w:p>
      <w:pPr>
        <w:pStyle w:val="WW-blockquote"/>
        <w:rPr/>
      </w:pPr>
      <w:r>
        <w:rPr/>
        <w:t>“</w:t>
      </w:r>
      <w:r>
        <w:rPr/>
        <w:t>No, sir.”</w:t>
      </w:r>
    </w:p>
    <w:p>
      <w:pPr>
        <w:pStyle w:val="WW-blockquote"/>
        <w:rPr/>
      </w:pPr>
      <w:r>
        <w:rPr/>
        <w:t>“</w:t>
      </w:r>
      <w:r>
        <w:rPr/>
        <w:t>If consciousness ceases, if there is no more consciousness at all, would there be any immaterial aspects or body?’’</w:t>
      </w:r>
    </w:p>
    <w:p>
      <w:pPr>
        <w:pStyle w:val="WW-blockquote"/>
        <w:rPr/>
      </w:pPr>
      <w:r>
        <w:rPr/>
        <w:t>“</w:t>
      </w:r>
      <w:r>
        <w:rPr/>
        <w:t>No, sir.”</w:t>
      </w:r>
    </w:p>
    <w:p>
      <w:pPr>
        <w:pStyle w:val="WW-blockquote"/>
        <w:rPr/>
      </w:pPr>
      <w:r>
        <w:rPr/>
        <w:t>[And so on through the remaining factors.]</w:t>
      </w:r>
    </w:p>
    <w:p>
      <w:pPr>
        <w:pStyle w:val="WW-blockquote"/>
        <w:rPr/>
      </w:pPr>
      <w:r>
        <w:rPr/>
        <w:t>“</w:t>
      </w:r>
      <w:r>
        <w:rPr/>
        <w:t>Very good, mendicants! That is how it is and not otherwise. Have faith and confidence in me about this. Do not be uncertain or in doubt about it. Just that is the end of suffering.”</w:t>
      </w:r>
      <w:r>
        <w:rPr>
          <w:rStyle w:val="FootnoteReference"/>
        </w:rPr>
        <w:footnoteReference w:id="557"/>
      </w:r>
    </w:p>
    <w:p>
      <w:pPr>
        <w:pStyle w:val="WW-paragraph"/>
        <w:rPr/>
      </w:pPr>
      <w:r>
        <w:rPr/>
        <w:t>These statements clarify that no type of consciousness remains after an enlightened being passes away. Note also the final phrase, “</w:t>
      </w:r>
      <w:r>
        <w:rPr>
          <w:rStyle w:val="Emphasis"/>
        </w:rPr>
        <w:t>just that</w:t>
      </w:r>
      <w:r>
        <w:rPr/>
        <w:t xml:space="preserve"> is the end of suffering”, which we already encountered in §116. If the meaning of this phrase is not already clear, I will explain it in a moment. It is also used in an inspired utterance in the </w:t>
      </w:r>
      <w:r>
        <w:rPr>
          <w:rStyle w:val="wwc-sesame"/>
        </w:rPr>
        <w:t>Udāna</w:t>
      </w:r>
      <w:r>
        <w:rPr/>
        <w:t xml:space="preserve"> to describe the “state” of permanent non-consciousness that results after the enlightened being passes away:</w:t>
      </w:r>
    </w:p>
    <w:p>
      <w:pPr>
        <w:pStyle w:val="WW-blockquote"/>
        <w:rPr/>
      </w:pPr>
      <w:bookmarkStart w:id="141" w:name="bqseg142"/>
      <w:bookmarkEnd w:id="141"/>
      <w:r>
        <w:rPr/>
        <w:t>The Buddha was once staying in Jeta’s grove, Anāthapiṇḍika’s park at Savatthi. He was instructing, encouraging, inspiring, and gladdening the mendicants with a talk on extinguishment (</w:t>
      </w:r>
      <w:r>
        <w:rPr>
          <w:rStyle w:val="wwc-pali"/>
        </w:rPr>
        <w:t>nibbāna</w:t>
      </w:r>
      <w:r>
        <w:rPr/>
        <w:t>). The mendicants were paying heed, paying attention, engaging wholeheartedly, and lending an ear. At that time, realizing this, the Buddha spoke this inspired utterance:</w:t>
      </w:r>
    </w:p>
    <w:p>
      <w:pPr>
        <w:pStyle w:val="WW-blockquote"/>
        <w:rPr/>
      </w:pPr>
      <w:r>
        <w:rPr/>
        <w:t>“</w:t>
      </w:r>
      <w:r>
        <w:rPr/>
        <w:t>Mendicants, there is a state where there is no earth, no water, no fire, no air; no state of unbounded space, no state of unbounded consciousness, no state of nothingness, no state of neither awareness nor nonawareness; no this world, no other world, no sun, no moon. There, I tell you, there is no arriving, no departing, no abiding, no passing on, and no rebirth. It is with nothing planted, not moving on, without foundation. Just that is the end of suffering.”</w:t>
      </w:r>
      <w:r>
        <w:rPr>
          <w:rStyle w:val="FootnoteReference"/>
        </w:rPr>
        <w:footnoteReference w:id="558"/>
      </w:r>
    </w:p>
    <w:p>
      <w:pPr>
        <w:pStyle w:val="WW-paragraph"/>
        <w:rPr/>
      </w:pPr>
      <w:r>
        <w:rPr/>
        <w:t xml:space="preserve">The “state” of the inspired utterance in contemporary Buddhism is called ‘parinibbāna’, meaning ‘full extinguishment’. I will use this term as well, although the suttas do not use </w:t>
      </w:r>
      <w:r>
        <w:rPr>
          <w:rStyle w:val="wwc-pali"/>
        </w:rPr>
        <w:t>parinibbāna</w:t>
      </w:r>
      <w:r>
        <w:rPr/>
        <w:t xml:space="preserve"> exclusively in this sense. Sometimes the term refers to enlightenment, which is the full extinguishment of craving. Likewise, the term </w:t>
      </w:r>
      <w:r>
        <w:rPr>
          <w:rStyle w:val="wwc-pali"/>
        </w:rPr>
        <w:t>nibbāna</w:t>
      </w:r>
      <w:r>
        <w:rPr/>
        <w:t xml:space="preserve"> (without </w:t>
      </w:r>
      <w:r>
        <w:rPr>
          <w:rStyle w:val="wwc-pali"/>
        </w:rPr>
        <w:t>pari</w:t>
      </w:r>
      <w:r>
        <w:rPr>
          <w:rStyle w:val="Emphasis"/>
        </w:rPr>
        <w:t>-</w:t>
      </w:r>
      <w:r>
        <w:rPr/>
        <w:t>) is also used for the passing away of an enlightened being.</w:t>
      </w:r>
      <w:r>
        <w:rPr>
          <w:rStyle w:val="FootnoteReference"/>
        </w:rPr>
        <w:footnoteReference w:id="559"/>
      </w:r>
    </w:p>
    <w:p>
      <w:pPr>
        <w:pStyle w:val="WW-paragraph"/>
        <w:rPr/>
      </w:pPr>
      <w:r>
        <w:rPr/>
        <w:t>The word for ‘state’ (</w:t>
      </w:r>
      <w:r>
        <w:rPr>
          <w:rStyle w:val="wwc-pali"/>
        </w:rPr>
        <w:t>āyatana</w:t>
      </w:r>
      <w:r>
        <w:rPr/>
        <w:t xml:space="preserve">) is also translated as ‘realm’, ‘dimension’, ‘base’, ‘field’, and ‘sphere’, among many other alternatives. As this variety indicates, the word has a broad and vague meaning. Despite this, some interpreters think it tells us something important about the nature of </w:t>
      </w:r>
      <w:r>
        <w:rPr>
          <w:rStyle w:val="wwc-pali"/>
        </w:rPr>
        <w:t>parinibbāna</w:t>
      </w:r>
      <w:r>
        <w:rPr/>
        <w:t xml:space="preserve">, namely that it indicates it to be a type of transcendent existence or consciousness. In what I consider to be a rare misjudgment, Venerable Bhikkhu Bodhi reifies </w:t>
      </w:r>
      <w:r>
        <w:rPr>
          <w:rStyle w:val="wwc-pali"/>
        </w:rPr>
        <w:t>parinibbāna</w:t>
      </w:r>
      <w:r>
        <w:rPr/>
        <w:t xml:space="preserve"> in such a way: “Suttas speak of [pari]nibbāna as […] a base [</w:t>
      </w:r>
      <w:r>
        <w:rPr>
          <w:rStyle w:val="wwc-pali"/>
        </w:rPr>
        <w:t>āyatana</w:t>
      </w:r>
      <w:r>
        <w:rPr/>
        <w:t>] where none of the conditioned phenomena of the world are to be found. Such descriptions, while cryptic and still expressed by way of negations, point to nibbāna as a transcendent, ever-existent state”, by which he means that it is “not the mere […] cessation of existence” but a state where some transcendental experience remains.</w:t>
      </w:r>
      <w:r>
        <w:rPr>
          <w:rStyle w:val="FootnoteReference"/>
        </w:rPr>
        <w:footnoteReference w:id="560"/>
      </w:r>
      <w:r>
        <w:rPr/>
        <w:t xml:space="preserve"> Others have used the same reasoning to support ideas of a permanent unestablished consciousness.</w:t>
      </w:r>
      <w:r>
        <w:rPr>
          <w:rStyle w:val="FootnoteReference"/>
        </w:rPr>
        <w:footnoteReference w:id="561"/>
      </w:r>
    </w:p>
    <w:p>
      <w:pPr>
        <w:pStyle w:val="WW-paragraph"/>
        <w:rPr/>
      </w:pPr>
      <w:r>
        <w:rPr/>
        <w:t xml:space="preserve">As Venerable Bodhi himself admits, when describing this ‘state’ or ‘base’, the Buddha just gives a long list of negations. This tells us nothing about what this </w:t>
      </w:r>
      <w:r>
        <w:rPr>
          <w:rStyle w:val="wwc-pali"/>
        </w:rPr>
        <w:t>āyatana</w:t>
      </w:r>
      <w:r>
        <w:rPr/>
        <w:t xml:space="preserve"> is; it only tells us what it is </w:t>
      </w:r>
      <w:r>
        <w:rPr>
          <w:rStyle w:val="Emphasis"/>
        </w:rPr>
        <w:t>not</w:t>
      </w:r>
      <w:r>
        <w:rPr/>
        <w:t xml:space="preserve">. Any transcendentalist interpretation of this passage therefore relies on the word </w:t>
      </w:r>
      <w:r>
        <w:rPr>
          <w:rStyle w:val="wwc-pali"/>
        </w:rPr>
        <w:t>āyatana</w:t>
      </w:r>
      <w:r>
        <w:rPr/>
        <w:t xml:space="preserve"> alone. Before coming to any weighty conclusions, we should therefore determine whether </w:t>
      </w:r>
      <w:r>
        <w:rPr>
          <w:rStyle w:val="wwc-pali"/>
        </w:rPr>
        <w:t>āyatana</w:t>
      </w:r>
      <w:r>
        <w:rPr/>
        <w:t xml:space="preserve"> necessarily refers to a state of existence. We find that it does not.</w:t>
      </w:r>
    </w:p>
    <w:p>
      <w:pPr>
        <w:pStyle w:val="WW-paragraph"/>
        <w:rPr/>
      </w:pPr>
      <w:r>
        <w:rPr/>
        <w:t xml:space="preserve">The </w:t>
      </w:r>
      <w:r>
        <w:rPr>
          <w:rStyle w:val="wwc-sesame"/>
        </w:rPr>
        <w:t>Sīgālovāda Sutta</w:t>
      </w:r>
      <w:r>
        <w:rPr/>
        <w:t xml:space="preserve"> mentions, in the translations of both Walshe and Sujato, susceptibility (</w:t>
      </w:r>
      <w:r>
        <w:rPr>
          <w:rStyle w:val="wwc-pali"/>
        </w:rPr>
        <w:t>āyatana</w:t>
      </w:r>
      <w:r>
        <w:rPr/>
        <w:t>) to illness when drinking alcohol.</w:t>
      </w:r>
      <w:r>
        <w:rPr>
          <w:rStyle w:val="FootnoteReference"/>
        </w:rPr>
        <w:footnoteReference w:id="562"/>
      </w:r>
      <w:r>
        <w:rPr/>
        <w:t xml:space="preserve"> In this case </w:t>
      </w:r>
      <w:r>
        <w:rPr>
          <w:rStyle w:val="wwc-pali"/>
        </w:rPr>
        <w:t>āyatana</w:t>
      </w:r>
      <w:r>
        <w:rPr/>
        <w:t xml:space="preserve"> means something like ‘option’ or ‘case’, or ‘occasion’ or ‘opportunity’, as dictionaries suggest.</w:t>
      </w:r>
      <w:r>
        <w:rPr>
          <w:rStyle w:val="FootnoteReference"/>
        </w:rPr>
        <w:footnoteReference w:id="563"/>
      </w:r>
      <w:r>
        <w:rPr/>
        <w:t xml:space="preserve"> It is somewhat similar to how in English something can be within the </w:t>
      </w:r>
      <w:r>
        <w:rPr>
          <w:rStyle w:val="Emphasis"/>
        </w:rPr>
        <w:t>realm</w:t>
      </w:r>
      <w:r>
        <w:rPr/>
        <w:t xml:space="preserve"> of possibility. The word </w:t>
      </w:r>
      <w:r>
        <w:rPr>
          <w:rStyle w:val="wwc-pali"/>
        </w:rPr>
        <w:t>āyatana</w:t>
      </w:r>
      <w:r>
        <w:rPr/>
        <w:t xml:space="preserve"> has a similar meaning in other places, as in “opportunities (</w:t>
      </w:r>
      <w:r>
        <w:rPr>
          <w:rStyle w:val="wwc-pali"/>
        </w:rPr>
        <w:t>āyatanas</w:t>
      </w:r>
      <w:r>
        <w:rPr/>
        <w:t>) for liberation”.</w:t>
      </w:r>
      <w:r>
        <w:rPr>
          <w:rStyle w:val="FootnoteReference"/>
        </w:rPr>
        <w:footnoteReference w:id="564"/>
      </w:r>
      <w:r>
        <w:rPr/>
        <w:t xml:space="preserve"> Quite tellingly, the </w:t>
      </w:r>
      <w:r>
        <w:rPr>
          <w:rStyle w:val="wwc-sesame"/>
        </w:rPr>
        <w:t>Pañcattaya Sutta</w:t>
      </w:r>
      <w:r>
        <w:rPr/>
        <w:t xml:space="preserve"> calls the theory of annihilationism (among other wrong views) an </w:t>
      </w:r>
      <w:r>
        <w:rPr>
          <w:rStyle w:val="wwc-pali"/>
        </w:rPr>
        <w:t>āyatana</w:t>
      </w:r>
      <w:r>
        <w:rPr/>
        <w:t>.</w:t>
      </w:r>
      <w:r>
        <w:rPr>
          <w:rStyle w:val="FootnoteReference"/>
        </w:rPr>
        <w:footnoteReference w:id="565"/>
      </w:r>
      <w:r>
        <w:rPr/>
        <w:t xml:space="preserve"> So </w:t>
      </w:r>
      <w:r>
        <w:rPr>
          <w:rStyle w:val="wwc-pali"/>
        </w:rPr>
        <w:t>āyatana</w:t>
      </w:r>
      <w:r>
        <w:rPr/>
        <w:t xml:space="preserve"> by itself has no definite existential meaning—annihilation can in fact be regarded as the very antithesis of that. Since the inspired utterance further only contains negations, it therefore is ill-advised to base one’s interpretation of </w:t>
      </w:r>
      <w:r>
        <w:rPr>
          <w:rStyle w:val="wwc-pali"/>
        </w:rPr>
        <w:t>parinibbāna</w:t>
      </w:r>
      <w:r>
        <w:rPr/>
        <w:t xml:space="preserve"> on this term.</w:t>
      </w:r>
    </w:p>
    <w:p>
      <w:pPr>
        <w:pStyle w:val="WW-paragraph"/>
        <w:rPr/>
      </w:pPr>
      <w:r>
        <w:rPr/>
        <w:t xml:space="preserve">I translated </w:t>
      </w:r>
      <w:r>
        <w:rPr>
          <w:rStyle w:val="wwc-pali"/>
        </w:rPr>
        <w:t>āyatana</w:t>
      </w:r>
      <w:r>
        <w:rPr/>
        <w:t xml:space="preserve"> as ‘state’ in the inspired utterance primarily to keep consistency with the formless attainments, also called </w:t>
      </w:r>
      <w:r>
        <w:rPr>
          <w:rStyle w:val="wwc-pali"/>
        </w:rPr>
        <w:t>āyatanas</w:t>
      </w:r>
      <w:r>
        <w:rPr/>
        <w:t xml:space="preserve">, which I prefer to call ‘states’ rather than ‘bases’ or alike. But with this translation I do not mean an existent reality. I use ‘state’ in the same sense as ‘the unconscious state’ or ‘the off state’. However, instead of a certain state, the word </w:t>
      </w:r>
      <w:r>
        <w:rPr>
          <w:rStyle w:val="wwc-pali"/>
        </w:rPr>
        <w:t>āyatana</w:t>
      </w:r>
      <w:r>
        <w:rPr/>
        <w:t xml:space="preserve"> in this case more likely conveys that the cessation of suffering is </w:t>
      </w:r>
      <w:r>
        <w:rPr>
          <w:rStyle w:val="Emphasis"/>
        </w:rPr>
        <w:t>possible</w:t>
      </w:r>
      <w:r>
        <w:rPr/>
        <w:t xml:space="preserve">, similar to its meaning in the examples just given. It is not meant to reify </w:t>
      </w:r>
      <w:r>
        <w:rPr>
          <w:rStyle w:val="wwc-pali"/>
        </w:rPr>
        <w:t>parinibbāna</w:t>
      </w:r>
      <w:r>
        <w:rPr/>
        <w:t>.</w:t>
      </w:r>
    </w:p>
    <w:p>
      <w:pPr>
        <w:pStyle w:val="WW-paragraph"/>
        <w:rPr/>
      </w:pPr>
      <w:r>
        <w:rPr/>
        <w:t xml:space="preserve">This is confirmed by another discourse which uses </w:t>
      </w:r>
      <w:r>
        <w:rPr>
          <w:rStyle w:val="wwc-pali"/>
        </w:rPr>
        <w:t>āyatana</w:t>
      </w:r>
      <w:r>
        <w:rPr/>
        <w:t xml:space="preserve"> with reference to the end of suffering. The Buddha says: “You should understand</w:t>
      </w:r>
      <w:r>
        <w:rPr>
          <w:rStyle w:val="FootnoteReference"/>
        </w:rPr>
        <w:footnoteReference w:id="566"/>
      </w:r>
      <w:r>
        <w:rPr/>
        <w:t xml:space="preserve"> the </w:t>
      </w:r>
      <w:r>
        <w:rPr>
          <w:rStyle w:val="wwc-pali"/>
        </w:rPr>
        <w:t>āyatana</w:t>
      </w:r>
      <w:r>
        <w:rPr/>
        <w:t xml:space="preserve"> when the sense of sight and perception of sights cease, the sense of hearing and perceptions of sounds cease, the sense of smell and perceptions of smells cease, the sense of taste and perceptions of flavors cease, the sense of touch and perceptions of tangibles cease, and the mind and perceptions of mental phenomena cease.”</w:t>
      </w:r>
      <w:r>
        <w:rPr>
          <w:rStyle w:val="FootnoteReference"/>
        </w:rPr>
        <w:footnoteReference w:id="567"/>
      </w:r>
      <w:r>
        <w:rPr/>
        <w:t xml:space="preserve"> When Ānanda is subsequently asked what the Buddha was referring to with this “</w:t>
      </w:r>
      <w:r>
        <w:rPr>
          <w:rStyle w:val="wwc-pali"/>
        </w:rPr>
        <w:t>āyatana</w:t>
      </w:r>
      <w:r>
        <w:rPr/>
        <w:t xml:space="preserve">”, he replies that he was referring just to the cessation of the six senses. It is quite a funny encounter. Although the other mendicants ask Ānanda for further details, his explanation is even shorter than the Buddha’s original statement. Ānanda is basically saying: “There is nothing I can add. It refers just to the cessation of the six senses!” He does not mention the existence of anything, let alone a transcendent, ever-existent state, even though this would have been a perfect occasion to do so. When the Buddha later affirms Ānanda’s explanation, he does not do so either. This refusal to assert that anything exists after </w:t>
      </w:r>
      <w:r>
        <w:rPr>
          <w:rStyle w:val="wwc-pali"/>
        </w:rPr>
        <w:t>parinibbāna</w:t>
      </w:r>
      <w:r>
        <w:rPr/>
        <w:t>, aligns with the observations of Chapter 9, that the six senses encompass all that can be experienced.</w:t>
      </w:r>
    </w:p>
    <w:p>
      <w:pPr>
        <w:pStyle w:val="WW-paragraph"/>
        <w:rPr/>
      </w:pPr>
      <w:r>
        <w:rPr/>
        <w:t xml:space="preserve">In sum, the word </w:t>
      </w:r>
      <w:r>
        <w:rPr>
          <w:rStyle w:val="wwc-pali"/>
        </w:rPr>
        <w:t>āyatana</w:t>
      </w:r>
      <w:r>
        <w:rPr/>
        <w:t xml:space="preserve"> in this context refers to the possibility of cessation, not to a certain realm or place. In that light, if we adopt ‘case’ for </w:t>
      </w:r>
      <w:r>
        <w:rPr>
          <w:rStyle w:val="wwc-pali"/>
        </w:rPr>
        <w:t>āyatana</w:t>
      </w:r>
      <w:r>
        <w:rPr/>
        <w:t>, the translation becomes: “You should understand the case when</w:t>
      </w:r>
      <w:r>
        <w:rPr>
          <w:rStyle w:val="FootnoteReference"/>
        </w:rPr>
        <w:footnoteReference w:id="568"/>
      </w:r>
      <w:r>
        <w:rPr/>
        <w:t xml:space="preserve"> the sense of sight and perception of sight cease, […] the mind and mental perceptions cease.” Likewise, the inspired utterance becomes:</w:t>
      </w:r>
    </w:p>
    <w:p>
      <w:pPr>
        <w:pStyle w:val="WW-blockquote"/>
        <w:rPr/>
      </w:pPr>
      <w:bookmarkStart w:id="142" w:name="bqseg143"/>
      <w:bookmarkEnd w:id="142"/>
      <w:r>
        <w:rPr/>
        <w:t>Mendicants, there is a case when there is no earth, no water, no fire, no air; no state of unbounded space, no state of unbounded consciousness, no state of nothingness, no state of neither awareness nor nonawareness; no this world, no other world, no sun, no moon. Then, I tell you, there is no arriving, no departing, no abiding, no passing on, and no rebirth. It is with nothing planted, not moving on, without foundation. Just that is the end of suffering.</w:t>
      </w:r>
      <w:r>
        <w:rPr>
          <w:rStyle w:val="FootnoteReference"/>
        </w:rPr>
        <w:footnoteReference w:id="569"/>
      </w:r>
    </w:p>
    <w:p>
      <w:pPr>
        <w:pStyle w:val="WW-paragraph"/>
        <w:rPr/>
      </w:pPr>
      <w:r>
        <w:rPr/>
        <w:t xml:space="preserve">Now this no longer sounds like a state of existence. It instead tells us it is </w:t>
      </w:r>
      <w:r>
        <w:rPr>
          <w:rStyle w:val="Emphasis"/>
        </w:rPr>
        <w:t>possible</w:t>
      </w:r>
      <w:r>
        <w:rPr/>
        <w:t xml:space="preserve"> to end all the things that are listed.</w:t>
      </w:r>
    </w:p>
    <w:p>
      <w:pPr>
        <w:pStyle w:val="WW-paragraph"/>
        <w:rPr/>
      </w:pPr>
      <w:r>
        <w:rPr/>
        <w:t xml:space="preserve">The passage may well be playing with multiple connotations of the word </w:t>
      </w:r>
      <w:r>
        <w:rPr>
          <w:rStyle w:val="wwc-pali"/>
        </w:rPr>
        <w:t>āyatana</w:t>
      </w:r>
      <w:r>
        <w:rPr/>
        <w:t xml:space="preserve">. It is worth recalling that the passage is an inspired utterance. The Buddha used many inspiring terms for the end of suffering: the island, the other shore, the shelter, and so forth. None of these are meant to be taken literally. Enlightened beings don’t go to a real island or shelter. Likewise, they don’t go to a literal ‘region’, ‘realm’, or ‘abode’: other ways to translate </w:t>
      </w:r>
      <w:r>
        <w:rPr>
          <w:rStyle w:val="wwc-pali"/>
        </w:rPr>
        <w:t>āyatana</w:t>
      </w:r>
      <w:r>
        <w:rPr/>
        <w:t xml:space="preserve"> in certain contexts.</w:t>
      </w:r>
    </w:p>
    <w:p>
      <w:pPr>
        <w:pStyle w:val="WW-paragraph"/>
        <w:rPr/>
      </w:pPr>
      <w:r>
        <w:rPr/>
        <w:t xml:space="preserve">On a related note, similar claims of transcendent existence have been made based on the word </w:t>
      </w:r>
      <w:r>
        <w:rPr>
          <w:rStyle w:val="wwc-pali"/>
        </w:rPr>
        <w:t>dhātu</w:t>
      </w:r>
      <w:r>
        <w:rPr/>
        <w:t xml:space="preserve">, but these can be questioned in a similar fashion. Venerable Brahmāli explained: “Sometimes </w:t>
      </w:r>
      <w:r>
        <w:rPr>
          <w:rStyle w:val="wwc-pali"/>
        </w:rPr>
        <w:t>nibbāna</w:t>
      </w:r>
      <w:r>
        <w:rPr/>
        <w:t xml:space="preserve"> is called </w:t>
      </w:r>
      <w:r>
        <w:rPr>
          <w:rStyle w:val="wwc-pali"/>
        </w:rPr>
        <w:t>nibbānadhātu</w:t>
      </w:r>
      <w:r>
        <w:rPr/>
        <w:t xml:space="preserve"> […]. The word </w:t>
      </w:r>
      <w:r>
        <w:rPr>
          <w:rStyle w:val="wwc-pali"/>
        </w:rPr>
        <w:t>dhātu</w:t>
      </w:r>
      <w:r>
        <w:rPr/>
        <w:t xml:space="preserve"> is often translated as ‘element’. Basing one’s understanding on this translation it is natural to conclude that </w:t>
      </w:r>
      <w:r>
        <w:rPr>
          <w:rStyle w:val="wwc-pali"/>
        </w:rPr>
        <w:t>nibbāna</w:t>
      </w:r>
      <w:r>
        <w:rPr/>
        <w:t xml:space="preserve"> must be ‘something’. However, this would be to ignore the range of meanings of the word </w:t>
      </w:r>
      <w:r>
        <w:rPr>
          <w:rStyle w:val="wwc-pali"/>
        </w:rPr>
        <w:t>dhātu</w:t>
      </w:r>
      <w:r>
        <w:rPr/>
        <w:t>.”</w:t>
      </w:r>
      <w:r>
        <w:rPr>
          <w:rStyle w:val="FootnoteReference"/>
        </w:rPr>
        <w:footnoteReference w:id="570"/>
      </w:r>
      <w:r>
        <w:rPr/>
        <w:t xml:space="preserve"> Dictionaries include under </w:t>
      </w:r>
      <w:r>
        <w:rPr>
          <w:rStyle w:val="wwc-pali"/>
        </w:rPr>
        <w:t>dhātu</w:t>
      </w:r>
      <w:r>
        <w:rPr/>
        <w:t>, “a principle […] sometimes a very general abstraction: -hood; -ness” and “condition, principle, property”.</w:t>
      </w:r>
      <w:r>
        <w:rPr>
          <w:rStyle w:val="FootnoteReference"/>
        </w:rPr>
        <w:footnoteReference w:id="571"/>
      </w:r>
      <w:r>
        <w:rPr/>
        <w:t xml:space="preserve"> As an illustration of these meanings, there is the </w:t>
      </w:r>
      <w:r>
        <w:rPr>
          <w:rStyle w:val="wwc-pali"/>
        </w:rPr>
        <w:t>nirodhadhātu</w:t>
      </w:r>
      <w:r>
        <w:rPr/>
        <w:t xml:space="preserve">, ‘the principle/property of cessation’. In a discourse specifically called the </w:t>
      </w:r>
      <w:r>
        <w:rPr>
          <w:rStyle w:val="wwc-sesame"/>
        </w:rPr>
        <w:t>Dhātu Sutta</w:t>
      </w:r>
      <w:r>
        <w:rPr/>
        <w:t xml:space="preserve">, this </w:t>
      </w:r>
      <w:r>
        <w:rPr>
          <w:rStyle w:val="wwc-pali"/>
        </w:rPr>
        <w:t>nirodhadhātu</w:t>
      </w:r>
      <w:r>
        <w:rPr/>
        <w:t xml:space="preserve"> is a synonym for </w:t>
      </w:r>
      <w:r>
        <w:rPr>
          <w:rStyle w:val="wwc-pali"/>
        </w:rPr>
        <w:t>parinibbāna</w:t>
      </w:r>
      <w:r>
        <w:rPr/>
        <w:t>.</w:t>
      </w:r>
      <w:r>
        <w:rPr>
          <w:rStyle w:val="FootnoteReference"/>
        </w:rPr>
        <w:footnoteReference w:id="572"/>
      </w:r>
      <w:r>
        <w:rPr/>
        <w:t xml:space="preserve"> So in this context the word </w:t>
      </w:r>
      <w:r>
        <w:rPr>
          <w:rStyle w:val="wwc-pali"/>
        </w:rPr>
        <w:t>dhātu</w:t>
      </w:r>
      <w:r>
        <w:rPr/>
        <w:t xml:space="preserve"> simply refers to cessation, just like </w:t>
      </w:r>
      <w:r>
        <w:rPr>
          <w:rStyle w:val="wwc-pali"/>
        </w:rPr>
        <w:t>āyatana</w:t>
      </w:r>
      <w:r>
        <w:rPr/>
        <w:t xml:space="preserve"> in the inspired utterance. It too does not refer to a state of existence.</w:t>
      </w:r>
    </w:p>
    <w:p>
      <w:pPr>
        <w:pStyle w:val="WW-chapter-section-1"/>
        <w:ind w:hanging="0" w:start="0"/>
        <w:rPr/>
      </w:pPr>
      <w:r>
        <w:rPr/>
        <w:t>Just that is the end of suffering</w:t>
      </w:r>
    </w:p>
    <w:p>
      <w:pPr>
        <w:pStyle w:val="WW-paragraph"/>
        <w:rPr/>
      </w:pPr>
      <w:r>
        <w:rPr/>
        <w:t>The list of negations in the inspired utterance concludes, “</w:t>
      </w:r>
      <w:r>
        <w:rPr>
          <w:rStyle w:val="Emphasis"/>
        </w:rPr>
        <w:t>just that</w:t>
      </w:r>
      <w:r>
        <w:rPr/>
        <w:t xml:space="preserve"> is the end of suffering”. This indicates </w:t>
      </w:r>
      <w:r>
        <w:rPr>
          <w:rStyle w:val="wwc-pali"/>
        </w:rPr>
        <w:t>parinibbāna</w:t>
      </w:r>
      <w:r>
        <w:rPr/>
        <w:t xml:space="preserve"> is </w:t>
      </w:r>
      <w:r>
        <w:rPr>
          <w:rStyle w:val="Emphasis"/>
        </w:rPr>
        <w:t>just</w:t>
      </w:r>
      <w:r>
        <w:rPr/>
        <w:t xml:space="preserve"> the end of all things mentioned in the utterance, not something apart from them. A similar statement is made about enlightenment:</w:t>
      </w:r>
    </w:p>
    <w:p>
      <w:pPr>
        <w:pStyle w:val="WW-line-block"/>
        <w:rPr/>
      </w:pPr>
      <w:bookmarkStart w:id="143" w:name="bqseg144"/>
      <w:bookmarkEnd w:id="143"/>
      <w:r>
        <w:rPr/>
        <w:t>They who have gone beyond doubt,</w:t>
        <w:br/>
        <w:t>in whom no sensual desires reside,</w:t>
        <w:br/>
        <w:t>in whom no craving can be found,</w:t>
        <w:br/>
        <w:t xml:space="preserve">their deliverance is </w:t>
      </w:r>
      <w:r>
        <w:rPr>
          <w:rStyle w:val="Emphasis"/>
        </w:rPr>
        <w:t>nothing more than that</w:t>
      </w:r>
      <w:r>
        <w:rPr/>
        <w:t>.</w:t>
      </w:r>
      <w:r>
        <w:rPr>
          <w:rStyle w:val="FootnoteReference"/>
        </w:rPr>
        <w:footnoteReference w:id="573"/>
      </w:r>
    </w:p>
    <w:p>
      <w:pPr>
        <w:pStyle w:val="WW-paragraph"/>
        <w:rPr/>
      </w:pPr>
      <w:r>
        <w:rPr/>
        <w:t>In other words, enlightenment is merely the ending of the defilements, not the creation or uncovering of something else. Likewise, the end of suffering is just the end of existence, not a transcendental state of existence or a type of consciousness. As the discourses say: “Extinguishment is the cessation of existence”,</w:t>
      </w:r>
      <w:r>
        <w:rPr>
          <w:rStyle w:val="FootnoteReference"/>
        </w:rPr>
        <w:footnoteReference w:id="574"/>
      </w:r>
      <w:r>
        <w:rPr/>
        <w:t xml:space="preserve"> with ‘extinguishment’ here meaning the final extinguishment that happens at death. It is the </w:t>
      </w:r>
      <w:r>
        <w:rPr>
          <w:rStyle w:val="Emphasis"/>
        </w:rPr>
        <w:t>ending</w:t>
      </w:r>
      <w:r>
        <w:rPr/>
        <w:t xml:space="preserve"> of things, not some form of continuation or creation.</w:t>
      </w:r>
    </w:p>
    <w:p>
      <w:pPr>
        <w:pStyle w:val="WW-paragraph"/>
        <w:rPr/>
      </w:pPr>
      <w:r>
        <w:rPr/>
        <w:t>To explain this further, let me address all the things that are negated in the inspired utterance. Much of what we have discussed before is referred to as well.</w:t>
      </w:r>
    </w:p>
    <w:p>
      <w:pPr>
        <w:pStyle w:val="WW-paragraph"/>
        <w:numPr>
          <w:ilvl w:val="0"/>
          <w:numId w:val="17"/>
        </w:numPr>
        <w:rPr/>
      </w:pPr>
      <w:r>
        <w:rPr/>
        <w:t>‘</w:t>
      </w:r>
      <w:r>
        <w:rPr/>
        <w:t>No earth, no water, no fire, no air’ refers to the cessation of existence in the material realms like the human one, but also includes the higher realms of mind-made form. Ancient Indians thought differently about the “material” universe than we do. The elements were believed to extend beyond what we now call matter, and included realms imperceptible to the five physical senses. Included in this are also mental perceptions of “bounded” space, perceptions of any form whatsoever.</w:t>
      </w:r>
    </w:p>
    <w:p>
      <w:pPr>
        <w:pStyle w:val="WW-paragraph"/>
        <w:numPr>
          <w:ilvl w:val="0"/>
          <w:numId w:val="17"/>
        </w:numPr>
        <w:rPr/>
      </w:pPr>
      <w:r>
        <w:rPr/>
        <w:t>‘</w:t>
      </w:r>
      <w:r>
        <w:rPr/>
        <w:t xml:space="preserve">No state of unbounded space, no state of unbounded consciousness, no state of nothingness, no state of neither awareness nor nonawareness’ are the so-called formless states. The Buddha still experienced these before he passed away, which is one indication the inspired utterance is not about the living enlightened being but about </w:t>
      </w:r>
      <w:r>
        <w:rPr>
          <w:rStyle w:val="wwc-pali"/>
        </w:rPr>
        <w:t>parinibbāna</w:t>
      </w:r>
      <w:r>
        <w:rPr/>
        <w:t>, the final cessation of suffering.</w:t>
      </w:r>
      <w:r>
        <w:rPr>
          <w:rStyle w:val="FootnoteReference"/>
        </w:rPr>
        <w:footnoteReference w:id="575"/>
      </w:r>
      <w:r>
        <w:rPr/>
        <w:t xml:space="preserve"> In line with the </w:t>
      </w:r>
      <w:r>
        <w:rPr>
          <w:rStyle w:val="wwc-sesame"/>
        </w:rPr>
        <w:t>Anāthapiṇḍika Sutta</w:t>
      </w:r>
      <w:r>
        <w:rPr/>
        <w:t xml:space="preserve">, the utterance does not include the cessation of awareness and what is experienced (or ‘the cessation of perception and feeling’) in the things that don’t exist after </w:t>
      </w:r>
      <w:r>
        <w:rPr>
          <w:rStyle w:val="wwc-pali"/>
        </w:rPr>
        <w:t>parinibbāna</w:t>
      </w:r>
      <w:r>
        <w:rPr/>
        <w:t xml:space="preserve">. That is because </w:t>
      </w:r>
      <w:r>
        <w:rPr>
          <w:rStyle w:val="wwc-pali"/>
        </w:rPr>
        <w:t>parinibbāna</w:t>
      </w:r>
      <w:r>
        <w:rPr/>
        <w:t xml:space="preserve"> is a permanent version of this cessation. This cessation of awareness is elsewhere also implied to be the highest bliss, even though nothing is experienced there, and in the </w:t>
      </w:r>
      <w:r>
        <w:rPr>
          <w:rStyle w:val="wwc-sesame"/>
        </w:rPr>
        <w:t>Anupada Sutta</w:t>
      </w:r>
      <w:r>
        <w:rPr/>
        <w:t xml:space="preserve"> Venerable Sāriputta concluded there is no escape beyond it.</w:t>
      </w:r>
      <w:r>
        <w:rPr>
          <w:rStyle w:val="FootnoteReference"/>
        </w:rPr>
        <w:footnoteReference w:id="576"/>
      </w:r>
    </w:p>
    <w:p>
      <w:pPr>
        <w:pStyle w:val="WW-paragraph"/>
        <w:numPr>
          <w:ilvl w:val="0"/>
          <w:numId w:val="17"/>
        </w:numPr>
        <w:rPr/>
      </w:pPr>
      <w:r>
        <w:rPr/>
        <w:t>‘</w:t>
      </w:r>
      <w:r>
        <w:rPr/>
        <w:t>No this world, no other world’ means no existence in this world or any other.</w:t>
      </w:r>
    </w:p>
    <w:p>
      <w:pPr>
        <w:pStyle w:val="WW-paragraph"/>
        <w:numPr>
          <w:ilvl w:val="0"/>
          <w:numId w:val="17"/>
        </w:numPr>
        <w:rPr/>
      </w:pPr>
      <w:r>
        <w:rPr/>
        <w:t>‘</w:t>
      </w:r>
      <w:r>
        <w:rPr/>
        <w:t>No sun, no moon’ does sound a bit Brahmanical</w:t>
      </w:r>
      <w:r>
        <w:rPr>
          <w:rStyle w:val="FootnoteReference"/>
        </w:rPr>
        <w:footnoteReference w:id="577"/>
      </w:r>
      <w:r>
        <w:rPr/>
        <w:t xml:space="preserve"> and could have various meanings. It can simply mean not being in the world anymore. It might also refer to the absence of light, which can be seen as a metaphor for the absence of awareness. The absence of sunlight and moonlight could describe the cessation of consciousness, just like the simile of the fading beam of sunlight and the simile of the oil lamp at §104.</w:t>
      </w:r>
    </w:p>
    <w:p>
      <w:pPr>
        <w:pStyle w:val="WW-paragraph"/>
        <w:numPr>
          <w:ilvl w:val="0"/>
          <w:numId w:val="17"/>
        </w:numPr>
        <w:rPr/>
      </w:pPr>
      <w:r>
        <w:rPr/>
        <w:t>‘</w:t>
      </w:r>
      <w:r>
        <w:rPr/>
        <w:t xml:space="preserve">No arriving, no departing, no abiding, no passing on, no rebirth’ stands for the end of rebirth. Most of these terms were explained in the discussion of the </w:t>
      </w:r>
      <w:r>
        <w:rPr>
          <w:rStyle w:val="wwc-sesame"/>
        </w:rPr>
        <w:t>Seeds Discourse</w:t>
      </w:r>
      <w:r>
        <w:rPr/>
        <w:t>. ‘No abiding’ is new, but it simply means no abiding in any state of existence, there being no abode for consciousness.</w:t>
      </w:r>
    </w:p>
    <w:p>
      <w:pPr>
        <w:pStyle w:val="WW-paragraph"/>
        <w:numPr>
          <w:ilvl w:val="0"/>
          <w:numId w:val="17"/>
        </w:numPr>
        <w:rPr/>
      </w:pPr>
      <w:r>
        <w:rPr/>
        <w:t>‘</w:t>
      </w:r>
      <w:r>
        <w:rPr/>
        <w:t>Not moving on’ (</w:t>
      </w:r>
      <w:r>
        <w:rPr>
          <w:rStyle w:val="wwc-pali"/>
        </w:rPr>
        <w:t>appavatta</w:t>
      </w:r>
      <w:r>
        <w:rPr/>
        <w:t>) refers to the end of rebirth too, to the cessation of the cycle of rebirth.</w:t>
      </w:r>
    </w:p>
    <w:p>
      <w:pPr>
        <w:pStyle w:val="WW-paragraph"/>
        <w:numPr>
          <w:ilvl w:val="0"/>
          <w:numId w:val="17"/>
        </w:numPr>
        <w:rPr/>
      </w:pPr>
      <w:r>
        <w:rPr/>
        <w:t>‘</w:t>
      </w:r>
      <w:r>
        <w:rPr/>
        <w:t>Without foundation’ and ‘with nothing planted’ may have various implications, but these terms do remind us of the simile of the seed of consciousness. In that light, they refer to there being no rebirth of consciousness, which, without any foundation, cannot be replanted anywhere, and then will cease to exist.</w:t>
      </w:r>
      <w:r>
        <w:rPr>
          <w:rStyle w:val="FootnoteReference"/>
        </w:rPr>
        <w:footnoteReference w:id="578"/>
      </w:r>
    </w:p>
    <w:p>
      <w:pPr>
        <w:pStyle w:val="WW-paragraph"/>
        <w:rPr/>
      </w:pPr>
      <w:r>
        <w:rPr/>
        <w:t xml:space="preserve">In the </w:t>
      </w:r>
      <w:r>
        <w:rPr>
          <w:rStyle w:val="wwc-sesame"/>
        </w:rPr>
        <w:t>Pārāyana Vagga</w:t>
      </w:r>
      <w:r>
        <w:rPr/>
        <w:t xml:space="preserve"> the Buddha also explains what </w:t>
      </w:r>
      <w:r>
        <w:rPr>
          <w:rStyle w:val="wwc-pali"/>
        </w:rPr>
        <w:t>parinibbāna</w:t>
      </w:r>
      <w:r>
        <w:rPr/>
        <w:t xml:space="preserve"> is about:</w:t>
      </w:r>
    </w:p>
    <w:p>
      <w:pPr>
        <w:pStyle w:val="WW-blockquote"/>
        <w:rPr/>
      </w:pPr>
      <w:bookmarkStart w:id="144" w:name="bqseg145"/>
      <w:bookmarkEnd w:id="144"/>
      <w:r>
        <w:rPr/>
        <w:t>&lt;Venerable Mettagu asked:</w:t>
      </w:r>
    </w:p>
    <w:p>
      <w:pPr>
        <w:pStyle w:val="WW-line-block"/>
        <w:rPr/>
      </w:pPr>
      <w:r>
        <w:rPr/>
        <w:t>“</w:t>
      </w:r>
      <w:r>
        <w:rPr/>
        <w:t>You elucidated what I asked about.</w:t>
        <w:br/>
        <w:t>Let me ask something else; please speak on it.</w:t>
        <w:br/>
        <w:t>How do the bright cross the flood</w:t>
        <w:br/>
        <w:t>of birth, old age, sorrow, and grief?</w:t>
        <w:br/>
        <w:t>May you explain this clearly to me, O sage,</w:t>
        <w:br/>
        <w:t>for you truly understand this matter.”</w:t>
      </w:r>
    </w:p>
    <w:p>
      <w:pPr>
        <w:pStyle w:val="WW-blockquote"/>
        <w:rPr/>
      </w:pPr>
      <w:r>
        <w:rPr/>
        <w:t>&lt;The Buddha replied:</w:t>
      </w:r>
    </w:p>
    <w:p>
      <w:pPr>
        <w:pStyle w:val="WW-line-block"/>
        <w:rPr/>
      </w:pPr>
      <w:r>
        <w:rPr/>
        <w:t>“</w:t>
      </w:r>
      <w:r>
        <w:rPr/>
        <w:t>I will proclaim a teaching for you</w:t>
        <w:br/>
        <w:t>which can be seen in this life, not relying on reports,</w:t>
        <w:br/>
        <w:t>by which, if understood and not forgotten,</w:t>
        <w:br/>
        <w:t>one can cross attachment to the world.”</w:t>
      </w:r>
    </w:p>
    <w:p>
      <w:pPr>
        <w:pStyle w:val="WW-line-block"/>
        <w:rPr/>
      </w:pPr>
      <w:r>
        <w:rPr/>
        <w:t>“</w:t>
      </w:r>
      <w:r>
        <w:rPr/>
        <w:t>And I will rejoice, great seer,</w:t>
        <w:br/>
        <w:t>in that supreme teaching,</w:t>
        <w:br/>
        <w:t>by which, if understood and not forgotten,</w:t>
        <w:br/>
        <w:t>one can cross over attachment to the world.”</w:t>
      </w:r>
    </w:p>
    <w:p>
      <w:pPr>
        <w:pStyle w:val="WW-line-block"/>
        <w:rPr/>
      </w:pPr>
      <w:r>
        <w:rPr/>
        <w:t>“</w:t>
      </w:r>
      <w:r>
        <w:rPr/>
        <w:t>If you dispel enjoyment of and adherence to</w:t>
        <w:br/>
        <w:t>whatever you are aware of,</w:t>
        <w:br/>
        <w:t>above, below, and in between across,</w:t>
        <w:br/>
        <w:t>consciousness won’t continue in any state of existence.”</w:t>
      </w:r>
      <w:r>
        <w:rPr>
          <w:rStyle w:val="FootnoteReference"/>
        </w:rPr>
        <w:footnoteReference w:id="579"/>
      </w:r>
    </w:p>
    <w:p>
      <w:pPr>
        <w:pStyle w:val="WW-paragraph"/>
        <w:rPr/>
      </w:pPr>
      <w:r>
        <w:rPr/>
        <w:t xml:space="preserve">Without any attachment to awareness, at death consciousness will not continue in any state of existence. This is the end of suffering, the end of birth and death. And this is what </w:t>
      </w:r>
      <w:r>
        <w:rPr>
          <w:rStyle w:val="wwc-pali"/>
        </w:rPr>
        <w:t>appatiṭṭhita viññāṇa</w:t>
      </w:r>
      <w:r>
        <w:rPr/>
        <w:t xml:space="preserve"> and the simile of the beam refer to: not to a type of consciousness, but to its cessation.</w:t>
      </w:r>
      <w:r>
        <w:br w:type="page"/>
      </w:r>
    </w:p>
    <w:p>
      <w:pPr>
        <w:pStyle w:val="WW-Chapter"/>
        <w:spacing w:before="0" w:after="567"/>
        <w:ind w:hanging="0" w:start="0"/>
        <w:rPr/>
      </w:pPr>
      <w:r>
        <w:rPr/>
        <w:t>14. Conclusion</w:t>
      </w:r>
    </w:p>
    <w:p>
      <w:pPr>
        <w:pStyle w:val="WW-paragraph"/>
        <w:rPr/>
      </w:pPr>
      <w:r>
        <w:rPr/>
        <w:t xml:space="preserve">Although the primary aim of this book was to explain </w:t>
      </w:r>
      <w:r>
        <w:rPr>
          <w:rStyle w:val="wwc-pali"/>
        </w:rPr>
        <w:t>appatiṭṭhita viññāṇa</w:t>
      </w:r>
      <w:r>
        <w:rPr/>
        <w:t xml:space="preserve"> and how it relates to Dependent Arising, I also tried to illustrate the beauty of the Blessed One’s teachings. There are many layers in his sermons, which use definitions, questions, and logic, and also make ample use of similes.</w:t>
      </w:r>
    </w:p>
    <w:p>
      <w:pPr>
        <w:pStyle w:val="WW-paragraph"/>
        <w:rPr/>
      </w:pPr>
      <w:r>
        <w:rPr/>
        <w:t>The Buddha’s similes are sometimes misunderstood, but that is understandable. Aside from his teachings being profound, it is a natural byproduct of being separated in time, language, and culture. The Muslim philosopher Al-Farabi wrote in the first half of the tenth century: “Aristotle, when he laid down these matters in his books, expressed them by means of words customary among the people of his language, and used examples that were familiar to and current among the people of his day. But since the explanations of the people of this [Arabic] language are not customary to the people of that land [i.e., Greece], and the examples of the people of this time […] are different from the examples familiar to those [Greeks], the points which Aristotle intended to clarify by means of these examples have become unclear to and not understood by the people of our time.”</w:t>
      </w:r>
      <w:r>
        <w:rPr>
          <w:rStyle w:val="FootnoteReference"/>
        </w:rPr>
        <w:footnoteReference w:id="580"/>
      </w:r>
      <w:r>
        <w:rPr/>
        <w:t xml:space="preserve"> With the language and examples of the Buddha we find ourselves in a similar situation. But just like Al-Farabi aimed to clarify Aristotle, I hope my explanations and translations of the Buddha’s words have shed some light on some of his similes, so they can be understood by the people of our time.</w:t>
      </w:r>
    </w:p>
    <w:p>
      <w:pPr>
        <w:pStyle w:val="WW-paragraph"/>
        <w:rPr/>
      </w:pPr>
      <w:r>
        <w:rPr/>
        <w:t xml:space="preserve">However, as hard as one might try, one aspect of these teachings that never comes across well in translation is the linguistic connections between various Pāli terms. A good example is </w:t>
      </w:r>
      <w:r>
        <w:rPr>
          <w:rStyle w:val="wwc-pali"/>
        </w:rPr>
        <w:t>appatiṭṭhita</w:t>
      </w:r>
      <w:r>
        <w:rPr/>
        <w:t>, which has relations to many phrases quoted in previous passages, among which:</w:t>
      </w:r>
    </w:p>
    <w:p>
      <w:pPr>
        <w:pStyle w:val="WW-paragraph"/>
        <w:numPr>
          <w:ilvl w:val="0"/>
          <w:numId w:val="18"/>
        </w:numPr>
        <w:rPr/>
      </w:pPr>
      <w:r>
        <w:rPr/>
        <w:t>‘</w:t>
      </w:r>
      <w:r>
        <w:rPr/>
        <w:t>consciousness won’t continue (</w:t>
      </w:r>
      <w:r>
        <w:rPr>
          <w:rStyle w:val="wwc-pali"/>
        </w:rPr>
        <w:t>tiṭṭhe</w:t>
      </w:r>
      <w:r>
        <w:rPr/>
        <w:t>) in any state of existence’ of the last passage</w:t>
      </w:r>
    </w:p>
    <w:p>
      <w:pPr>
        <w:pStyle w:val="WW-paragraph"/>
        <w:numPr>
          <w:ilvl w:val="0"/>
          <w:numId w:val="18"/>
        </w:numPr>
        <w:rPr/>
      </w:pPr>
      <w:r>
        <w:rPr/>
        <w:t>‘</w:t>
      </w:r>
      <w:r>
        <w:rPr/>
        <w:t>the arising, continuation (</w:t>
      </w:r>
      <w:r>
        <w:rPr>
          <w:rStyle w:val="wwc-pali"/>
        </w:rPr>
        <w:t>ṭhiti</w:t>
      </w:r>
      <w:r>
        <w:rPr/>
        <w:t>), production, and manifestation of consciousness’ at birth</w:t>
      </w:r>
      <w:r>
        <w:rPr>
          <w:rStyle w:val="FootnoteReference"/>
        </w:rPr>
        <w:footnoteReference w:id="581"/>
      </w:r>
    </w:p>
    <w:p>
      <w:pPr>
        <w:pStyle w:val="WW-paragraph"/>
        <w:numPr>
          <w:ilvl w:val="0"/>
          <w:numId w:val="18"/>
        </w:numPr>
        <w:rPr/>
      </w:pPr>
      <w:r>
        <w:rPr/>
        <w:t>‘</w:t>
      </w:r>
      <w:r>
        <w:rPr/>
        <w:t>the continuation (</w:t>
      </w:r>
      <w:r>
        <w:rPr>
          <w:rStyle w:val="wwc-pali"/>
        </w:rPr>
        <w:t>ṭhiti</w:t>
      </w:r>
      <w:r>
        <w:rPr/>
        <w:t>) of consciousness’ after death</w:t>
      </w:r>
      <w:r>
        <w:rPr>
          <w:rStyle w:val="FootnoteReference"/>
        </w:rPr>
        <w:footnoteReference w:id="582"/>
      </w:r>
    </w:p>
    <w:p>
      <w:pPr>
        <w:pStyle w:val="WW-paragraph"/>
        <w:numPr>
          <w:ilvl w:val="0"/>
          <w:numId w:val="18"/>
        </w:numPr>
        <w:rPr/>
      </w:pPr>
      <w:r>
        <w:rPr/>
        <w:t>‘</w:t>
      </w:r>
      <w:r>
        <w:rPr/>
        <w:t>consciousness would continue to exist (</w:t>
      </w:r>
      <w:r>
        <w:rPr>
          <w:rStyle w:val="wwc-pali"/>
        </w:rPr>
        <w:t>tiṭṭhamānaṁ tiṭṭheyya</w:t>
      </w:r>
      <w:r>
        <w:rPr/>
        <w:t xml:space="preserve">)’ of the </w:t>
      </w:r>
      <w:r>
        <w:rPr>
          <w:rStyle w:val="wwc-sesame"/>
        </w:rPr>
        <w:t>Seeds Discourse</w:t>
      </w:r>
      <w:r>
        <w:rPr>
          <w:rStyle w:val="wwc-sesame"/>
          <w:rStyle w:val="FootnoteReference"/>
        </w:rPr>
        <w:footnoteReference w:id="583"/>
      </w:r>
    </w:p>
    <w:p>
      <w:pPr>
        <w:pStyle w:val="WW-paragraph"/>
        <w:numPr>
          <w:ilvl w:val="0"/>
          <w:numId w:val="18"/>
        </w:numPr>
        <w:rPr/>
      </w:pPr>
      <w:r>
        <w:rPr/>
        <w:t>‘</w:t>
      </w:r>
      <w:r>
        <w:rPr/>
        <w:t>that tree would keep existing (</w:t>
      </w:r>
      <w:r>
        <w:rPr>
          <w:rStyle w:val="wwc-pali"/>
        </w:rPr>
        <w:t>tiṭṭheyya</w:t>
      </w:r>
      <w:r>
        <w:rPr/>
        <w:t xml:space="preserve">) for a very long time’, a simile for existence in </w:t>
      </w:r>
      <w:r>
        <w:rPr>
          <w:rStyle w:val="wwc-pali"/>
        </w:rPr>
        <w:t>saṁsāra</w:t>
      </w:r>
      <w:r>
        <w:rPr>
          <w:rStyle w:val="wwc-pali"/>
          <w:rStyle w:val="FootnoteReference"/>
        </w:rPr>
        <w:footnoteReference w:id="584"/>
      </w:r>
    </w:p>
    <w:p>
      <w:pPr>
        <w:pStyle w:val="WW-paragraph"/>
        <w:numPr>
          <w:ilvl w:val="0"/>
          <w:numId w:val="18"/>
        </w:numPr>
        <w:rPr/>
      </w:pPr>
      <w:r>
        <w:rPr/>
        <w:t>‘</w:t>
      </w:r>
      <w:r>
        <w:rPr/>
        <w:t>all beings are kept in existence (</w:t>
      </w:r>
      <w:r>
        <w:rPr>
          <w:rStyle w:val="Emphasis"/>
        </w:rPr>
        <w:t>-</w:t>
      </w:r>
      <w:r>
        <w:rPr>
          <w:rStyle w:val="wwc-pali"/>
        </w:rPr>
        <w:t>ṭhitika</w:t>
      </w:r>
      <w:r>
        <w:rPr/>
        <w:t>) by nutriment’</w:t>
      </w:r>
      <w:r>
        <w:rPr>
          <w:rStyle w:val="FootnoteReference"/>
        </w:rPr>
        <w:footnoteReference w:id="585"/>
      </w:r>
    </w:p>
    <w:p>
      <w:pPr>
        <w:pStyle w:val="WW-paragraph"/>
        <w:numPr>
          <w:ilvl w:val="0"/>
          <w:numId w:val="18"/>
        </w:numPr>
        <w:rPr/>
      </w:pPr>
      <w:r>
        <w:rPr/>
        <w:t>‘</w:t>
      </w:r>
      <w:r>
        <w:rPr/>
        <w:t>the four supports (</w:t>
      </w:r>
      <w:r>
        <w:rPr>
          <w:rStyle w:val="wwc-pali"/>
        </w:rPr>
        <w:t>ṭhiti</w:t>
      </w:r>
      <w:r>
        <w:rPr/>
        <w:t xml:space="preserve">) for consciousness’ in the </w:t>
      </w:r>
      <w:r>
        <w:rPr>
          <w:rStyle w:val="wwc-sesame"/>
        </w:rPr>
        <w:t>Seeds Discourse</w:t>
      </w:r>
      <w:r>
        <w:rPr>
          <w:rStyle w:val="wwc-sesame"/>
          <w:rStyle w:val="FootnoteReference"/>
        </w:rPr>
        <w:footnoteReference w:id="586"/>
      </w:r>
    </w:p>
    <w:p>
      <w:pPr>
        <w:pStyle w:val="WW-paragraph"/>
        <w:numPr>
          <w:ilvl w:val="0"/>
          <w:numId w:val="18"/>
        </w:numPr>
        <w:rPr/>
      </w:pPr>
      <w:r>
        <w:rPr/>
        <w:t>‘</w:t>
      </w:r>
      <w:r>
        <w:rPr/>
        <w:t>the abodes (</w:t>
      </w:r>
      <w:r>
        <w:rPr>
          <w:rStyle w:val="wwc-pali"/>
        </w:rPr>
        <w:t>ṭhiti</w:t>
      </w:r>
      <w:r>
        <w:rPr/>
        <w:t>) for consciousness’ where consciousness gets reborn</w:t>
      </w:r>
      <w:r>
        <w:rPr>
          <w:rStyle w:val="FootnoteReference"/>
        </w:rPr>
        <w:footnoteReference w:id="587"/>
      </w:r>
    </w:p>
    <w:p>
      <w:pPr>
        <w:pStyle w:val="WW-paragraph"/>
        <w:numPr>
          <w:ilvl w:val="0"/>
          <w:numId w:val="18"/>
        </w:numPr>
        <w:rPr/>
      </w:pPr>
      <w:r>
        <w:rPr/>
        <w:t>‘</w:t>
      </w:r>
      <w:r>
        <w:rPr/>
        <w:t>consciousness is planted (</w:t>
      </w:r>
      <w:r>
        <w:rPr>
          <w:rStyle w:val="wwc-pali"/>
        </w:rPr>
        <w:t>patiṭṭhita</w:t>
      </w:r>
      <w:r>
        <w:rPr/>
        <w:t>)’ in a next life</w:t>
      </w:r>
      <w:r>
        <w:rPr>
          <w:rStyle w:val="FootnoteReference"/>
        </w:rPr>
        <w:footnoteReference w:id="588"/>
      </w:r>
    </w:p>
    <w:p>
      <w:pPr>
        <w:pStyle w:val="WW-paragraph"/>
        <w:numPr>
          <w:ilvl w:val="0"/>
          <w:numId w:val="18"/>
        </w:numPr>
        <w:rPr/>
      </w:pPr>
      <w:r>
        <w:rPr/>
        <w:t>‘</w:t>
      </w:r>
      <w:r>
        <w:rPr/>
        <w:t>the support (</w:t>
      </w:r>
      <w:r>
        <w:rPr>
          <w:rStyle w:val="wwc-pali"/>
        </w:rPr>
        <w:t>patiṭṭhā</w:t>
      </w:r>
      <w:r>
        <w:rPr/>
        <w:t>) for the planting of consciousness’</w:t>
      </w:r>
      <w:r>
        <w:rPr>
          <w:rStyle w:val="FootnoteReference"/>
        </w:rPr>
        <w:footnoteReference w:id="589"/>
      </w:r>
    </w:p>
    <w:p>
      <w:pPr>
        <w:pStyle w:val="WW-paragraph"/>
        <w:numPr>
          <w:ilvl w:val="0"/>
          <w:numId w:val="18"/>
        </w:numPr>
        <w:rPr/>
      </w:pPr>
      <w:r>
        <w:rPr/>
        <w:t>‘</w:t>
      </w:r>
      <w:r>
        <w:rPr/>
        <w:t>no abiding (</w:t>
      </w:r>
      <w:r>
        <w:rPr>
          <w:rStyle w:val="wwc-pali"/>
        </w:rPr>
        <w:t>ṭhiti</w:t>
      </w:r>
      <w:r>
        <w:rPr/>
        <w:t>)’ in any realm and ‘nothing planted (</w:t>
      </w:r>
      <w:r>
        <w:rPr>
          <w:rStyle w:val="wwc-pali"/>
        </w:rPr>
        <w:t>appatiṭṭha</w:t>
      </w:r>
      <w:r>
        <w:rPr/>
        <w:t>)’ of the inspired utterance</w:t>
      </w:r>
      <w:r>
        <w:rPr>
          <w:rStyle w:val="FootnoteReference"/>
        </w:rPr>
        <w:footnoteReference w:id="590"/>
      </w:r>
    </w:p>
    <w:p>
      <w:pPr>
        <w:pStyle w:val="WW-paragraph"/>
        <w:numPr>
          <w:ilvl w:val="0"/>
          <w:numId w:val="18"/>
        </w:numPr>
        <w:rPr/>
      </w:pPr>
      <w:r>
        <w:rPr/>
        <w:t>‘</w:t>
      </w:r>
      <w:r>
        <w:rPr/>
        <w:t>if consciousness does not find a support of any immaterial aspects and body to be planted in (</w:t>
      </w:r>
      <w:r>
        <w:rPr>
          <w:rStyle w:val="wwc-pali"/>
        </w:rPr>
        <w:t>patiṭṭhaṁ</w:t>
      </w:r>
      <w:r>
        <w:rPr/>
        <w:t>), would there be an origination of suffering, of future birth?’ in the Mahānidāna Sutta’s passage on the womb</w:t>
      </w:r>
      <w:r>
        <w:rPr>
          <w:rStyle w:val="FootnoteReference"/>
        </w:rPr>
        <w:footnoteReference w:id="591"/>
      </w:r>
    </w:p>
    <w:p>
      <w:pPr>
        <w:pStyle w:val="WW-paragraph"/>
        <w:rPr/>
      </w:pPr>
      <w:r>
        <w:rPr/>
        <w:t>These connections further show that the planting of consciousness refers to its continuation after death, and that its not being planted (</w:t>
      </w:r>
      <w:r>
        <w:rPr>
          <w:rStyle w:val="wwc-pali"/>
        </w:rPr>
        <w:t>appatiṭṭhita</w:t>
      </w:r>
      <w:r>
        <w:rPr/>
        <w:t>) implies its cessation.</w:t>
      </w:r>
    </w:p>
    <w:p>
      <w:pPr>
        <w:pStyle w:val="WW-space"/>
        <w:rPr/>
      </w:pPr>
      <w:r>
        <w:rPr/>
        <w:t>0</w:t>
      </w:r>
    </w:p>
    <w:p>
      <w:pPr>
        <w:pStyle w:val="WW-paragraph"/>
        <w:rPr/>
      </w:pPr>
      <w:r>
        <w:rPr/>
        <w:t>Let me close with a few thoughts on pragmatism.</w:t>
      </w:r>
    </w:p>
    <w:p>
      <w:pPr>
        <w:pStyle w:val="WW-paragraph"/>
        <w:rPr/>
      </w:pPr>
      <w:r>
        <w:rPr/>
        <w:t>Certain matters addressed in this work might seem to be minor textual details, of interest perhaps only to scholars. There is some truth in that, but the way the texts are understood is not without consequences for the practicing Buddhist. How we interpret the Buddha’s words strongly influences how we proceed on the path and how we look at our meditative experiences. The noble Teacher compared being well-versed and learned in his teachings to having many weapons with which to ward of the enemy (the enemy being the defilements).</w:t>
      </w:r>
      <w:r>
        <w:rPr>
          <w:rStyle w:val="FootnoteReference"/>
        </w:rPr>
        <w:footnoteReference w:id="592"/>
      </w:r>
      <w:r>
        <w:rPr/>
        <w:t xml:space="preserve"> We need not just access to weapons, however. We also need the knowledge of how to use them. If we know a lot of suttas but interpret them wrongly, it’s like fighting with the blunt end of a spear. We won’t be able to pierce anything. A spear held the wrong way round is more likely to harm the person wielding it instead.</w:t>
      </w:r>
    </w:p>
    <w:p>
      <w:pPr>
        <w:pStyle w:val="WW-paragraph"/>
        <w:rPr/>
      </w:pPr>
      <w:r>
        <w:rPr/>
        <w:t>For many practitioners the focus on rebirth in Dependent Arising feels unpragmatic or unconfirmable, not visible in this life. This actually seems to be the most common objection against the general interpretation laid out here. But arguments based on subjectivity are, well… subjective! Don’t get me wrong; all power to those who do what’s pragmatic instead of theoretical. But when it comes to interpreting Dependent Arising, the Buddha’s famous exchange with Ānanda seems relevant:</w:t>
      </w:r>
    </w:p>
    <w:p>
      <w:pPr>
        <w:pStyle w:val="WW-blockquote"/>
        <w:rPr/>
      </w:pPr>
      <w:bookmarkStart w:id="145" w:name="bqseg146"/>
      <w:bookmarkEnd w:id="145"/>
      <w:r>
        <w:rPr/>
        <w:t>“</w:t>
      </w:r>
      <w:r>
        <w:rPr/>
        <w:t>Venerable Sir, it’s incredible; it’s unbelievable! This Dependent Arising appears deep and is deep, yet to me it seems as clear as clear can be.”</w:t>
      </w:r>
    </w:p>
    <w:p>
      <w:pPr>
        <w:pStyle w:val="WW-blockquote"/>
        <w:rPr/>
      </w:pPr>
      <w:r>
        <w:rPr/>
        <w:t>“</w:t>
      </w:r>
      <w:r>
        <w:rPr/>
        <w:t>Don’t say so, Ānanda! This Dependent Arising appears deep and is deep. It is because of not understanding and not penetrating this teaching that this population is entangled like string, knotted like a ball of thread, weaved like rushes, and does not leave behind the plane of misery, the bad destinations, the nether world, and transmigration.”</w:t>
      </w:r>
      <w:r>
        <w:rPr>
          <w:rStyle w:val="FootnoteReference"/>
        </w:rPr>
        <w:footnoteReference w:id="593"/>
      </w:r>
    </w:p>
    <w:p>
      <w:pPr>
        <w:pStyle w:val="WW-paragraph"/>
        <w:rPr/>
      </w:pPr>
      <w:r>
        <w:rPr/>
        <w:t>Dependent Arising is deep, so it may not be prudent to base one’s understanding of it on what appears practical. The common accusation that the multiple-lifetime interpretation cannot be verified through direct experience likewise is very unimaginative.</w:t>
      </w:r>
    </w:p>
    <w:p>
      <w:pPr>
        <w:pStyle w:val="WW-paragraph"/>
        <w:rPr/>
      </w:pPr>
      <w:r>
        <w:rPr/>
        <w:t>It comes as no surprise to me that, while the multiple-lifetime interpretation is widely accepted with only minor disagreements, alternative takes on Dependent Arising that claim to be more pragmatic and verifiable vary greatly, each teacher suggesting something different which they apparently find to be more useful and within the possible scope of experience. If, on the other hand, you understand the words in this book on a theoretical level but fail to see how they apply to your own life or practice, then I think I actually did a great job of explaining what the Buddha was actually on about: something that is profoundly hard to see.</w:t>
      </w:r>
    </w:p>
    <w:p>
      <w:pPr>
        <w:pStyle w:val="WW-paragraph"/>
        <w:rPr/>
      </w:pPr>
      <w:r>
        <w:rPr/>
        <w:t xml:space="preserve">I can understand why Ānanda said Dependent Arising was as clear as day to </w:t>
      </w:r>
      <w:r>
        <w:rPr>
          <w:rStyle w:val="Emphasis"/>
        </w:rPr>
        <w:t>him</w:t>
      </w:r>
      <w:r>
        <w:rPr/>
        <w:t xml:space="preserve">, though. As a stream winner he had an insight that, when it happens, seems so obvious, you can’t help but wonder how you missed it for so long. I therefore think the Buddha’s rebuke, “don’t say so”, did not intend to say it wasn’t clear to Ānanda. It primarily meant to discourage him from thinking it should be clear to </w:t>
      </w:r>
      <w:r>
        <w:rPr>
          <w:rStyle w:val="Emphasis"/>
        </w:rPr>
        <w:t>others</w:t>
      </w:r>
      <w:r>
        <w:rPr/>
        <w:t xml:space="preserve"> who, as the Buddha says, unlike him are still fully stuck in low births and </w:t>
      </w:r>
      <w:r>
        <w:rPr>
          <w:rStyle w:val="wwc-pali"/>
        </w:rPr>
        <w:t>saṁsāra</w:t>
      </w:r>
      <w:r>
        <w:rPr/>
        <w:t xml:space="preserve">. Although Ānanda still had to develop a deeper understanding of Dependent Arising (which arguably could be a secondary reason for the Buddha’s rebuke), as a stream winner he already escaped the lower realms and found the basic way out of </w:t>
      </w:r>
      <w:r>
        <w:rPr>
          <w:rStyle w:val="wwc-pali"/>
        </w:rPr>
        <w:t>saṁsāra</w:t>
      </w:r>
      <w:r>
        <w:rPr/>
        <w:t>.</w:t>
      </w:r>
    </w:p>
    <w:p>
      <w:pPr>
        <w:pStyle w:val="WW-paragraph"/>
        <w:rPr/>
      </w:pPr>
      <w:r>
        <w:rPr/>
        <w:t>One of the most profound descriptions of right view in the Pāli Canon says the noble ones know transmigration has no discernible beginning.</w:t>
      </w:r>
      <w:r>
        <w:rPr>
          <w:rStyle w:val="FootnoteReference"/>
        </w:rPr>
        <w:footnoteReference w:id="594"/>
      </w:r>
      <w:r>
        <w:rPr/>
        <w:t xml:space="preserve"> Let me repeat that. They </w:t>
      </w:r>
      <w:r>
        <w:rPr>
          <w:rStyle w:val="Emphasis"/>
        </w:rPr>
        <w:t>know</w:t>
      </w:r>
      <w:r>
        <w:rPr/>
        <w:t xml:space="preserve"> transmigration has no discernible beginning. For them it is not just a theory or something taken on faith. This insight is called their faculty of understanding (</w:t>
      </w:r>
      <w:r>
        <w:rPr>
          <w:rStyle w:val="wwc-pali"/>
        </w:rPr>
        <w:t>paññā</w:t>
      </w:r>
      <w:r>
        <w:rPr/>
        <w:t xml:space="preserve">). They also know that whatever future lives they may still have, it all will come to an end. As the Buddha put it: </w:t>
      </w:r>
      <w:r>
        <w:rPr>
          <w:rStyle w:val="wwc-pali"/>
        </w:rPr>
        <w:t>Yaṁ kiñci sam</w:t>
        <w:softHyphen/>
        <w:t>udaya</w:t>
        <w:softHyphen/>
        <w:t>dhammaṁ, sabbaṁ taṁ nirodha</w:t>
        <w:softHyphen/>
        <w:t>dhammaṁ</w:t>
      </w:r>
      <w:r>
        <w:rPr>
          <w:rStyle w:val="Emphasis"/>
        </w:rPr>
        <w:t>,</w:t>
      </w:r>
      <w:r>
        <w:rPr/>
        <w:t xml:space="preserve"> “whatever may arise, it is all bound to cease.”</w:t>
      </w:r>
      <w:r>
        <w:rPr>
          <w:rStyle w:val="FootnoteReference"/>
        </w:rPr>
        <w:footnoteReference w:id="595"/>
      </w:r>
      <w:r>
        <w:rPr/>
        <w:t xml:space="preserve"> This famous statement is widely acknowledged to be an insight unique to the noble ones, but it is not as well-known that it only </w:t>
      </w:r>
      <w:r>
        <w:rPr>
          <w:rStyle w:val="Emphasis"/>
        </w:rPr>
        <w:t>applies</w:t>
      </w:r>
      <w:r>
        <w:rPr/>
        <w:t xml:space="preserve"> to them as well. For everyone else suffering doesn’t cease, that’s the thing! For most people it’s just the arising sequence of Dependent Arising happening again and again. But the noble ones, having removed a huge chunk of ignorance, have irreversibly set the cessation sequence in motion. They also know for a fact that all suffering </w:t>
      </w:r>
      <w:r>
        <w:rPr>
          <w:rStyle w:val="Emphasis"/>
        </w:rPr>
        <w:t>is</w:t>
      </w:r>
      <w:r>
        <w:rPr/>
        <w:t xml:space="preserve"> going to end, that there are only a limited amount of lives left. This is how Dependent Arising and its cessation are directly visible: by knowing the past and the future right here and now, understanding how rebirth was brought about and how it will end.</w:t>
      </w:r>
    </w:p>
    <w:p>
      <w:pPr>
        <w:pStyle w:val="WW-paragraph"/>
        <w:rPr/>
      </w:pPr>
      <w:r>
        <w:rPr/>
        <w:t>Such insights will reshape all one’s aims and perspectives. When like Ānanda you see without a shadow of a doubt the reality of rebirth and its cessation, as clearly as if someone was shouting it right in your ear, all suffering inside this single life becomes irrelevant in comparison. Then it is no longer surprising the Buddha in his most profound teachings did not focus on that type of suffering—which to a large extent is unpreventable anyway, since you’re already born—but instead on the suffering of repeated birth and death. Being told these teachings are not pragmatic, will feel like being asked why you aren’t concerned with a scratch on your knee when you just found out you have cancer (and that everybody else has it too). You’ll disregard that person and consult your oncologist instead.</w:t>
      </w:r>
    </w:p>
    <w:p>
      <w:pPr>
        <w:pStyle w:val="WW-paragraph"/>
        <w:rPr/>
      </w:pPr>
      <w:r>
        <w:rPr/>
        <w:t xml:space="preserve">Our oncologist is the Buddha, who continually reminded us that we should not ignore the tumor of rebirth and existence. He even said </w:t>
      </w:r>
      <w:r>
        <w:rPr>
          <w:rStyle w:val="Emphasis"/>
        </w:rPr>
        <w:t>enlightened beings</w:t>
      </w:r>
      <w:r>
        <w:rPr/>
        <w:t xml:space="preserve"> should look at the aspects of existence as a tumor—and I mean literally—and this includes consciousness.</w:t>
      </w:r>
      <w:r>
        <w:rPr>
          <w:rStyle w:val="FootnoteReference"/>
        </w:rPr>
        <w:footnoteReference w:id="596"/>
      </w:r>
      <w:r>
        <w:rPr/>
        <w:t xml:space="preserve"> So if we think they experience some sort of unestablished consciousness and therefore don’t suffer, we are not really seeing the problem. And if we find in the suttas an everlasting consciousness, then we ignore the disease even more. We will fail to look at what the Buddha was pointing to and interpret our meditative experiences wrongly. Our attachment to existence may make us believe certain states of calm awareness we experienced are the highest peace. It can be very challenging to let go of such blissful experiences and acknowledge that they are still impermanent and conditioned. But according to the Buddha, if you wish to reach the end of suffering, that is exactly what you’ll have to do.</w:t>
      </w:r>
    </w:p>
    <w:p>
      <w:pPr>
        <w:pStyle w:val="WW-paragraph"/>
        <w:rPr/>
      </w:pPr>
      <w:r>
        <w:rPr/>
        <w:t xml:space="preserve">How all that is done, and how it can be done joyfully, was not the subject of this writing. But I want to finish by saying that through deep meditation and reflection you </w:t>
      </w:r>
      <w:r>
        <w:rPr>
          <w:rStyle w:val="Emphasis"/>
        </w:rPr>
        <w:t>can</w:t>
      </w:r>
      <w:r>
        <w:rPr/>
        <w:t xml:space="preserve"> realize all these things. That discovery will open up a beautiful path towards enlightenment. It is the insight of the stream winners, for whom reflecting on Dependent Arising becomes the “noble method” to end suffering.</w:t>
      </w:r>
      <w:r>
        <w:rPr>
          <w:rStyle w:val="FootnoteReference"/>
        </w:rPr>
        <w:footnoteReference w:id="597"/>
      </w:r>
      <w:r>
        <w:rPr/>
        <w:t xml:space="preserve"> Only they, the noble ones, truly understand the deeper truths these teachings point at. May the Buddha’s words in this book bring you a little closer to this insight, and thereafter to the complete end of suffering.</w:t>
      </w:r>
      <w:r>
        <w:br w:type="page"/>
      </w:r>
    </w:p>
    <w:p>
      <w:pPr>
        <w:pStyle w:val="WW-Chapter"/>
        <w:spacing w:before="0" w:after="567"/>
        <w:ind w:hanging="0" w:start="0"/>
        <w:rPr/>
      </w:pPr>
      <w:r>
        <w:rPr/>
        <w:t>References</w:t>
      </w:r>
    </w:p>
    <w:p>
      <w:pPr>
        <w:pStyle w:val="WW-chapter-section-1"/>
        <w:ind w:hanging="0" w:start="0"/>
        <w:rPr/>
      </w:pPr>
      <w:r>
        <w:rPr/>
        <w:t>Abbreviations</w:t>
      </w:r>
    </w:p>
    <w:p>
      <w:pPr>
        <w:pStyle w:val="WW-table-caption"/>
        <w:rPr/>
      </w:pPr>
      <w:r>
        <w:rPr/>
        <w:t>Abbreviations used for Pali and Sanskrit Texts</w:t>
      </w:r>
    </w:p>
    <w:tbl>
      <w:tblPr>
        <w:tblW w:w="4416" w:type="dxa"/>
        <w:jc w:val="start"/>
        <w:tblInd w:w="0" w:type="dxa"/>
        <w:tblLayout w:type="fixed"/>
        <w:tblCellMar>
          <w:top w:w="0" w:type="dxa"/>
          <w:start w:w="0" w:type="dxa"/>
          <w:bottom w:w="0" w:type="dxa"/>
          <w:end w:w="0" w:type="dxa"/>
        </w:tblCellMar>
      </w:tblPr>
      <w:tblGrid>
        <w:gridCol w:w="759"/>
        <w:gridCol w:w="3656"/>
      </w:tblGrid>
      <w:tr>
        <w:trPr/>
        <w:tc>
          <w:tcPr>
            <w:tcW w:w="759" w:type="dxa"/>
            <w:tcBorders/>
            <w:vAlign w:val="center"/>
          </w:tcPr>
          <w:p>
            <w:pPr>
              <w:pStyle w:val="WW-paragraph"/>
              <w:spacing w:before="170" w:after="170"/>
              <w:rPr/>
            </w:pPr>
            <w:r>
              <w:rPr/>
              <w:t>AN</w:t>
            </w:r>
          </w:p>
        </w:tc>
        <w:tc>
          <w:tcPr>
            <w:tcW w:w="3656" w:type="dxa"/>
            <w:tcBorders/>
            <w:vAlign w:val="center"/>
          </w:tcPr>
          <w:p>
            <w:pPr>
              <w:pStyle w:val="WW-paragraph"/>
              <w:spacing w:before="170" w:after="170"/>
              <w:rPr/>
            </w:pPr>
            <w:r>
              <w:rPr/>
              <w:t>Aṅguttara Nikāya</w:t>
            </w:r>
          </w:p>
        </w:tc>
      </w:tr>
      <w:tr>
        <w:trPr/>
        <w:tc>
          <w:tcPr>
            <w:tcW w:w="759" w:type="dxa"/>
            <w:tcBorders/>
            <w:vAlign w:val="center"/>
          </w:tcPr>
          <w:p>
            <w:pPr>
              <w:pStyle w:val="WW-paragraph"/>
              <w:spacing w:before="170" w:after="170"/>
              <w:rPr/>
            </w:pPr>
            <w:r>
              <w:rPr/>
              <w:t>BU</w:t>
            </w:r>
          </w:p>
        </w:tc>
        <w:tc>
          <w:tcPr>
            <w:tcW w:w="3656" w:type="dxa"/>
            <w:tcBorders/>
            <w:vAlign w:val="center"/>
          </w:tcPr>
          <w:p>
            <w:pPr>
              <w:pStyle w:val="WW-paragraph"/>
              <w:spacing w:before="170" w:after="170"/>
              <w:rPr/>
            </w:pPr>
            <w:r>
              <w:rPr/>
              <w:t>Bṛhadāraṇyaka Upaniṣad</w:t>
            </w:r>
          </w:p>
        </w:tc>
      </w:tr>
      <w:tr>
        <w:trPr/>
        <w:tc>
          <w:tcPr>
            <w:tcW w:w="759" w:type="dxa"/>
            <w:tcBorders/>
            <w:vAlign w:val="center"/>
          </w:tcPr>
          <w:p>
            <w:pPr>
              <w:pStyle w:val="WW-paragraph"/>
              <w:spacing w:before="170" w:after="170"/>
              <w:rPr/>
            </w:pPr>
            <w:r>
              <w:rPr/>
              <w:t>CU</w:t>
            </w:r>
          </w:p>
        </w:tc>
        <w:tc>
          <w:tcPr>
            <w:tcW w:w="3656" w:type="dxa"/>
            <w:tcBorders/>
            <w:vAlign w:val="center"/>
          </w:tcPr>
          <w:p>
            <w:pPr>
              <w:pStyle w:val="WW-paragraph"/>
              <w:spacing w:before="170" w:after="170"/>
              <w:rPr/>
            </w:pPr>
            <w:r>
              <w:rPr/>
              <w:t>Chāndogya Upaniṣad</w:t>
            </w:r>
          </w:p>
        </w:tc>
      </w:tr>
      <w:tr>
        <w:trPr/>
        <w:tc>
          <w:tcPr>
            <w:tcW w:w="759" w:type="dxa"/>
            <w:tcBorders/>
            <w:vAlign w:val="center"/>
          </w:tcPr>
          <w:p>
            <w:pPr>
              <w:pStyle w:val="WW-paragraph"/>
              <w:spacing w:before="170" w:after="170"/>
              <w:rPr/>
            </w:pPr>
            <w:r>
              <w:rPr/>
              <w:t>Dhp</w:t>
            </w:r>
          </w:p>
        </w:tc>
        <w:tc>
          <w:tcPr>
            <w:tcW w:w="3656" w:type="dxa"/>
            <w:tcBorders/>
            <w:vAlign w:val="center"/>
          </w:tcPr>
          <w:p>
            <w:pPr>
              <w:pStyle w:val="WW-paragraph"/>
              <w:spacing w:before="170" w:after="170"/>
              <w:rPr/>
            </w:pPr>
            <w:r>
              <w:rPr/>
              <w:t>Dhammapada</w:t>
            </w:r>
          </w:p>
        </w:tc>
      </w:tr>
      <w:tr>
        <w:trPr/>
        <w:tc>
          <w:tcPr>
            <w:tcW w:w="759" w:type="dxa"/>
            <w:tcBorders/>
            <w:vAlign w:val="center"/>
          </w:tcPr>
          <w:p>
            <w:pPr>
              <w:pStyle w:val="WW-paragraph"/>
              <w:spacing w:before="170" w:after="170"/>
              <w:rPr/>
            </w:pPr>
            <w:r>
              <w:rPr/>
              <w:t>DĀ</w:t>
            </w:r>
          </w:p>
        </w:tc>
        <w:tc>
          <w:tcPr>
            <w:tcW w:w="3656" w:type="dxa"/>
            <w:tcBorders/>
            <w:vAlign w:val="center"/>
          </w:tcPr>
          <w:p>
            <w:pPr>
              <w:pStyle w:val="WW-paragraph"/>
              <w:spacing w:before="170" w:after="170"/>
              <w:rPr/>
            </w:pPr>
            <w:r>
              <w:rPr/>
              <w:t>Dīrgha Āgama</w:t>
            </w:r>
          </w:p>
        </w:tc>
      </w:tr>
      <w:tr>
        <w:trPr/>
        <w:tc>
          <w:tcPr>
            <w:tcW w:w="759" w:type="dxa"/>
            <w:tcBorders/>
            <w:vAlign w:val="center"/>
          </w:tcPr>
          <w:p>
            <w:pPr>
              <w:pStyle w:val="WW-paragraph"/>
              <w:spacing w:before="170" w:after="170"/>
              <w:rPr/>
            </w:pPr>
            <w:r>
              <w:rPr/>
              <w:t>DN</w:t>
            </w:r>
          </w:p>
        </w:tc>
        <w:tc>
          <w:tcPr>
            <w:tcW w:w="3656" w:type="dxa"/>
            <w:tcBorders/>
            <w:vAlign w:val="center"/>
          </w:tcPr>
          <w:p>
            <w:pPr>
              <w:pStyle w:val="WW-paragraph"/>
              <w:spacing w:before="170" w:after="170"/>
              <w:rPr/>
            </w:pPr>
            <w:r>
              <w:rPr/>
              <w:t>Dīgha Nikāya</w:t>
            </w:r>
          </w:p>
        </w:tc>
      </w:tr>
      <w:tr>
        <w:trPr/>
        <w:tc>
          <w:tcPr>
            <w:tcW w:w="759" w:type="dxa"/>
            <w:tcBorders/>
            <w:vAlign w:val="center"/>
          </w:tcPr>
          <w:p>
            <w:pPr>
              <w:pStyle w:val="WW-paragraph"/>
              <w:spacing w:before="170" w:after="170"/>
              <w:rPr/>
            </w:pPr>
            <w:r>
              <w:rPr/>
              <w:t>Ds</w:t>
            </w:r>
          </w:p>
        </w:tc>
        <w:tc>
          <w:tcPr>
            <w:tcW w:w="3656" w:type="dxa"/>
            <w:tcBorders/>
            <w:vAlign w:val="center"/>
          </w:tcPr>
          <w:p>
            <w:pPr>
              <w:pStyle w:val="WW-paragraph"/>
              <w:spacing w:before="170" w:after="170"/>
              <w:rPr/>
            </w:pPr>
            <w:r>
              <w:rPr/>
              <w:t>Dhammasaṅgaṇī</w:t>
            </w:r>
          </w:p>
        </w:tc>
      </w:tr>
      <w:tr>
        <w:trPr/>
        <w:tc>
          <w:tcPr>
            <w:tcW w:w="759" w:type="dxa"/>
            <w:tcBorders/>
            <w:vAlign w:val="center"/>
          </w:tcPr>
          <w:p>
            <w:pPr>
              <w:pStyle w:val="WW-paragraph"/>
              <w:spacing w:before="170" w:after="170"/>
              <w:rPr/>
            </w:pPr>
            <w:r>
              <w:rPr/>
              <w:t>EĀ</w:t>
            </w:r>
          </w:p>
        </w:tc>
        <w:tc>
          <w:tcPr>
            <w:tcW w:w="3656" w:type="dxa"/>
            <w:tcBorders/>
            <w:vAlign w:val="center"/>
          </w:tcPr>
          <w:p>
            <w:pPr>
              <w:pStyle w:val="WW-paragraph"/>
              <w:spacing w:before="170" w:after="170"/>
              <w:rPr/>
            </w:pPr>
            <w:r>
              <w:rPr/>
              <w:t>Ekottarika Āgama at T 125</w:t>
            </w:r>
          </w:p>
        </w:tc>
      </w:tr>
      <w:tr>
        <w:trPr/>
        <w:tc>
          <w:tcPr>
            <w:tcW w:w="759" w:type="dxa"/>
            <w:tcBorders/>
            <w:vAlign w:val="center"/>
          </w:tcPr>
          <w:p>
            <w:pPr>
              <w:pStyle w:val="WW-paragraph"/>
              <w:spacing w:before="170" w:after="170"/>
              <w:rPr/>
            </w:pPr>
            <w:r>
              <w:rPr/>
              <w:t>Iti</w:t>
            </w:r>
          </w:p>
        </w:tc>
        <w:tc>
          <w:tcPr>
            <w:tcW w:w="3656" w:type="dxa"/>
            <w:tcBorders/>
            <w:vAlign w:val="center"/>
          </w:tcPr>
          <w:p>
            <w:pPr>
              <w:pStyle w:val="WW-paragraph"/>
              <w:spacing w:before="170" w:after="170"/>
              <w:rPr/>
            </w:pPr>
            <w:r>
              <w:rPr/>
              <w:t>Itivuttaka</w:t>
            </w:r>
          </w:p>
        </w:tc>
      </w:tr>
      <w:tr>
        <w:trPr/>
        <w:tc>
          <w:tcPr>
            <w:tcW w:w="759" w:type="dxa"/>
            <w:tcBorders/>
            <w:vAlign w:val="center"/>
          </w:tcPr>
          <w:p>
            <w:pPr>
              <w:pStyle w:val="WW-paragraph"/>
              <w:spacing w:before="170" w:after="170"/>
              <w:rPr/>
            </w:pPr>
            <w:r>
              <w:rPr/>
              <w:t>JU</w:t>
            </w:r>
          </w:p>
        </w:tc>
        <w:tc>
          <w:tcPr>
            <w:tcW w:w="3656" w:type="dxa"/>
            <w:tcBorders/>
            <w:vAlign w:val="center"/>
          </w:tcPr>
          <w:p>
            <w:pPr>
              <w:pStyle w:val="WW-paragraph"/>
              <w:spacing w:before="170" w:after="170"/>
              <w:rPr/>
            </w:pPr>
            <w:r>
              <w:rPr/>
              <w:t>Jaiminīya Upaniṣad</w:t>
            </w:r>
          </w:p>
        </w:tc>
      </w:tr>
      <w:tr>
        <w:trPr/>
        <w:tc>
          <w:tcPr>
            <w:tcW w:w="759" w:type="dxa"/>
            <w:tcBorders/>
            <w:vAlign w:val="center"/>
          </w:tcPr>
          <w:p>
            <w:pPr>
              <w:pStyle w:val="WW-paragraph"/>
              <w:spacing w:before="170" w:after="170"/>
              <w:rPr/>
            </w:pPr>
            <w:r>
              <w:rPr/>
              <w:t>Kd</w:t>
            </w:r>
          </w:p>
        </w:tc>
        <w:tc>
          <w:tcPr>
            <w:tcW w:w="3656" w:type="dxa"/>
            <w:tcBorders/>
            <w:vAlign w:val="center"/>
          </w:tcPr>
          <w:p>
            <w:pPr>
              <w:pStyle w:val="WW-paragraph"/>
              <w:spacing w:before="170" w:after="170"/>
              <w:rPr/>
            </w:pPr>
            <w:r>
              <w:rPr/>
              <w:t>Pāli Khandhaka</w:t>
            </w:r>
          </w:p>
        </w:tc>
      </w:tr>
      <w:tr>
        <w:trPr/>
        <w:tc>
          <w:tcPr>
            <w:tcW w:w="759" w:type="dxa"/>
            <w:tcBorders/>
            <w:vAlign w:val="center"/>
          </w:tcPr>
          <w:p>
            <w:pPr>
              <w:pStyle w:val="WW-paragraph"/>
              <w:spacing w:before="170" w:after="170"/>
              <w:rPr/>
            </w:pPr>
            <w:r>
              <w:rPr/>
              <w:t>Kp</w:t>
            </w:r>
          </w:p>
        </w:tc>
        <w:tc>
          <w:tcPr>
            <w:tcW w:w="3656" w:type="dxa"/>
            <w:tcBorders/>
            <w:vAlign w:val="center"/>
          </w:tcPr>
          <w:p>
            <w:pPr>
              <w:pStyle w:val="WW-paragraph"/>
              <w:spacing w:before="170" w:after="170"/>
              <w:rPr/>
            </w:pPr>
            <w:r>
              <w:rPr/>
              <w:t>Khuddakapāṭha</w:t>
            </w:r>
          </w:p>
        </w:tc>
      </w:tr>
      <w:tr>
        <w:trPr/>
        <w:tc>
          <w:tcPr>
            <w:tcW w:w="759" w:type="dxa"/>
            <w:tcBorders/>
            <w:vAlign w:val="center"/>
          </w:tcPr>
          <w:p>
            <w:pPr>
              <w:pStyle w:val="WW-paragraph"/>
              <w:spacing w:before="170" w:after="170"/>
              <w:rPr/>
            </w:pPr>
            <w:r>
              <w:rPr/>
              <w:t>MĀ</w:t>
            </w:r>
          </w:p>
        </w:tc>
        <w:tc>
          <w:tcPr>
            <w:tcW w:w="3656" w:type="dxa"/>
            <w:tcBorders/>
            <w:vAlign w:val="center"/>
          </w:tcPr>
          <w:p>
            <w:pPr>
              <w:pStyle w:val="WW-paragraph"/>
              <w:spacing w:before="170" w:after="170"/>
              <w:rPr/>
            </w:pPr>
            <w:r>
              <w:rPr/>
              <w:t>Madhyama Āgama</w:t>
            </w:r>
          </w:p>
        </w:tc>
      </w:tr>
      <w:tr>
        <w:trPr/>
        <w:tc>
          <w:tcPr>
            <w:tcW w:w="759" w:type="dxa"/>
            <w:tcBorders/>
            <w:vAlign w:val="center"/>
          </w:tcPr>
          <w:p>
            <w:pPr>
              <w:pStyle w:val="WW-paragraph"/>
              <w:spacing w:before="170" w:after="170"/>
              <w:rPr/>
            </w:pPr>
            <w:r>
              <w:rPr/>
              <w:t>Mil</w:t>
            </w:r>
          </w:p>
        </w:tc>
        <w:tc>
          <w:tcPr>
            <w:tcW w:w="3656" w:type="dxa"/>
            <w:tcBorders/>
            <w:vAlign w:val="center"/>
          </w:tcPr>
          <w:p>
            <w:pPr>
              <w:pStyle w:val="WW-paragraph"/>
              <w:spacing w:before="170" w:after="170"/>
              <w:rPr/>
            </w:pPr>
            <w:r>
              <w:rPr/>
              <w:t>Milindapañha</w:t>
            </w:r>
          </w:p>
        </w:tc>
      </w:tr>
      <w:tr>
        <w:trPr/>
        <w:tc>
          <w:tcPr>
            <w:tcW w:w="759" w:type="dxa"/>
            <w:tcBorders/>
            <w:vAlign w:val="center"/>
          </w:tcPr>
          <w:p>
            <w:pPr>
              <w:pStyle w:val="WW-paragraph"/>
              <w:spacing w:before="170" w:after="170"/>
              <w:rPr/>
            </w:pPr>
            <w:r>
              <w:rPr/>
              <w:t>MMK</w:t>
            </w:r>
          </w:p>
        </w:tc>
        <w:tc>
          <w:tcPr>
            <w:tcW w:w="3656" w:type="dxa"/>
            <w:tcBorders/>
            <w:vAlign w:val="center"/>
          </w:tcPr>
          <w:p>
            <w:pPr>
              <w:pStyle w:val="WW-paragraph"/>
              <w:spacing w:before="170" w:after="170"/>
              <w:rPr/>
            </w:pPr>
            <w:r>
              <w:rPr/>
              <w:t>Mūlamadhyamakakārikā</w:t>
            </w:r>
          </w:p>
        </w:tc>
      </w:tr>
      <w:tr>
        <w:trPr/>
        <w:tc>
          <w:tcPr>
            <w:tcW w:w="759" w:type="dxa"/>
            <w:tcBorders/>
            <w:vAlign w:val="center"/>
          </w:tcPr>
          <w:p>
            <w:pPr>
              <w:pStyle w:val="WW-paragraph"/>
              <w:spacing w:before="170" w:after="170"/>
              <w:rPr/>
            </w:pPr>
            <w:r>
              <w:rPr/>
              <w:t>MN</w:t>
            </w:r>
          </w:p>
        </w:tc>
        <w:tc>
          <w:tcPr>
            <w:tcW w:w="3656" w:type="dxa"/>
            <w:tcBorders/>
            <w:vAlign w:val="center"/>
          </w:tcPr>
          <w:p>
            <w:pPr>
              <w:pStyle w:val="WW-paragraph"/>
              <w:spacing w:before="170" w:after="170"/>
              <w:rPr/>
            </w:pPr>
            <w:r>
              <w:rPr/>
              <w:t>Majjhima Nikāya</w:t>
            </w:r>
          </w:p>
        </w:tc>
      </w:tr>
      <w:tr>
        <w:trPr/>
        <w:tc>
          <w:tcPr>
            <w:tcW w:w="759" w:type="dxa"/>
            <w:tcBorders/>
            <w:vAlign w:val="center"/>
          </w:tcPr>
          <w:p>
            <w:pPr>
              <w:pStyle w:val="WW-paragraph"/>
              <w:spacing w:before="170" w:after="170"/>
              <w:rPr/>
            </w:pPr>
            <w:r>
              <w:rPr/>
              <w:t>MN-A</w:t>
            </w:r>
          </w:p>
        </w:tc>
        <w:tc>
          <w:tcPr>
            <w:tcW w:w="3656" w:type="dxa"/>
            <w:tcBorders/>
            <w:vAlign w:val="center"/>
          </w:tcPr>
          <w:p>
            <w:pPr>
              <w:pStyle w:val="WW-paragraph"/>
              <w:spacing w:before="170" w:after="170"/>
              <w:rPr/>
            </w:pPr>
            <w:r>
              <w:rPr/>
              <w:t>Papañcasūdanī (MN commentary)</w:t>
            </w:r>
          </w:p>
        </w:tc>
      </w:tr>
      <w:tr>
        <w:trPr/>
        <w:tc>
          <w:tcPr>
            <w:tcW w:w="759" w:type="dxa"/>
            <w:tcBorders/>
            <w:vAlign w:val="center"/>
          </w:tcPr>
          <w:p>
            <w:pPr>
              <w:pStyle w:val="WW-paragraph"/>
              <w:spacing w:before="170" w:after="170"/>
              <w:rPr/>
            </w:pPr>
            <w:r>
              <w:rPr/>
              <w:t>MuṇU</w:t>
            </w:r>
          </w:p>
        </w:tc>
        <w:tc>
          <w:tcPr>
            <w:tcW w:w="3656" w:type="dxa"/>
            <w:tcBorders/>
            <w:vAlign w:val="center"/>
          </w:tcPr>
          <w:p>
            <w:pPr>
              <w:pStyle w:val="WW-paragraph"/>
              <w:spacing w:before="170" w:after="170"/>
              <w:rPr/>
            </w:pPr>
            <w:r>
              <w:rPr/>
              <w:t>Muṇḍaka Upaniṣad</w:t>
            </w:r>
          </w:p>
        </w:tc>
      </w:tr>
      <w:tr>
        <w:trPr/>
        <w:tc>
          <w:tcPr>
            <w:tcW w:w="759" w:type="dxa"/>
            <w:tcBorders/>
            <w:vAlign w:val="center"/>
          </w:tcPr>
          <w:p>
            <w:pPr>
              <w:pStyle w:val="WW-paragraph"/>
              <w:spacing w:before="170" w:after="170"/>
              <w:rPr/>
            </w:pPr>
            <w:r>
              <w:rPr/>
              <w:t>PrU</w:t>
            </w:r>
          </w:p>
        </w:tc>
        <w:tc>
          <w:tcPr>
            <w:tcW w:w="3656" w:type="dxa"/>
            <w:tcBorders/>
            <w:vAlign w:val="center"/>
          </w:tcPr>
          <w:p>
            <w:pPr>
              <w:pStyle w:val="WW-paragraph"/>
              <w:spacing w:before="170" w:after="170"/>
              <w:rPr/>
            </w:pPr>
            <w:r>
              <w:rPr/>
              <w:t>Praśna Upaniṣad</w:t>
            </w:r>
          </w:p>
        </w:tc>
      </w:tr>
      <w:tr>
        <w:trPr/>
        <w:tc>
          <w:tcPr>
            <w:tcW w:w="759" w:type="dxa"/>
            <w:tcBorders/>
            <w:vAlign w:val="center"/>
          </w:tcPr>
          <w:p>
            <w:pPr>
              <w:pStyle w:val="WW-paragraph"/>
              <w:spacing w:before="170" w:after="170"/>
              <w:rPr/>
            </w:pPr>
            <w:r>
              <w:rPr/>
              <w:t>Pṭs</w:t>
            </w:r>
          </w:p>
        </w:tc>
        <w:tc>
          <w:tcPr>
            <w:tcW w:w="3656" w:type="dxa"/>
            <w:tcBorders/>
            <w:vAlign w:val="center"/>
          </w:tcPr>
          <w:p>
            <w:pPr>
              <w:pStyle w:val="WW-paragraph"/>
              <w:spacing w:before="170" w:after="170"/>
              <w:rPr/>
            </w:pPr>
            <w:r>
              <w:rPr/>
              <w:t>Paṭisambhidāmagga</w:t>
            </w:r>
          </w:p>
        </w:tc>
      </w:tr>
      <w:tr>
        <w:trPr/>
        <w:tc>
          <w:tcPr>
            <w:tcW w:w="759" w:type="dxa"/>
            <w:tcBorders/>
            <w:vAlign w:val="center"/>
          </w:tcPr>
          <w:p>
            <w:pPr>
              <w:pStyle w:val="WW-paragraph"/>
              <w:spacing w:before="170" w:after="170"/>
              <w:rPr/>
            </w:pPr>
            <w:r>
              <w:rPr/>
              <w:t>RV</w:t>
            </w:r>
          </w:p>
        </w:tc>
        <w:tc>
          <w:tcPr>
            <w:tcW w:w="3656" w:type="dxa"/>
            <w:tcBorders/>
            <w:vAlign w:val="center"/>
          </w:tcPr>
          <w:p>
            <w:pPr>
              <w:pStyle w:val="WW-paragraph"/>
              <w:spacing w:before="170" w:after="170"/>
              <w:rPr/>
            </w:pPr>
            <w:r>
              <w:rPr/>
              <w:t>Ṛg Veda</w:t>
            </w:r>
          </w:p>
        </w:tc>
      </w:tr>
      <w:tr>
        <w:trPr/>
        <w:tc>
          <w:tcPr>
            <w:tcW w:w="759" w:type="dxa"/>
            <w:tcBorders/>
            <w:vAlign w:val="center"/>
          </w:tcPr>
          <w:p>
            <w:pPr>
              <w:pStyle w:val="WW-paragraph"/>
              <w:spacing w:before="170" w:after="170"/>
              <w:rPr/>
            </w:pPr>
            <w:r>
              <w:rPr/>
              <w:t>SĀ</w:t>
            </w:r>
          </w:p>
        </w:tc>
        <w:tc>
          <w:tcPr>
            <w:tcW w:w="3656" w:type="dxa"/>
            <w:tcBorders/>
            <w:vAlign w:val="center"/>
          </w:tcPr>
          <w:p>
            <w:pPr>
              <w:pStyle w:val="WW-paragraph"/>
              <w:spacing w:before="170" w:after="170"/>
              <w:rPr/>
            </w:pPr>
            <w:r>
              <w:rPr/>
              <w:t>Saṁyukta Āgama at T 99</w:t>
            </w:r>
          </w:p>
        </w:tc>
      </w:tr>
      <w:tr>
        <w:trPr/>
        <w:tc>
          <w:tcPr>
            <w:tcW w:w="759" w:type="dxa"/>
            <w:tcBorders/>
            <w:vAlign w:val="center"/>
          </w:tcPr>
          <w:p>
            <w:pPr>
              <w:pStyle w:val="WW-paragraph"/>
              <w:spacing w:before="170" w:after="170"/>
              <w:rPr/>
            </w:pPr>
            <w:r>
              <w:rPr/>
              <w:t>SĀ2</w:t>
            </w:r>
          </w:p>
        </w:tc>
        <w:tc>
          <w:tcPr>
            <w:tcW w:w="3656" w:type="dxa"/>
            <w:tcBorders/>
            <w:vAlign w:val="center"/>
          </w:tcPr>
          <w:p>
            <w:pPr>
              <w:pStyle w:val="WW-paragraph"/>
              <w:spacing w:before="170" w:after="170"/>
              <w:rPr/>
            </w:pPr>
            <w:r>
              <w:rPr/>
              <w:t>Saṁyukta Āgama at T 100</w:t>
            </w:r>
          </w:p>
        </w:tc>
      </w:tr>
      <w:tr>
        <w:trPr/>
        <w:tc>
          <w:tcPr>
            <w:tcW w:w="759" w:type="dxa"/>
            <w:tcBorders/>
            <w:vAlign w:val="center"/>
          </w:tcPr>
          <w:p>
            <w:pPr>
              <w:pStyle w:val="WW-paragraph"/>
              <w:spacing w:before="170" w:after="170"/>
              <w:rPr/>
            </w:pPr>
            <w:r>
              <w:rPr/>
              <w:t>SN</w:t>
            </w:r>
          </w:p>
        </w:tc>
        <w:tc>
          <w:tcPr>
            <w:tcW w:w="3656" w:type="dxa"/>
            <w:tcBorders/>
            <w:vAlign w:val="center"/>
          </w:tcPr>
          <w:p>
            <w:pPr>
              <w:pStyle w:val="WW-paragraph"/>
              <w:spacing w:before="170" w:after="170"/>
              <w:rPr/>
            </w:pPr>
            <w:r>
              <w:rPr/>
              <w:t>Saṁyutta Nikāya</w:t>
            </w:r>
          </w:p>
        </w:tc>
      </w:tr>
      <w:tr>
        <w:trPr/>
        <w:tc>
          <w:tcPr>
            <w:tcW w:w="759" w:type="dxa"/>
            <w:tcBorders/>
            <w:vAlign w:val="center"/>
          </w:tcPr>
          <w:p>
            <w:pPr>
              <w:pStyle w:val="WW-paragraph"/>
              <w:spacing w:before="170" w:after="170"/>
              <w:rPr/>
            </w:pPr>
            <w:r>
              <w:rPr/>
              <w:t>SN-A</w:t>
            </w:r>
          </w:p>
        </w:tc>
        <w:tc>
          <w:tcPr>
            <w:tcW w:w="3656" w:type="dxa"/>
            <w:tcBorders/>
            <w:vAlign w:val="center"/>
          </w:tcPr>
          <w:p>
            <w:pPr>
              <w:pStyle w:val="WW-paragraph"/>
              <w:spacing w:before="170" w:after="170"/>
              <w:rPr/>
            </w:pPr>
            <w:r>
              <w:rPr/>
              <w:t>Sāratthappakāsinī (SN commentary)</w:t>
            </w:r>
          </w:p>
        </w:tc>
      </w:tr>
      <w:tr>
        <w:trPr/>
        <w:tc>
          <w:tcPr>
            <w:tcW w:w="759" w:type="dxa"/>
            <w:tcBorders/>
            <w:vAlign w:val="center"/>
          </w:tcPr>
          <w:p>
            <w:pPr>
              <w:pStyle w:val="WW-paragraph"/>
              <w:spacing w:before="170" w:after="170"/>
              <w:rPr/>
            </w:pPr>
            <w:r>
              <w:rPr/>
              <w:t>Snp</w:t>
            </w:r>
          </w:p>
        </w:tc>
        <w:tc>
          <w:tcPr>
            <w:tcW w:w="3656" w:type="dxa"/>
            <w:tcBorders/>
            <w:vAlign w:val="center"/>
          </w:tcPr>
          <w:p>
            <w:pPr>
              <w:pStyle w:val="WW-paragraph"/>
              <w:spacing w:before="170" w:after="170"/>
              <w:rPr/>
            </w:pPr>
            <w:r>
              <w:rPr/>
              <w:t>Sutta Nipāta</w:t>
            </w:r>
          </w:p>
        </w:tc>
      </w:tr>
      <w:tr>
        <w:trPr/>
        <w:tc>
          <w:tcPr>
            <w:tcW w:w="759" w:type="dxa"/>
            <w:tcBorders/>
            <w:vAlign w:val="center"/>
          </w:tcPr>
          <w:p>
            <w:pPr>
              <w:pStyle w:val="WW-paragraph"/>
              <w:spacing w:before="170" w:after="170"/>
              <w:rPr/>
            </w:pPr>
            <w:r>
              <w:rPr/>
              <w:t>Thag</w:t>
            </w:r>
          </w:p>
        </w:tc>
        <w:tc>
          <w:tcPr>
            <w:tcW w:w="3656" w:type="dxa"/>
            <w:tcBorders/>
            <w:vAlign w:val="center"/>
          </w:tcPr>
          <w:p>
            <w:pPr>
              <w:pStyle w:val="WW-paragraph"/>
              <w:spacing w:before="170" w:after="170"/>
              <w:rPr/>
            </w:pPr>
            <w:r>
              <w:rPr/>
              <w:t>Theragāthā</w:t>
            </w:r>
          </w:p>
        </w:tc>
      </w:tr>
      <w:tr>
        <w:trPr/>
        <w:tc>
          <w:tcPr>
            <w:tcW w:w="759" w:type="dxa"/>
            <w:tcBorders/>
            <w:vAlign w:val="center"/>
          </w:tcPr>
          <w:p>
            <w:pPr>
              <w:pStyle w:val="WW-paragraph"/>
              <w:spacing w:before="170" w:after="170"/>
              <w:rPr/>
            </w:pPr>
            <w:r>
              <w:rPr/>
              <w:t>Thig</w:t>
            </w:r>
          </w:p>
        </w:tc>
        <w:tc>
          <w:tcPr>
            <w:tcW w:w="3656" w:type="dxa"/>
            <w:tcBorders/>
            <w:vAlign w:val="center"/>
          </w:tcPr>
          <w:p>
            <w:pPr>
              <w:pStyle w:val="WW-paragraph"/>
              <w:spacing w:before="170" w:after="170"/>
              <w:rPr/>
            </w:pPr>
            <w:r>
              <w:rPr/>
              <w:t>Therīgāthā</w:t>
            </w:r>
          </w:p>
        </w:tc>
      </w:tr>
      <w:tr>
        <w:trPr/>
        <w:tc>
          <w:tcPr>
            <w:tcW w:w="759" w:type="dxa"/>
            <w:tcBorders/>
            <w:vAlign w:val="center"/>
          </w:tcPr>
          <w:p>
            <w:pPr>
              <w:pStyle w:val="WW-paragraph"/>
              <w:spacing w:before="170" w:after="170"/>
              <w:rPr/>
            </w:pPr>
            <w:r>
              <w:rPr/>
              <w:t>TU</w:t>
            </w:r>
          </w:p>
        </w:tc>
        <w:tc>
          <w:tcPr>
            <w:tcW w:w="3656" w:type="dxa"/>
            <w:tcBorders/>
            <w:vAlign w:val="center"/>
          </w:tcPr>
          <w:p>
            <w:pPr>
              <w:pStyle w:val="WW-paragraph"/>
              <w:spacing w:before="170" w:after="170"/>
              <w:rPr/>
            </w:pPr>
            <w:r>
              <w:rPr/>
              <w:t>Taittirīya Upaniṣad</w:t>
            </w:r>
          </w:p>
        </w:tc>
      </w:tr>
      <w:tr>
        <w:trPr/>
        <w:tc>
          <w:tcPr>
            <w:tcW w:w="759" w:type="dxa"/>
            <w:tcBorders/>
            <w:vAlign w:val="center"/>
          </w:tcPr>
          <w:p>
            <w:pPr>
              <w:pStyle w:val="WW-paragraph"/>
              <w:spacing w:before="170" w:after="170"/>
              <w:rPr/>
            </w:pPr>
            <w:r>
              <w:rPr/>
              <w:t>TB</w:t>
            </w:r>
          </w:p>
        </w:tc>
        <w:tc>
          <w:tcPr>
            <w:tcW w:w="3656" w:type="dxa"/>
            <w:tcBorders/>
            <w:vAlign w:val="center"/>
          </w:tcPr>
          <w:p>
            <w:pPr>
              <w:pStyle w:val="WW-paragraph"/>
              <w:spacing w:before="170" w:after="170"/>
              <w:rPr/>
            </w:pPr>
            <w:r>
              <w:rPr/>
              <w:t>Taittirīya Brāhmaṇa</w:t>
            </w:r>
          </w:p>
        </w:tc>
      </w:tr>
      <w:tr>
        <w:trPr/>
        <w:tc>
          <w:tcPr>
            <w:tcW w:w="759" w:type="dxa"/>
            <w:tcBorders/>
            <w:vAlign w:val="center"/>
          </w:tcPr>
          <w:p>
            <w:pPr>
              <w:pStyle w:val="WW-paragraph"/>
              <w:spacing w:before="170" w:after="170"/>
              <w:rPr/>
            </w:pPr>
            <w:r>
              <w:rPr/>
              <w:t>Ud</w:t>
            </w:r>
          </w:p>
        </w:tc>
        <w:tc>
          <w:tcPr>
            <w:tcW w:w="3656" w:type="dxa"/>
            <w:tcBorders/>
            <w:vAlign w:val="center"/>
          </w:tcPr>
          <w:p>
            <w:pPr>
              <w:pStyle w:val="WW-paragraph"/>
              <w:spacing w:before="170" w:after="170"/>
              <w:rPr/>
            </w:pPr>
            <w:r>
              <w:rPr/>
              <w:t>Udāna</w:t>
            </w:r>
          </w:p>
        </w:tc>
      </w:tr>
      <w:tr>
        <w:trPr/>
        <w:tc>
          <w:tcPr>
            <w:tcW w:w="759" w:type="dxa"/>
            <w:tcBorders/>
            <w:vAlign w:val="center"/>
          </w:tcPr>
          <w:p>
            <w:pPr>
              <w:pStyle w:val="WW-paragraph"/>
              <w:spacing w:before="170" w:after="170"/>
              <w:rPr/>
            </w:pPr>
            <w:r>
              <w:rPr/>
              <w:t>Vb</w:t>
            </w:r>
          </w:p>
        </w:tc>
        <w:tc>
          <w:tcPr>
            <w:tcW w:w="3656" w:type="dxa"/>
            <w:tcBorders/>
            <w:vAlign w:val="center"/>
          </w:tcPr>
          <w:p>
            <w:pPr>
              <w:pStyle w:val="WW-paragraph"/>
              <w:spacing w:before="170" w:after="170"/>
              <w:rPr/>
            </w:pPr>
            <w:r>
              <w:rPr/>
              <w:t>Abhidhamma Vibhaṅga</w:t>
            </w:r>
          </w:p>
        </w:tc>
      </w:tr>
      <w:tr>
        <w:trPr>
          <w:trHeight w:val="70" w:hRule="atLeast"/>
        </w:trPr>
        <w:tc>
          <w:tcPr>
            <w:tcW w:w="759" w:type="dxa"/>
            <w:tcBorders/>
            <w:vAlign w:val="center"/>
          </w:tcPr>
          <w:p>
            <w:pPr>
              <w:pStyle w:val="WW-paragraph"/>
              <w:spacing w:before="170" w:after="170"/>
              <w:rPr/>
            </w:pPr>
            <w:r>
              <w:rPr/>
              <w:t>Vism</w:t>
            </w:r>
          </w:p>
        </w:tc>
        <w:tc>
          <w:tcPr>
            <w:tcW w:w="3656" w:type="dxa"/>
            <w:tcBorders/>
            <w:vAlign w:val="center"/>
          </w:tcPr>
          <w:p>
            <w:pPr>
              <w:pStyle w:val="WW-paragraph"/>
              <w:spacing w:before="170" w:after="170"/>
              <w:rPr/>
            </w:pPr>
            <w:r>
              <w:rPr/>
              <w:t>Visuddhimagga (PTS ed.)</w:t>
            </w:r>
          </w:p>
        </w:tc>
      </w:tr>
    </w:tbl>
    <w:p>
      <w:pPr>
        <w:pStyle w:val="WW-paragraph"/>
        <w:spacing w:before="170" w:after="170"/>
        <w:rPr/>
      </w:pPr>
      <w:r>
        <w:rPr/>
        <w:t>§12</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t xml:space="preserve">The term is sometimes translated as ‘dependent </w:t>
      </w:r>
      <w:r>
        <w:rPr>
          <w:rStyle w:val="Emphasis"/>
        </w:rPr>
        <w:t>co</w:t>
      </w:r>
      <w:r>
        <w:rPr/>
        <w:t xml:space="preserve">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w:t>
      </w:r>
      <w:hyperlink w:anchor="bqseg11">
        <w:r>
          <w:rPr>
            <w:rStyle w:val="Hyperlink"/>
          </w:rPr>
          <w:t>§11</w:t>
        </w:r>
      </w:hyperlink>
      <w:r>
        <w:rPr/>
        <w:t>.</w:t>
      </w:r>
    </w:p>
    <w:p>
      <w:pPr>
        <w:pStyle w:val="FootnoteText"/>
        <w:rPr/>
      </w:pPr>
      <w:r>
        <w:rPr/>
        <w:t xml:space="preserve">To give a general example first, “there will be rain </w:t>
      </w:r>
      <w:r>
        <w:rPr>
          <w:rStyle w:val="Emphasis"/>
        </w:rPr>
        <w:t>if</w:t>
      </w:r>
      <w:r>
        <w:rPr/>
        <w:t xml:space="preserve"> there are clouds” would mean it always rains whenever there are clouds. Clouds are sufficient for rain. However, “there will be rain </w:t>
      </w:r>
      <w:r>
        <w:rPr>
          <w:rStyle w:val="Emphasis"/>
        </w:rPr>
        <w:t>only</w:t>
      </w:r>
      <w:r>
        <w:rPr/>
        <w:t xml:space="preserve"> if there are clouds”, just means it cannot rain without clouds. Clouds are necessary for rain. In the context of Dependent Arising “there will be craving </w:t>
      </w:r>
      <w:r>
        <w:rPr>
          <w:rStyle w:val="Emphasis"/>
        </w:rPr>
        <w:t>if</w:t>
      </w:r>
      <w:r>
        <w:rPr/>
        <w:t xml:space="preserve">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w:t>
      </w:r>
      <w:r>
        <w:rPr>
          <w:rStyle w:val="Emphasis"/>
        </w:rPr>
        <w:t>only</w:t>
      </w:r>
      <w:r>
        <w:rPr/>
        <w:t xml:space="preserve"> if there are sensations” instead means sensations are just a necessary condition for craving. Likewise, birth is not a sufficient condition for old age, since beings can die young. So there will be old age </w:t>
      </w:r>
      <w:r>
        <w:rPr>
          <w:rStyle w:val="Emphasis"/>
        </w:rPr>
        <w:t>only</w:t>
      </w:r>
      <w:r>
        <w:rPr/>
        <w:t xml:space="preserve"> if there is birth, not </w:t>
      </w:r>
      <w:r>
        <w:rPr>
          <w:rStyle w:val="Emphasis"/>
        </w:rPr>
        <w:t>if</w:t>
      </w:r>
      <w:r>
        <w:rPr/>
        <w:t xml:space="preserve"> there is birth. Or, if in </w:t>
      </w:r>
      <w:hyperlink w:anchor="bqseg83">
        <w:r>
          <w:rPr>
            <w:rStyle w:val="Hyperlink"/>
          </w:rPr>
          <w:t>§83</w:t>
        </w:r>
      </w:hyperlink>
      <w:r>
        <w:rPr/>
        <w:t xml:space="preserve"> we were to translate the mutual dependency between consciousness and the immaterial aspects and body as “there will be the immaterial aspects and body </w:t>
      </w:r>
      <w:r>
        <w:rPr>
          <w:rStyle w:val="Emphasis"/>
        </w:rPr>
        <w:t>if</w:t>
      </w:r>
      <w:r>
        <w:rPr/>
        <w:t xml:space="preserve"> there is consciousness [and] there will be consciousness </w:t>
      </w:r>
      <w:r>
        <w:rPr>
          <w:rStyle w:val="Emphasis"/>
        </w:rPr>
        <w:t>if</w:t>
      </w:r>
      <w:r>
        <w:rPr/>
        <w:t xml:space="preserve"> there are the immaterial aspects and body”, we would technically say that the two factors keep each other in existence, since there are two statements of sufficiency. However, “there will the immaterial aspects and body </w:t>
      </w:r>
      <w:r>
        <w:rPr>
          <w:rStyle w:val="Emphasis"/>
        </w:rPr>
        <w:t>only</w:t>
      </w:r>
      <w:r>
        <w:rPr/>
        <w:t xml:space="preserve"> if there is consciousness [and] there will be consciousness </w:t>
      </w:r>
      <w:r>
        <w:rPr>
          <w:rStyle w:val="Emphasis"/>
        </w:rPr>
        <w:t>only</w:t>
      </w:r>
      <w:r>
        <w:rPr/>
        <w:t xml:space="preserve"> if there are the immaterial aspects and body” leaves room for ignorance and willful actions to also be required. This mutual dependency is of course exactly what the simile of the bundles of reeds portrays (</w:t>
      </w:r>
      <w:hyperlink w:anchor="bqseg95">
        <w:r>
          <w:rPr>
            <w:rStyle w:val="Hyperlink"/>
          </w:rPr>
          <w:t>§95</w:t>
        </w:r>
      </w:hyperlink>
      <w:r>
        <w:rPr/>
        <w:t xml:space="preserve">). The idea is that one bundle can stand </w:t>
      </w:r>
      <w:r>
        <w:rPr>
          <w:rStyle w:val="Emphasis"/>
        </w:rPr>
        <w:t>only</w:t>
      </w:r>
      <w:r>
        <w:rPr/>
        <w:t xml:space="preserve"> if the other stands; not that </w:t>
      </w:r>
      <w:r>
        <w:rPr>
          <w:rStyle w:val="Emphasis"/>
        </w:rPr>
        <w:t>if</w:t>
      </w:r>
      <w:r>
        <w:rPr/>
        <w:t xml:space="preserve"> one stands, the other also stands automatically.</w:t>
      </w:r>
    </w:p>
    <w:p>
      <w:pPr>
        <w:pStyle w:val="FootnoteText"/>
        <w:rPr/>
      </w:pPr>
      <w:r>
        <w:rPr/>
        <w:t xml:space="preserve">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w:t>
      </w:r>
      <w:r>
        <w:rPr>
          <w:rStyle w:val="Emphasis"/>
        </w:rPr>
        <w:t>and</w:t>
      </w:r>
      <w:r>
        <w:rPr/>
        <w:t xml:space="preserve">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p>
      <w:pPr>
        <w:pStyle w:val="FootnoteText"/>
        <w:rPr/>
      </w:pPr>
      <w:r>
        <w:rPr/>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w:t>
      </w:r>
      <w:hyperlink w:anchor="bqseg95">
        <w:r>
          <w:rPr>
            <w:rStyle w:val="Hyperlink"/>
          </w:rPr>
          <w:t>§95</w:t>
        </w:r>
      </w:hyperlink>
      <w:r>
        <w:rPr/>
        <w:t>§102</w:t>
      </w:r>
      <w:r>
        <w:rPr/>
        <w:t xml:space="preserve">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w:t>
      </w:r>
      <w:r>
        <w:rPr>
          <w:rStyle w:val="Emphasis"/>
        </w:rPr>
        <w:t>cause</w:t>
      </w:r>
      <w:r>
        <w:rPr/>
        <w:t xml:space="preserv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fuel. (</w:t>
      </w:r>
      <w:hyperlink w:anchor="bqseg102">
        <w:r>
          <w:rPr>
            <w:rStyle w:val="Hyperlink"/>
          </w:rPr>
          <w:t>§102</w:t>
        </w:r>
      </w:hyperlink>
      <w:r>
        <w:rPr/>
        <w:t>§33</w:t>
      </w:r>
      <w:r>
        <w:rPr/>
        <w:t xml:space="preserve">) Fuel by itself does not really </w:t>
      </w:r>
      <w:r>
        <w:rPr>
          <w:rStyle w:val="Emphasis"/>
        </w:rPr>
        <w:t>cause</w:t>
      </w:r>
      <w:r>
        <w:rPr/>
        <w:t xml:space="preserv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w:t>
      </w:r>
      <w:r>
        <w:rPr>
          <w:rStyle w:val="Emphasis"/>
        </w:rPr>
        <w:t>depends</w:t>
      </w:r>
      <w:r>
        <w:rPr/>
        <w:t xml:space="preserve"> on birth or death is </w:t>
      </w:r>
      <w:r>
        <w:rPr>
          <w:rStyle w:val="Emphasis"/>
        </w:rPr>
        <w:t>caused</w:t>
      </w:r>
      <w:r>
        <w:rPr/>
        <w:t xml:space="preserve">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w:t>
      </w:r>
      <w:hyperlink w:anchor="bqseg33">
        <w:r>
          <w:rPr>
            <w:rStyle w:val="Hyperlink"/>
          </w:rPr>
          <w:t>§33</w:t>
        </w:r>
      </w:hyperlink>
      <w:r>
        <w:rPr/>
        <w:t>§24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hyperlink w:anchor="bqseg24">
        <w:r>
          <w:rPr>
            <w:rStyle w:val="Hyperlink"/>
          </w:rPr>
          <w:t>§24</w:t>
        </w:r>
      </w:hyperlink>
      <w:r>
        <w:rPr/>
        <w:t xml:space="preserve">; </w:t>
      </w:r>
      <w:hyperlink w:anchor="bqseg108">
        <w:r>
          <w:rPr>
            <w:rStyle w:val="Hyperlink"/>
          </w:rPr>
          <w:t>§108</w:t>
        </w:r>
      </w:hyperlink>
      <w:r>
        <w:rPr/>
        <w:t>§62</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w:t>
      </w:r>
      <w:hyperlink w:anchor="bqseg62">
        <w:r>
          <w:rPr>
            <w:rStyle w:val="Hyperlink"/>
          </w:rPr>
          <w:t>§62</w:t>
        </w:r>
      </w:hyperlink>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hyperlink w:anchor="bqseg26">
        <w:r>
          <w:rPr>
            <w:rStyle w:val="Hyperlink"/>
          </w:rPr>
          <w:t>§26</w:t>
        </w:r>
      </w:hyperlink>
      <w:r>
        <w:rPr/>
        <w:t xml:space="preserve">, </w:t>
      </w:r>
      <w:hyperlink w:anchor="bqseg79">
        <w:r>
          <w:rPr>
            <w:rStyle w:val="Hyperlink"/>
          </w:rPr>
          <w:t>§79</w:t>
        </w:r>
      </w:hyperlink>
      <w:r>
        <w:rPr/>
        <w:t>§71</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t>
      </w:r>
      <w:hyperlink w:anchor="bqseg71">
        <w:r>
          <w:rPr>
            <w:rStyle w:val="Hyperlink"/>
          </w:rPr>
          <w:t>§§7771</w:t>
        </w:r>
      </w:hyperlink>
      <w:r>
        <w:rPr/>
        <w:t xml:space="preserve">).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hyperlink w:anchor="bqseg77">
        <w:r>
          <w:rPr>
            <w:rStyle w:val="Hyperlink"/>
          </w:rPr>
          <w:t>§77</w:t>
        </w:r>
      </w:hyperlink>
      <w:r>
        <w:rPr/>
        <w:t>§101</w:t>
      </w:r>
      <w:r>
        <w:rPr/>
        <w:t xml:space="preserve">.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 xml:space="preserve">See for example </w:t>
      </w:r>
      <w:hyperlink w:anchor="bqseg101">
        <w:r>
          <w:rPr>
            <w:rStyle w:val="Hyperlink"/>
          </w:rPr>
          <w:t>§101</w:t>
        </w:r>
      </w:hyperlink>
      <w:r>
        <w:rPr/>
        <w:t xml:space="preserve">, </w:t>
      </w:r>
      <w:hyperlink w:anchor="bqseg99">
        <w:r>
          <w:rPr>
            <w:rStyle w:val="Hyperlink"/>
          </w:rPr>
          <w:t>§99</w:t>
        </w:r>
      </w:hyperlink>
      <w:r>
        <w:rPr/>
        <w:t xml:space="preserve">, </w:t>
      </w:r>
      <w:hyperlink w:anchor="bqseg35">
        <w:r>
          <w:rPr>
            <w:rStyle w:val="Hyperlink"/>
          </w:rPr>
          <w:t>§35</w:t>
        </w:r>
      </w:hyperlink>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hyperlink w:anchor="bqseg84">
        <w:r>
          <w:rPr>
            <w:rStyle w:val="Hyperlink"/>
          </w:rPr>
          <w:t>§84</w:t>
        </w:r>
      </w:hyperlink>
      <w:r>
        <w:rPr/>
        <w:t>§20</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w:t>
      </w:r>
      <w:hyperlink w:anchor="bqseg20">
        <w:r>
          <w:rPr>
            <w:rStyle w:val="Hyperlink"/>
          </w:rPr>
          <w:t>§20</w:t>
        </w:r>
      </w:hyperlink>
      <w:r>
        <w:rPr/>
        <w:t xml:space="preserve">,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w:t>
      </w:r>
      <w:r>
        <w:rPr>
          <w:rStyle w:val="wwc-german"/>
        </w:rPr>
        <w:t>ist man befreit</w:t>
      </w:r>
      <w:r>
        <w:rPr/>
        <w: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 w:id="339">
    <w:p>
      <w:pPr>
        <w:pStyle w:val="FootnoteText"/>
        <w:rPr/>
      </w:pPr>
      <w:r>
        <w:rPr>
          <w:rStyle w:val="FootnoteCharacters"/>
        </w:rPr>
        <w:footnoteRef/>
      </w:r>
      <w:r>
        <w:rPr>
          <w:rStyle w:val="wwc-sesame-zot-reference"/>
        </w:rPr>
        <w:t>Sunyo 2021</w:t>
      </w:r>
    </w:p>
  </w:footnote>
  <w:footnote w:id="340">
    <w:p>
      <w:pPr>
        <w:pStyle w:val="FootnoteText"/>
        <w:rPr/>
      </w:pPr>
      <w:r>
        <w:rPr>
          <w:rStyle w:val="FootnoteCharacters"/>
        </w:rPr>
        <w:footnoteRef/>
      </w:r>
      <w:r>
        <w:rPr/>
        <w:t xml:space="preserve">See </w:t>
      </w:r>
      <w:r>
        <w:rPr>
          <w:rStyle w:val="wwc-sesame-zot-reference"/>
        </w:rPr>
        <w:t>Hinüber</w:t>
      </w:r>
      <w:r>
        <w:rPr/>
        <w:t xml:space="preserve"> p.28f</w:t>
      </w:r>
    </w:p>
  </w:footnote>
  <w:footnote w:id="3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footnote>
  <w:footnote w:id="342">
    <w:p>
      <w:pPr>
        <w:pStyle w:val="FootnoteText"/>
        <w:rPr/>
      </w:pPr>
      <w:r>
        <w:rPr>
          <w:rStyle w:val="FootnoteCharacters"/>
        </w:rPr>
        <w:footnoteRef/>
      </w:r>
      <w:r>
        <w:rPr/>
        <w:t xml:space="preserve">See for example </w:t>
      </w:r>
      <w:r>
        <w:rPr>
          <w:rStyle w:val="wwc-sesame-zot-reference"/>
        </w:rPr>
        <w:t>Hamilton</w:t>
      </w:r>
      <w:r>
        <w:rPr/>
        <w:t xml:space="preserve"> p.12</w:t>
      </w:r>
    </w:p>
  </w:footnote>
  <w:footnote w:id="343">
    <w:p>
      <w:pPr>
        <w:pStyle w:val="FootnoteText"/>
        <w:rPr/>
      </w:pPr>
      <w:r>
        <w:rPr>
          <w:rStyle w:val="FootnoteCharacters"/>
        </w:rPr>
        <w:footnoteRef/>
      </w:r>
      <w:r>
        <w:rPr>
          <w:rStyle w:val="wwc-sesame-zot-reference"/>
        </w:rPr>
        <w:t>Gombrich 1980</w:t>
      </w:r>
      <w:r>
        <w:rPr/>
        <w:t xml:space="preserve"> p.45</w:t>
      </w:r>
    </w:p>
  </w:footnote>
  <w:footnote w:id="344">
    <w:p>
      <w:pPr>
        <w:pStyle w:val="FootnoteText"/>
        <w:rPr/>
      </w:pPr>
      <w:r>
        <w:rPr>
          <w:rStyle w:val="FootnoteCharacters"/>
        </w:rPr>
        <w:footnoteRef/>
      </w:r>
      <w:r>
        <w:rPr/>
        <w:t xml:space="preserve">BU 2.4.12, </w:t>
      </w:r>
      <w:r>
        <w:rPr>
          <w:rStyle w:val="wwc-pali"/>
        </w:rPr>
        <w:t>anantam apāraṁ vijñāna-ghana eva</w:t>
      </w:r>
      <w:r>
        <w:rPr/>
        <w:t xml:space="preserve">; BU 3.8.8, </w:t>
      </w:r>
      <w:r>
        <w:rPr>
          <w:rStyle w:val="wwc-pali"/>
        </w:rPr>
        <w:t>asthūlam anaṇv ahrasvam adīrgham</w:t>
      </w:r>
      <w:r>
        <w:rPr/>
        <w:t>.</w:t>
      </w:r>
    </w:p>
  </w:footnote>
  <w:footnote w:id="345">
    <w:p>
      <w:pPr>
        <w:pStyle w:val="FootnoteText"/>
        <w:rPr/>
      </w:pPr>
      <w:r>
        <w:rPr>
          <w:rStyle w:val="FootnoteCharacters"/>
        </w:rPr>
        <w:footnoteRef/>
      </w: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footnote>
  <w:footnote w:id="346">
    <w:p>
      <w:pPr>
        <w:pStyle w:val="FootnoteText"/>
        <w:rPr/>
      </w:pPr>
      <w:r>
        <w:rPr>
          <w:rStyle w:val="FootnoteCharacters"/>
        </w:rPr>
        <w:footnoteRef/>
      </w: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footnote>
  <w:footnote w:id="347">
    <w:p>
      <w:pPr>
        <w:pStyle w:val="FootnoteText"/>
        <w:rPr/>
      </w:pPr>
      <w:r>
        <w:rPr>
          <w:rStyle w:val="FootnoteCharacters"/>
        </w:rPr>
        <w:footnoteRef/>
      </w:r>
      <w:r>
        <w:rPr/>
        <w:t xml:space="preserve">CU 3.13.7–14.2, translation </w:t>
      </w:r>
      <w:r>
        <w:rPr>
          <w:rStyle w:val="wwc-sesame-zot-reference"/>
        </w:rPr>
        <w:t>Olivelle</w:t>
      </w:r>
      <w:r>
        <w:rPr/>
        <w:t>. See also ‘inner light’ in §94</w:t>
      </w:r>
    </w:p>
  </w:footnote>
  <w:footnote w:id="348">
    <w:p>
      <w:pPr>
        <w:pStyle w:val="FootnoteText"/>
        <w:rPr/>
      </w:pPr>
      <w:r>
        <w:rPr>
          <w:rStyle w:val="FootnoteCharacters"/>
        </w:rPr>
        <w:footnoteRef/>
      </w:r>
      <w:r>
        <w:rPr/>
        <w:t xml:space="preserve">See </w:t>
      </w:r>
      <w:r>
        <w:rPr>
          <w:rStyle w:val="wwc-sesame-zot-reference"/>
        </w:rPr>
        <w:t>Sunyo 2021</w:t>
      </w:r>
    </w:p>
  </w:footnote>
  <w:footnote w:id="349">
    <w:p>
      <w:pPr>
        <w:pStyle w:val="FootnoteText"/>
        <w:rPr/>
      </w:pPr>
      <w:r>
        <w:rPr>
          <w:rStyle w:val="FootnoteCharacters"/>
        </w:rPr>
        <w:footnoteRef/>
      </w:r>
      <w:r>
        <w:rPr/>
        <w:t xml:space="preserve">See also </w:t>
      </w:r>
      <w:r>
        <w:rPr>
          <w:rStyle w:val="wwc-sesame-zot-reference"/>
        </w:rPr>
        <w:t>Jayatilleke</w:t>
      </w:r>
      <w:r>
        <w:rPr/>
        <w:t xml:space="preserve"> §42: “There is no reason to believe that Yājñavalkya’s theories are based on any kind of mystical experience.”</w:t>
      </w:r>
    </w:p>
  </w:footnote>
  <w:footnote w:id="350">
    <w:p>
      <w:pPr>
        <w:pStyle w:val="FootnoteText"/>
        <w:rPr/>
      </w:pPr>
      <w:r>
        <w:rPr>
          <w:rStyle w:val="FootnoteCharacters"/>
        </w:rPr>
        <w:footnoteRef/>
      </w:r>
      <w:r>
        <w:rPr>
          <w:rStyle w:val="wwc-sesame-zot-reference"/>
        </w:rPr>
        <w:t>Werner</w:t>
      </w:r>
      <w:r>
        <w:rPr/>
        <w:t xml:space="preserve"> p.26</w:t>
      </w:r>
    </w:p>
  </w:footnote>
  <w:footnote w:id="351">
    <w:p>
      <w:pPr>
        <w:pStyle w:val="FootnoteText"/>
        <w:rPr/>
      </w:pPr>
      <w:r>
        <w:rPr>
          <w:rStyle w:val="FootnoteCharacters"/>
        </w:rPr>
        <w:footnoteRef/>
      </w:r>
      <w:r>
        <w:rPr/>
        <w:t>BU 4.4.19</w:t>
      </w:r>
    </w:p>
  </w:footnote>
  <w:footnote w:id="352">
    <w:p>
      <w:pPr>
        <w:pStyle w:val="FootnoteText"/>
        <w:rPr/>
      </w:pPr>
      <w:r>
        <w:rPr>
          <w:rStyle w:val="FootnoteCharacters"/>
        </w:rPr>
        <w:footnoteRef/>
      </w:r>
      <w:r>
        <w:rPr>
          <w:rStyle w:val="wwc-sesame-zot-reference"/>
        </w:rPr>
        <w:t>Gombrich 1980</w:t>
      </w:r>
      <w:r>
        <w:rPr/>
        <w:t xml:space="preserve"> p.45</w:t>
      </w:r>
    </w:p>
  </w:footnote>
  <w:footnote w:id="353">
    <w:p>
      <w:pPr>
        <w:pStyle w:val="FootnoteText"/>
        <w:rPr/>
      </w:pPr>
      <w:r>
        <w:rPr>
          <w:rStyle w:val="FootnoteCharacters"/>
        </w:rPr>
        <w:footnoteRef/>
      </w: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footnote>
  <w:footnote w:id="354">
    <w:p>
      <w:pPr>
        <w:pStyle w:val="FootnoteText"/>
        <w:rPr/>
      </w:pPr>
      <w:r>
        <w:rPr>
          <w:rStyle w:val="FootnoteCharacters"/>
        </w:rPr>
        <w:footnoteRef/>
      </w: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footnote>
  <w:footnote w:id="35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footnote>
  <w:footnote w:id="356">
    <w:p>
      <w:pPr>
        <w:pStyle w:val="FootnoteText"/>
        <w:rPr/>
      </w:pPr>
      <w:r>
        <w:rPr>
          <w:rStyle w:val="FootnoteCharacters"/>
        </w:rPr>
        <w:footnoteRef/>
      </w: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footnote>
  <w:footnote w:id="3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footnote>
  <w:footnote w:id="3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footnote>
  <w:footnote w:id="359">
    <w:p>
      <w:pPr>
        <w:pStyle w:val="FootnoteText"/>
        <w:rPr/>
      </w:pPr>
      <w:r>
        <w:rPr>
          <w:rStyle w:val="FootnoteCharacters"/>
        </w:rPr>
        <w:footnoteRef/>
      </w:r>
      <w:r>
        <w:rPr/>
        <w:t xml:space="preserve">For example at </w:t>
      </w:r>
      <w:hyperlink r:id="rId28">
        <w:r>
          <w:rPr>
            <w:rStyle w:val="Hyperlink"/>
          </w:rPr>
          <w:t>SĀ 284</w:t>
        </w:r>
      </w:hyperlink>
      <w:r>
        <w:rPr/>
        <w:t xml:space="preserve">, as pointed out by </w:t>
      </w:r>
      <w:r>
        <w:rPr>
          <w:rStyle w:val="wwc-sesame-zot-reference"/>
        </w:rPr>
        <w:t>Choong</w:t>
      </w:r>
      <w:r>
        <w:rPr/>
        <w:t xml:space="preserve"> p.174</w:t>
      </w:r>
    </w:p>
  </w:footnote>
  <w:footnote w:id="3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footnote>
  <w:footnote w:id="361">
    <w:p>
      <w:pPr>
        <w:pStyle w:val="FootnoteText"/>
        <w:rPr/>
      </w:pPr>
      <w:r>
        <w:rPr>
          <w:rStyle w:val="FootnoteCharacters"/>
        </w:rPr>
        <w:footnoteRef/>
      </w:r>
      <w:r>
        <w:rPr>
          <w:rStyle w:val="wwc-sesame-zot-reference"/>
        </w:rPr>
        <w:t>Anālayo 2018</w:t>
      </w:r>
      <w:r>
        <w:rPr/>
        <w:t xml:space="preserve"> p.27</w:t>
      </w:r>
    </w:p>
  </w:footnote>
  <w:footnote w:id="362">
    <w:p>
      <w:pPr>
        <w:pStyle w:val="FootnoteText"/>
        <w:rPr/>
      </w:pPr>
      <w:r>
        <w:rPr>
          <w:rStyle w:val="FootnoteCharacters"/>
        </w:rPr>
        <w:footnoteRef/>
      </w: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footnote>
  <w:footnote w:id="363">
    <w:p>
      <w:pPr>
        <w:pStyle w:val="FootnoteText"/>
        <w:rPr/>
      </w:pPr>
      <w:r>
        <w:rPr>
          <w:rStyle w:val="FootnoteCharacters"/>
        </w:rPr>
        <w:footnoteRef/>
      </w: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footnote>
  <w:footnote w:id="364">
    <w:p>
      <w:pPr>
        <w:pStyle w:val="FootnoteText"/>
        <w:rPr/>
      </w:pPr>
      <w:r>
        <w:rPr>
          <w:rStyle w:val="FootnoteCharacters"/>
        </w:rPr>
        <w:footnoteRef/>
      </w:r>
      <w:r>
        <w:rPr>
          <w:rStyle w:val="wwc-sesame-zot-reference"/>
        </w:rPr>
        <w:t>PED</w:t>
      </w:r>
      <w:r>
        <w:rPr/>
        <w:t xml:space="preserve"> under </w:t>
      </w:r>
      <w:r>
        <w:rPr>
          <w:rStyle w:val="wwc-pali"/>
        </w:rPr>
        <w:t>viññāṇa</w:t>
      </w:r>
    </w:p>
  </w:footnote>
  <w:footnote w:id="365">
    <w:p>
      <w:pPr>
        <w:pStyle w:val="FootnoteText"/>
        <w:rPr/>
      </w:pPr>
      <w:r>
        <w:rPr>
          <w:rStyle w:val="FootnoteCharacters"/>
        </w:rPr>
        <w:footnoteRef/>
      </w: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footnote>
  <w:footnote w:id="366">
    <w:p>
      <w:pPr>
        <w:pStyle w:val="FootnoteText"/>
        <w:rPr/>
      </w:pPr>
      <w:r>
        <w:rPr>
          <w:rStyle w:val="FootnoteCharacters"/>
        </w:rPr>
        <w:footnoteRef/>
      </w:r>
      <w:r>
        <w:rPr>
          <w:rStyle w:val="wwc-sesame-zot-reference"/>
        </w:rPr>
        <w:t>Kalupahana 1975</w:t>
      </w:r>
      <w:r>
        <w:rPr/>
        <w:t xml:space="preserve"> p.119</w:t>
      </w:r>
    </w:p>
  </w:footnote>
  <w:footnote w:id="367">
    <w:p>
      <w:pPr>
        <w:pStyle w:val="FootnoteText"/>
        <w:rPr/>
      </w:pPr>
      <w:r>
        <w:rPr>
          <w:rStyle w:val="FootnoteCharacters"/>
        </w:rPr>
        <w:footnoteRef/>
      </w:r>
      <w:r>
        <w:rPr/>
        <w:t xml:space="preserve">As argued by </w:t>
      </w:r>
      <w:r>
        <w:rPr>
          <w:rStyle w:val="wwc-sesame-zot-reference"/>
        </w:rPr>
        <w:t>Hamilton</w:t>
      </w:r>
      <w:r>
        <w:rPr/>
        <w:t xml:space="preserve"> p.85</w:t>
      </w:r>
    </w:p>
  </w:footnote>
  <w:footnote w:id="368">
    <w:p>
      <w:pPr>
        <w:pStyle w:val="FootnoteText"/>
        <w:rPr/>
      </w:pPr>
      <w:r>
        <w:rPr>
          <w:rStyle w:val="FootnoteCharacters"/>
        </w:rPr>
        <w:footnoteRef/>
      </w:r>
      <w:r>
        <w:rPr>
          <w:rStyle w:val="wwc-sesame-zot-reference"/>
        </w:rPr>
        <w:t>Gombrich 2009</w:t>
      </w:r>
      <w:r>
        <w:rPr/>
        <w:t xml:space="preserve"> p.60</w:t>
      </w:r>
    </w:p>
  </w:footnote>
  <w:footnote w:id="369">
    <w:p>
      <w:pPr>
        <w:pStyle w:val="FootnoteText"/>
        <w:rPr/>
      </w:pPr>
      <w:r>
        <w:rPr>
          <w:rStyle w:val="FootnoteCharacters"/>
        </w:rPr>
        <w:footnoteRef/>
      </w: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footnote>
  <w:footnote w:id="370">
    <w:p>
      <w:pPr>
        <w:pStyle w:val="FootnoteText"/>
        <w:rPr/>
      </w:pPr>
      <w:r>
        <w:rPr>
          <w:rStyle w:val="FootnoteCharacters"/>
        </w:rPr>
        <w:footnoteRef/>
      </w:r>
      <w:r>
        <w:rPr>
          <w:rStyle w:val="wwc-sesame-zot-reference"/>
        </w:rPr>
        <w:t>Schmithausen 2000</w:t>
      </w:r>
      <w:r>
        <w:rPr/>
        <w:t xml:space="preserve"> p.57, translation mine</w:t>
      </w:r>
    </w:p>
  </w:footnote>
  <w:footnote w:id="371">
    <w:p>
      <w:pPr>
        <w:pStyle w:val="FootnoteText"/>
        <w:rPr/>
      </w:pPr>
      <w:r>
        <w:rPr>
          <w:rStyle w:val="FootnoteCharacters"/>
        </w:rPr>
        <w:footnoteRef/>
      </w:r>
      <w:r>
        <w:rPr>
          <w:rStyle w:val="wwc-sesame-zot-reference"/>
        </w:rPr>
        <w:t>Frauwallner 1953/1973</w:t>
      </w:r>
      <w:r>
        <w:rPr/>
        <w:t xml:space="preserve"> p.162, emphasis added</w:t>
      </w:r>
    </w:p>
  </w:footnote>
  <w:footnote w:id="372">
    <w:p>
      <w:pPr>
        <w:pStyle w:val="FootnoteText"/>
        <w:rPr/>
      </w:pPr>
      <w:r>
        <w:rPr>
          <w:rStyle w:val="FootnoteCharacters"/>
        </w:rPr>
        <w:footnoteRef/>
      </w:r>
      <w:r>
        <w:rPr>
          <w:rStyle w:val="wwc-sesame-zot-reference"/>
        </w:rPr>
        <w:t>Hamilton</w:t>
      </w:r>
      <w:r>
        <w:rPr/>
        <w:t xml:space="preserve"> p.101</w:t>
      </w:r>
    </w:p>
  </w:footnote>
  <w:footnote w:id="373">
    <w:p>
      <w:pPr>
        <w:pStyle w:val="FootnoteText"/>
        <w:rPr/>
      </w:pPr>
      <w:r>
        <w:rPr>
          <w:rStyle w:val="FootnoteCharacters"/>
        </w:rPr>
        <w:footnoteRef/>
      </w: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374">
    <w:p>
      <w:pPr>
        <w:pStyle w:val="FootnoteText"/>
        <w:rPr/>
      </w:pPr>
      <w:r>
        <w:rPr>
          <w:rStyle w:val="FootnoteCharacters"/>
        </w:rPr>
        <w:footnoteRef/>
      </w:r>
      <w:r>
        <w:rPr/>
        <w:t xml:space="preserve">See also </w:t>
      </w:r>
      <w:r>
        <w:rPr>
          <w:rStyle w:val="wwc-sesame-zot-reference"/>
        </w:rPr>
        <w:t>Brahmavamso 2002</w:t>
      </w:r>
    </w:p>
  </w:footnote>
  <w:footnote w:id="375">
    <w:p>
      <w:pPr>
        <w:pStyle w:val="FootnoteText"/>
        <w:rPr/>
      </w:pPr>
      <w:r>
        <w:rPr>
          <w:rStyle w:val="FootnoteCharacters"/>
        </w:rPr>
        <w:footnoteRef/>
      </w:r>
      <w:r>
        <w:rPr/>
        <w:t xml:space="preserve">For example </w:t>
      </w:r>
      <w:r>
        <w:rPr>
          <w:rStyle w:val="wwc-sesame"/>
        </w:rPr>
        <w:t>Vism</w:t>
      </w:r>
      <w:r>
        <w:rPr/>
        <w:t xml:space="preserve"> 546</w:t>
      </w:r>
    </w:p>
  </w:footnote>
  <w:footnote w:id="376">
    <w:p>
      <w:pPr>
        <w:pStyle w:val="FootnoteText"/>
        <w:rPr/>
      </w:pPr>
      <w:r>
        <w:rPr>
          <w:rStyle w:val="FootnoteCharacters"/>
        </w:rPr>
        <w:footnoteRef/>
      </w:r>
      <w:r>
        <w:rPr>
          <w:rStyle w:val="wwc-sesame-zot-reference"/>
        </w:rPr>
        <w:t>Wijesekera 1994</w:t>
      </w:r>
      <w:r>
        <w:rPr/>
        <w:t xml:space="preserve"> p.111</w:t>
      </w:r>
    </w:p>
  </w:footnote>
  <w:footnote w:id="377">
    <w:p>
      <w:pPr>
        <w:pStyle w:val="FootnoteText"/>
        <w:rPr/>
      </w:pPr>
      <w:r>
        <w:rPr>
          <w:rStyle w:val="FootnoteCharacters"/>
        </w:rPr>
        <w:footnoteRef/>
      </w:r>
      <w:r>
        <w:rPr/>
        <w:t xml:space="preserve">BU 4.3.7, translation </w:t>
      </w:r>
      <w:r>
        <w:rPr>
          <w:rStyle w:val="wwc-sesame-zot-reference"/>
        </w:rPr>
        <w:t>Olivelle</w:t>
      </w:r>
    </w:p>
  </w:footnote>
  <w:footnote w:id="3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footnote>
  <w:footnote w:id="379">
    <w:p>
      <w:pPr>
        <w:pStyle w:val="FootnoteText"/>
        <w:rPr/>
      </w:pPr>
      <w:r>
        <w:rPr>
          <w:rStyle w:val="FootnoteCharacters"/>
        </w:rPr>
        <w:footnoteRef/>
      </w: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footnote>
  <w:footnote w:id="3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footnote>
  <w:footnote w:id="381">
    <w:p>
      <w:pPr>
        <w:pStyle w:val="FootnoteText"/>
        <w:rPr/>
      </w:pPr>
      <w:r>
        <w:rPr>
          <w:rStyle w:val="FootnoteCharacters"/>
        </w:rPr>
        <w:footnoteRef/>
      </w:r>
      <w:r>
        <w:rPr/>
        <w:t xml:space="preserve">See also </w:t>
      </w:r>
      <w:r>
        <w:rPr>
          <w:rStyle w:val="wwc-sesame-zot-reference"/>
        </w:rPr>
        <w:t>Hamilton</w:t>
      </w:r>
      <w:r>
        <w:rPr/>
        <w:t xml:space="preserve"> p.97</w:t>
      </w:r>
    </w:p>
  </w:footnote>
  <w:footnote w:id="382">
    <w:p>
      <w:pPr>
        <w:pStyle w:val="FootnoteText"/>
        <w:rPr/>
      </w:pPr>
      <w:r>
        <w:rPr>
          <w:rStyle w:val="FootnoteCharacters"/>
        </w:rPr>
        <w:footnoteRef/>
      </w:r>
      <w:r>
        <w:rPr/>
        <w:t>§126</w:t>
      </w:r>
    </w:p>
  </w:footnote>
  <w:footnote w:id="383">
    <w:p>
      <w:pPr>
        <w:pStyle w:val="FootnoteText"/>
        <w:rPr/>
      </w:pPr>
      <w:r>
        <w:rPr>
          <w:rStyle w:val="FootnoteCharacters"/>
        </w:rPr>
        <w:footnoteRef/>
      </w:r>
      <w:r>
        <w:rPr/>
        <w:t xml:space="preserve">For example </w:t>
      </w:r>
      <w:r>
        <w:rPr>
          <w:rStyle w:val="wwc-sesame-zot-reference"/>
        </w:rPr>
        <w:t>Buddhadāsa</w:t>
      </w:r>
      <w:r>
        <w:rPr/>
        <w:t xml:space="preserve"> p.14, </w:t>
      </w:r>
      <w:r>
        <w:rPr>
          <w:rStyle w:val="wwc-sesame-zot-reference"/>
        </w:rPr>
        <w:t>Reinhard</w:t>
      </w:r>
      <w:r>
        <w:rPr/>
        <w:t xml:space="preserve"> p.9</w:t>
      </w:r>
    </w:p>
  </w:footnote>
  <w:footnote w:id="384">
    <w:p>
      <w:pPr>
        <w:pStyle w:val="FootnoteText"/>
        <w:rPr/>
      </w:pPr>
      <w:r>
        <w:rPr>
          <w:rStyle w:val="FootnoteCharacters"/>
        </w:rPr>
        <w:footnoteRef/>
      </w:r>
      <w:r>
        <w:rPr/>
        <w:t xml:space="preserve">See also </w:t>
      </w:r>
      <w:r>
        <w:rPr>
          <w:rStyle w:val="wwc-sesame-zot-reference"/>
        </w:rPr>
        <w:t>Harvey 1995</w:t>
      </w:r>
      <w:r>
        <w:rPr/>
        <w:t xml:space="preserve"> p.98</w:t>
      </w:r>
    </w:p>
  </w:footnote>
  <w:footnote w:id="385">
    <w:p>
      <w:pPr>
        <w:pStyle w:val="FootnoteText"/>
        <w:rPr/>
      </w:pPr>
      <w:r>
        <w:rPr>
          <w:rStyle w:val="FootnoteCharacters"/>
        </w:rPr>
        <w:footnoteRef/>
      </w:r>
      <w:r>
        <w:rPr>
          <w:rStyle w:val="wwc-sesame-zot-reference"/>
        </w:rPr>
        <w:t>PED</w:t>
      </w:r>
      <w:r>
        <w:rPr/>
        <w:t xml:space="preserve"> s.v. </w:t>
      </w:r>
      <w:r>
        <w:rPr>
          <w:rStyle w:val="wwc-pali"/>
        </w:rPr>
        <w:t>viññāṇa</w:t>
      </w:r>
      <w:r>
        <w:rPr/>
        <w:t>, emphasis added.</w:t>
      </w:r>
    </w:p>
  </w:footnote>
  <w:footnote w:id="386">
    <w:p>
      <w:pPr>
        <w:pStyle w:val="FootnoteText"/>
        <w:rPr/>
      </w:pPr>
      <w:r>
        <w:rPr>
          <w:rStyle w:val="FootnoteCharacters"/>
        </w:rPr>
        <w:footnoteRef/>
      </w:r>
      <w:r>
        <w:rPr>
          <w:rStyle w:val="wwc-sesame-zot-reference"/>
        </w:rPr>
        <w:t>Olalde 2014</w:t>
      </w:r>
      <w:r>
        <w:rPr/>
        <w:t xml:space="preserve"> p.156. See also p.73ff.</w:t>
      </w:r>
    </w:p>
  </w:footnote>
  <w:footnote w:id="3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footnote>
  <w:footnote w:id="388">
    <w:p>
      <w:pPr>
        <w:pStyle w:val="FootnoteText"/>
        <w:rPr/>
      </w:pPr>
      <w:r>
        <w:rPr>
          <w:rStyle w:val="FootnoteCharacters"/>
        </w:rPr>
        <w:footnoteRef/>
      </w:r>
      <w:r>
        <w:rPr>
          <w:rStyle w:val="wwc-sesame-zot-reference"/>
        </w:rPr>
        <w:t>DPPN</w:t>
      </w:r>
    </w:p>
  </w:footnote>
  <w:footnote w:id="38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footnote>
  <w:footnote w:id="390">
    <w:p>
      <w:pPr>
        <w:pStyle w:val="FootnoteText"/>
        <w:rPr/>
      </w:pPr>
      <w:r>
        <w:rPr>
          <w:rStyle w:val="FootnoteCharacters"/>
        </w:rPr>
        <w:footnoteRef/>
      </w: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t>
      </w:r>
      <w:r>
        <w:rPr>
          <w:rStyle w:val="Emphasis"/>
        </w:rPr>
        <w:t>were</w:t>
      </w:r>
      <w:r>
        <w:rPr/>
        <w:t xml:space="preserv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w:t>
      </w:r>
      <w:r>
        <w:rPr>
          <w:rStyle w:val="Emphasis"/>
        </w:rPr>
        <w:t>selfhood</w:t>
      </w:r>
      <w:r>
        <w:rPr/>
        <w:t xml:space="preserve">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footnote>
  <w:footnote w:id="3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footnote>
  <w:footnote w:id="392">
    <w:p>
      <w:pPr>
        <w:pStyle w:val="FootnoteText"/>
        <w:rPr/>
      </w:pPr>
      <w:r>
        <w:rPr>
          <w:rStyle w:val="FootnoteCharacters"/>
        </w:rPr>
        <w:footnoteRef/>
      </w: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footnote>
  <w:footnote w:id="3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footnote>
  <w:footnote w:id="394">
    <w:p>
      <w:pPr>
        <w:pStyle w:val="FootnoteText"/>
        <w:rPr/>
      </w:pPr>
      <w:r>
        <w:rPr>
          <w:rStyle w:val="FootnoteCharacters"/>
        </w:rPr>
        <w:footnoteRef/>
      </w: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footnote>
  <w:footnote w:id="3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footnote>
  <w:footnote w:id="396">
    <w:p>
      <w:pPr>
        <w:pStyle w:val="FootnoteText"/>
        <w:rPr/>
      </w:pPr>
      <w:r>
        <w:rPr>
          <w:rStyle w:val="FootnoteCharacters"/>
        </w:rPr>
        <w:footnoteRef/>
      </w:r>
      <w:r>
        <w:rPr/>
        <w:t>§146</w:t>
      </w:r>
    </w:p>
  </w:footnote>
  <w:footnote w:id="397">
    <w:p>
      <w:pPr>
        <w:pStyle w:val="FootnoteText"/>
        <w:rPr/>
      </w:pPr>
      <w:r>
        <w:rPr>
          <w:rStyle w:val="FootnoteCharacters"/>
        </w:rPr>
        <w:footnoteRef/>
      </w:r>
      <w:hyperlink r:id="rId29">
        <w:r>
          <w:rPr>
            <w:rStyle w:val="Hyperlink"/>
          </w:rPr>
          <w:t>SĀ 1187</w:t>
        </w:r>
      </w:hyperlink>
      <w:r>
        <w:rPr/>
        <w:t xml:space="preserve">, </w:t>
      </w:r>
      <w:r>
        <w:rPr/>
        <w:t>諸識永滅</w:t>
      </w:r>
    </w:p>
  </w:footnote>
  <w:footnote w:id="398">
    <w:p>
      <w:pPr>
        <w:pStyle w:val="FootnoteText"/>
        <w:rPr/>
      </w:pPr>
      <w:r>
        <w:rPr>
          <w:rStyle w:val="FootnoteCharacters"/>
        </w:rPr>
        <w:footnoteRef/>
      </w:r>
      <w:hyperlink r:id="rId30">
        <w:r>
          <w:rPr>
            <w:rStyle w:val="Hyperlink"/>
          </w:rPr>
          <w:t>SĀ</w:t>
        </w:r>
        <w:r>
          <w:rPr>
            <w:rStyle w:val="Hyperlink"/>
            <w:vertAlign w:val="superscript"/>
          </w:rPr>
          <w:t>2</w:t>
        </w:r>
        <w:r>
          <w:rPr>
            <w:rStyle w:val="Hyperlink"/>
          </w:rPr>
          <w:t xml:space="preserve"> 100</w:t>
        </w:r>
      </w:hyperlink>
      <w:r>
        <w:rPr/>
        <w:t xml:space="preserve">, </w:t>
      </w:r>
      <w:r>
        <w:rPr/>
        <w:t>心意盡滅</w:t>
      </w:r>
    </w:p>
  </w:footnote>
  <w:footnote w:id="399">
    <w:p>
      <w:pPr>
        <w:pStyle w:val="FootnoteText"/>
        <w:rPr/>
      </w:pPr>
      <w:r>
        <w:rPr>
          <w:rStyle w:val="FootnoteCharacters"/>
        </w:rPr>
        <w:footnoteRef/>
      </w: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footnote>
  <w:footnote w:id="400">
    <w:p>
      <w:pPr>
        <w:pStyle w:val="FootnoteText"/>
        <w:rPr/>
      </w:pPr>
      <w:r>
        <w:rPr>
          <w:rStyle w:val="FootnoteCharacters"/>
        </w:rPr>
        <w:footnoteRef/>
      </w:r>
      <w:r>
        <w:rPr>
          <w:rStyle w:val="wwc-sesame-zot-reference"/>
        </w:rPr>
        <w:t>Langer</w:t>
      </w:r>
      <w:r>
        <w:rPr/>
        <w:t xml:space="preserve"> p.27, translation mine</w:t>
      </w:r>
    </w:p>
  </w:footnote>
  <w:footnote w:id="401">
    <w:p>
      <w:pPr>
        <w:pStyle w:val="FootnoteText"/>
        <w:rPr/>
      </w:pPr>
      <w:r>
        <w:rPr>
          <w:rStyle w:val="FootnoteCharacters"/>
        </w:rPr>
        <w:footnoteRef/>
      </w: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footnote>
  <w:footnote w:id="402">
    <w:p>
      <w:pPr>
        <w:pStyle w:val="FootnoteText"/>
        <w:rPr/>
      </w:pPr>
      <w:r>
        <w:rPr>
          <w:rStyle w:val="FootnoteCharacters"/>
        </w:rPr>
        <w:footnoteRef/>
      </w: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footnote>
  <w:footnote w:id="403">
    <w:p>
      <w:pPr>
        <w:pStyle w:val="FootnoteText"/>
        <w:rPr/>
      </w:pPr>
      <w:r>
        <w:rPr>
          <w:rStyle w:val="FootnoteCharacters"/>
        </w:rPr>
        <w:footnoteRef/>
      </w:r>
      <w:r>
        <w:rPr>
          <w:rStyle w:val="wwc-sesame-zot-reference"/>
        </w:rPr>
        <w:t>Sujato 2011a</w:t>
      </w:r>
    </w:p>
  </w:footnote>
  <w:footnote w:id="404">
    <w:p>
      <w:pPr>
        <w:pStyle w:val="FootnoteText"/>
        <w:rPr/>
      </w:pPr>
      <w:r>
        <w:rPr>
          <w:rStyle w:val="FootnoteCharacters"/>
        </w:rPr>
        <w:footnoteRef/>
      </w:r>
      <w:r>
        <w:rPr>
          <w:rStyle w:val="wwc-sesame"/>
        </w:rPr>
        <w:t>Bodhi 2020 p.25</w:t>
      </w:r>
      <w:r>
        <w:rPr/>
        <w:t xml:space="preserve">. See also </w:t>
      </w:r>
      <w:r>
        <w:rPr>
          <w:rStyle w:val="wwc-sesame-zot-reference"/>
        </w:rPr>
        <w:t>Warder 2010</w:t>
      </w:r>
      <w:r>
        <w:rPr/>
        <w:t xml:space="preserve"> p.5</w:t>
      </w:r>
    </w:p>
  </w:footnote>
  <w:footnote w:id="405">
    <w:p>
      <w:pPr>
        <w:pStyle w:val="FootnoteText"/>
        <w:rPr/>
      </w:pPr>
      <w:r>
        <w:rPr>
          <w:rStyle w:val="FootnoteCharacters"/>
        </w:rPr>
        <w:footnoteRef/>
      </w: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footnote>
  <w:footnote w:id="406">
    <w:p>
      <w:pPr>
        <w:pStyle w:val="FootnoteText"/>
        <w:rPr/>
      </w:pPr>
      <w:r>
        <w:rPr>
          <w:rStyle w:val="FootnoteCharacters"/>
        </w:rPr>
        <w:footnoteRef/>
      </w:r>
      <w:r>
        <w:rPr>
          <w:rStyle w:val="wwc-sesame-zot-reference"/>
        </w:rPr>
        <w:t>Ñāṇamoli 1956</w:t>
      </w:r>
      <w:r>
        <w:rPr/>
        <w:t xml:space="preserve"> n.48 p.606. See also </w:t>
      </w:r>
      <w:r>
        <w:rPr>
          <w:rStyle w:val="wwc-sesame-zot-reference"/>
        </w:rPr>
        <w:t>Gombrich 1980</w:t>
      </w:r>
      <w:r>
        <w:rPr/>
        <w:t xml:space="preserve"> p.43</w:t>
      </w:r>
    </w:p>
  </w:footnote>
  <w:footnote w:id="407">
    <w:p>
      <w:pPr>
        <w:pStyle w:val="FootnoteText"/>
        <w:rPr/>
      </w:pPr>
      <w:r>
        <w:rPr>
          <w:rStyle w:val="FootnoteCharacters"/>
        </w:rPr>
        <w:footnoteRef/>
      </w:r>
      <w:r>
        <w:rPr>
          <w:rStyle w:val="wwc-sesame-zot-reference"/>
        </w:rPr>
        <w:t>Schmithausen 2000</w:t>
      </w:r>
      <w:r>
        <w:rPr/>
        <w:t xml:space="preserve"> p.74, translation mine, emphasis in the original</w:t>
      </w:r>
    </w:p>
  </w:footnote>
  <w:footnote w:id="408">
    <w:p>
      <w:pPr>
        <w:pStyle w:val="FootnoteText"/>
        <w:rPr/>
      </w:pPr>
      <w:r>
        <w:rPr>
          <w:rStyle w:val="FootnoteCharacters"/>
        </w:rPr>
        <w:footnoteRef/>
      </w:r>
      <w:r>
        <w:rPr>
          <w:rStyle w:val="wwc-sesame-zot-reference"/>
        </w:rPr>
        <w:t>Brahmavamso 1994</w:t>
      </w:r>
      <w:r>
        <w:rPr/>
        <w:t>, which uses the simile with reference to feelings instead of consciousness, but the idea is the same.</w:t>
      </w:r>
    </w:p>
  </w:footnote>
  <w:footnote w:id="409">
    <w:p>
      <w:pPr>
        <w:pStyle w:val="FootnoteText"/>
        <w:rPr/>
      </w:pPr>
      <w:r>
        <w:rPr>
          <w:rStyle w:val="FootnoteCharacters"/>
        </w:rPr>
        <w:footnoteRef/>
      </w: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footnote>
  <w:footnote w:id="4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footnote>
  <w:footnote w:id="4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footnote>
  <w:footnote w:id="412">
    <w:p>
      <w:pPr>
        <w:pStyle w:val="FootnoteText"/>
        <w:rPr/>
      </w:pPr>
      <w:r>
        <w:rPr>
          <w:rStyle w:val="FootnoteCharacters"/>
        </w:rPr>
        <w:footnoteRef/>
      </w:r>
      <w:r>
        <w:rPr/>
        <w:t xml:space="preserve">See </w:t>
      </w:r>
      <w:r>
        <w:rPr>
          <w:rStyle w:val="wwc-sesame-zot-reference"/>
        </w:rPr>
        <w:t>Hamilton</w:t>
      </w:r>
      <w:r>
        <w:rPr/>
        <w:t xml:space="preserve"> p.89</w:t>
      </w:r>
    </w:p>
  </w:footnote>
  <w:footnote w:id="4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footnote>
  <w:footnote w:id="4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5">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footnote>
  <w:footnote w:id="41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7">
    <w:p>
      <w:pPr>
        <w:pStyle w:val="FootnoteText"/>
        <w:rPr/>
      </w:pPr>
      <w:r>
        <w:rPr>
          <w:rStyle w:val="FootnoteCharacters"/>
        </w:rPr>
        <w:footnoteRef/>
      </w:r>
      <w:r>
        <w:rPr/>
        <w:t xml:space="preserve">On the same passage see also </w:t>
      </w:r>
      <w:r>
        <w:rPr>
          <w:rStyle w:val="wwc-sesame-zot-reference"/>
        </w:rPr>
        <w:t>Gombrich 2009</w:t>
      </w:r>
      <w:r>
        <w:rPr/>
        <w:t xml:space="preserve"> p.120</w:t>
      </w:r>
    </w:p>
  </w:footnote>
  <w:footnote w:id="4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footnote>
  <w:footnote w:id="4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footnote>
  <w:footnote w:id="4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footnote>
  <w:footnote w:id="42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footnote>
  <w:footnote w:id="42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footnote>
  <w:footnote w:id="4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footnote>
  <w:footnote w:id="424">
    <w:p>
      <w:pPr>
        <w:pStyle w:val="FootnoteText"/>
        <w:rPr/>
      </w:pPr>
      <w:r>
        <w:rPr>
          <w:rStyle w:val="FootnoteCharacters"/>
        </w:rPr>
        <w:footnoteRef/>
      </w:r>
      <w:r>
        <w:rPr/>
        <w:t xml:space="preserve">See also </w:t>
      </w:r>
      <w:r>
        <w:rPr>
          <w:rStyle w:val="wwc-sesame"/>
        </w:rPr>
        <w:t>Brahmavamso 2006 ‘The Nature of Citta’</w:t>
      </w:r>
    </w:p>
  </w:footnote>
  <w:footnote w:id="4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footnote>
  <w:footnote w:id="42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27">
    <w:p>
      <w:pPr>
        <w:pStyle w:val="FootnoteText"/>
        <w:rPr/>
      </w:pPr>
      <w:r>
        <w:rPr>
          <w:rStyle w:val="FootnoteCharacters"/>
        </w:rPr>
        <w:footnoteRef/>
      </w:r>
      <w:r>
        <w:rPr>
          <w:rStyle w:val="wwc-pali"/>
        </w:rPr>
        <w:t>Savijñānakaḥ kāyo</w:t>
      </w:r>
      <w:r>
        <w:rPr/>
        <w:t xml:space="preserve"> (</w:t>
      </w:r>
      <w:hyperlink r:id="rId31">
        <w:r>
          <w:rPr>
            <w:rStyle w:val="Hyperlink"/>
          </w:rPr>
          <w:t>SF 161</w:t>
        </w:r>
      </w:hyperlink>
      <w:r>
        <w:rPr/>
        <w:t xml:space="preserve">) and </w:t>
      </w:r>
      <w:r>
        <w:rPr/>
        <w:t xml:space="preserve">識身 </w:t>
      </w:r>
      <w:r>
        <w:rPr/>
        <w:t>(</w:t>
      </w:r>
      <w:hyperlink r:id="rId32">
        <w:r>
          <w:rPr>
            <w:rStyle w:val="Hyperlink"/>
          </w:rPr>
          <w:t>SĀ 294</w:t>
        </w:r>
      </w:hyperlink>
      <w:r>
        <w:rPr/>
        <w:t xml:space="preserve">). See </w:t>
      </w:r>
      <w:r>
        <w:rPr>
          <w:rStyle w:val="wwc-sesame-zot-reference"/>
        </w:rPr>
        <w:t>Choong</w:t>
      </w:r>
      <w:r>
        <w:rPr/>
        <w:t xml:space="preserve"> p.185</w:t>
      </w:r>
    </w:p>
  </w:footnote>
  <w:footnote w:id="428">
    <w:p>
      <w:pPr>
        <w:pStyle w:val="FootnoteText"/>
        <w:rPr/>
      </w:pPr>
      <w:r>
        <w:rPr>
          <w:rStyle w:val="FootnoteCharacters"/>
        </w:rPr>
        <w:footnoteRef/>
      </w:r>
      <w:r>
        <w:rPr/>
        <w:t xml:space="preserve">See </w:t>
      </w:r>
      <w:r>
        <w:rPr>
          <w:rStyle w:val="internal-reference"/>
        </w:rPr>
        <w:t>note 361</w:t>
      </w:r>
    </w:p>
  </w:footnote>
  <w:footnote w:id="429">
    <w:p>
      <w:pPr>
        <w:pStyle w:val="FootnoteText"/>
        <w:rPr/>
      </w:pPr>
      <w:r>
        <w:rPr>
          <w:rStyle w:val="FootnoteCharacters"/>
        </w:rPr>
        <w:footnoteRef/>
      </w:r>
      <w:r>
        <w:rPr>
          <w:rStyle w:val="wwc-sesame-zot-reference"/>
        </w:rPr>
        <w:t>DOP</w:t>
      </w:r>
      <w:r>
        <w:rPr/>
        <w:t xml:space="preserve"> under </w:t>
      </w:r>
      <w:r>
        <w:rPr>
          <w:rStyle w:val="wwc-pali"/>
        </w:rPr>
        <w:t>nimitta</w:t>
      </w:r>
    </w:p>
  </w:footnote>
  <w:footnote w:id="430">
    <w:p>
      <w:pPr>
        <w:pStyle w:val="FootnoteText"/>
        <w:rPr/>
      </w:pPr>
      <w:r>
        <w:rPr>
          <w:rStyle w:val="FootnoteCharacters"/>
        </w:rPr>
        <w:footnoteRef/>
      </w: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footnote>
  <w:footnote w:id="431">
    <w:p>
      <w:pPr>
        <w:pStyle w:val="FootnoteText"/>
        <w:rPr/>
      </w:pPr>
      <w:r>
        <w:rPr>
          <w:rStyle w:val="FootnoteCharacters"/>
        </w:rPr>
        <w:footnoteRef/>
      </w:r>
      <w:r>
        <w:rPr>
          <w:rStyle w:val="wwc-sesame-zot-reference"/>
        </w:rPr>
        <w:t>Schmithausen 2000</w:t>
      </w:r>
      <w:r>
        <w:rPr/>
        <w:t xml:space="preserve"> p.66 n.103, translation mine</w:t>
      </w:r>
    </w:p>
  </w:footnote>
  <w:footnote w:id="432">
    <w:p>
      <w:pPr>
        <w:pStyle w:val="FootnoteText"/>
        <w:rPr/>
      </w:pPr>
      <w:r>
        <w:rPr>
          <w:rStyle w:val="FootnoteCharacters"/>
        </w:rPr>
        <w:footnoteRef/>
      </w:r>
      <w:r>
        <w:rPr>
          <w:rStyle w:val="wwc-sesame-zot-reference"/>
        </w:rPr>
        <w:t>Gonda</w:t>
      </w:r>
      <w:r>
        <w:rPr/>
        <w:t xml:space="preserve"> p.8</w:t>
      </w:r>
    </w:p>
  </w:footnote>
  <w:footnote w:id="433">
    <w:p>
      <w:pPr>
        <w:pStyle w:val="FootnoteText"/>
        <w:rPr/>
      </w:pPr>
      <w:r>
        <w:rPr>
          <w:rStyle w:val="FootnoteCharacters"/>
        </w:rPr>
        <w:footnoteRef/>
      </w: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34">
    <w:p>
      <w:pPr>
        <w:pStyle w:val="FootnoteText"/>
        <w:rPr/>
      </w:pPr>
      <w:r>
        <w:rPr>
          <w:rStyle w:val="FootnoteCharacters"/>
        </w:rPr>
        <w:footnoteRef/>
      </w:r>
      <w:r>
        <w:rPr>
          <w:rStyle w:val="wwc-sesame-zot-reference"/>
        </w:rPr>
        <w:t>Hamilton</w:t>
      </w:r>
      <w:r>
        <w:rPr/>
        <w:t xml:space="preserve"> p.127–135</w:t>
      </w:r>
    </w:p>
  </w:footnote>
  <w:footnote w:id="435">
    <w:p>
      <w:pPr>
        <w:pStyle w:val="FootnoteText"/>
        <w:rPr/>
      </w:pPr>
      <w:r>
        <w:rPr>
          <w:rStyle w:val="FootnoteCharacters"/>
        </w:rPr>
        <w:footnoteRef/>
      </w:r>
      <w:r>
        <w:rPr>
          <w:rStyle w:val="wwc-sesame-zot-reference"/>
        </w:rPr>
        <w:t>Falk</w:t>
      </w:r>
      <w:r>
        <w:rPr/>
        <w:t xml:space="preserve"> p.56 n.1</w:t>
      </w:r>
    </w:p>
  </w:footnote>
  <w:footnote w:id="436">
    <w:p>
      <w:pPr>
        <w:pStyle w:val="FootnoteText"/>
        <w:rPr/>
      </w:pPr>
      <w:r>
        <w:rPr>
          <w:rStyle w:val="FootnoteCharacters"/>
        </w:rPr>
        <w:footnoteRef/>
      </w: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footnote>
  <w:footnote w:id="437">
    <w:p>
      <w:pPr>
        <w:pStyle w:val="FootnoteText"/>
        <w:rPr/>
      </w:pPr>
      <w:r>
        <w:rPr>
          <w:rStyle w:val="FootnoteCharacters"/>
        </w:rPr>
        <w:footnoteRef/>
      </w: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footnote>
  <w:footnote w:id="438">
    <w:p>
      <w:pPr>
        <w:pStyle w:val="FootnoteText"/>
        <w:rPr/>
      </w:pPr>
      <w:r>
        <w:rPr>
          <w:rStyle w:val="FootnoteCharacters"/>
        </w:rPr>
        <w:footnoteRef/>
      </w:r>
      <w:r>
        <w:rPr/>
        <w:t xml:space="preserve">See for example §137,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439">
    <w:p>
      <w:pPr>
        <w:pStyle w:val="FootnoteText"/>
        <w:rPr/>
      </w:pPr>
      <w:r>
        <w:rPr>
          <w:rStyle w:val="FootnoteCharacters"/>
        </w:rPr>
        <w:footnoteRef/>
      </w:r>
      <w:r>
        <w:rPr/>
        <w:t xml:space="preserve">See also </w:t>
      </w:r>
      <w:r>
        <w:rPr>
          <w:rStyle w:val="wwc-sesame-zot-reference"/>
        </w:rPr>
        <w:t>Hamilton</w:t>
      </w:r>
      <w:r>
        <w:rPr/>
        <w:t xml:space="preserve"> p.135</w:t>
      </w:r>
    </w:p>
  </w:footnote>
  <w:footnote w:id="440">
    <w:p>
      <w:pPr>
        <w:pStyle w:val="FootnoteText"/>
        <w:rPr/>
      </w:pPr>
      <w:r>
        <w:rPr>
          <w:rStyle w:val="FootnoteCharacters"/>
        </w:rPr>
        <w:footnoteRef/>
      </w:r>
      <w:r>
        <w:rPr/>
        <w:t>§83, §84</w:t>
      </w:r>
    </w:p>
  </w:footnote>
  <w:footnote w:id="441">
    <w:p>
      <w:pPr>
        <w:pStyle w:val="FootnoteText"/>
        <w:rPr/>
      </w:pPr>
      <w:r>
        <w:rPr>
          <w:rStyle w:val="FootnoteCharacters"/>
        </w:rPr>
        <w:footnoteRef/>
      </w:r>
      <w:r>
        <w:rPr/>
        <w:t>§84, §23, §54, §80</w:t>
      </w:r>
    </w:p>
  </w:footnote>
  <w:footnote w:id="442">
    <w:p>
      <w:pPr>
        <w:pStyle w:val="FootnoteText"/>
        <w:rPr/>
      </w:pPr>
      <w:r>
        <w:rPr>
          <w:rStyle w:val="FootnoteCharacters"/>
        </w:rPr>
        <w:footnoteRef/>
      </w:r>
      <w:r>
        <w:rPr/>
        <w:t xml:space="preserve">See also </w:t>
      </w:r>
      <w:r>
        <w:rPr>
          <w:rStyle w:val="wwc-sesame-zot-reference"/>
        </w:rPr>
        <w:t>Hamilton</w:t>
      </w:r>
      <w:r>
        <w:rPr/>
        <w:t xml:space="preserve"> p.132 and </w:t>
      </w:r>
      <w:r>
        <w:rPr>
          <w:rStyle w:val="wwc-sesame-zot-reference"/>
        </w:rPr>
        <w:t>Olalde 2014</w:t>
      </w:r>
      <w:r>
        <w:rPr/>
        <w:t xml:space="preserve"> p.103</w:t>
      </w:r>
    </w:p>
  </w:footnote>
  <w:footnote w:id="443">
    <w:p>
      <w:pPr>
        <w:pStyle w:val="FootnoteText"/>
        <w:rPr/>
      </w:pPr>
      <w:r>
        <w:rPr>
          <w:rStyle w:val="FootnoteCharacters"/>
        </w:rPr>
        <w:footnoteRef/>
      </w:r>
      <w:r>
        <w:rPr>
          <w:rStyle w:val="wwc-sesame-zot-reference"/>
        </w:rPr>
        <w:t>Schmithausen 2000</w:t>
      </w:r>
      <w:r>
        <w:rPr/>
        <w:t xml:space="preserve"> pp.69–74, translation mine</w:t>
      </w:r>
    </w:p>
  </w:footnote>
  <w:footnote w:id="444">
    <w:p>
      <w:pPr>
        <w:pStyle w:val="FootnoteText"/>
        <w:rPr/>
      </w:pPr>
      <w:r>
        <w:rPr>
          <w:rStyle w:val="FootnoteCharacters"/>
        </w:rPr>
        <w:footnoteRef/>
      </w:r>
      <w:r>
        <w:rPr/>
        <w:t xml:space="preserve">See </w:t>
      </w:r>
      <w:r>
        <w:rPr>
          <w:rStyle w:val="internal-reference"/>
        </w:rPr>
        <w:t>note 152</w:t>
      </w:r>
    </w:p>
  </w:footnote>
  <w:footnote w:id="445">
    <w:p>
      <w:pPr>
        <w:pStyle w:val="FootnoteText"/>
        <w:rPr/>
      </w:pPr>
      <w:r>
        <w:rPr>
          <w:rStyle w:val="FootnoteCharacters"/>
        </w:rPr>
        <w:footnoteRef/>
      </w: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footnote>
  <w:footnote w:id="446">
    <w:p>
      <w:pPr>
        <w:pStyle w:val="FootnoteText"/>
        <w:rPr/>
      </w:pPr>
      <w:r>
        <w:rPr>
          <w:rStyle w:val="FootnoteCharacters"/>
        </w:rPr>
        <w:footnoteRef/>
      </w: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footnote>
  <w:footnote w:id="447">
    <w:p>
      <w:pPr>
        <w:pStyle w:val="FootnoteText"/>
        <w:rPr/>
      </w:pPr>
      <w:r>
        <w:rPr>
          <w:rStyle w:val="FootnoteCharacters"/>
        </w:rPr>
        <w:footnoteRef/>
      </w:r>
      <w:r>
        <w:rPr>
          <w:rStyle w:val="wwc-sesame-zot-reference"/>
        </w:rPr>
        <w:t>Bodhi 1984</w:t>
      </w:r>
      <w:r>
        <w:rPr/>
        <w:t xml:space="preserve"> p.20</w:t>
      </w:r>
    </w:p>
  </w:footnote>
  <w:footnote w:id="448">
    <w:p>
      <w:pPr>
        <w:pStyle w:val="FootnoteText"/>
        <w:rPr/>
      </w:pPr>
      <w:r>
        <w:rPr>
          <w:rStyle w:val="FootnoteCharacters"/>
        </w:rPr>
        <w:footnoteRef/>
      </w:r>
      <w:r>
        <w:rPr/>
        <w:t xml:space="preserve">See </w:t>
      </w:r>
      <w:r>
        <w:rPr>
          <w:rStyle w:val="wwc-sesame-zot-reference"/>
        </w:rPr>
        <w:t>Bodhi 1984</w:t>
      </w:r>
      <w:r>
        <w:rPr/>
        <w:t xml:space="preserve"> p.107</w:t>
      </w:r>
    </w:p>
  </w:footnote>
  <w:footnote w:id="449">
    <w:p>
      <w:pPr>
        <w:pStyle w:val="FootnoteText"/>
        <w:rPr/>
      </w:pPr>
      <w:r>
        <w:rPr>
          <w:rStyle w:val="FootnoteCharacters"/>
        </w:rPr>
        <w:footnoteRef/>
      </w:r>
      <w:r>
        <w:rPr/>
        <w:t xml:space="preserve">See also </w:t>
      </w:r>
      <w:r>
        <w:rPr>
          <w:rStyle w:val="internal-reference"/>
        </w:rPr>
        <w:t>note 139</w:t>
      </w:r>
    </w:p>
  </w:footnote>
  <w:footnote w:id="4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footnote>
  <w:footnote w:id="451">
    <w:p>
      <w:pPr>
        <w:pStyle w:val="FootnoteText"/>
        <w:rPr/>
      </w:pPr>
      <w:r>
        <w:rPr>
          <w:rStyle w:val="FootnoteCharacters"/>
        </w:rPr>
        <w:footnoteRef/>
      </w:r>
      <w:r>
        <w:rPr>
          <w:rStyle w:val="wwc-sesame-zot-reference"/>
        </w:rPr>
        <w:t>Bodhi 1984</w:t>
      </w:r>
      <w:r>
        <w:rPr/>
        <w:t xml:space="preserve"> p.21</w:t>
      </w:r>
    </w:p>
  </w:footnote>
  <w:footnote w:id="4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footnote>
  <w:footnote w:id="453">
    <w:p>
      <w:pPr>
        <w:pStyle w:val="FootnoteText"/>
        <w:rPr/>
      </w:pPr>
      <w:r>
        <w:rPr>
          <w:rStyle w:val="FootnoteCharacters"/>
        </w:rPr>
        <w:footnoteRef/>
      </w: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footnote>
  <w:footnote w:id="454">
    <w:p>
      <w:pPr>
        <w:pStyle w:val="FootnoteText"/>
        <w:rPr/>
      </w:pPr>
      <w:r>
        <w:rPr>
          <w:rStyle w:val="FootnoteCharacters"/>
        </w:rPr>
        <w:footnoteRef/>
      </w:r>
      <w:r>
        <w:rPr>
          <w:rStyle w:val="wwc-sesame-zot-reference"/>
        </w:rPr>
        <w:t>Bodhi 1984</w:t>
      </w:r>
      <w:r>
        <w:rPr/>
        <w:t xml:space="preserve"> p.20</w:t>
      </w:r>
    </w:p>
  </w:footnote>
  <w:footnote w:id="4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5.7:6.4</w:t>
      </w:r>
      <w:r>
        <w:rPr>
          <w:rStyle w:val="Hyperlink"/>
        </w:rPr>
        <w:fldChar w:fldCharType="end"/>
      </w:r>
      <w:r>
        <w:rPr/>
        <w:t xml:space="preserve">. See also </w:t>
      </w:r>
      <w:r>
        <w:rPr>
          <w:rStyle w:val="wwc-sesame-zot-reference"/>
        </w:rPr>
        <w:t>DOP</w:t>
      </w:r>
      <w:r>
        <w:rPr/>
        <w:t xml:space="preserve"> s.v. </w:t>
      </w:r>
      <w:r>
        <w:rPr>
          <w:rStyle w:val="wwc-pali"/>
        </w:rPr>
        <w:t>nāmakāya</w:t>
      </w:r>
      <w:r>
        <w:rPr/>
        <w:t>: ‘the group of non-material aspects (of an individual)’.</w:t>
      </w:r>
    </w:p>
  </w:footnote>
  <w:footnote w:id="456">
    <w:p>
      <w:pPr>
        <w:pStyle w:val="FootnoteText"/>
        <w:rPr/>
      </w:pPr>
      <w:r>
        <w:rPr>
          <w:rStyle w:val="FootnoteCharacters"/>
        </w:rPr>
        <w:footnoteRef/>
      </w:r>
      <w:hyperlink r:id="rId33">
        <w:r>
          <w:rPr>
            <w:rStyle w:val="Hyperlink"/>
          </w:rPr>
          <w:t>DĀ 13</w:t>
        </w:r>
      </w:hyperlink>
      <w:r>
        <w:rPr/>
        <w:t xml:space="preserve"> at 61b02, translation Patton</w:t>
      </w:r>
    </w:p>
  </w:footnote>
  <w:footnote w:id="457">
    <w:p>
      <w:pPr>
        <w:pStyle w:val="FootnoteText"/>
        <w:rPr/>
      </w:pPr>
      <w:r>
        <w:rPr>
          <w:rStyle w:val="FootnoteCharacters"/>
        </w:rPr>
        <w:footnoteRef/>
      </w:r>
      <w:r>
        <w:rPr>
          <w:rStyle w:val="wwc-sesame-zot-reference"/>
        </w:rPr>
        <w:t>Hamilton</w:t>
      </w:r>
      <w:r>
        <w:rPr/>
        <w:t xml:space="preserve"> p.134</w:t>
      </w:r>
    </w:p>
  </w:footnote>
  <w:footnote w:id="458">
    <w:p>
      <w:pPr>
        <w:pStyle w:val="FootnoteText"/>
        <w:rPr/>
      </w:pPr>
      <w:r>
        <w:rPr>
          <w:rStyle w:val="FootnoteCharacters"/>
        </w:rPr>
        <w:footnoteRef/>
      </w:r>
      <w:r>
        <w:rPr/>
        <w:t xml:space="preserve">See </w:t>
      </w:r>
      <w:r>
        <w:rPr>
          <w:rStyle w:val="wwc-sesame-zot-reference"/>
        </w:rPr>
        <w:t>Olalde 2014</w:t>
      </w:r>
      <w:r>
        <w:rPr/>
        <w:t xml:space="preserve"> p.114ff</w:t>
      </w:r>
    </w:p>
  </w:footnote>
  <w:footnote w:id="459">
    <w:p>
      <w:pPr>
        <w:pStyle w:val="FootnoteText"/>
        <w:rPr/>
      </w:pPr>
      <w:r>
        <w:rPr>
          <w:rStyle w:val="FootnoteCharacters"/>
        </w:rPr>
        <w:footnoteRef/>
      </w: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footnote>
  <w:footnote w:id="460">
    <w:p>
      <w:pPr>
        <w:pStyle w:val="FootnoteText"/>
        <w:rPr/>
      </w:pPr>
      <w:r>
        <w:rPr>
          <w:rStyle w:val="FootnoteCharacters"/>
        </w:rPr>
        <w:footnoteRef/>
      </w:r>
      <w:hyperlink r:id="rId34">
        <w:r>
          <w:rPr>
            <w:rStyle w:val="Hyperlink"/>
          </w:rPr>
          <w:t>DĀ 13</w:t>
        </w:r>
      </w:hyperlink>
      <w:r>
        <w:rPr/>
        <w:t xml:space="preserve"> at 61b3, </w:t>
      </w:r>
      <w:hyperlink r:id="rId35">
        <w:r>
          <w:rPr>
            <w:rStyle w:val="Hyperlink"/>
          </w:rPr>
          <w:t>MĀ 97</w:t>
        </w:r>
      </w:hyperlink>
      <w:r>
        <w:rPr/>
        <w:t xml:space="preserve"> at 579c7, </w:t>
      </w:r>
      <w:hyperlink r:id="rId36">
        <w:r>
          <w:rPr>
            <w:rStyle w:val="Hyperlink"/>
          </w:rPr>
          <w:t>T 14</w:t>
        </w:r>
      </w:hyperlink>
      <w:r>
        <w:rPr/>
        <w:t xml:space="preserve"> at 243b8; </w:t>
      </w:r>
      <w:hyperlink r:id="rId37">
        <w:r>
          <w:rPr>
            <w:rStyle w:val="Hyperlink"/>
          </w:rPr>
          <w:t>T 52</w:t>
        </w:r>
      </w:hyperlink>
    </w:p>
  </w:footnote>
  <w:footnote w:id="461">
    <w:p>
      <w:pPr>
        <w:pStyle w:val="FootnoteText"/>
        <w:rPr/>
      </w:pPr>
      <w:r>
        <w:rPr>
          <w:rStyle w:val="FootnoteCharacters"/>
        </w:rPr>
        <w:footnoteRef/>
      </w:r>
      <w:r>
        <w:rPr>
          <w:rStyle w:val="wwc-sesame-zot-reference"/>
        </w:rPr>
        <w:t>Vetter 1994</w:t>
      </w:r>
      <w:r>
        <w:rPr/>
        <w:t xml:space="preserve"> p.147</w:t>
      </w:r>
    </w:p>
  </w:footnote>
  <w:footnote w:id="462">
    <w:p>
      <w:pPr>
        <w:pStyle w:val="FootnoteText"/>
        <w:rPr/>
      </w:pPr>
      <w:r>
        <w:rPr>
          <w:rStyle w:val="FootnoteCharacters"/>
        </w:rPr>
        <w:footnoteRef/>
      </w:r>
      <w:hyperlink r:id="rId38">
        <w:r>
          <w:rPr>
            <w:rStyle w:val="Hyperlink"/>
          </w:rPr>
          <w:t>T 52</w:t>
        </w:r>
      </w:hyperlink>
      <w:r>
        <w:rPr/>
        <w:t xml:space="preserve">, see also </w:t>
      </w:r>
      <w:r>
        <w:rPr>
          <w:rStyle w:val="internal-reference"/>
        </w:rPr>
        <w:t>table 3</w:t>
      </w:r>
    </w:p>
  </w:footnote>
  <w:footnote w:id="4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footnote>
  <w:footnote w:id="46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footnote>
  <w:footnote w:id="465">
    <w:p>
      <w:pPr>
        <w:pStyle w:val="FootnoteText"/>
        <w:rPr/>
      </w:pPr>
      <w:r>
        <w:rPr>
          <w:rStyle w:val="FootnoteCharacters"/>
        </w:rPr>
        <w:footnoteRef/>
      </w:r>
      <w:r>
        <w:rPr/>
        <w:t xml:space="preserve">See also </w:t>
      </w:r>
      <w:r>
        <w:rPr>
          <w:rStyle w:val="wwc-sesame-zot-reference"/>
        </w:rPr>
        <w:t>Kalupahana 1976</w:t>
      </w:r>
      <w:r>
        <w:rPr/>
        <w:t xml:space="preserve"> p.158: “There is no transcendent reality or Being or ‘self’ that is given as the object of such direct perception.”</w:t>
      </w:r>
    </w:p>
  </w:footnote>
  <w:footnote w:id="46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footnote>
  <w:footnote w:id="467">
    <w:p>
      <w:pPr>
        <w:pStyle w:val="FootnoteText"/>
        <w:rPr/>
      </w:pPr>
      <w:r>
        <w:rPr>
          <w:rStyle w:val="FootnoteCharacters"/>
        </w:rPr>
        <w:footnoteRef/>
      </w: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footnote>
  <w:footnote w:id="468">
    <w:p>
      <w:pPr>
        <w:pStyle w:val="FootnoteText"/>
        <w:rPr/>
      </w:pPr>
      <w:r>
        <w:rPr>
          <w:rStyle w:val="FootnoteCharacters"/>
        </w:rPr>
        <w:footnoteRef/>
      </w: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footnote>
  <w:footnote w:id="469">
    <w:p>
      <w:pPr>
        <w:pStyle w:val="FootnoteText"/>
        <w:rPr/>
      </w:pPr>
      <w:r>
        <w:rPr>
          <w:rStyle w:val="FootnoteCharacters"/>
        </w:rPr>
        <w:footnoteRef/>
      </w: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footnote>
  <w:footnote w:id="4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footnote>
  <w:footnote w:id="4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footnote>
  <w:footnote w:id="4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footnote>
  <w:footnote w:id="473">
    <w:p>
      <w:pPr>
        <w:pStyle w:val="FootnoteText"/>
        <w:rPr/>
      </w:pPr>
      <w:r>
        <w:rPr>
          <w:rStyle w:val="FootnoteCharacters"/>
        </w:rPr>
        <w:footnoteRef/>
      </w: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footnote>
  <w:footnote w:id="4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p>
  </w:footnote>
  <w:footnote w:id="4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at §53, §54, and §115</w:t>
      </w:r>
    </w:p>
  </w:footnote>
  <w:footnote w:id="476">
    <w:p>
      <w:pPr>
        <w:pStyle w:val="FootnoteText"/>
        <w:rPr/>
      </w:pPr>
      <w:r>
        <w:rPr>
          <w:rStyle w:val="FootnoteCharacters"/>
        </w:rPr>
        <w:footnoteRef/>
      </w:r>
      <w:hyperlink r:id="rId39">
        <w:r>
          <w:rPr>
            <w:rStyle w:val="Hyperlink"/>
          </w:rPr>
          <w:t>SĀ 359</w:t>
        </w:r>
      </w:hyperlink>
      <w:r>
        <w:rPr/>
        <w:t xml:space="preserve">, </w:t>
      </w:r>
      <w:hyperlink r:id="rId40">
        <w:r>
          <w:rPr>
            <w:rStyle w:val="Hyperlink"/>
          </w:rPr>
          <w:t>SĀ 360</w:t>
        </w:r>
      </w:hyperlink>
      <w:r>
        <w:rPr/>
        <w:t xml:space="preserve">, </w:t>
      </w:r>
      <w:hyperlink r:id="rId41">
        <w:r>
          <w:rPr>
            <w:rStyle w:val="Hyperlink"/>
          </w:rPr>
          <w:t>SĀ 361</w:t>
        </w:r>
      </w:hyperlink>
    </w:p>
  </w:footnote>
  <w:footnote w:id="477">
    <w:p>
      <w:pPr>
        <w:pStyle w:val="FootnoteText"/>
        <w:rPr/>
      </w:pPr>
      <w:r>
        <w:rPr>
          <w:rStyle w:val="FootnoteCharacters"/>
        </w:rPr>
        <w:footnoteRef/>
      </w:r>
      <w:r>
        <w:rPr>
          <w:rStyle w:val="wwc-sesame-zot-reference"/>
        </w:rPr>
        <w:t>Choong</w:t>
      </w:r>
      <w:r>
        <w:rPr/>
        <w:t xml:space="preserve"> p.172</w:t>
      </w:r>
    </w:p>
  </w:footnote>
  <w:footnote w:id="4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144:11.3–11.9</w:t>
      </w:r>
      <w:r>
        <w:rPr>
          <w:rStyle w:val="Hyperlink"/>
        </w:rPr>
        <w:fldChar w:fldCharType="end"/>
      </w:r>
      <w:r>
        <w:rPr/>
        <w:t xml:space="preserve"> </w:t>
      </w:r>
      <w:r>
        <w:rPr>
          <w:rStyle w:val="wwc-PTS-reference"/>
        </w:rPr>
        <w:t>M III 266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35.87:11.3–11.9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8.4:3.1–3.7</w:t>
      </w:r>
      <w:r>
        <w:rPr>
          <w:rStyle w:val="Hyperlink"/>
        </w:rPr>
        <w:fldChar w:fldCharType="end"/>
      </w:r>
    </w:p>
  </w:footnote>
  <w:footnote w:id="479">
    <w:p>
      <w:pPr>
        <w:pStyle w:val="FootnoteText"/>
        <w:rPr/>
      </w:pPr>
      <w:r>
        <w:rPr>
          <w:rStyle w:val="FootnoteCharacters"/>
        </w:rPr>
        <w:footnoteRef/>
      </w:r>
      <w:r>
        <w:rPr/>
        <w:t xml:space="preserve">For example at SN-A 2.372 (on </w:t>
      </w:r>
      <w:r>
        <w:fldChar w:fldCharType="begin"/>
      </w:r>
      <w:r>
        <w:rPr>
          <w:rStyle w:val="Hyperlink"/>
        </w:rPr>
        <w:instrText xml:space="preserve"> HYPERLINK "https://suttacentral.net/XXX/en/sujato" \l "YYY"</w:instrText>
      </w:r>
      <w:r>
        <w:rPr>
          <w:rStyle w:val="Hyperlink"/>
        </w:rPr>
        <w:fldChar w:fldCharType="separate"/>
      </w:r>
      <w:r>
        <w:rPr>
          <w:rStyle w:val="Hyperlink"/>
        </w:rPr>
        <w:t>SN 35.87</w:t>
      </w:r>
      <w:r>
        <w:rPr>
          <w:rStyle w:val="Hyperlink"/>
        </w:rPr>
        <w:fldChar w:fldCharType="end"/>
      </w:r>
      <w:r>
        <w:rPr/>
        <w:t xml:space="preserve">). In discussing </w:t>
      </w:r>
      <w:r>
        <w:fldChar w:fldCharType="begin"/>
      </w:r>
      <w:r>
        <w:rPr>
          <w:rStyle w:val="Hyperlink"/>
        </w:rPr>
        <w:instrText xml:space="preserve"> HYPERLINK "https://suttacentral.net/XXX/en/sujato" \l "YYY"</w:instrText>
      </w:r>
      <w:r>
        <w:rPr>
          <w:rStyle w:val="Hyperlink"/>
        </w:rPr>
        <w:fldChar w:fldCharType="separate"/>
      </w:r>
      <w:r>
        <w:rPr>
          <w:rStyle w:val="Hyperlink"/>
        </w:rPr>
        <w:t>Ud 1.10</w:t>
      </w:r>
      <w:r>
        <w:rPr>
          <w:rStyle w:val="Hyperlink"/>
        </w:rPr>
        <w:fldChar w:fldCharType="end"/>
      </w:r>
      <w:r>
        <w:rPr/>
        <w:t xml:space="preserve">, </w:t>
      </w:r>
      <w:r>
        <w:rPr>
          <w:rStyle w:val="wwc-sesame-zot-reference"/>
        </w:rPr>
        <w:t>Anālayo 2023</w:t>
      </w:r>
      <w:r>
        <w:rPr/>
        <w:t xml:space="preserve"> Chapter I.4 instead thinks ‘here’ (</w:t>
      </w:r>
      <w:r>
        <w:rPr>
          <w:rStyle w:val="wwc-pali"/>
        </w:rPr>
        <w:t>idha</w:t>
      </w:r>
      <w:r>
        <w:rPr/>
        <w:t>) and ‘beyond’ (</w:t>
      </w:r>
      <w:r>
        <w:rPr>
          <w:rStyle w:val="wwc-pali"/>
        </w:rPr>
        <w:t>huraṁ</w:t>
      </w:r>
      <w:r>
        <w:rPr/>
        <w:t xml:space="preserve">) refer to the senses and their objects, with ‘in between the two’ being “their interaction”, but this is not supported by other texts. §116 clearly talks about rebirth, for example, and §134 uses the same terminology with reference to physical places. </w:t>
      </w:r>
      <w:r>
        <w:rPr>
          <w:rStyle w:val="wwc-sesame-zot-reference"/>
        </w:rPr>
        <w:t>PED</w:t>
      </w:r>
      <w:r>
        <w:rPr/>
        <w:t xml:space="preserve"> and </w:t>
      </w:r>
      <w:r>
        <w:rPr>
          <w:rStyle w:val="wwc-sesame-zot-reference"/>
        </w:rPr>
        <w:t>CPD</w:t>
      </w:r>
      <w:r>
        <w:rPr/>
        <w:t xml:space="preserve"> accordingly gloss under </w:t>
      </w:r>
      <w:r>
        <w:rPr>
          <w:rStyle w:val="wwc-pali"/>
        </w:rPr>
        <w:t>huraṁ</w:t>
      </w:r>
      <w:r>
        <w:rPr/>
        <w:t>, “another world”.</w:t>
      </w:r>
    </w:p>
  </w:footnote>
  <w:footnote w:id="480">
    <w:p>
      <w:pPr>
        <w:pStyle w:val="FootnoteText"/>
        <w:rPr/>
      </w:pPr>
      <w:r>
        <w:rPr>
          <w:rStyle w:val="FootnoteCharacters"/>
        </w:rPr>
        <w:footnoteRef/>
      </w:r>
      <w:r>
        <w:rPr/>
        <w:t xml:space="preserve">See </w:t>
      </w:r>
      <w:r>
        <w:rPr>
          <w:rStyle w:val="wwc-sesame-zot-reference"/>
        </w:rPr>
        <w:t>Harvey 1995</w:t>
      </w:r>
      <w:r>
        <w:rPr/>
        <w:t xml:space="preserve"> p.98, </w:t>
      </w:r>
      <w:r>
        <w:rPr>
          <w:rStyle w:val="wwc-sesame-zot-reference"/>
        </w:rPr>
        <w:t>Somaratne</w:t>
      </w:r>
      <w:r>
        <w:rPr/>
        <w:t xml:space="preserve"> p.150, </w:t>
      </w:r>
      <w:r>
        <w:rPr>
          <w:rStyle w:val="wwc-sesame-zot-reference"/>
        </w:rPr>
        <w:t>Sujato 2008</w:t>
      </w:r>
      <w:r>
        <w:rPr/>
        <w:t xml:space="preserve"> p.7, </w:t>
      </w:r>
      <w:r>
        <w:rPr>
          <w:rStyle w:val="wwc-sesame-zot-reference"/>
        </w:rPr>
        <w:t>Dhammika 2015</w:t>
      </w:r>
      <w:r>
        <w:rPr/>
        <w:t xml:space="preserve"> p.20 , </w:t>
      </w:r>
      <w:r>
        <w:rPr>
          <w:rStyle w:val="wwc-sesame-zot-reference"/>
        </w:rPr>
        <w:t>Anālayo 2018</w:t>
      </w:r>
      <w:r>
        <w:rPr/>
        <w:t xml:space="preserve"> p.32</w:t>
      </w:r>
    </w:p>
  </w:footnote>
  <w:footnote w:id="481">
    <w:p>
      <w:pPr>
        <w:pStyle w:val="FootnoteText"/>
        <w:rPr/>
      </w:pPr>
      <w:r>
        <w:rPr>
          <w:rStyle w:val="FootnoteCharacters"/>
        </w:rPr>
        <w:footnoteRef/>
      </w:r>
      <w:r>
        <w:rPr>
          <w:rStyle w:val="wwc-sesame"/>
        </w:rPr>
        <w:t>Bodhi 2000 n.53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35.87:11.8</w:t>
      </w:r>
      <w:r>
        <w:rPr>
          <w:rStyle w:val="Hyperlink"/>
        </w:rPr>
        <w:fldChar w:fldCharType="end"/>
      </w:r>
    </w:p>
  </w:footnote>
  <w:footnote w:id="4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3.12:45.1–45.4</w:t>
      </w:r>
      <w:r>
        <w:rPr>
          <w:rStyle w:val="Hyperlink"/>
        </w:rPr>
        <w:fldChar w:fldCharType="end"/>
      </w:r>
    </w:p>
  </w:footnote>
  <w:footnote w:id="4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p>
  </w:footnote>
  <w:footnote w:id="484">
    <w:p>
      <w:pPr>
        <w:pStyle w:val="FootnoteText"/>
        <w:rPr/>
      </w:pPr>
      <w:r>
        <w:rPr>
          <w:rStyle w:val="FootnoteCharacters"/>
        </w:rPr>
        <w:footnoteRef/>
      </w:r>
      <w:r>
        <w:rPr>
          <w:rStyle w:val="wwc-pali"/>
        </w:rPr>
        <w:t>Anabhisaṅkhāraṁ</w:t>
      </w:r>
      <w:r>
        <w:rPr/>
        <w:t xml:space="preserve">, ‘not wilfully creating’. I base ‘wilfully’ on </w:t>
      </w:r>
      <w:r>
        <w:rPr>
          <w:rStyle w:val="wwc-pali"/>
        </w:rPr>
        <w:t>aceta</w:t>
        <w:softHyphen/>
        <w:t>yato anabhi</w:t>
        <w:softHyphen/>
        <w:t>saṅkha</w:t>
        <w:softHyphen/>
        <w:t>roto</w:t>
      </w:r>
      <w:r>
        <w:rPr/>
        <w:t xml:space="preserve"> of </w:t>
      </w:r>
      <w:r>
        <w:fldChar w:fldCharType="begin"/>
      </w:r>
      <w:r>
        <w:rPr>
          <w:rStyle w:val="Hyperlink"/>
        </w:rPr>
        <w:instrText xml:space="preserve"> HYPERLINK "https://suttacentral.net/XXX/en/sujato" \l "YYY"</w:instrText>
      </w:r>
      <w:r>
        <w:rPr>
          <w:rStyle w:val="Hyperlink"/>
        </w:rPr>
        <w:fldChar w:fldCharType="separate"/>
      </w:r>
      <w:r>
        <w:rPr>
          <w:rStyle w:val="Hyperlink"/>
        </w:rPr>
        <w:t>DN 9:17.7</w:t>
      </w:r>
      <w:r>
        <w:rPr>
          <w:rStyle w:val="Hyperlink"/>
        </w:rPr>
        <w:fldChar w:fldCharType="end"/>
      </w:r>
      <w:r>
        <w:rPr/>
        <w:t xml:space="preserve">, ‘not intending, not willing’. Similar instances of these synonyms are found in </w:t>
      </w:r>
      <w:r>
        <w:fldChar w:fldCharType="begin"/>
      </w:r>
      <w:r>
        <w:rPr>
          <w:rStyle w:val="Hyperlink"/>
        </w:rPr>
        <w:instrText xml:space="preserve"> HYPERLINK "https://suttacentral.net/XXX/en/sujato" \l "YYY"</w:instrText>
      </w:r>
      <w:r>
        <w:rPr>
          <w:rStyle w:val="Hyperlink"/>
        </w:rPr>
        <w:fldChar w:fldCharType="separate"/>
      </w:r>
      <w:r>
        <w:rPr>
          <w:rStyle w:val="Hyperlink"/>
        </w:rPr>
        <w:t>MN 140:22.10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12.51:9.5</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11.16:4.4</w:t>
      </w:r>
      <w:r>
        <w:rPr>
          <w:rStyle w:val="Hyperlink"/>
        </w:rPr>
        <w:fldChar w:fldCharType="end"/>
      </w:r>
      <w:r>
        <w:rPr/>
        <w:t xml:space="preserve">. This refers to the </w:t>
      </w:r>
      <w:r>
        <w:rPr>
          <w:rStyle w:val="wwc-pali"/>
        </w:rPr>
        <w:t>saṅkhāras</w:t>
      </w:r>
      <w:r>
        <w:rPr/>
        <w:t xml:space="preserve"> of Dependent Arising. Their creative aspect is also implied, hence alternative translations like ‘non-generating’ are also possible. I incorporated both aspects using ‘wilfully creating’.</w:t>
      </w:r>
    </w:p>
  </w:footnote>
  <w:footnote w:id="4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22.45:1.15–1.20</w:t>
      </w:r>
      <w:r>
        <w:rPr>
          <w:rStyle w:val="Hyperlink"/>
        </w:rPr>
        <w:fldChar w:fldCharType="end"/>
      </w:r>
    </w:p>
  </w:footnote>
  <w:footnote w:id="4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12.51:13.1–23.2</w:t>
      </w:r>
      <w:r>
        <w:rPr>
          <w:rStyle w:val="Hyperlink"/>
        </w:rPr>
        <w:fldChar w:fldCharType="end"/>
      </w:r>
    </w:p>
  </w:footnote>
  <w:footnote w:id="487">
    <w:p>
      <w:pPr>
        <w:pStyle w:val="FootnoteText"/>
        <w:rPr/>
      </w:pPr>
      <w:r>
        <w:rPr>
          <w:rStyle w:val="FootnoteCharacters"/>
        </w:rPr>
        <w:footnoteRef/>
      </w:r>
      <w:r>
        <w:rPr>
          <w:rStyle w:val="wwc-sesame-zot-reference"/>
        </w:rPr>
        <w:t>Kalupahana 1976</w:t>
      </w:r>
      <w:r>
        <w:rPr/>
        <w:t xml:space="preserve"> p.52. See also </w:t>
      </w:r>
      <w:r>
        <w:rPr>
          <w:rStyle w:val="wwc-sesame-zot-reference"/>
        </w:rPr>
        <w:t>Vélez de Cea</w:t>
      </w:r>
      <w:r>
        <w:rPr/>
        <w:t xml:space="preserve"> p.136</w:t>
      </w:r>
    </w:p>
  </w:footnote>
  <w:footnote w:id="488">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where a man burns the seeds, although here they represent karma instead of consciousness.</w:t>
      </w:r>
    </w:p>
  </w:footnote>
  <w:footnote w:id="489">
    <w:p>
      <w:pPr>
        <w:pStyle w:val="FootnoteText"/>
        <w:rPr/>
      </w:pPr>
      <w:r>
        <w:rPr>
          <w:rStyle w:val="FootnoteCharacters"/>
        </w:rPr>
        <w:footnoteRef/>
      </w:r>
      <w:r>
        <w:rPr>
          <w:rStyle w:val="wwc-pali"/>
        </w:rPr>
        <w:t>Patiṭṭhita</w:t>
      </w:r>
      <w:r>
        <w:rPr/>
        <w:t xml:space="preserve"> (‘plant down’) may also be translated as ‘landing’ in this passage, but for consistency I translated it as ‘planting’ everywhere, including here.</w:t>
      </w:r>
    </w:p>
  </w:footnote>
  <w:footnote w:id="4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12.64:8.1–9.8</w:t>
      </w:r>
      <w:r>
        <w:rPr>
          <w:rStyle w:val="Hyperlink"/>
        </w:rPr>
        <w:fldChar w:fldCharType="end"/>
      </w:r>
    </w:p>
  </w:footnote>
  <w:footnote w:id="4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12.39:3.1–3.5</w:t>
      </w:r>
      <w:r>
        <w:rPr>
          <w:rStyle w:val="Hyperlink"/>
        </w:rPr>
        <w:fldChar w:fldCharType="end"/>
      </w:r>
    </w:p>
  </w:footnote>
  <w:footnote w:id="4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12.1:3.1–3.12</w:t>
      </w:r>
      <w:r>
        <w:rPr>
          <w:rStyle w:val="Hyperlink"/>
        </w:rPr>
        <w:fldChar w:fldCharType="end"/>
      </w:r>
    </w:p>
  </w:footnote>
  <w:footnote w:id="493">
    <w:p>
      <w:pPr>
        <w:pStyle w:val="FootnoteText"/>
        <w:rPr/>
      </w:pPr>
      <w:r>
        <w:rPr>
          <w:rStyle w:val="FootnoteCharacters"/>
        </w:rPr>
        <w:footnoteRef/>
      </w:r>
      <w:r>
        <w:rPr>
          <w:rStyle w:val="wwc-sesame-zot-reference"/>
        </w:rPr>
        <w:t>Anālayo 2023</w:t>
      </w:r>
      <w:r>
        <w:rPr/>
        <w:t xml:space="preserve"> Chapter I.10</w:t>
      </w:r>
    </w:p>
  </w:footnote>
  <w:footnote w:id="494">
    <w:p>
      <w:pPr>
        <w:pStyle w:val="FootnoteText"/>
        <w:rPr/>
      </w:pPr>
      <w:r>
        <w:rPr>
          <w:rStyle w:val="FootnoteCharacters"/>
        </w:rPr>
        <w:footnoteRef/>
      </w:r>
      <w:r>
        <w:rPr>
          <w:rStyle w:val="wwc-sesame-zot-referenc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4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12.38:3.1–3.5</w:t>
      </w:r>
      <w:r>
        <w:rPr>
          <w:rStyle w:val="Hyperlink"/>
        </w:rPr>
        <w:fldChar w:fldCharType="end"/>
      </w:r>
    </w:p>
  </w:footnote>
  <w:footnote w:id="496">
    <w:p>
      <w:pPr>
        <w:pStyle w:val="FootnoteText"/>
        <w:rPr/>
      </w:pPr>
      <w:r>
        <w:rPr>
          <w:rStyle w:val="FootnoteCharacters"/>
        </w:rPr>
        <w:footnoteRef/>
      </w:r>
      <w:r>
        <w:rPr>
          <w:rStyle w:val="wwc-sesame-zot-reference"/>
        </w:rPr>
        <w:t>Hecker</w:t>
      </w:r>
      <w:r>
        <w:rPr/>
        <w:t xml:space="preserve"> p.53</w:t>
      </w:r>
    </w:p>
  </w:footnote>
  <w:footnote w:id="497">
    <w:p>
      <w:pPr>
        <w:pStyle w:val="FootnoteText"/>
        <w:rPr/>
      </w:pPr>
      <w:r>
        <w:rPr>
          <w:rStyle w:val="FootnoteCharacters"/>
        </w:rPr>
        <w:footnoteRef/>
      </w:r>
      <w:r>
        <w:rPr>
          <w:rStyle w:val="wwc-sesame-zot-reference"/>
        </w:rPr>
        <w:t>Anālayo 2023</w:t>
      </w:r>
      <w:r>
        <w:rPr/>
        <w:t xml:space="preserve"> Chapter I.10 states that the </w:t>
      </w:r>
      <w:r>
        <w:rPr>
          <w:rStyle w:val="wwc-sesame"/>
        </w:rPr>
        <w:t>First Discourse on Intention</w:t>
      </w:r>
      <w:r>
        <w:rPr/>
        <w:t xml:space="preserve">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w:t>
      </w:r>
      <w:r>
        <w:rPr>
          <w:rStyle w:val="wwc-pali"/>
        </w:rPr>
        <w:t>Appatiṭṭhita viññāṇa</w:t>
      </w:r>
      <w:r>
        <w:rPr/>
        <w:t>, he concludes, means “consciousness will not become established in another birth”.</w:t>
      </w:r>
    </w:p>
  </w:footnote>
  <w:footnote w:id="498">
    <w:p>
      <w:pPr>
        <w:pStyle w:val="FootnoteText"/>
        <w:rPr/>
      </w:pPr>
      <w:r>
        <w:rPr>
          <w:rStyle w:val="FootnoteCharacters"/>
        </w:rPr>
        <w:footnoteRef/>
      </w:r>
      <w:r>
        <w:rPr>
          <w:rStyle w:val="wwc-sesame-zot-reference"/>
        </w:rPr>
        <w:t>Langer</w:t>
      </w:r>
      <w:r>
        <w:rPr/>
        <w:t xml:space="preserve"> p.35, translation mine, referring to </w:t>
      </w:r>
      <w:r>
        <w:rPr>
          <w:rStyle w:val="wwc-sesame-zot-reference"/>
        </w:rPr>
        <w:t>Harvey 1995</w:t>
      </w:r>
      <w:r>
        <w:rPr/>
        <w:t xml:space="preserve"> p.202</w:t>
      </w:r>
    </w:p>
  </w:footnote>
  <w:footnote w:id="49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8.70:14.3</w:t>
      </w:r>
      <w:r>
        <w:rPr>
          <w:rStyle w:val="Hyperlink"/>
        </w:rPr>
        <w:fldChar w:fldCharType="end"/>
      </w:r>
    </w:p>
  </w:footnote>
  <w:footnote w:id="500">
    <w:p>
      <w:pPr>
        <w:pStyle w:val="FootnoteText"/>
        <w:rPr/>
      </w:pPr>
      <w:r>
        <w:rPr>
          <w:rStyle w:val="FootnoteCharacters"/>
        </w:rPr>
        <w:footnoteRef/>
      </w:r>
      <w:hyperlink r:id="rId42">
        <w:r>
          <w:rPr>
            <w:rStyle w:val="Hyperlink"/>
          </w:rPr>
          <w:t>SĀ 377</w:t>
        </w:r>
      </w:hyperlink>
    </w:p>
  </w:footnote>
  <w:footnote w:id="5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21:14.1–14.10</w:t>
      </w:r>
      <w:r>
        <w:rPr>
          <w:rStyle w:val="Hyperlink"/>
        </w:rPr>
        <w:fldChar w:fldCharType="end"/>
      </w:r>
      <w:r>
        <w:rPr/>
        <w:t xml:space="preserve"> </w:t>
      </w:r>
      <w:r>
        <w:rPr>
          <w:rStyle w:val="wwc-PTS-reference"/>
        </w:rPr>
        <w:t>M I 128</w:t>
      </w:r>
    </w:p>
  </w:footnote>
  <w:footnote w:id="502">
    <w:p>
      <w:pPr>
        <w:pStyle w:val="FootnoteText"/>
        <w:rPr/>
      </w:pPr>
      <w:r>
        <w:rPr>
          <w:rStyle w:val="FootnoteCharacters"/>
        </w:rPr>
        <w:footnoteRef/>
      </w:r>
      <w:r>
        <w:rPr/>
        <w:t xml:space="preserve">For example </w:t>
      </w:r>
      <w:r>
        <w:rPr>
          <w:rStyle w:val="wwc-sesam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r>
        <w:rPr/>
        <w:t xml:space="preserve">: “I think it would be wrong to interpret the sutta as saying that after his </w:t>
      </w:r>
      <w:r>
        <w:rPr>
          <w:rStyle w:val="wwc-pali"/>
        </w:rPr>
        <w:t>parinibbāna</w:t>
      </w:r>
      <w:r>
        <w:rPr/>
        <w:t xml:space="preserve"> the arahant’s consciousness persists in some mode that can only be described as unestablished. The present passage is clearly speaking of the arahant’s consciousness </w:t>
      </w:r>
      <w:r>
        <w:rPr>
          <w:rStyle w:val="Emphasis"/>
        </w:rPr>
        <w:t>while he is alive</w:t>
      </w:r>
      <w:r>
        <w:rPr/>
        <w:t>.” (emphasis in the original)</w:t>
      </w:r>
    </w:p>
  </w:footnote>
  <w:footnote w:id="503">
    <w:p>
      <w:pPr>
        <w:pStyle w:val="FootnoteText"/>
        <w:rPr/>
      </w:pPr>
      <w:r>
        <w:rPr>
          <w:rStyle w:val="FootnoteCharacters"/>
        </w:rPr>
        <w:footnoteRef/>
      </w:r>
      <w:r>
        <w:rPr>
          <w:rStyle w:val="wwc-sesame-zot-reference"/>
        </w:rPr>
        <w:t>Langer</w:t>
      </w:r>
      <w:r>
        <w:rPr/>
        <w:t xml:space="preserve"> p.34, translation mine</w:t>
      </w:r>
    </w:p>
  </w:footnote>
  <w:footnote w:id="504">
    <w:p>
      <w:pPr>
        <w:pStyle w:val="FootnoteText"/>
        <w:rPr/>
      </w:pPr>
      <w:r>
        <w:rPr>
          <w:rStyle w:val="FootnoteCharacters"/>
        </w:rPr>
        <w:footnoteRef/>
      </w:r>
      <w:r>
        <w:rPr>
          <w:rStyle w:val="wwc-sesame-zot-reference"/>
        </w:rPr>
        <w:t>Langer</w:t>
      </w:r>
      <w:r>
        <w:rPr/>
        <w:t xml:space="preserve"> p.34, translation mine</w:t>
      </w:r>
    </w:p>
  </w:footnote>
  <w:footnote w:id="505">
    <w:p>
      <w:pPr>
        <w:pStyle w:val="FootnoteText"/>
        <w:rPr/>
      </w:pPr>
      <w:r>
        <w:rPr>
          <w:rStyle w:val="FootnoteCharacters"/>
        </w:rPr>
        <w:footnoteRef/>
      </w:r>
      <w:r>
        <w:rPr/>
        <w:t>Instead of “</w:t>
      </w:r>
      <w:r>
        <w:rPr>
          <w:rStyle w:val="Emphasis"/>
        </w:rPr>
        <w:t>consciousness</w:t>
      </w:r>
      <w:r>
        <w:rPr/>
        <w:t xml:space="preserve"> is liberated” </w:t>
      </w:r>
      <w:r>
        <w:rPr>
          <w:rStyle w:val="wwc-sesame-zot-reference"/>
        </w:rPr>
        <w:t>Nyanaponika 1990</w:t>
      </w:r>
      <w:r>
        <w:rPr/>
        <w:t xml:space="preserve"> has “</w:t>
      </w:r>
      <w:r>
        <w:rPr>
          <w:rStyle w:val="wwc-german"/>
        </w:rPr>
        <w:t>ist man befreit</w:t>
      </w:r>
      <w:r>
        <w:rPr/>
        <w:t>” (one is liberated), Alfan “</w:t>
      </w:r>
      <w:r>
        <w:rPr>
          <w:rStyle w:val="wwc-italian"/>
        </w:rPr>
        <w:t>si è liberi</w:t>
      </w:r>
      <w:r>
        <w:rPr/>
        <w:t>” (one is liberated), and Baron “</w:t>
      </w:r>
      <w:r>
        <w:rPr>
          <w:rStyle w:val="wwc-spanish"/>
        </w:rPr>
        <w:t>sólo liberación</w:t>
      </w:r>
      <w:r>
        <w:rPr/>
        <w:t xml:space="preserve">” (there is just liberation). See also </w:t>
      </w:r>
      <w:r>
        <w:rPr>
          <w:rStyle w:val="internal-reference"/>
        </w:rPr>
        <w:t>note 279</w:t>
      </w:r>
    </w:p>
  </w:footnote>
  <w:footnote w:id="50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w:t>
      </w:r>
      <w:r>
        <w:rPr>
          <w:rStyle w:val="Hyperlink"/>
        </w:rPr>
        <w:fldChar w:fldCharType="end"/>
      </w:r>
    </w:p>
  </w:footnote>
  <w:footnote w:id="5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22.94</w:t>
      </w:r>
      <w:r>
        <w:rPr>
          <w:rStyle w:val="Hyperlink"/>
        </w:rPr>
        <w:fldChar w:fldCharType="end"/>
      </w:r>
    </w:p>
  </w:footnote>
  <w:footnote w:id="508">
    <w:p>
      <w:pPr>
        <w:pStyle w:val="FootnoteText"/>
        <w:rPr/>
      </w:pPr>
      <w:r>
        <w:rPr>
          <w:rStyle w:val="FootnoteCharacters"/>
        </w:rPr>
        <w:footnoteRef/>
      </w:r>
      <w:r>
        <w:rPr/>
        <w:t xml:space="preserve">The three terms are </w:t>
      </w:r>
      <w:r>
        <w:rPr>
          <w:rStyle w:val="wwc-pali"/>
        </w:rPr>
        <w:t>citta</w:t>
      </w:r>
      <w:r>
        <w:rPr/>
        <w:t xml:space="preserve">, </w:t>
      </w:r>
      <w:r>
        <w:rPr>
          <w:rStyle w:val="wwc-pali"/>
        </w:rPr>
        <w:t>mano</w:t>
      </w:r>
      <w:r>
        <w:rPr/>
        <w:t xml:space="preserve">, and </w:t>
      </w:r>
      <w:r>
        <w:rPr>
          <w:rStyle w:val="wwc-pali"/>
        </w:rPr>
        <w:t>viññāṇa</w:t>
      </w:r>
      <w:r>
        <w:rPr/>
        <w:t xml:space="preserve">. Normally I translate both </w:t>
      </w:r>
      <w:r>
        <w:rPr>
          <w:rStyle w:val="wwc-pali"/>
        </w:rPr>
        <w:t>citta</w:t>
      </w:r>
      <w:r>
        <w:rPr/>
        <w:t xml:space="preserve"> and </w:t>
      </w:r>
      <w:r>
        <w:rPr>
          <w:rStyle w:val="wwc-pali"/>
        </w:rPr>
        <w:t>mano</w:t>
      </w:r>
      <w:r>
        <w:rPr/>
        <w:t xml:space="preserve"> as ‘mind’, but here I was forced to translate one differently, and I chose ‘sentience’.</w:t>
      </w:r>
    </w:p>
  </w:footnote>
  <w:footnote w:id="50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12.61</w:t>
      </w:r>
      <w:r>
        <w:rPr>
          <w:rStyle w:val="Hyperlink"/>
        </w:rPr>
        <w:fldChar w:fldCharType="end"/>
      </w:r>
    </w:p>
  </w:footnote>
  <w:footnote w:id="510">
    <w:p>
      <w:pPr>
        <w:pStyle w:val="FootnoteText"/>
        <w:rPr/>
      </w:pPr>
      <w:r>
        <w:rPr>
          <w:rStyle w:val="FootnoteCharacters"/>
        </w:rPr>
        <w:footnoteRef/>
      </w:r>
      <w:r>
        <w:rPr>
          <w:rStyle w:val="wwc-pali"/>
        </w:rPr>
        <w:t>Ko nu kho phusati</w:t>
      </w:r>
      <w:r>
        <w:rPr/>
        <w:t>, more literally, “who touches?”</w:t>
      </w:r>
    </w:p>
  </w:footnote>
  <w:footnote w:id="5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12.12:3.1–4.10</w:t>
      </w:r>
      <w:r>
        <w:rPr>
          <w:rStyle w:val="Hyperlink"/>
        </w:rPr>
        <w:fldChar w:fldCharType="end"/>
      </w:r>
    </w:p>
  </w:footnote>
  <w:footnote w:id="512">
    <w:p>
      <w:pPr>
        <w:pStyle w:val="FootnoteText"/>
        <w:rPr/>
      </w:pPr>
      <w:r>
        <w:rPr>
          <w:rStyle w:val="FootnoteCharacters"/>
        </w:rPr>
        <w:footnoteRef/>
      </w:r>
      <w:r>
        <w:rPr/>
        <w:t xml:space="preserve">For example </w:t>
      </w:r>
      <w:r>
        <w:rPr>
          <w:rStyle w:val="wwc-sesame-zot-reference"/>
        </w:rPr>
        <w:t>Ñāṇavīra</w:t>
      </w:r>
      <w:r>
        <w:rPr/>
        <w:t xml:space="preserve"> p.84, </w:t>
      </w:r>
      <w:r>
        <w:rPr>
          <w:rStyle w:val="wwc-sesame-zot-reference"/>
        </w:rPr>
        <w:t>Cintita</w:t>
      </w:r>
      <w:r>
        <w:rPr/>
        <w:t xml:space="preserve"> p.31</w:t>
      </w:r>
    </w:p>
  </w:footnote>
  <w:footnote w:id="5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35.80</w:t>
      </w:r>
      <w:r>
        <w:rPr>
          <w:rStyle w:val="Hyperlink"/>
        </w:rPr>
        <w:fldChar w:fldCharType="end"/>
      </w:r>
    </w:p>
  </w:footnote>
  <w:footnote w:id="514">
    <w:p>
      <w:pPr>
        <w:pStyle w:val="FootnoteText"/>
        <w:rPr/>
      </w:pPr>
      <w:r>
        <w:rPr>
          <w:rStyle w:val="FootnoteCharacters"/>
        </w:rPr>
        <w:footnoteRef/>
      </w:r>
      <w:r>
        <w:rPr/>
        <w:t xml:space="preserve">For example </w:t>
      </w:r>
      <w:r>
        <w:rPr>
          <w:rStyle w:val="wwc-sesame-zot-reference"/>
        </w:rPr>
        <w:t>Ñāṇavīra</w:t>
      </w:r>
      <w:r>
        <w:rPr/>
        <w:t xml:space="preserve"> p.89, </w:t>
      </w:r>
      <w:r>
        <w:rPr>
          <w:rStyle w:val="wwc-sesame-zot-reference"/>
        </w:rPr>
        <w:t>Cintita</w:t>
      </w:r>
      <w:r>
        <w:rPr/>
        <w:t xml:space="preserve"> p.130, </w:t>
      </w:r>
      <w:r>
        <w:rPr>
          <w:rStyle w:val="wwc-sesame-zot-reference"/>
        </w:rPr>
        <w:t>Amaro</w:t>
      </w:r>
      <w:r>
        <w:rPr/>
        <w:t xml:space="preserve"> p.37</w:t>
      </w:r>
    </w:p>
  </w:footnote>
  <w:footnote w:id="515">
    <w:p>
      <w:pPr>
        <w:pStyle w:val="FootnoteText"/>
        <w:rPr/>
      </w:pPr>
      <w:r>
        <w:rPr>
          <w:rStyle w:val="FootnoteCharacters"/>
        </w:rPr>
        <w:footnoteRef/>
      </w:r>
      <w:r>
        <w:rPr>
          <w:rStyle w:val="wwc-sesame-zot-reference"/>
        </w:rPr>
        <w:t>Anālayo 2021</w:t>
      </w:r>
      <w:r>
        <w:rPr/>
        <w:t xml:space="preserve"> p.109</w:t>
      </w:r>
    </w:p>
  </w:footnote>
  <w:footnote w:id="516">
    <w:p>
      <w:pPr>
        <w:pStyle w:val="FootnoteText"/>
        <w:rPr/>
      </w:pPr>
      <w:r>
        <w:rPr>
          <w:rStyle w:val="FootnoteCharacters"/>
        </w:rPr>
        <w:footnoteRef/>
      </w:r>
      <w:r>
        <w:rPr/>
        <w:t>§105, §106</w:t>
      </w:r>
    </w:p>
  </w:footnote>
  <w:footnote w:id="517">
    <w:p>
      <w:pPr>
        <w:pStyle w:val="FootnoteText"/>
        <w:rPr/>
      </w:pPr>
      <w:r>
        <w:rPr>
          <w:rStyle w:val="FootnoteCharacters"/>
        </w:rPr>
        <w:footnoteRef/>
      </w:r>
      <w:r>
        <w:rPr/>
        <w:t xml:space="preserve">See also </w:t>
      </w:r>
      <w:r>
        <w:rPr>
          <w:rStyle w:val="wwc-sesame-zot-reference"/>
        </w:rPr>
        <w:t>Anālayo 2021</w:t>
      </w:r>
      <w:r>
        <w:rPr/>
        <w:t xml:space="preserve"> p.109: “The relationship between the senses and their objects, which represent the basic duality of ordinary experience in the early discourses, remains the same after the attainment of full awakening”.</w:t>
      </w:r>
    </w:p>
  </w:footnote>
  <w:footnote w:id="5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22.95:6.1–6.2</w:t>
      </w:r>
      <w:r>
        <w:rPr>
          <w:rStyle w:val="Hyperlink"/>
        </w:rPr>
        <w:fldChar w:fldCharType="end"/>
      </w:r>
    </w:p>
  </w:footnote>
  <w:footnote w:id="519">
    <w:p>
      <w:pPr>
        <w:pStyle w:val="FootnoteText"/>
        <w:rPr/>
      </w:pPr>
      <w:r>
        <w:rPr>
          <w:rStyle w:val="FootnoteCharacters"/>
        </w:rPr>
        <w:footnoteRef/>
      </w:r>
      <w:r>
        <w:rPr/>
        <w:t xml:space="preserve">For example </w:t>
      </w:r>
      <w:r>
        <w:rPr>
          <w:rStyle w:val="wwc-sesame-zot-reference"/>
        </w:rPr>
        <w:t>Ñāṇananda 2015</w:t>
      </w:r>
      <w:r>
        <w:rPr/>
        <w:t xml:space="preserve"> p.218: “The magical illusion created by consciousness […]”, further detailed in </w:t>
      </w:r>
      <w:r>
        <w:rPr>
          <w:rStyle w:val="wwc-sesame-zot-reference"/>
        </w:rPr>
        <w:t>Ñāṇananda 1974/2007</w:t>
      </w:r>
    </w:p>
  </w:footnote>
  <w:footnote w:id="5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72:20.1–20.20</w:t>
      </w:r>
      <w:r>
        <w:rPr>
          <w:rStyle w:val="Hyperlink"/>
        </w:rPr>
        <w:fldChar w:fldCharType="end"/>
      </w:r>
      <w:r>
        <w:rPr/>
        <w:t xml:space="preserve"> </w:t>
      </w:r>
      <w:r>
        <w:rPr>
          <w:rStyle w:val="wwc-PTS-reference"/>
        </w:rPr>
        <w:t>M I 487</w:t>
      </w:r>
    </w:p>
  </w:footnote>
  <w:footnote w:id="521">
    <w:p>
      <w:pPr>
        <w:pStyle w:val="FootnoteText"/>
        <w:rPr/>
      </w:pPr>
      <w:r>
        <w:rPr>
          <w:rStyle w:val="FootnoteCharacters"/>
        </w:rPr>
        <w:footnoteRef/>
      </w:r>
      <w:r>
        <w:rPr/>
        <w:t xml:space="preserve">See also </w:t>
      </w:r>
      <w:r>
        <w:rPr>
          <w:rStyle w:val="wwc-sesame-zot-reference"/>
        </w:rPr>
        <w:t>Kalupahana 1976</w:t>
      </w:r>
      <w:r>
        <w:rPr/>
        <w:t xml:space="preserve"> p.84. Contra e.g. </w:t>
      </w:r>
      <w:r>
        <w:rPr>
          <w:rStyle w:val="wwc-sesame-zot-reference"/>
        </w:rPr>
        <w:t>Johansson</w:t>
      </w:r>
      <w:r>
        <w:rPr/>
        <w:t xml:space="preserve"> p.61</w:t>
      </w:r>
    </w:p>
  </w:footnote>
  <w:footnote w:id="52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4.23</w:t>
      </w:r>
      <w:r>
        <w:rPr>
          <w:rStyle w:val="Hyperlink"/>
        </w:rPr>
        <w:fldChar w:fldCharType="end"/>
      </w:r>
    </w:p>
  </w:footnote>
  <w:footnote w:id="523">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Snp 3.2</w:t>
      </w:r>
      <w:r>
        <w:rPr>
          <w:rStyle w:val="Hyperlink"/>
        </w:rPr>
        <w:fldChar w:fldCharType="end"/>
      </w:r>
    </w:p>
  </w:footnote>
  <w:footnote w:id="524">
    <w:p>
      <w:pPr>
        <w:pStyle w:val="FootnoteText"/>
        <w:rPr/>
      </w:pPr>
      <w:r>
        <w:rPr>
          <w:rStyle w:val="FootnoteCharacters"/>
        </w:rPr>
        <w:footnoteRef/>
      </w:r>
      <w:hyperlink r:id="rId43">
        <w:r>
          <w:rPr>
            <w:rStyle w:val="Hyperlink"/>
          </w:rPr>
          <w:t>SĀ 1265</w:t>
        </w:r>
      </w:hyperlink>
      <w:r>
        <w:rPr/>
        <w:t xml:space="preserve">, translation by </w:t>
      </w:r>
      <w:r>
        <w:rPr>
          <w:rStyle w:val="wwc-sesame-zot-reference"/>
        </w:rPr>
        <w:t>Anālayo 2015</w:t>
      </w:r>
      <w:r>
        <w:rPr/>
        <w:t xml:space="preserve"> p.243, parallel to </w:t>
      </w:r>
      <w:r>
        <w:fldChar w:fldCharType="begin"/>
      </w:r>
      <w:r>
        <w:rPr>
          <w:rStyle w:val="Hyperlink"/>
        </w:rPr>
        <w:instrText xml:space="preserve"> HYPERLINK "https://suttacentral.net/XXX/en/sujato" \l "YYY"</w:instrText>
      </w:r>
      <w:r>
        <w:rPr>
          <w:rStyle w:val="Hyperlink"/>
        </w:rPr>
        <w:fldChar w:fldCharType="separate"/>
      </w:r>
      <w:r>
        <w:rPr>
          <w:rStyle w:val="Hyperlink"/>
        </w:rPr>
        <w:t>SN 22.87</w:t>
      </w:r>
      <w:r>
        <w:rPr>
          <w:rStyle w:val="Hyperlink"/>
        </w:rPr>
        <w:fldChar w:fldCharType="end"/>
      </w:r>
    </w:p>
  </w:footnote>
  <w:footnote w:id="525">
    <w:p>
      <w:pPr>
        <w:pStyle w:val="FootnoteText"/>
        <w:rPr/>
      </w:pPr>
      <w:r>
        <w:rPr>
          <w:rStyle w:val="FootnoteCharacters"/>
        </w:rPr>
        <w:footnoteRef/>
      </w:r>
      <w:hyperlink r:id="rId44">
        <w:r>
          <w:rPr>
            <w:rStyle w:val="Hyperlink"/>
          </w:rPr>
          <w:t>EĀ 26.10</w:t>
        </w:r>
      </w:hyperlink>
      <w:r>
        <w:rPr/>
        <w:t xml:space="preserve">. Also translated by </w:t>
      </w:r>
      <w:r>
        <w:rPr>
          <w:rStyle w:val="wwc-sesame-zot-reference"/>
        </w:rPr>
        <w:t>Anālayo 2015</w:t>
      </w:r>
      <w:r>
        <w:rPr/>
        <w:t xml:space="preserve"> p.253</w:t>
      </w:r>
    </w:p>
  </w:footnote>
  <w:footnote w:id="526">
    <w:p>
      <w:pPr>
        <w:pStyle w:val="FootnoteText"/>
        <w:rPr/>
      </w:pPr>
      <w:r>
        <w:rPr>
          <w:rStyle w:val="FootnoteCharacters"/>
        </w:rPr>
        <w:footnoteRef/>
      </w:r>
      <w:r>
        <w:rPr/>
        <w:t xml:space="preserve">See also </w:t>
      </w:r>
      <w:r>
        <w:rPr>
          <w:rStyle w:val="wwc-sesame-zot-reference"/>
        </w:rPr>
        <w:t>Anālayo 2018</w:t>
      </w:r>
      <w:r>
        <w:rPr/>
        <w:t xml:space="preserve"> p.27: “The parallel versions agree in referring to what could have been reborn as his ‘consciousness’.”</w:t>
      </w:r>
    </w:p>
  </w:footnote>
  <w:footnote w:id="527">
    <w:p>
      <w:pPr>
        <w:pStyle w:val="FootnoteText"/>
        <w:rPr/>
      </w:pPr>
      <w:r>
        <w:rPr>
          <w:rStyle w:val="FootnoteCharacters"/>
        </w:rPr>
        <w:footnoteRef/>
      </w:r>
      <w:r>
        <w:rPr/>
        <w:t xml:space="preserve">See also </w:t>
      </w:r>
      <w:r>
        <w:rPr>
          <w:rStyle w:val="wwc-sesame-zot-reference"/>
        </w:rPr>
        <w:t>Anālayo 2015</w:t>
      </w:r>
      <w:r>
        <w:rPr/>
        <w:t xml:space="preserve"> p.247</w:t>
      </w:r>
    </w:p>
  </w:footnote>
  <w:footnote w:id="52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2.48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120:37.8</w:t>
      </w:r>
      <w:r>
        <w:rPr>
          <w:rStyle w:val="Hyperlink"/>
        </w:rPr>
        <w:fldChar w:fldCharType="end"/>
      </w:r>
      <w:r>
        <w:rPr/>
        <w:t xml:space="preserve"> </w:t>
      </w:r>
      <w:r>
        <w:rPr>
          <w:rStyle w:val="wwc-PTS-reference"/>
        </w:rPr>
        <w:t>M III 103</w:t>
      </w:r>
    </w:p>
  </w:footnote>
  <w:footnote w:id="5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98:11.101–11.104</w:t>
      </w:r>
      <w:r>
        <w:rPr>
          <w:rStyle w:val="Hyperlink"/>
        </w:rPr>
        <w:fldChar w:fldCharType="end"/>
      </w:r>
      <w:r>
        <w:rPr/>
        <w:t xml:space="preserve"> </w:t>
      </w:r>
      <w:r>
        <w:rPr>
          <w:rStyle w:val="wwc-PTS-reference"/>
        </w:rPr>
        <w:t>M II 122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3.9:56.1–56.4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420</w:t>
      </w:r>
      <w:r>
        <w:rPr>
          <w:rStyle w:val="Hyperlink"/>
        </w:rPr>
        <w:fldChar w:fldCharType="end"/>
      </w:r>
    </w:p>
  </w:footnote>
  <w:footnote w:id="53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3.12:18.1–20.4</w:t>
      </w:r>
      <w:r>
        <w:rPr>
          <w:rStyle w:val="Hyperlink"/>
        </w:rPr>
        <w:fldChar w:fldCharType="end"/>
      </w:r>
    </w:p>
  </w:footnote>
  <w:footnote w:id="531">
    <w:p>
      <w:pPr>
        <w:pStyle w:val="FootnoteText"/>
        <w:rPr/>
      </w:pPr>
      <w:r>
        <w:rPr>
          <w:rStyle w:val="FootnoteCharacters"/>
        </w:rPr>
        <w:footnoteRef/>
      </w:r>
      <w:hyperlink r:id="rId45">
        <w:r>
          <w:rPr>
            <w:rStyle w:val="Hyperlink"/>
          </w:rPr>
          <w:t>SĀ</w:t>
        </w:r>
        <w:r>
          <w:rPr>
            <w:rStyle w:val="Hyperlink"/>
            <w:vertAlign w:val="superscript"/>
          </w:rPr>
          <w:t>2</w:t>
        </w:r>
        <w:r>
          <w:rPr>
            <w:rStyle w:val="Hyperlink"/>
          </w:rPr>
          <w:t xml:space="preserve"> 30</w:t>
        </w:r>
      </w:hyperlink>
      <w:r>
        <w:rPr/>
        <w:t xml:space="preserve">, also translated by </w:t>
      </w:r>
      <w:r>
        <w:rPr>
          <w:rStyle w:val="wwc-sesame-zot-reference"/>
        </w:rPr>
        <w:t>Bingenheimer</w:t>
      </w:r>
      <w:r>
        <w:rPr/>
        <w:t xml:space="preserve"> p.141</w:t>
      </w:r>
    </w:p>
  </w:footnote>
  <w:footnote w:id="532">
    <w:p>
      <w:pPr>
        <w:pStyle w:val="FootnoteText"/>
        <w:rPr/>
      </w:pPr>
      <w:r>
        <w:rPr>
          <w:rStyle w:val="FootnoteCharacters"/>
        </w:rPr>
        <w:footnoteRef/>
      </w:r>
      <w:r>
        <w:rPr>
          <w:rStyle w:val="wwc-sesame-zot-reference"/>
        </w:rPr>
        <w:t>Thomas 1935</w:t>
      </w:r>
      <w:r>
        <w:rPr/>
        <w:t xml:space="preserve"> argues the first part of the compound </w:t>
      </w:r>
      <w:r>
        <w:rPr>
          <w:rStyle w:val="wwc-pali"/>
        </w:rPr>
        <w:t>tathāgata</w:t>
      </w:r>
      <w:r>
        <w:rPr/>
        <w:t xml:space="preserve"> is likely </w:t>
      </w:r>
      <w:r>
        <w:rPr>
          <w:rStyle w:val="wwc-pali"/>
        </w:rPr>
        <w:t>tatha</w:t>
      </w:r>
      <w:r>
        <w:rPr/>
        <w:t xml:space="preserve"> (‘truth’), not </w:t>
      </w:r>
      <w:r>
        <w:rPr>
          <w:rStyle w:val="wwc-pali"/>
        </w:rPr>
        <w:t>tathā</w:t>
      </w:r>
      <w:r>
        <w:rPr/>
        <w:t xml:space="preserve"> (‘thus’). </w:t>
      </w:r>
      <w:r>
        <w:rPr>
          <w:rStyle w:val="wwc-sesame-zot-reference"/>
        </w:rPr>
        <w:t>PED</w:t>
      </w:r>
      <w:r>
        <w:rPr/>
        <w:t xml:space="preserve"> includes for </w:t>
      </w:r>
      <w:r>
        <w:rPr>
          <w:rStyle w:val="wwc-pali"/>
        </w:rPr>
        <w:t>tathāgata</w:t>
      </w:r>
      <w:r>
        <w:rPr/>
        <w:t xml:space="preserve"> “he who has won through to the truth” and </w:t>
      </w:r>
      <w:r>
        <w:rPr>
          <w:rStyle w:val="wwc-sesame-zot-reference"/>
        </w:rPr>
        <w:t>DPD</w:t>
      </w:r>
      <w:r>
        <w:rPr/>
        <w:t xml:space="preserve"> “arrived at the truth”.</w:t>
      </w:r>
    </w:p>
  </w:footnote>
  <w:footnote w:id="5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22:36.1–37.6</w:t>
      </w:r>
      <w:r>
        <w:rPr>
          <w:rStyle w:val="Hyperlink"/>
        </w:rPr>
        <w:fldChar w:fldCharType="end"/>
      </w:r>
      <w:r>
        <w:rPr/>
        <w:t xml:space="preserve"> </w:t>
      </w:r>
      <w:r>
        <w:rPr>
          <w:rStyle w:val="wwc-PTS-reference"/>
        </w:rPr>
        <w:t>M I 140</w:t>
      </w:r>
    </w:p>
  </w:footnote>
  <w:footnote w:id="534">
    <w:p>
      <w:pPr>
        <w:pStyle w:val="FootnoteText"/>
        <w:rPr/>
      </w:pPr>
      <w:r>
        <w:rPr>
          <w:rStyle w:val="FootnoteCharacters"/>
        </w:rPr>
        <w:footnoteRef/>
      </w:r>
      <w:r>
        <w:rPr>
          <w:rStyle w:val="wwc-pali"/>
        </w:rPr>
        <w:t>‘</w:t>
      </w:r>
      <w:r>
        <w:rPr>
          <w:rStyle w:val="wwc-pali"/>
        </w:rPr>
        <w:t>Diṭṭhevāhaṁ, bhikkhave, dhamme tathāgataṁ ananuvijjo’ti vadāmi</w:t>
      </w:r>
      <w:r>
        <w:rPr/>
        <w:t>, ‘even while alive there is no truth</w:t>
        <w:softHyphen/>
        <w:t xml:space="preserve">finder to be found, I tell you’. The most literal meaning of </w:t>
      </w:r>
      <w:r>
        <w:rPr>
          <w:rStyle w:val="wwc-pali"/>
        </w:rPr>
        <w:t>ananuvijja</w:t>
      </w:r>
      <w:r>
        <w:rPr/>
        <w:t xml:space="preserve"> is ‘not found’, but the verb </w:t>
      </w:r>
      <w:r>
        <w:rPr>
          <w:rStyle w:val="wwc-pali"/>
        </w:rPr>
        <w:t>vijjati</w:t>
      </w:r>
      <w:r>
        <w:rPr/>
        <w:t xml:space="preserve">, as </w:t>
      </w:r>
      <w:r>
        <w:rPr>
          <w:rStyle w:val="wwc-sesame-zot-reference"/>
        </w:rPr>
        <w:t>DPD</w:t>
      </w:r>
      <w:r>
        <w:rPr/>
        <w:t xml:space="preserve"> and </w:t>
      </w:r>
      <w:r>
        <w:rPr>
          <w:rStyle w:val="wwc-sesame-zot-reference"/>
        </w:rPr>
        <w:t>Gombrich 2009</w:t>
      </w:r>
      <w:r>
        <w:rPr/>
        <w:t xml:space="preserve"> p.139 say, can also mean ‘exists’. To “not find” a truth</w:t>
        <w:softHyphen/>
        <w:t>finder therefore means the truth</w:t>
        <w:softHyphen/>
        <w:t xml:space="preserve">finder doesn’t actually exist. I use the expression ‘there is no … to be found’ to include both meanings of the verb. For a similar idea see </w:t>
      </w:r>
      <w:r>
        <w:fldChar w:fldCharType="begin"/>
      </w:r>
      <w:r>
        <w:rPr>
          <w:rStyle w:val="Hyperlink"/>
        </w:rPr>
        <w:instrText xml:space="preserve"> HYPERLINK "https://suttacentral.net/XXX/en/sujato" \l "YYY"</w:instrText>
      </w:r>
      <w:r>
        <w:rPr>
          <w:rStyle w:val="Hyperlink"/>
        </w:rPr>
        <w:fldChar w:fldCharType="separate"/>
      </w:r>
      <w:r>
        <w:rPr>
          <w:rStyle w:val="Hyperlink"/>
        </w:rPr>
        <w:t>AN 5.167:9.8–9.10</w:t>
      </w:r>
      <w:r>
        <w:rPr>
          <w:rStyle w:val="Hyperlink"/>
        </w:rPr>
        <w:fldChar w:fldCharType="end"/>
      </w:r>
      <w:r>
        <w:rPr/>
        <w:t>: “If I know that there is no such quality in me, I tell him: ‘It doesn’t exist; this quality isn’t found in me.’”</w:t>
      </w:r>
    </w:p>
  </w:footnote>
  <w:footnote w:id="535">
    <w:p>
      <w:pPr>
        <w:pStyle w:val="FootnoteText"/>
        <w:rPr/>
      </w:pPr>
      <w:r>
        <w:rPr>
          <w:rStyle w:val="FootnoteCharacters"/>
        </w:rPr>
        <w:footnoteRef/>
      </w:r>
      <w:r>
        <w:rPr>
          <w:rStyle w:val="wwc-sesame"/>
        </w:rPr>
        <w:t>Ñāṇamoli 1995 n.266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MN 22:36.4</w:t>
      </w:r>
      <w:r>
        <w:rPr>
          <w:rStyle w:val="Hyperlink"/>
        </w:rPr>
        <w:fldChar w:fldCharType="end"/>
      </w:r>
      <w:r>
        <w:rPr/>
        <w:t xml:space="preserve">. See also </w:t>
      </w:r>
      <w:r>
        <w:rPr>
          <w:rStyle w:val="wwc-sesame-zot-reference"/>
        </w:rPr>
        <w:t>Bodhi 1984</w:t>
      </w:r>
      <w:r>
        <w:rPr/>
        <w:t xml:space="preserve"> p.49: “The bhikkhu knows that ‘Tathāgata’ is just a convenient term for referring to a conglomerate process of impermanent, empty phenomena which are suffering in the deepest sense.”</w:t>
      </w:r>
    </w:p>
  </w:footnote>
  <w:footnote w:id="536">
    <w:p>
      <w:pPr>
        <w:pStyle w:val="FootnoteText"/>
        <w:rPr/>
      </w:pPr>
      <w:r>
        <w:rPr>
          <w:rStyle w:val="FootnoteCharacters"/>
        </w:rPr>
        <w:footnoteRef/>
      </w:r>
      <w:r>
        <w:rPr/>
        <w:t xml:space="preserve">See for example </w:t>
      </w:r>
      <w:r>
        <w:rPr>
          <w:rStyle w:val="wwc-sesame-zot-reference"/>
        </w:rPr>
        <w:t>Nyanaponika 1959</w:t>
      </w:r>
      <w:r>
        <w:rPr/>
        <w:t xml:space="preserve"> p.12, </w:t>
      </w:r>
      <w:r>
        <w:rPr>
          <w:rStyle w:val="wwc-sesame-zot-reference"/>
        </w:rPr>
        <w:t>Warder</w:t>
      </w:r>
      <w:r>
        <w:rPr/>
        <w:t xml:space="preserve"> 1970 p.123, </w:t>
      </w:r>
      <w:r>
        <w:rPr>
          <w:rStyle w:val="wwc-sesame-zot-reference"/>
        </w:rPr>
        <w:t>Ñāṇananda 1971</w:t>
      </w:r>
      <w:r>
        <w:rPr/>
        <w:t xml:space="preserve"> p.116, </w:t>
      </w:r>
      <w:r>
        <w:rPr>
          <w:rStyle w:val="wwc-sesame-zot-reference"/>
        </w:rPr>
        <w:t>Kalupahana 1976</w:t>
      </w:r>
      <w:r>
        <w:rPr/>
        <w:t xml:space="preserve"> p.84, </w:t>
      </w:r>
      <w:r>
        <w:rPr>
          <w:rStyle w:val="wwc-sesame-zot-reference"/>
        </w:rPr>
        <w:t>Collins</w:t>
      </w:r>
      <w:r>
        <w:rPr/>
        <w:t xml:space="preserve"> p.132, </w:t>
      </w:r>
      <w:r>
        <w:rPr>
          <w:rStyle w:val="wwc-sesame-zot-reference"/>
        </w:rPr>
        <w:t>Mahasi</w:t>
      </w:r>
      <w:r>
        <w:rPr/>
        <w:t xml:space="preserve"> p.121, </w:t>
      </w:r>
      <w:r>
        <w:rPr>
          <w:rStyle w:val="wwc-sesame-zot-reference"/>
        </w:rPr>
        <w:t>Bodhi 1984</w:t>
      </w:r>
      <w:r>
        <w:rPr/>
        <w:t xml:space="preserve"> p.49, </w:t>
      </w:r>
      <w:r>
        <w:rPr>
          <w:rStyle w:val="wwc-sesame-zot-reference"/>
        </w:rPr>
        <w:t>Anālayo 2021</w:t>
      </w:r>
      <w:r>
        <w:rPr/>
        <w:t xml:space="preserve"> p.107, </w:t>
      </w:r>
      <w:r>
        <w:rPr>
          <w:rStyle w:val="wwc-sesame-zot-reference"/>
        </w:rPr>
        <w:t>Anālayo 2022</w:t>
      </w:r>
      <w:r>
        <w:rPr/>
        <w:t xml:space="preserve"> p.1412</w:t>
      </w:r>
    </w:p>
  </w:footnote>
  <w:footnote w:id="537">
    <w:p>
      <w:pPr>
        <w:pStyle w:val="FootnoteText"/>
        <w:rPr/>
      </w:pPr>
      <w:r>
        <w:rPr>
          <w:rStyle w:val="FootnoteCharacters"/>
        </w:rPr>
        <w:footnoteRef/>
      </w:r>
      <w:r>
        <w:rPr>
          <w:rStyle w:val="wwc-sesame-zot-reference"/>
        </w:rPr>
        <w:t>Bodhi 1984</w:t>
      </w:r>
      <w:r>
        <w:rPr/>
        <w:t xml:space="preserve"> p.49</w:t>
      </w:r>
    </w:p>
  </w:footnote>
  <w:footnote w:id="5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4.16</w:t>
      </w:r>
      <w:r>
        <w:rPr>
          <w:rStyle w:val="Hyperlink"/>
        </w:rPr>
        <w:fldChar w:fldCharType="end"/>
      </w:r>
    </w:p>
  </w:footnote>
  <w:footnote w:id="539">
    <w:p>
      <w:pPr>
        <w:pStyle w:val="FootnoteText"/>
        <w:rPr/>
      </w:pPr>
      <w:r>
        <w:rPr>
          <w:rStyle w:val="FootnoteCharacters"/>
        </w:rPr>
        <w:footnoteRef/>
      </w:r>
      <w:r>
        <w:rPr/>
        <w:t xml:space="preserve">For example </w:t>
      </w:r>
      <w:r>
        <w:rPr>
          <w:rStyle w:val="wwc-sesame-zot-reference"/>
        </w:rPr>
        <w:t>Harvey 1995</w:t>
      </w:r>
      <w:r>
        <w:rPr/>
        <w:t xml:space="preserve"> p.230, </w:t>
      </w:r>
      <w:r>
        <w:rPr>
          <w:rStyle w:val="wwc-sesame-zot-reference"/>
        </w:rPr>
        <w:t>Pasanno</w:t>
      </w:r>
      <w:r>
        <w:rPr/>
        <w:t xml:space="preserve"> p.170, </w:t>
      </w:r>
      <w:r>
        <w:rPr>
          <w:rStyle w:val="wwc-sesame-zot-reference"/>
        </w:rPr>
        <w:t>Ṭhānissaro 2008a</w:t>
      </w:r>
      <w:r>
        <w:rPr/>
        <w:t xml:space="preserve"> p.121ff</w:t>
      </w:r>
    </w:p>
  </w:footnote>
  <w:footnote w:id="5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45.150</w:t>
      </w:r>
      <w:r>
        <w:rPr>
          <w:rStyle w:val="Hyperlink"/>
        </w:rPr>
        <w:fldChar w:fldCharType="end"/>
      </w:r>
    </w:p>
  </w:footnote>
  <w:footnote w:id="5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1.20:25.1–25.6</w:t>
      </w:r>
      <w:r>
        <w:rPr>
          <w:rStyle w:val="Hyperlink"/>
        </w:rPr>
        <w:fldChar w:fldCharType="end"/>
      </w:r>
    </w:p>
  </w:footnote>
  <w:footnote w:id="542">
    <w:p>
      <w:pPr>
        <w:pStyle w:val="FootnoteText"/>
        <w:rPr/>
      </w:pPr>
      <w:r>
        <w:rPr>
          <w:rStyle w:val="FootnoteCharacters"/>
        </w:rPr>
        <w:footnoteRef/>
      </w:r>
      <w:r>
        <w:rPr/>
        <w:t xml:space="preserve">See also </w:t>
      </w:r>
      <w:r>
        <w:rPr>
          <w:rStyle w:val="wwc-sesame"/>
        </w:rPr>
        <w:t>Bodhi 2000 n.38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1.20:25.1</w:t>
      </w:r>
      <w:r>
        <w:rPr>
          <w:rStyle w:val="Hyperlink"/>
        </w:rPr>
        <w:fldChar w:fldCharType="end"/>
      </w:r>
      <w:r>
        <w:rPr/>
        <w:t xml:space="preserve">: “[These lines] seem to be describing the arahant after his </w:t>
      </w:r>
      <w:r>
        <w:rPr>
          <w:rStyle w:val="wwc-pali"/>
        </w:rPr>
        <w:t>parinibbāna</w:t>
      </w:r>
      <w:r>
        <w:rPr/>
        <w:t xml:space="preserve">.” </w:t>
      </w:r>
      <w:r>
        <w:rPr>
          <w:rStyle w:val="wwc-sesame-zot-reference"/>
        </w:rPr>
        <w:t>Olalde 2014</w:t>
      </w:r>
      <w:r>
        <w:rPr/>
        <w:t xml:space="preserve"> p.119 (translation mine): “That the person in question cannot be found anywhere (seemingly after his death) refers to the fact he reached final nibbāna.”</w:t>
      </w:r>
    </w:p>
  </w:footnote>
  <w:footnote w:id="54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2.12:14.1–14.5</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Thag 21.1:67.1–67.5</w:t>
      </w:r>
      <w:r>
        <w:rPr>
          <w:rStyle w:val="Hyperlink"/>
        </w:rPr>
        <w:fldChar w:fldCharType="end"/>
      </w:r>
    </w:p>
  </w:footnote>
  <w:footnote w:id="544">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4.1:2.1</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6.2:7.1</w:t>
      </w:r>
      <w:r>
        <w:rPr>
          <w:rStyle w:val="Hyperlink"/>
        </w:rPr>
        <w:fldChar w:fldCharType="end"/>
      </w:r>
    </w:p>
  </w:footnote>
  <w:footnote w:id="545">
    <w:p>
      <w:pPr>
        <w:pStyle w:val="FootnoteText"/>
        <w:rPr/>
      </w:pPr>
      <w:r>
        <w:rPr>
          <w:rStyle w:val="FootnoteCharacters"/>
        </w:rPr>
        <w:footnoteRef/>
      </w:r>
      <w:hyperlink r:id="rId46">
        <w:r>
          <w:rPr>
            <w:rStyle w:val="Hyperlink"/>
          </w:rPr>
          <w:t>MĀ 62</w:t>
        </w:r>
      </w:hyperlink>
      <w:r>
        <w:rPr/>
        <w:t xml:space="preserve">, translation </w:t>
      </w:r>
      <w:r>
        <w:rPr>
          <w:rStyle w:val="wwc-sesame-zot-reference"/>
        </w:rPr>
        <w:t>Anālayo 2013</w:t>
      </w:r>
      <w:r>
        <w:rPr/>
        <w:t>, brackets in the original</w:t>
      </w:r>
    </w:p>
  </w:footnote>
  <w:footnote w:id="5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5.10</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p>
  </w:footnote>
  <w:footnote w:id="5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22.85:5.6–14.1</w:t>
      </w:r>
      <w:r>
        <w:rPr>
          <w:rStyle w:val="Hyperlink"/>
        </w:rPr>
        <w:fldChar w:fldCharType="end"/>
      </w:r>
    </w:p>
  </w:footnote>
  <w:footnote w:id="54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1.49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3.69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28</w:t>
      </w:r>
      <w:r>
        <w:rPr>
          <w:rStyle w:val="Hyperlink"/>
        </w:rPr>
        <w:fldChar w:fldCharType="end"/>
      </w:r>
      <w:r>
        <w:rPr/>
        <w:t>/</w:t>
      </w:r>
      <w:r>
        <w:fldChar w:fldCharType="begin"/>
      </w:r>
      <w:r>
        <w:rPr>
          <w:rStyle w:val="Hyperlink"/>
          <w:lang w:val="en-US"/>
        </w:rPr>
        <w:instrText xml:space="preserve"> HYPERLINK "https://suttacentral.net/XXX/en/sujato" \l "YYY"</w:instrText>
      </w:r>
      <w:r>
        <w:rPr>
          <w:rStyle w:val="Hyperlink"/>
          <w:lang w:val="en-US"/>
        </w:rPr>
        <w:fldChar w:fldCharType="separate"/>
      </w:r>
      <w:r>
        <w:rPr>
          <w:rStyle w:val="Hyperlink"/>
          <w:lang w:val="en-US"/>
        </w:rPr>
        <w:t>Iti 29</w:t>
      </w:r>
      <w:r>
        <w:rPr>
          <w:rStyle w:val="Hyperlink"/>
          <w:lang w:val="en-US"/>
        </w:rPr>
        <w:fldChar w:fldCharType="end"/>
      </w:r>
      <w:r>
        <w:rPr>
          <w:lang w:val="en-US"/>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1.7</w:t>
      </w:r>
      <w:r>
        <w:rPr>
          <w:rStyle w:val="Hyperlink"/>
        </w:rPr>
        <w:fldChar w:fldCharType="end"/>
      </w:r>
      <w:r>
        <w:rPr/>
        <w:t>, etc.</w:t>
      </w:r>
    </w:p>
  </w:footnote>
  <w:footnote w:id="54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22.86:12.1–13.2</w:t>
      </w:r>
      <w:r>
        <w:rPr>
          <w:rStyle w:val="Hyperlink"/>
        </w:rPr>
        <w:fldChar w:fldCharType="end"/>
      </w:r>
    </w:p>
  </w:footnote>
  <w:footnote w:id="550">
    <w:p>
      <w:pPr>
        <w:pStyle w:val="FootnoteText"/>
        <w:rPr/>
      </w:pPr>
      <w:r>
        <w:rPr>
          <w:rStyle w:val="FootnoteCharacters"/>
        </w:rPr>
        <w:footnoteRef/>
      </w:r>
      <w:r>
        <w:rPr/>
        <w:t xml:space="preserve">See also </w:t>
      </w:r>
      <w:r>
        <w:rPr>
          <w:rStyle w:val="wwc-sesame-zot-reference"/>
        </w:rPr>
        <w:t>Siderits</w:t>
      </w:r>
      <w:r>
        <w:rPr/>
        <w:t xml:space="preserve"> Section 4.1.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44.7</w:t>
      </w:r>
      <w:r>
        <w:rPr>
          <w:rStyle w:val="Hyperlink"/>
        </w:rPr>
        <w:fldChar w:fldCharType="end"/>
      </w:r>
    </w:p>
  </w:footnote>
  <w:footnote w:id="55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AN 7.54:4.1–4.6</w:t>
      </w:r>
      <w:r>
        <w:rPr>
          <w:rStyle w:val="Hyperlink"/>
        </w:rPr>
        <w:fldChar w:fldCharType="end"/>
      </w:r>
    </w:p>
  </w:footnote>
  <w:footnote w:id="5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143</w:t>
      </w:r>
      <w:r>
        <w:rPr>
          <w:rStyle w:val="Hyperlink"/>
        </w:rPr>
        <w:fldChar w:fldCharType="end"/>
      </w:r>
    </w:p>
  </w:footnote>
  <w:footnote w:id="5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p>
  </w:footnote>
  <w:footnote w:id="5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106:10.10, 12.6</w:t>
      </w:r>
      <w:r>
        <w:rPr>
          <w:rStyle w:val="Hyperlink"/>
        </w:rPr>
        <w:fldChar w:fldCharType="end"/>
      </w:r>
      <w:r>
        <w:rPr/>
        <w:t xml:space="preserve"> </w:t>
      </w:r>
      <w:r>
        <w:rPr>
          <w:rStyle w:val="wwc-PTS-reference"/>
        </w:rPr>
        <w:t>M II 265</w:t>
      </w:r>
    </w:p>
  </w:footnote>
  <w:footnote w:id="5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p>
  </w:footnote>
  <w:footnote w:id="556">
    <w:p>
      <w:pPr>
        <w:pStyle w:val="FootnoteText"/>
        <w:rPr/>
      </w:pPr>
      <w:r>
        <w:rPr>
          <w:rStyle w:val="FootnoteCharacters"/>
        </w:rPr>
        <w:footnoteRef/>
      </w:r>
      <w:r>
        <w:rPr>
          <w:rStyle w:val="wwc-pali"/>
        </w:rPr>
        <w:t>Saññāvedayitanirodha</w:t>
      </w:r>
      <w:r>
        <w:rPr/>
        <w:t>, ‘the cessation of awareness and what is experienced’, more well-known as ‘the cessation of perception and feeling’. In this state there is the complete cessation of both awareness (</w:t>
      </w:r>
      <w:r>
        <w:rPr>
          <w:rStyle w:val="wwc-pali"/>
        </w:rPr>
        <w:t>saññā</w:t>
      </w:r>
      <w:r>
        <w:rPr/>
        <w:t>) and the object that is experienced (</w:t>
      </w:r>
      <w:r>
        <w:rPr>
          <w:rStyle w:val="wwc-pali"/>
        </w:rPr>
        <w:t>vedayita</w:t>
      </w:r>
      <w:r>
        <w:rPr/>
        <w:t xml:space="preserve">). </w:t>
      </w:r>
      <w:r>
        <w:rPr>
          <w:rStyle w:val="wwc-pali"/>
        </w:rPr>
        <w:t>Saññā</w:t>
      </w:r>
      <w:r>
        <w:rPr/>
        <w:t xml:space="preserve"> has a range of meanings, and one of these is awareness or consciousness in general (</w:t>
      </w:r>
      <w:r>
        <w:rPr>
          <w:rStyle w:val="wwc-sesame-zot-reference"/>
        </w:rPr>
        <w:t>PED</w:t>
      </w:r>
      <w:r>
        <w:rPr/>
        <w:t xml:space="preserve">, </w:t>
      </w:r>
      <w:r>
        <w:rPr>
          <w:rStyle w:val="wwc-sesame-zot-reference"/>
        </w:rPr>
        <w:t>DPD</w:t>
      </w:r>
      <w:r>
        <w:rPr/>
        <w:t xml:space="preserve">). </w:t>
      </w:r>
      <w:r>
        <w:rPr>
          <w:rStyle w:val="wwc-pali"/>
        </w:rPr>
        <w:t>Vedayita</w:t>
      </w:r>
      <w:r>
        <w:rPr/>
        <w:t xml:space="preserve"> is a past participle meaning ‘felt’ or ‘experienced’ (</w:t>
      </w:r>
      <w:r>
        <w:rPr>
          <w:rStyle w:val="wwc-sesame-zot-reference"/>
        </w:rPr>
        <w:t>CPED</w:t>
      </w:r>
      <w:r>
        <w:rPr/>
        <w:t xml:space="preserve">, </w:t>
      </w:r>
      <w:r>
        <w:rPr>
          <w:rStyle w:val="wwc-sesame-zot-reference"/>
        </w:rPr>
        <w:t>PED</w:t>
      </w:r>
      <w:r>
        <w:rPr/>
        <w:t xml:space="preserve">, </w:t>
      </w:r>
      <w:r>
        <w:rPr>
          <w:rStyle w:val="wwc-sesame-zot-reference"/>
        </w:rPr>
        <w:t>DPD</w:t>
      </w:r>
      <w:r>
        <w:rPr/>
        <w:t xml:space="preserve">). While commonly translated as ‘feeling’ in </w:t>
      </w:r>
      <w:r>
        <w:rPr>
          <w:rStyle w:val="wwc-pali"/>
        </w:rPr>
        <w:t>saññāvedayitanirodha</w:t>
      </w:r>
      <w:r>
        <w:rPr/>
        <w:t xml:space="preserve">, it refers not to the </w:t>
      </w:r>
      <w:r>
        <w:rPr>
          <w:rStyle w:val="Emphasis"/>
        </w:rPr>
        <w:t>act</w:t>
      </w:r>
      <w:r>
        <w:rPr/>
        <w:t xml:space="preserve"> of feeling but to that which is felt or experienced.</w:t>
      </w:r>
    </w:p>
  </w:footnote>
  <w:footnote w:id="5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12.51:12.1–24.3</w:t>
      </w:r>
      <w:r>
        <w:rPr>
          <w:rStyle w:val="Hyperlink"/>
        </w:rPr>
        <w:fldChar w:fldCharType="end"/>
      </w:r>
    </w:p>
  </w:footnote>
  <w:footnote w:id="5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footnote>
  <w:footnote w:id="559">
    <w:p>
      <w:pPr>
        <w:pStyle w:val="FootnoteText"/>
        <w:rPr/>
      </w:pPr>
      <w:r>
        <w:rPr>
          <w:rStyle w:val="FootnoteCharacters"/>
        </w:rPr>
        <w:footnoteRef/>
      </w:r>
      <w:r>
        <w:rPr/>
        <w:t xml:space="preserve">See also </w:t>
      </w:r>
      <w:r>
        <w:rPr>
          <w:rStyle w:val="wwc-sesame-zot-reference"/>
        </w:rPr>
        <w:t>Norman 1996</w:t>
      </w:r>
    </w:p>
  </w:footnote>
  <w:footnote w:id="560">
    <w:p>
      <w:pPr>
        <w:pStyle w:val="FootnoteText"/>
        <w:rPr/>
      </w:pPr>
      <w:r>
        <w:rPr>
          <w:rStyle w:val="FootnoteCharacters"/>
        </w:rPr>
        <w:footnoteRef/>
      </w:r>
      <w:r>
        <w:rPr>
          <w:rStyle w:val="wwc-sesame"/>
        </w:rPr>
        <w:t>Bodhi 2020, 6. The Unconditioned: The Goal, Introduction</w:t>
      </w:r>
      <w:r>
        <w:rPr/>
        <w:t xml:space="preserve"> and </w:t>
      </w:r>
      <w:r>
        <w:rPr>
          <w:rStyle w:val="wwc-sesame-zot-reference"/>
        </w:rPr>
        <w:t>Bodhi 1979</w:t>
      </w:r>
    </w:p>
  </w:footnote>
  <w:footnote w:id="561">
    <w:p>
      <w:pPr>
        <w:pStyle w:val="FootnoteText"/>
        <w:rPr/>
      </w:pPr>
      <w:r>
        <w:rPr>
          <w:rStyle w:val="FootnoteCharacters"/>
        </w:rPr>
        <w:footnoteRef/>
      </w:r>
      <w:r>
        <w:rPr/>
        <w:t xml:space="preserve">For example </w:t>
      </w:r>
      <w:r>
        <w:rPr>
          <w:rStyle w:val="wwc-sesame-zot-reference"/>
        </w:rPr>
        <w:t>Johansson</w:t>
      </w:r>
      <w:r>
        <w:rPr/>
        <w:t xml:space="preserve"> p.51ff</w:t>
      </w:r>
    </w:p>
  </w:footnote>
  <w:footnote w:id="56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31:8.2</w:t>
      </w:r>
      <w:r>
        <w:rPr>
          <w:rStyle w:val="Hyperlink"/>
        </w:rPr>
        <w:fldChar w:fldCharType="end"/>
      </w:r>
      <w:r>
        <w:rPr/>
        <w:t xml:space="preserve"> </w:t>
      </w:r>
      <w:r>
        <w:rPr>
          <w:rStyle w:val="wwc-PTS-reference"/>
        </w:rPr>
        <w:t>D III 183</w:t>
      </w:r>
    </w:p>
  </w:footnote>
  <w:footnote w:id="563">
    <w:p>
      <w:pPr>
        <w:pStyle w:val="FootnoteText"/>
        <w:rPr/>
      </w:pPr>
      <w:r>
        <w:rPr>
          <w:rStyle w:val="FootnoteCharacters"/>
        </w:rPr>
        <w:footnoteRef/>
      </w:r>
      <w:r>
        <w:rPr>
          <w:rStyle w:val="wwc-sesame-zot-reference"/>
        </w:rPr>
        <w:t>PED</w:t>
      </w:r>
      <w:r>
        <w:rPr/>
        <w:t xml:space="preserve"> and </w:t>
      </w:r>
      <w:r>
        <w:rPr>
          <w:rStyle w:val="wwc-sesame-zot-reference"/>
        </w:rPr>
        <w:t>DPD</w:t>
      </w:r>
    </w:p>
  </w:footnote>
  <w:footnote w:id="56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5.26</w:t>
      </w:r>
      <w:r>
        <w:rPr>
          <w:rStyle w:val="Hyperlink"/>
        </w:rPr>
        <w:fldChar w:fldCharType="end"/>
      </w:r>
    </w:p>
  </w:footnote>
  <w:footnote w:id="5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102:10.1–10.7</w:t>
      </w:r>
      <w:r>
        <w:rPr>
          <w:rStyle w:val="Hyperlink"/>
        </w:rPr>
        <w:fldChar w:fldCharType="end"/>
      </w:r>
      <w:r>
        <w:rPr/>
        <w:t xml:space="preserve"> </w:t>
      </w:r>
      <w:r>
        <w:rPr>
          <w:rStyle w:val="wwc-PTS-reference"/>
        </w:rPr>
        <w:t>M II 233</w:t>
      </w:r>
    </w:p>
  </w:footnote>
  <w:footnote w:id="566">
    <w:p>
      <w:pPr>
        <w:pStyle w:val="FootnoteText"/>
        <w:rPr/>
      </w:pPr>
      <w:r>
        <w:rPr>
          <w:rStyle w:val="FootnoteCharacters"/>
        </w:rPr>
        <w:footnoteRef/>
      </w:r>
      <w:r>
        <w:rPr>
          <w:rStyle w:val="wwc-pali"/>
        </w:rPr>
        <w:t>Veditabbe</w:t>
      </w:r>
      <w:r>
        <w:rPr/>
        <w:t xml:space="preserve"> here means ‘should be understood’, as </w:t>
      </w:r>
      <w:r>
        <w:rPr>
          <w:rStyle w:val="wwc-sesame-zot-reference"/>
        </w:rPr>
        <w:t>Bodhi 2000</w:t>
      </w:r>
      <w:r>
        <w:rPr/>
        <w:t xml:space="preserve"> and </w:t>
      </w:r>
      <w:r>
        <w:rPr>
          <w:rStyle w:val="wwc-sesame-zot-reference"/>
        </w:rPr>
        <w:t>Sujato 2023</w:t>
      </w:r>
      <w:r>
        <w:rPr/>
        <w:t xml:space="preserve">, not ‘should be experienced’ as </w:t>
      </w:r>
      <w:r>
        <w:rPr>
          <w:rStyle w:val="wwc-sesame-zot-reference"/>
        </w:rPr>
        <w:t>Anālayo 2023</w:t>
      </w:r>
      <w:r>
        <w:rPr/>
        <w:t xml:space="preserve"> Chapter II.3. The cessation of the six senses includes the cessation of all feelings/experiences (</w:t>
      </w:r>
      <w:r>
        <w:rPr>
          <w:rStyle w:val="wwc-pali"/>
        </w:rPr>
        <w:t>vedanā</w:t>
      </w:r>
      <w:r>
        <w:rPr/>
        <w:t xml:space="preserve">) and therefore is not something that is experienced. It can, however, be understood. The commentary also understands </w:t>
      </w:r>
      <w:r>
        <w:rPr>
          <w:rStyle w:val="wwc-pali"/>
        </w:rPr>
        <w:t>veditabbe</w:t>
      </w:r>
      <w:r>
        <w:rPr/>
        <w:t xml:space="preserve"> as </w:t>
      </w:r>
      <w:r>
        <w:rPr>
          <w:rStyle w:val="wwc-pali"/>
        </w:rPr>
        <w:t>jānitabba</w:t>
      </w:r>
      <w:r>
        <w:rPr/>
        <w:t xml:space="preserve">, ‘to be understood’. This use of </w:t>
      </w:r>
      <w:r>
        <w:rPr>
          <w:rStyle w:val="wwc-pali"/>
        </w:rPr>
        <w:t>veditabba</w:t>
      </w:r>
      <w:r>
        <w:rPr/>
        <w:t xml:space="preserve"> is common in the discourses.</w:t>
      </w:r>
    </w:p>
  </w:footnote>
  <w:footnote w:id="5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35.117</w:t>
      </w:r>
      <w:r>
        <w:rPr>
          <w:rStyle w:val="Hyperlink"/>
        </w:rPr>
        <w:fldChar w:fldCharType="end"/>
      </w:r>
    </w:p>
  </w:footnote>
  <w:footnote w:id="568">
    <w:p>
      <w:pPr>
        <w:pStyle w:val="FootnoteText"/>
        <w:rPr/>
      </w:pPr>
      <w:r>
        <w:rPr>
          <w:rStyle w:val="FootnoteCharacters"/>
        </w:rPr>
        <w:footnoteRef/>
      </w:r>
      <w:r>
        <w:rPr/>
        <w:t xml:space="preserve">The relative adverb </w:t>
      </w:r>
      <w:r>
        <w:rPr>
          <w:rStyle w:val="wwc-pali"/>
        </w:rPr>
        <w:t>yattha</w:t>
      </w:r>
      <w:r>
        <w:rPr/>
        <w:t xml:space="preserve"> can mean both ‘where’ and ‘when’.</w:t>
      </w:r>
    </w:p>
  </w:footnote>
  <w:footnote w:id="5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footnote>
  <w:footnote w:id="570">
    <w:p>
      <w:pPr>
        <w:pStyle w:val="FootnoteText"/>
        <w:rPr/>
      </w:pPr>
      <w:r>
        <w:rPr>
          <w:rStyle w:val="FootnoteCharacters"/>
        </w:rPr>
        <w:footnoteRef/>
      </w:r>
      <w:r>
        <w:rPr>
          <w:rStyle w:val="internal-reference"/>
        </w:rPr>
        <w:t>Brahmāli p.55</w:t>
      </w:r>
    </w:p>
  </w:footnote>
  <w:footnote w:id="571">
    <w:p>
      <w:pPr>
        <w:pStyle w:val="FootnoteText"/>
        <w:rPr/>
      </w:pPr>
      <w:r>
        <w:rPr>
          <w:rStyle w:val="FootnoteCharacters"/>
        </w:rPr>
        <w:footnoteRef/>
      </w:r>
      <w:r>
        <w:rPr>
          <w:rStyle w:val="wwc-sesame-zot-reference"/>
        </w:rPr>
        <w:t>DOP</w:t>
      </w:r>
      <w:r>
        <w:rPr/>
        <w:t xml:space="preserve"> and </w:t>
      </w:r>
      <w:r>
        <w:rPr>
          <w:rStyle w:val="wwc-sesame-zot-reference"/>
        </w:rPr>
        <w:t>PED</w:t>
      </w:r>
    </w:p>
  </w:footnote>
  <w:footnote w:id="5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51</w:t>
      </w:r>
      <w:r>
        <w:rPr>
          <w:rStyle w:val="Hyperlink"/>
        </w:rPr>
        <w:fldChar w:fldCharType="end"/>
      </w:r>
    </w:p>
  </w:footnote>
  <w:footnote w:id="5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5.10:2.1–2.5</w:t>
      </w:r>
      <w:r>
        <w:rPr>
          <w:rStyle w:val="Hyperlink"/>
        </w:rPr>
        <w:fldChar w:fldCharType="end"/>
      </w:r>
    </w:p>
  </w:footnote>
  <w:footnote w:id="5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10.7</w:t>
      </w:r>
      <w:r>
        <w:rPr>
          <w:rStyle w:val="Hyperlink"/>
        </w:rPr>
        <w:fldChar w:fldCharType="end"/>
      </w:r>
    </w:p>
  </w:footnote>
  <w:footnote w:id="575">
    <w:p>
      <w:pPr>
        <w:pStyle w:val="FootnoteText"/>
        <w:rPr/>
      </w:pPr>
      <w:r>
        <w:rPr>
          <w:rStyle w:val="FootnoteCharacters"/>
        </w:rPr>
        <w:footnoteRef/>
      </w:r>
      <w:r>
        <w:rPr/>
        <w:t xml:space="preserve">Contra e.g. </w:t>
      </w:r>
      <w:r>
        <w:rPr>
          <w:rStyle w:val="wwc-sesame-zot-reference"/>
        </w:rPr>
        <w:t>Ñāṇananda 2015</w:t>
      </w:r>
      <w:r>
        <w:rPr/>
        <w:t xml:space="preserve"> p.376. For the Buddha experiencing the formless states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6.15</w:t>
      </w:r>
      <w:r>
        <w:rPr>
          <w:rStyle w:val="Hyperlink"/>
        </w:rPr>
        <w:fldChar w:fldCharType="end"/>
      </w:r>
    </w:p>
  </w:footnote>
  <w:footnote w:id="5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59:16.1–16.6</w:t>
      </w:r>
      <w:r>
        <w:rPr>
          <w:rStyle w:val="Hyperlink"/>
        </w:rPr>
        <w:fldChar w:fldCharType="end"/>
      </w:r>
      <w:r>
        <w:rPr/>
        <w:t xml:space="preserve"> </w:t>
      </w:r>
      <w:r>
        <w:rPr>
          <w:rStyle w:val="wwc-PTS-reference"/>
        </w:rPr>
        <w:t>M I 400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36.19:16.1–16.6</w:t>
      </w:r>
      <w:r>
        <w:rPr>
          <w:rStyle w:val="Hyperlink"/>
        </w:rPr>
        <w:fldChar w:fldCharType="end"/>
      </w:r>
      <w:r>
        <w:rPr/>
        <w:t>, compare with</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9.34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111:20.1-20.6</w:t>
      </w:r>
      <w:r>
        <w:rPr>
          <w:rStyle w:val="Hyperlink"/>
        </w:rPr>
        <w:fldChar w:fldCharType="end"/>
      </w:r>
      <w:r>
        <w:rPr/>
        <w:t xml:space="preserve"> </w:t>
      </w:r>
      <w:r>
        <w:rPr>
          <w:rStyle w:val="wwc-PTS-reference"/>
        </w:rPr>
        <w:t>M III 28</w:t>
      </w:r>
    </w:p>
  </w:footnote>
  <w:footnote w:id="577">
    <w:p>
      <w:pPr>
        <w:pStyle w:val="FootnoteText"/>
        <w:rPr/>
      </w:pPr>
      <w:r>
        <w:rPr>
          <w:rStyle w:val="FootnoteCharacters"/>
        </w:rPr>
        <w:footnoteRef/>
      </w:r>
      <w:r>
        <w:rPr/>
        <w:t xml:space="preserve">See </w:t>
      </w:r>
      <w:r>
        <w:rPr>
          <w:rStyle w:val="wwc-sesame-zot-reference"/>
        </w:rPr>
        <w:t>Wynne</w:t>
      </w:r>
      <w:r>
        <w:rPr/>
        <w:t xml:space="preserve"> p.100</w:t>
      </w:r>
    </w:p>
  </w:footnote>
  <w:footnote w:id="578">
    <w:p>
      <w:pPr>
        <w:pStyle w:val="FootnoteText"/>
        <w:rPr/>
      </w:pPr>
      <w:r>
        <w:rPr>
          <w:rStyle w:val="FootnoteCharacters"/>
        </w:rPr>
        <w:footnoteRef/>
      </w:r>
      <w:r>
        <w:rPr/>
        <w:t>See Tan: “</w:t>
      </w:r>
      <w:r>
        <w:rPr>
          <w:rStyle w:val="wwc-pali"/>
        </w:rPr>
        <w:t>Appatiṭṭhitaṃ</w:t>
      </w:r>
      <w:r>
        <w:rPr/>
        <w:t xml:space="preserve"> means ‘without […] support for consciousness.’ Hence, there is neither sensing nor knowing.”</w:t>
      </w:r>
    </w:p>
  </w:footnote>
  <w:footnote w:id="57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5.5</w:t>
      </w:r>
      <w:r>
        <w:rPr>
          <w:rStyle w:val="Hyperlink"/>
        </w:rPr>
        <w:fldChar w:fldCharType="end"/>
      </w:r>
    </w:p>
  </w:footnote>
  <w:footnote w:id="580">
    <w:p>
      <w:pPr>
        <w:pStyle w:val="FootnoteText"/>
        <w:rPr/>
      </w:pPr>
      <w:r>
        <w:rPr>
          <w:rStyle w:val="FootnoteCharacters"/>
        </w:rPr>
        <w:footnoteRef/>
      </w:r>
      <w:r>
        <w:rPr/>
        <w:t xml:space="preserve">Nicholas Rescher (tr.), </w:t>
      </w:r>
      <w:r>
        <w:rPr>
          <w:rStyle w:val="Emphasis"/>
        </w:rPr>
        <w:t>Al-Fārābī’s Short Commentary on Aristotle’s Prior Analytics</w:t>
      </w:r>
      <w:r>
        <w:rPr/>
        <w:t>, p.49</w:t>
      </w:r>
    </w:p>
  </w:footnote>
  <w:footnote w:id="581">
    <w:p>
      <w:pPr>
        <w:pStyle w:val="FootnoteText"/>
        <w:rPr/>
      </w:pPr>
      <w:r>
        <w:rPr>
          <w:rStyle w:val="FootnoteCharacters"/>
        </w:rPr>
        <w:footnoteRef/>
      </w:r>
      <w:r>
        <w:rPr/>
        <w:t>§7</w:t>
      </w:r>
    </w:p>
  </w:footnote>
  <w:footnote w:id="582">
    <w:p>
      <w:pPr>
        <w:pStyle w:val="FootnoteText"/>
        <w:rPr/>
      </w:pPr>
      <w:r>
        <w:rPr>
          <w:rStyle w:val="FootnoteCharacters"/>
        </w:rPr>
        <w:footnoteRef/>
      </w:r>
      <w:r>
        <w:rPr/>
        <w:t>§53, §54, §115</w:t>
      </w:r>
    </w:p>
  </w:footnote>
  <w:footnote w:id="583">
    <w:p>
      <w:pPr>
        <w:pStyle w:val="FootnoteText"/>
        <w:rPr/>
      </w:pPr>
      <w:r>
        <w:rPr>
          <w:rStyle w:val="FootnoteCharacters"/>
        </w:rPr>
        <w:footnoteRef/>
      </w:r>
      <w:r>
        <w:rPr/>
        <w:t>§76, §78, §118</w:t>
      </w:r>
    </w:p>
  </w:footnote>
  <w:footnote w:id="584">
    <w:p>
      <w:pPr>
        <w:pStyle w:val="FootnoteText"/>
        <w:rPr/>
      </w:pPr>
      <w:r>
        <w:rPr>
          <w:rStyle w:val="FootnoteCharacters"/>
        </w:rPr>
        <w:footnoteRef/>
      </w:r>
      <w:r>
        <w:rPr/>
        <w:t>§80, §81</w:t>
      </w:r>
    </w:p>
  </w:footnote>
  <w:footnote w:id="585">
    <w:p>
      <w:pPr>
        <w:pStyle w:val="FootnoteText"/>
        <w:rPr/>
      </w:pPr>
      <w:r>
        <w:rPr>
          <w:rStyle w:val="FootnoteCharacters"/>
        </w:rPr>
        <w:footnoteRef/>
      </w:r>
      <w:r>
        <w:rPr/>
        <w:t>§68</w:t>
      </w:r>
    </w:p>
  </w:footnote>
  <w:footnote w:id="586">
    <w:p>
      <w:pPr>
        <w:pStyle w:val="FootnoteText"/>
        <w:rPr/>
      </w:pPr>
      <w:r>
        <w:rPr>
          <w:rStyle w:val="FootnoteCharacters"/>
        </w:rPr>
        <w:footnoteRef/>
      </w:r>
      <w:r>
        <w:rPr/>
        <w:t>§76</w:t>
      </w:r>
    </w:p>
  </w:footnote>
  <w:footnote w:id="587">
    <w:p>
      <w:pPr>
        <w:pStyle w:val="FootnoteText"/>
        <w:rPr/>
      </w:pPr>
      <w:r>
        <w:rPr>
          <w:rStyle w:val="FootnoteCharacters"/>
        </w:rPr>
        <w:footnoteRef/>
      </w:r>
      <w:r>
        <w:rPr/>
        <w:t>§57</w:t>
      </w:r>
    </w:p>
  </w:footnote>
  <w:footnote w:id="588">
    <w:p>
      <w:pPr>
        <w:pStyle w:val="FootnoteText"/>
        <w:rPr/>
      </w:pPr>
      <w:r>
        <w:rPr>
          <w:rStyle w:val="FootnoteCharacters"/>
        </w:rPr>
        <w:footnoteRef/>
      </w:r>
      <w:r>
        <w:rPr/>
        <w:t>§23, §53, §54, §71, §76, §115, §118</w:t>
      </w:r>
    </w:p>
  </w:footnote>
  <w:footnote w:id="589">
    <w:p>
      <w:pPr>
        <w:pStyle w:val="FootnoteText"/>
        <w:rPr/>
      </w:pPr>
      <w:r>
        <w:rPr>
          <w:rStyle w:val="FootnoteCharacters"/>
        </w:rPr>
        <w:footnoteRef/>
      </w:r>
      <w:r>
        <w:rPr/>
        <w:t>§53, §54, §76, §115, §118</w:t>
      </w:r>
    </w:p>
  </w:footnote>
  <w:footnote w:id="590">
    <w:p>
      <w:pPr>
        <w:pStyle w:val="FootnoteText"/>
        <w:rPr/>
      </w:pPr>
      <w:r>
        <w:rPr>
          <w:rStyle w:val="FootnoteCharacters"/>
        </w:rPr>
        <w:footnoteRef/>
      </w:r>
      <w:r>
        <w:rPr/>
        <w:t>§142</w:t>
      </w:r>
    </w:p>
  </w:footnote>
  <w:footnote w:id="591">
    <w:p>
      <w:pPr>
        <w:pStyle w:val="FootnoteText"/>
        <w:rPr/>
      </w:pPr>
      <w:r>
        <w:rPr>
          <w:rStyle w:val="FootnoteCharacters"/>
        </w:rPr>
        <w:footnoteRef/>
      </w:r>
      <w:r>
        <w:rPr/>
        <w:t>§84</w:t>
      </w:r>
    </w:p>
  </w:footnote>
  <w:footnote w:id="5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7.67:17.1–17.6</w:t>
      </w:r>
      <w:r>
        <w:rPr>
          <w:rStyle w:val="Hyperlink"/>
        </w:rPr>
        <w:fldChar w:fldCharType="end"/>
      </w:r>
    </w:p>
  </w:footnote>
  <w:footnote w:id="5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r>
        <w:rPr/>
        <w:t xml:space="preserve"> </w:t>
      </w:r>
      <w:r>
        <w:rPr>
          <w:rStyle w:val="wwc-PTS-reference"/>
        </w:rPr>
        <w:t>D II 55</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MN 26:19.2</w:t>
      </w:r>
      <w:r>
        <w:rPr>
          <w:rStyle w:val="Hyperlink"/>
        </w:rPr>
        <w:fldChar w:fldCharType="end"/>
      </w:r>
      <w:r>
        <w:rPr/>
        <w:t xml:space="preserve"> </w:t>
      </w:r>
      <w:r>
        <w:rPr>
          <w:rStyle w:val="wwc-PTS-reference"/>
        </w:rPr>
        <w:t>M I 167</w:t>
      </w:r>
    </w:p>
  </w:footnote>
  <w:footnote w:id="5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48.50:5.2</w:t>
      </w:r>
      <w:r>
        <w:rPr>
          <w:rStyle w:val="Hyperlink"/>
        </w:rPr>
        <w:fldChar w:fldCharType="end"/>
      </w:r>
    </w:p>
  </w:footnote>
  <w:footnote w:id="59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56.11:11.2</w:t>
      </w:r>
      <w:r>
        <w:rPr>
          <w:rStyle w:val="Hyperlink"/>
        </w:rPr>
        <w:fldChar w:fldCharType="end"/>
      </w:r>
    </w:p>
  </w:footnote>
  <w:footnote w:id="5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22.122</w:t>
      </w:r>
      <w:r>
        <w:rPr>
          <w:rStyle w:val="Hyperlink"/>
        </w:rPr>
        <w:fldChar w:fldCharType="end"/>
      </w:r>
    </w:p>
  </w:footnote>
  <w:footnote w:id="597">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4" w:space="74" w:color="000000"/>
        <w:left w:val="single" w:sz="24" w:space="74" w:color="000000"/>
        <w:bottom w:val="single" w:sz="24" w:space="74" w:color="000000"/>
        <w:right w:val="single" w:sz="24" w:space="74"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shd w:fill="FFFF38" w:val="clear"/>
    </w:rPr>
  </w:style>
  <w:style w:type="character" w:styleId="FollowedHyperlink">
    <w:name w:val="FollowedHyperlink"/>
    <w:rPr>
      <w:rFonts w:ascii="Calibri" w:hAnsi="Calibri"/>
      <w:color w:val="168253"/>
      <w:sz w:val="20"/>
      <w:u w:val="none"/>
    </w:rPr>
  </w:style>
  <w:style w:type="character" w:styleId="FootnoteCharacters">
    <w:name w:val="Footnote Characters"/>
    <w:qFormat/>
    <w:rPr>
      <w:bdr w:val="single" w:sz="2" w:space="6" w:color="000000"/>
      <w:shd w:fill="FFD428" w:val="clear"/>
      <w:vertAlign w:val="superscript"/>
    </w:rPr>
  </w:style>
  <w:style w:type="character" w:styleId="FootnoteCharactersuser">
    <w:name w:val="Footnote Characters (user)"/>
    <w:qFormat/>
    <w:rPr>
      <w:vertAlign w:val="superscript"/>
    </w:rPr>
  </w:style>
  <w:style w:type="character" w:styleId="FootnoteReference">
    <w:name w:val="footnote reference"/>
    <w:rPr>
      <w:bdr w:val="single" w:sz="2" w:space="6" w:color="000000"/>
      <w:shd w:fill="FFD428" w:val="clea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character" w:styleId="wwc-german">
    <w:name w:val="wwc-german"/>
    <w:qFormat/>
    <w:rPr>
      <w:kern w:val="2"/>
      <w:shd w:fill="EEEEEE" w:val="clear"/>
    </w:rPr>
  </w:style>
  <w:style w:type="character" w:styleId="wwc-italian">
    <w:name w:val="wwc-italian"/>
    <w:qFormat/>
    <w:rPr>
      <w:rFonts w:ascii="Liberation Serif" w:hAnsi="Liberation Serif" w:eastAsia="NSimSun" w:cs="Lucida Sans"/>
      <w:color w:val="000000"/>
      <w:kern w:val="2"/>
      <w:sz w:val="20"/>
      <w:szCs w:val="20"/>
      <w:shd w:fill="EEEEEE" w:val="clear"/>
      <w:lang w:val="en-GB" w:eastAsia="zh-CN" w:bidi="hi-IN"/>
    </w:rPr>
  </w:style>
  <w:style w:type="character" w:styleId="wwc-spanish">
    <w:name w:val="wwc-spanish"/>
    <w:qFormat/>
    <w:rPr>
      <w:rFonts w:ascii="Liberation Serif" w:hAnsi="Liberation Serif" w:eastAsia="NSimSun" w:cs="Lucida Sans"/>
      <w:color w:val="000000"/>
      <w:kern w:val="2"/>
      <w:sz w:val="20"/>
      <w:szCs w:val="20"/>
      <w:shd w:fill="EEEEE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pBdr>
        <w:top w:val="single" w:sz="2" w:space="20" w:color="000000"/>
        <w:left w:val="single" w:sz="2" w:space="20" w:color="000000"/>
        <w:bottom w:val="single" w:sz="2" w:space="20" w:color="000000"/>
        <w:right w:val="single" w:sz="2" w:space="20" w:color="000000"/>
      </w:pBdr>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D4EA6B"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user">
    <w:name w:val="Block Quotation (user)"/>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user">
    <w:name w:val="Bullet • (user)"/>
    <w:qFormat/>
  </w:style>
  <w:style w:type="numbering" w:styleId="NumberingIVX">
    <w:name w:val="Numbering IVX"/>
    <w:qFormat/>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Relationship Id="rId28" Type="http://schemas.openxmlformats.org/officeDocument/2006/relationships/hyperlink" Target="https://suttacentral.net/sa284" TargetMode="External"/><Relationship Id="rId29" Type="http://schemas.openxmlformats.org/officeDocument/2006/relationships/hyperlink" Target="https://suttacentral.net/sa1187" TargetMode="External"/><Relationship Id="rId30" Type="http://schemas.openxmlformats.org/officeDocument/2006/relationships/hyperlink" Target="https://suttacentral.net/sa-2.100" TargetMode="External"/><Relationship Id="rId31" Type="http://schemas.openxmlformats.org/officeDocument/2006/relationships/hyperlink" Target="http://suttacentral.net/sf161" TargetMode="External"/><Relationship Id="rId32" Type="http://schemas.openxmlformats.org/officeDocument/2006/relationships/hyperlink" Target="https://suttacentral.net/sa294" TargetMode="External"/><Relationship Id="rId33" Type="http://schemas.openxmlformats.org/officeDocument/2006/relationships/hyperlink" Target="https://suttacentral.net/da13"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ma97" TargetMode="External"/><Relationship Id="rId36" Type="http://schemas.openxmlformats.org/officeDocument/2006/relationships/hyperlink" Target="https://suttacentral.net/t14" TargetMode="External"/><Relationship Id="rId37" Type="http://schemas.openxmlformats.org/officeDocument/2006/relationships/hyperlink" Target="https://suttacentral.net/t52" TargetMode="External"/><Relationship Id="rId38" Type="http://schemas.openxmlformats.org/officeDocument/2006/relationships/hyperlink" Target="https://suttacentral.net/t52" TargetMode="External"/><Relationship Id="rId39" Type="http://schemas.openxmlformats.org/officeDocument/2006/relationships/hyperlink" Target="https://suttacentral.net/sa359" TargetMode="External"/><Relationship Id="rId40" Type="http://schemas.openxmlformats.org/officeDocument/2006/relationships/hyperlink" Target="https://suttacentral.net/sa360" TargetMode="External"/><Relationship Id="rId41" Type="http://schemas.openxmlformats.org/officeDocument/2006/relationships/hyperlink" Target="https://suttacentral.net/sa361" TargetMode="External"/><Relationship Id="rId42" Type="http://schemas.openxmlformats.org/officeDocument/2006/relationships/hyperlink" Target="https://suttacentral.net/sa377" TargetMode="External"/><Relationship Id="rId43" Type="http://schemas.openxmlformats.org/officeDocument/2006/relationships/hyperlink" Target="https://suttacentral.net/sa1265" TargetMode="External"/><Relationship Id="rId44" Type="http://schemas.openxmlformats.org/officeDocument/2006/relationships/hyperlink" Target="https://suttacentral.net/ea26.10" TargetMode="External"/><Relationship Id="rId45" Type="http://schemas.openxmlformats.org/officeDocument/2006/relationships/hyperlink" Target="https://suttacentral.net/sa-2.30" TargetMode="External"/><Relationship Id="rId46" Type="http://schemas.openxmlformats.org/officeDocument/2006/relationships/hyperlink" Target="https://suttacentral.net/ma62"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7702</TotalTime>
  <Application>LibreOffice/25.2.6.2$Windows_X86_64 LibreOffice_project/729c5bfe710f5eb71ed3bbde9e06a6065e9c6c5d</Application>
  <AppVersion>15.0000</AppVersion>
  <Pages>187</Pages>
  <Words>84978</Words>
  <Characters>433229</Characters>
  <CharactersWithSpaces>515387</CharactersWithSpaces>
  <Paragraphs>2334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2025-10-30T14:36:32Z</dcterms:modified>
  <cp:revision>845</cp:revision>
  <dc:subject/>
  <dc:title/>
</cp:coreProperties>
</file>

<file path=docProps/custom.xml><?xml version="1.0" encoding="utf-8"?>
<Properties xmlns="http://schemas.openxmlformats.org/officeDocument/2006/custom-properties" xmlns:vt="http://schemas.openxmlformats.org/officeDocument/2006/docPropsVTypes"/>
</file>