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realised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2"/>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2"/>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2"/>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Realising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blockquote"/>
        <w:rPr/>
      </w:pPr>
      <w:bookmarkStart w:id="0" w:name="bqseg1"/>
      <w:bookmarkEnd w:id="0"/>
      <w:r>
        <w:rPr/>
        <w:t>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1" w:name="bqseg2"/>
      <w:bookmarkEnd w:id="1"/>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2" w:name="bqseg3"/>
      <w:bookmarkEnd w:id="2"/>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3" w:name="bqseg4"/>
      <w:bookmarkEnd w:id="3"/>
      <w:r>
        <w:rPr/>
        <w:t>And what is the noble one’s truth of the origin of suffering? Dependent on ignorance, there are wilful actions. Dependent on wilful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4" w:name="bqseg5"/>
      <w:bookmarkEnd w:id="4"/>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5" w:name="bqseg6"/>
      <w:bookmarkEnd w:id="5"/>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6" w:name="bqseg7"/>
      <w:bookmarkEnd w:id="6"/>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7" w:name="bqseg8"/>
      <w:bookmarkEnd w:id="7"/>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realise that Dependent Arising explains rebirth and its causes. If we fail to acknowledge this, it becomes impossible to properly understand the Buddha’s similes and terminology, including </w:t>
      </w:r>
      <w:r>
        <w:rPr>
          <w:rStyle w:val="wwc-pali"/>
        </w:rPr>
        <w:t>appatiṭṭhita viññāṇa</w:t>
      </w:r>
      <w:r>
        <w:rPr/>
        <w:t>. But since some prevalent interpretations don’t recognise or otherwise marginalise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60"/>
        <w:gridCol w:w="1292"/>
        <w:gridCol w:w="4095"/>
      </w:tblGrid>
      <w:tr>
        <w:trPr/>
        <w:tc>
          <w:tcPr>
            <w:tcW w:w="360" w:type="dxa"/>
            <w:tcBorders/>
            <w:vAlign w:val="center"/>
          </w:tcPr>
          <w:p>
            <w:pPr>
              <w:pStyle w:val="WW-paragraph"/>
              <w:spacing w:before="170" w:after="170"/>
              <w:rPr/>
            </w:pPr>
            <w:r>
              <w:rPr/>
            </w:r>
          </w:p>
        </w:tc>
        <w:tc>
          <w:tcPr>
            <w:tcW w:w="1292"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60" w:type="dxa"/>
            <w:tcBorders/>
            <w:vAlign w:val="center"/>
          </w:tcPr>
          <w:p>
            <w:pPr>
              <w:pStyle w:val="WW-paragraph"/>
              <w:spacing w:before="170" w:after="170"/>
              <w:rPr/>
            </w:pPr>
            <w:r>
              <w:rPr/>
              <w:t>1</w:t>
            </w:r>
          </w:p>
        </w:tc>
        <w:tc>
          <w:tcPr>
            <w:tcW w:w="1292"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60" w:type="dxa"/>
            <w:tcBorders/>
            <w:vAlign w:val="center"/>
          </w:tcPr>
          <w:p>
            <w:pPr>
              <w:pStyle w:val="WW-paragraph"/>
              <w:spacing w:before="170" w:after="170"/>
              <w:rPr/>
            </w:pPr>
            <w:r>
              <w:rPr/>
              <w:t>2</w:t>
            </w:r>
          </w:p>
        </w:tc>
        <w:tc>
          <w:tcPr>
            <w:tcW w:w="1292"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60" w:type="dxa"/>
            <w:tcBorders/>
            <w:vAlign w:val="center"/>
          </w:tcPr>
          <w:p>
            <w:pPr>
              <w:pStyle w:val="WW-paragraph"/>
              <w:spacing w:before="170" w:after="170"/>
              <w:rPr/>
            </w:pPr>
            <w:r>
              <w:rPr/>
              <w:t>3</w:t>
            </w:r>
          </w:p>
        </w:tc>
        <w:tc>
          <w:tcPr>
            <w:tcW w:w="1292"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60" w:type="dxa"/>
            <w:tcBorders/>
            <w:vAlign w:val="center"/>
          </w:tcPr>
          <w:p>
            <w:pPr>
              <w:pStyle w:val="WW-paragraph"/>
              <w:spacing w:before="170" w:after="170"/>
              <w:rPr/>
            </w:pPr>
            <w:r>
              <w:rPr/>
              <w:t>4</w:t>
            </w:r>
          </w:p>
        </w:tc>
        <w:tc>
          <w:tcPr>
            <w:tcW w:w="1292"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60" w:type="dxa"/>
            <w:tcBorders/>
            <w:vAlign w:val="center"/>
          </w:tcPr>
          <w:p>
            <w:pPr>
              <w:pStyle w:val="WW-paragraph"/>
              <w:spacing w:before="170" w:after="170"/>
              <w:rPr/>
            </w:pPr>
            <w:r>
              <w:rPr/>
              <w:t>5</w:t>
            </w:r>
          </w:p>
        </w:tc>
        <w:tc>
          <w:tcPr>
            <w:tcW w:w="1292"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60" w:type="dxa"/>
            <w:tcBorders/>
            <w:vAlign w:val="center"/>
          </w:tcPr>
          <w:p>
            <w:pPr>
              <w:pStyle w:val="WW-paragraph"/>
              <w:spacing w:before="170" w:after="170"/>
              <w:rPr/>
            </w:pPr>
            <w:r>
              <w:rPr/>
              <w:t>6</w:t>
            </w:r>
          </w:p>
        </w:tc>
        <w:tc>
          <w:tcPr>
            <w:tcW w:w="1292"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60" w:type="dxa"/>
            <w:tcBorders/>
            <w:vAlign w:val="center"/>
          </w:tcPr>
          <w:p>
            <w:pPr>
              <w:pStyle w:val="WW-paragraph"/>
              <w:spacing w:before="170" w:after="170"/>
              <w:rPr/>
            </w:pPr>
            <w:r>
              <w:rPr/>
              <w:t>7</w:t>
            </w:r>
          </w:p>
        </w:tc>
        <w:tc>
          <w:tcPr>
            <w:tcW w:w="1292"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60" w:type="dxa"/>
            <w:tcBorders/>
            <w:vAlign w:val="center"/>
          </w:tcPr>
          <w:p>
            <w:pPr>
              <w:pStyle w:val="WW-paragraph"/>
              <w:spacing w:before="170" w:after="170"/>
              <w:rPr/>
            </w:pPr>
            <w:r>
              <w:rPr/>
              <w:t>8</w:t>
            </w:r>
          </w:p>
        </w:tc>
        <w:tc>
          <w:tcPr>
            <w:tcW w:w="1292"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60" w:type="dxa"/>
            <w:tcBorders/>
            <w:vAlign w:val="center"/>
          </w:tcPr>
          <w:p>
            <w:pPr>
              <w:pStyle w:val="WW-paragraph"/>
              <w:spacing w:before="170" w:after="170"/>
              <w:rPr/>
            </w:pPr>
            <w:r>
              <w:rPr/>
              <w:t>9</w:t>
            </w:r>
          </w:p>
        </w:tc>
        <w:tc>
          <w:tcPr>
            <w:tcW w:w="1292"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60" w:type="dxa"/>
            <w:tcBorders/>
            <w:vAlign w:val="center"/>
          </w:tcPr>
          <w:p>
            <w:pPr>
              <w:pStyle w:val="WW-paragraph"/>
              <w:spacing w:before="170" w:after="170"/>
              <w:rPr/>
            </w:pPr>
            <w:r>
              <w:rPr/>
              <w:t>10</w:t>
            </w:r>
          </w:p>
        </w:tc>
        <w:tc>
          <w:tcPr>
            <w:tcW w:w="1292"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60" w:type="dxa"/>
            <w:tcBorders/>
            <w:vAlign w:val="center"/>
          </w:tcPr>
          <w:p>
            <w:pPr>
              <w:pStyle w:val="WW-paragraph"/>
              <w:spacing w:before="170" w:after="170"/>
              <w:rPr/>
            </w:pPr>
            <w:r>
              <w:rPr/>
              <w:t>11</w:t>
            </w:r>
          </w:p>
        </w:tc>
        <w:tc>
          <w:tcPr>
            <w:tcW w:w="1292"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60" w:type="dxa"/>
            <w:tcBorders/>
            <w:vAlign w:val="center"/>
          </w:tcPr>
          <w:p>
            <w:pPr>
              <w:pStyle w:val="WW-paragraph"/>
              <w:spacing w:before="170" w:after="170"/>
              <w:rPr/>
            </w:pPr>
            <w:r>
              <w:rPr/>
              <w:t>12</w:t>
            </w:r>
          </w:p>
        </w:tc>
        <w:tc>
          <w:tcPr>
            <w:tcW w:w="1292"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8" w:name="bqseg9"/>
      <w:bookmarkEnd w:id="8"/>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wilful actions. Dependent on wilful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wilful actions will cease. If wilful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1"/>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1"/>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1"/>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1"/>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1"/>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1"/>
        </w:numPr>
        <w:rPr/>
      </w:pPr>
      <w:r>
        <w:rPr>
          <w:rStyle w:val="Emphasis"/>
        </w:rPr>
        <w:t>B</w:t>
      </w:r>
      <w:r>
        <w:rPr/>
        <w:t xml:space="preserve"> depends on </w:t>
      </w:r>
      <w:r>
        <w:rPr>
          <w:rStyle w:val="Emphasis"/>
        </w:rPr>
        <w:t>A</w:t>
      </w:r>
      <w:r>
        <w:rPr/>
        <w:t>.</w:t>
      </w:r>
    </w:p>
    <w:p>
      <w:pPr>
        <w:pStyle w:val="WW-paragraph"/>
        <w:rPr/>
      </w:pPr>
      <w:r>
        <w:rPr/>
        <w:t>Much has been philosophised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1"/>
        </w:numPr>
        <w:rPr/>
      </w:pPr>
      <w:r>
        <w:rPr/>
        <w:t>There will be rain, only if there are clouds. Rain happens because clouds form.</w:t>
      </w:r>
    </w:p>
    <w:p>
      <w:pPr>
        <w:pStyle w:val="WW-paragraph"/>
        <w:numPr>
          <w:ilvl w:val="1"/>
          <w:numId w:val="1"/>
        </w:numPr>
        <w:rPr/>
      </w:pPr>
      <w:r>
        <w:rPr/>
        <w:t>If there are no clouds, there won’t be rain. If the clouds disappear, the rain will stop.</w:t>
      </w:r>
    </w:p>
    <w:p>
      <w:pPr>
        <w:pStyle w:val="WW-paragraph"/>
        <w:numPr>
          <w:ilvl w:val="1"/>
          <w:numId w:val="1"/>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3"/>
        </w:numPr>
        <w:rPr/>
      </w:pPr>
      <w:r>
        <w:rPr/>
        <w:t>There will be death, only if there is birth. Death happens because birth happened first.</w:t>
      </w:r>
    </w:p>
    <w:p>
      <w:pPr>
        <w:pStyle w:val="WW-paragraph"/>
        <w:numPr>
          <w:ilvl w:val="1"/>
          <w:numId w:val="3"/>
        </w:numPr>
        <w:rPr/>
      </w:pPr>
      <w:r>
        <w:rPr/>
        <w:t>If there is no birth, there won’t be death. If birth ceases, death will cease.</w:t>
      </w:r>
    </w:p>
    <w:p>
      <w:pPr>
        <w:pStyle w:val="WW-paragraph"/>
        <w:numPr>
          <w:ilvl w:val="1"/>
          <w:numId w:val="3"/>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rStyle w:val="wwc-figure-image"/>
        </w:rPr>
        <w:t>./img/bricksstack.png=A stack of twelve bricks. The bottom one is labeled ‘ignorance’, the top one ‘suffering’, and one in between ‘rebirth’.=40=border</w:t>
      </w:r>
      <w:r>
        <w:rPr/>
        <w:t xml:space="preserve"> </w:t>
        <w:br/>
      </w:r>
      <w:r>
        <w:rPr>
          <w:rStyle w:val="wwc-figure-image"/>
        </w:rPr>
        <w:t>./img/bricksfalling.png=A hand grabbing the bottom brick and the tower falling over. The bottom brick is labeled ‘no ignorance’, the top one ‘no suffering’, and one in between ‘no rebirth’.=40=border</w:t>
      </w:r>
      <w:r>
        <w:rPr/>
        <w:t xml:space="preserve"> </w:t>
        <w:br/>
      </w:r>
      <w:r>
        <w:rPr>
          <w:rStyle w:val="wwc-figure-caption"/>
        </w:rP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rPr/>
      </w:pPr>
      <w:r>
        <w:rPr/>
        <w:t>The centrality of rebirth</w:t>
      </w:r>
    </w:p>
    <w:p>
      <w:pPr>
        <w:pStyle w:val="WW-paragraph"/>
        <w:rPr/>
      </w:pPr>
      <w:r>
        <w:rPr/>
        <w:t xml:space="preserve">Many of the links in Dependent Arising are not only necessary conditions but also sufficient conditions.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9" w:name="bqseg10"/>
      <w:bookmarkEnd w:id="9"/>
      <w:r>
        <w:rPr/>
        <w:t>It is because of not understanding and not penetrating this teaching [of Dependent Arising] that this population […] does leave behind the plane of misery, the bad destinations, the nether world, and transmigration (</w:t>
      </w:r>
      <w:r>
        <w:rPr>
          <w:rStyle w:val="Emphasis"/>
        </w:rPr>
        <w:t>saṁsāra</w:t>
      </w:r>
      <w:r>
        <w:rPr/>
        <w:t>).</w:t>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10" w:name="bqseg11"/>
      <w:bookmarkEnd w:id="10"/>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Then I thought: ‘There will be willful actions, only if there is what? What do willful actions depend on?’ Then, by focusing properly, I comprehended it, understanding that there will be willful actions, only if there is ignorance. Willful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Then I thought: ‘There won’t be willful actions, if there isn’t what? Willful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 This also reinforces what was mentioned before, that once a being is born, suffering is inevitable as long as they are alive.</w:t>
      </w:r>
    </w:p>
    <w:p>
      <w:pPr>
        <w:pStyle w:val="WW-chapter-section-1"/>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Emphasis"/>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Emphasis"/>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rPr/>
      </w:pPr>
      <w:r>
        <w:rPr/>
        <w:t>Summary of Dependent Arising</w:t>
      </w:r>
    </w:p>
    <w:p>
      <w:pPr>
        <w:pStyle w:val="WW-paragraph"/>
        <w:rPr/>
      </w:pPr>
      <w:r>
        <w:rPr/>
        <w:t xml:space="preserve">With the above principles in mind, I arrived at an understanding of Dependent Arising that differs little from that of most traditional Buddhist schools.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w:t>
      </w:r>
      <w:r>
        <w:rPr/>
        <w:t>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8"/>
        <w:gridCol w:w="2398"/>
        <w:gridCol w:w="2269"/>
        <w:gridCol w:w="1629"/>
      </w:tblGrid>
      <w:tr>
        <w:trPr/>
        <w:tc>
          <w:tcPr>
            <w:tcW w:w="1108" w:type="dxa"/>
            <w:tcBorders/>
            <w:vAlign w:val="center"/>
          </w:tcPr>
          <w:p>
            <w:pPr>
              <w:pStyle w:val="WW-paragraph"/>
              <w:spacing w:before="170" w:after="170"/>
              <w:rPr/>
            </w:pPr>
            <w:r>
              <w:rPr/>
            </w:r>
          </w:p>
        </w:tc>
        <w:tc>
          <w:tcPr>
            <w:tcW w:w="2398" w:type="dxa"/>
            <w:tcBorders/>
            <w:vAlign w:val="center"/>
          </w:tcPr>
          <w:p>
            <w:pPr>
              <w:pStyle w:val="WW-paragraph"/>
              <w:spacing w:before="170" w:after="170"/>
              <w:rPr/>
            </w:pPr>
            <w:r>
              <w:rPr>
                <w:rStyle w:val="Strong"/>
              </w:rPr>
              <w:t>Ignorance sequence</w:t>
            </w:r>
          </w:p>
        </w:tc>
        <w:tc>
          <w:tcPr>
            <w:tcW w:w="2269" w:type="dxa"/>
            <w:tcBorders/>
            <w:vAlign w:val="center"/>
          </w:tcPr>
          <w:p>
            <w:pPr>
              <w:pStyle w:val="WW-paragraph"/>
              <w:spacing w:before="170" w:after="170"/>
              <w:rPr/>
            </w:pPr>
            <w:r>
              <w:rPr>
                <w:rStyle w:val="Strong"/>
              </w:rPr>
              <w:t>Craving sequence</w:t>
            </w:r>
          </w:p>
        </w:tc>
        <w:tc>
          <w:tcPr>
            <w:tcW w:w="1629" w:type="dxa"/>
            <w:tcBorders/>
            <w:vAlign w:val="center"/>
          </w:tcPr>
          <w:p>
            <w:pPr>
              <w:pStyle w:val="WW-paragraph"/>
              <w:spacing w:before="170" w:after="170"/>
              <w:rPr/>
            </w:pPr>
            <w:r>
              <w:rPr>
                <w:rStyle w:val="Strong"/>
              </w:rPr>
              <w:t>Second truth</w:t>
            </w:r>
          </w:p>
        </w:tc>
      </w:tr>
      <w:tr>
        <w:trPr/>
        <w:tc>
          <w:tcPr>
            <w:tcW w:w="1108" w:type="dxa"/>
            <w:tcBorders/>
            <w:vAlign w:val="center"/>
          </w:tcPr>
          <w:p>
            <w:pPr>
              <w:pStyle w:val="WW-paragraph"/>
              <w:spacing w:before="170" w:after="170"/>
              <w:rPr/>
            </w:pPr>
            <w:r>
              <w:rPr>
                <w:rStyle w:val="Strong"/>
              </w:rPr>
              <w:t>Causes</w:t>
              <w:br/>
              <w:t>of rebirth</w:t>
            </w:r>
          </w:p>
        </w:tc>
        <w:tc>
          <w:tcPr>
            <w:tcW w:w="2398" w:type="dxa"/>
            <w:tcBorders/>
            <w:vAlign w:val="center"/>
          </w:tcPr>
          <w:p>
            <w:pPr>
              <w:pStyle w:val="WW-paragraph"/>
              <w:spacing w:before="170" w:after="170"/>
              <w:rPr/>
            </w:pPr>
            <w:r>
              <w:rPr/>
              <w:t>1. Ignorance</w:t>
              <w:br/>
              <w:t>2. Willful actions</w:t>
            </w:r>
          </w:p>
        </w:tc>
        <w:tc>
          <w:tcPr>
            <w:tcW w:w="2269" w:type="dxa"/>
            <w:tcBorders/>
            <w:vAlign w:val="center"/>
          </w:tcPr>
          <w:p>
            <w:pPr>
              <w:pStyle w:val="WW-paragraph"/>
              <w:spacing w:before="170" w:after="170"/>
              <w:rPr/>
            </w:pPr>
            <w:r>
              <w:rPr/>
              <w:t>8. Craving</w:t>
              <w:br/>
              <w:t>9. Fuel/taking up</w:t>
            </w:r>
          </w:p>
        </w:tc>
        <w:tc>
          <w:tcPr>
            <w:tcW w:w="1629" w:type="dxa"/>
            <w:tcBorders/>
            <w:vAlign w:val="center"/>
          </w:tcPr>
          <w:p>
            <w:pPr>
              <w:pStyle w:val="WW-paragraph"/>
              <w:spacing w:before="170" w:after="170"/>
              <w:rPr/>
            </w:pPr>
            <w:r>
              <w:rPr/>
              <w:t xml:space="preserve">• </w:t>
            </w:r>
            <w:r>
              <w:rPr/>
              <w:t>Craving</w:t>
            </w:r>
          </w:p>
        </w:tc>
      </w:tr>
      <w:tr>
        <w:trPr/>
        <w:tc>
          <w:tcPr>
            <w:tcW w:w="1108" w:type="dxa"/>
            <w:tcBorders/>
            <w:vAlign w:val="center"/>
          </w:tcPr>
          <w:p>
            <w:pPr>
              <w:pStyle w:val="WW-paragraph"/>
              <w:spacing w:before="170" w:after="170"/>
              <w:rPr/>
            </w:pPr>
            <w:r>
              <w:rPr>
                <w:rStyle w:val="Strong"/>
              </w:rPr>
              <w:t>Rebirth</w:t>
            </w:r>
          </w:p>
        </w:tc>
        <w:tc>
          <w:tcPr>
            <w:tcW w:w="2398" w:type="dxa"/>
            <w:tcBorders/>
            <w:vAlign w:val="center"/>
          </w:tcPr>
          <w:p>
            <w:pPr>
              <w:pStyle w:val="WW-paragraph"/>
              <w:spacing w:before="170" w:after="170"/>
              <w:rPr/>
            </w:pPr>
            <w:r>
              <w:rPr/>
              <w:t>3. Consciousness</w:t>
              <w:br/>
              <w:t>4. Imm. aspects &amp; body</w:t>
            </w:r>
          </w:p>
        </w:tc>
        <w:tc>
          <w:tcPr>
            <w:tcW w:w="2269" w:type="dxa"/>
            <w:tcBorders/>
            <w:vAlign w:val="center"/>
          </w:tcPr>
          <w:p>
            <w:pPr>
              <w:pStyle w:val="WW-paragraph"/>
              <w:spacing w:before="170" w:after="170"/>
              <w:rPr/>
            </w:pPr>
            <w:r>
              <w:rPr/>
              <w:t>10. Existence</w:t>
              <w:br/>
              <w:t>11. Birth</w:t>
            </w:r>
          </w:p>
        </w:tc>
        <w:tc>
          <w:tcPr>
            <w:tcW w:w="1629" w:type="dxa"/>
            <w:tcBorders/>
            <w:vAlign w:val="center"/>
          </w:tcPr>
          <w:p>
            <w:pPr>
              <w:pStyle w:val="WW-paragraph"/>
              <w:spacing w:before="170" w:after="170"/>
              <w:rPr/>
            </w:pPr>
            <w:r>
              <w:rPr/>
              <w:t xml:space="preserve">• </w:t>
            </w:r>
            <w:r>
              <w:rPr/>
              <w:t>A next life</w:t>
              <w:br/>
              <w:t>(‘re-existence’)</w:t>
            </w:r>
          </w:p>
        </w:tc>
      </w:tr>
      <w:tr>
        <w:trPr/>
        <w:tc>
          <w:tcPr>
            <w:tcW w:w="1108" w:type="dxa"/>
            <w:tcBorders/>
            <w:vAlign w:val="center"/>
          </w:tcPr>
          <w:p>
            <w:pPr>
              <w:pStyle w:val="WW-paragraph"/>
              <w:spacing w:before="170" w:after="170"/>
              <w:rPr/>
            </w:pPr>
            <w:r>
              <w:rPr>
                <w:rStyle w:val="Strong"/>
              </w:rPr>
              <w:t>Results</w:t>
              <w:br/>
              <w:t>of rebirth</w:t>
            </w:r>
          </w:p>
        </w:tc>
        <w:tc>
          <w:tcPr>
            <w:tcW w:w="2398" w:type="dxa"/>
            <w:tcBorders/>
            <w:vAlign w:val="center"/>
          </w:tcPr>
          <w:p>
            <w:pPr>
              <w:pStyle w:val="WW-paragraph"/>
              <w:spacing w:before="170" w:after="170"/>
              <w:rPr/>
            </w:pPr>
            <w:r>
              <w:rPr/>
              <w:t>5. Six senses</w:t>
              <w:br/>
              <w:t>6. Sense impressions</w:t>
              <w:br/>
              <w:t>7. Sensations</w:t>
            </w:r>
          </w:p>
        </w:tc>
        <w:tc>
          <w:tcPr>
            <w:tcW w:w="2269" w:type="dxa"/>
            <w:tcBorders/>
            <w:vAlign w:val="center"/>
          </w:tcPr>
          <w:p>
            <w:pPr>
              <w:pStyle w:val="WW-paragraph"/>
              <w:spacing w:before="170" w:after="170"/>
              <w:rPr/>
            </w:pPr>
            <w:r>
              <w:rPr/>
              <w:t>12. Suffering,</w:t>
              <w:br/>
              <w:t>incl. old age and death</w:t>
            </w:r>
          </w:p>
        </w:tc>
        <w:tc>
          <w:tcPr>
            <w:tcW w:w="1629" w:type="dxa"/>
            <w:tcBorders/>
            <w:vAlign w:val="center"/>
          </w:tcPr>
          <w:p>
            <w:pPr>
              <w:pStyle w:val="WW-paragraph"/>
              <w:spacing w:before="170" w:after="170"/>
              <w:rPr/>
            </w:pPr>
            <w:r>
              <w:rPr/>
              <w:t xml:space="preserve">• </w:t>
            </w:r>
            <w:r>
              <w:rPr/>
              <w:t>Suffering</w:t>
            </w:r>
          </w:p>
        </w:tc>
      </w:tr>
    </w:tbl>
    <w:p>
      <w:pPr>
        <w:pStyle w:val="WW-paragraph"/>
        <w:rPr/>
      </w:pPr>
      <w:r>
        <w:rPr/>
        <w:t>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Visuddhimagga says the two are different ways of teaching which are suitable for different people.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 xml:space="preserve">Based on various other grounds, many scholars have come to similar conclusions.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p>
    <w:p>
      <w:pPr>
        <w:pStyle w:val="WW-paragraph"/>
        <w:rPr/>
      </w:pPr>
      <w:r>
        <w:rPr/>
        <w:t>Text-critical evidence for such a possible development comes from three Chinese parallels to the Mahānidāna Sutta.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Dīrgha Āgama parallel to the same sutta, which contains all twelve factors.</w:t>
      </w:r>
    </w:p>
    <w:p>
      <w:pPr>
        <w:pStyle w:val="WW-table-caption"/>
        <w:rPr/>
      </w:pPr>
      <w:r>
        <w:rPr/>
        <w:t>{SimpleNoRowBorders}</w:t>
      </w:r>
      <w:r>
        <w:rPr/>
        <w:t>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2"/>
        <w:gridCol w:w="2302"/>
        <w:gridCol w:w="2414"/>
      </w:tblGrid>
      <w:tr>
        <w:trPr/>
        <w:tc>
          <w:tcPr>
            <w:tcW w:w="2532" w:type="dxa"/>
            <w:tcBorders/>
            <w:vAlign w:val="center"/>
          </w:tcPr>
          <w:p>
            <w:pPr>
              <w:pStyle w:val="WW-paragraph"/>
              <w:spacing w:before="170" w:after="170"/>
              <w:rPr/>
            </w:pPr>
            <w:r>
              <w:rPr>
                <w:rStyle w:val="Strong"/>
              </w:rPr>
              <w:t>MĀ 97, T 14 &amp; T 52</w:t>
              <w:br/>
              <w:t>(two shorter sequences)</w:t>
            </w:r>
          </w:p>
        </w:tc>
        <w:tc>
          <w:tcPr>
            <w:tcW w:w="2302" w:type="dxa"/>
            <w:tcBorders/>
            <w:vAlign w:val="center"/>
          </w:tcPr>
          <w:p>
            <w:pPr>
              <w:pStyle w:val="WW-paragraph"/>
              <w:spacing w:before="170" w:after="170"/>
              <w:rPr/>
            </w:pPr>
            <w:r>
              <w:rPr>
                <w:rStyle w:val="Strong"/>
              </w:rPr>
              <w:t>DN 15, Mahānidāna</w:t>
              <w:br/>
              <w:t>(9-fold sequence)</w:t>
            </w:r>
          </w:p>
        </w:tc>
        <w:tc>
          <w:tcPr>
            <w:tcW w:w="2414" w:type="dxa"/>
            <w:tcBorders/>
            <w:vAlign w:val="center"/>
          </w:tcPr>
          <w:p>
            <w:pPr>
              <w:pStyle w:val="WW-paragraph"/>
              <w:spacing w:before="170" w:after="170"/>
              <w:rPr/>
            </w:pPr>
            <w:r>
              <w:rPr>
                <w:rStyle w:val="Strong"/>
              </w:rPr>
              <w:t>DĀ 13</w:t>
              <w:br/>
              <w:t>(full 12-fold sequence)</w:t>
            </w:r>
          </w:p>
        </w:tc>
      </w:tr>
      <w:tr>
        <w:trPr/>
        <w:tc>
          <w:tcPr>
            <w:tcW w:w="2532"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2"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4"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1" w:name="bqseg12"/>
      <w:bookmarkEnd w:id="11"/>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p>
    <w:p>
      <w:pPr>
        <w:pStyle w:val="WW-chapter-section-1"/>
        <w:rPr/>
      </w:pPr>
      <w:r>
        <w:rPr/>
        <w:t>Ignorance and craving as the two roots</w:t>
      </w:r>
    </w:p>
    <w:p>
      <w:pPr>
        <w:pStyle w:val="WW-paragraph"/>
        <w:rPr/>
      </w:pPr>
      <w:r>
        <w:rPr/>
        <w:t>When the twelve factors of Dependent Arising are seen to contain two parallel sequences, craving and ignorance together become the primary causes for rebirth. A Tibetan commentary to the Udānavarga indeed separates the twelvefold chain into two shorter parallel ones that start with these two factors. The Visuddhimagga also states: “When speaking of the cycle of rebirth, the Blessed One made two things the starting point: ignorance […] and craving for existence.”</w:t>
      </w:r>
    </w:p>
    <w:p>
      <w:pPr>
        <w:pStyle w:val="WW-paragraph"/>
        <w:rPr/>
      </w:pPr>
      <w:r>
        <w:rPr/>
        <w:t>Two sequential discourses in the Itivuttaka neatly illustrate the last point.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 as also borne out by these verses:</w:t>
      </w:r>
    </w:p>
    <w:p>
      <w:pPr>
        <w:pStyle w:val="WW-line-block"/>
        <w:rPr/>
      </w:pPr>
      <w:bookmarkStart w:id="12" w:name="bqseg13"/>
      <w:bookmarkEnd w:id="12"/>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p>
    <w:p>
      <w:pPr>
        <w:pStyle w:val="WW-paragraph"/>
        <w:rPr/>
      </w:pPr>
      <w:r>
        <w:rPr/>
        <w:t>The two discourses from the Itivuttaka on ignorance and craving:</w:t>
      </w:r>
    </w:p>
    <w:p>
      <w:pPr>
        <w:pStyle w:val="WW-blockquote"/>
        <w:rPr/>
      </w:pPr>
      <w:bookmarkStart w:id="13" w:name="bqseg14"/>
      <w:bookmarkEnd w:id="13"/>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p>
    <w:p>
      <w:pPr>
        <w:pStyle w:val="WW-space"/>
        <w:rPr/>
      </w:pPr>
      <w:r>
        <w:rPr/>
        <w:t>0</w:t>
      </w:r>
    </w:p>
    <w:p>
      <w:pPr>
        <w:pStyle w:val="WW-blockquote"/>
        <w:rPr/>
      </w:pPr>
      <w:bookmarkStart w:id="14" w:name="bqseg15"/>
      <w:bookmarkEnd w:id="14"/>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 Other examples are: “Existence in a future life is produced because beings, obstructed by ignorance and chained by craving, look for happiness in various realms” and “the fool’s current body originated because they were obstructed by ignorance and chained by craving [in the past life]”.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Ignorance and craving are also found as a pair in other contexts. In the Sangīti Sutta they are even recited as a specific group of two. Their joint connection with rebirth also comes to the fore in verses such as the following, where craving is sometimes substituted by desire (</w:t>
      </w:r>
      <w:r>
        <w:rPr>
          <w:rStyle w:val="Emphasis"/>
        </w:rPr>
        <w:t>rāga</w:t>
      </w:r>
      <w:r>
        <w:rPr/>
        <w:t>):</w:t>
      </w:r>
    </w:p>
    <w:p>
      <w:pPr>
        <w:pStyle w:val="WW-line-block"/>
        <w:rPr/>
      </w:pPr>
      <w:bookmarkStart w:id="15" w:name="bqseg16"/>
      <w:bookmarkEnd w:id="15"/>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p>
    <w:p>
      <w:pPr>
        <w:pStyle w:val="WW-paragraph"/>
        <w:rPr/>
      </w:pPr>
      <w:r>
        <w:rPr/>
        <w:t>(A charnel ground is a place where corpses are deposited without burying them.)</w:t>
      </w:r>
    </w:p>
    <w:p>
      <w:pPr>
        <w:pStyle w:val="WW-line-block"/>
        <w:rPr/>
      </w:pPr>
      <w:bookmarkStart w:id="16" w:name="bqseg17"/>
      <w:bookmarkEnd w:id="16"/>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p>
    <w:p>
      <w:pPr>
        <w:pStyle w:val="WW-paragraph"/>
        <w:rPr/>
      </w:pPr>
      <w:r>
        <w:rPr/>
        <w:t>(The five obstructions (</w:t>
      </w:r>
      <w:r>
        <w:rPr>
          <w:rStyle w:val="Emphasis"/>
        </w:rPr>
        <w:t>nīvaraṇa</w:t>
      </w:r>
      <w:r>
        <w:rPr/>
        <w:t>) are the five hindrances in meditation.)</w:t>
      </w:r>
    </w:p>
    <w:p>
      <w:pPr>
        <w:pStyle w:val="WW-paragraph"/>
        <w:rPr/>
      </w:pPr>
      <w:r>
        <w:rPr/>
        <w:t xml:space="preserve">In the last passage, which is spoken by Kappa, craving is called the root for birth and death, which it is also called elsewhere.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rStyle w:val="wwc-figure-image"/>
        </w:rPr>
        <w:t>./img/rootsofrebirth.png=A prickly plant labeled ‘suffering of rebirth’ with a root labeled ‘ignorance and craving’.=40=border</w:t>
      </w:r>
      <w:r>
        <w:rPr/>
        <w:t xml:space="preserve"> </w:t>
        <w:br/>
      </w:r>
      <w:r>
        <w:rPr>
          <w:rStyle w:val="wwc-figure-caption"/>
        </w:rP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rStyle w:val="wwc-figure-image"/>
        </w:rPr>
        <w:t>./img/brickspulltwo.png=A stack of twelve bricks with a rope tied around the bottom and eighth one from the bottom which are labeled ‘ignorance’ and ‘craving’ respectively. A hand pulls on the rope.=40=border</w:t>
      </w:r>
    </w:p>
    <w:p>
      <w:pPr>
        <w:pStyle w:val="WW-figure"/>
        <w:rPr/>
      </w:pPr>
      <w:r>
        <w:rPr>
          <w:rStyle w:val="wwc-figure-caption"/>
        </w:rPr>
        <w:t>Figure 3. Ignorance and craving are removed together</w:t>
      </w:r>
    </w:p>
    <w:p>
      <w:pPr>
        <w:pStyle w:val="WW-paragraph"/>
        <w:rPr/>
      </w:pPr>
      <w:r>
        <w:rPr/>
        <w:t xml:space="preserve">Some discourses on Dependent Arising contain only the craving sequence, omitting the preceding ignorance sequence. We already encountered an example of this at §6 and will see some others later.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Emphasis"/>
        </w:rPr>
        <w:t>nāmarūpa</w:t>
      </w:r>
      <w:r>
        <w:rPr/>
        <w:t>) while the craving sequence may be more readily understood.</w:t>
      </w:r>
    </w:p>
    <w:p>
      <w:pPr>
        <w:pStyle w:val="WW-figure"/>
        <w:rPr/>
      </w:pPr>
      <w:r>
        <w:rPr>
          <w:rStyle w:val="wwc-figure-image"/>
        </w:rPr>
        <w:t>./img/brickssmall.png=A stack of five bricks with a hand pulling out the bottom one. The bottom brick is labeled ‘craving’, the top one ‘suffering’, and the one below the top one ‘birth’. The hand is labeled ‘wisdom’.=40=border</w:t>
      </w:r>
    </w:p>
    <w:p>
      <w:pPr>
        <w:pStyle w:val="WW-figure"/>
        <w:rPr/>
      </w:pPr>
      <w:r>
        <w:rPr>
          <w:rStyle w:val="wwc-figure-caption"/>
        </w:rP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7" w:name="bqseg18"/>
      <w:bookmarkEnd w:id="17"/>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p>
    <w:p>
      <w:pPr>
        <w:pStyle w:val="WW-paragraph"/>
        <w:rPr/>
      </w:pPr>
      <w:r>
        <w:rPr/>
        <w:t xml:space="preserve">The phrase “you can find no beginning” also implies that this is about rebirth, because elsewhere it is always used with respect to </w:t>
      </w:r>
      <w:r>
        <w:rPr>
          <w:rStyle w:val="Emphasis"/>
        </w:rPr>
        <w:t>saṁsāra</w:t>
      </w:r>
      <w:r>
        <w:rPr/>
        <w:t>.</w:t>
      </w:r>
    </w:p>
    <w:p>
      <w:pPr>
        <w:pStyle w:val="WW-paragraph"/>
        <w:rPr/>
      </w:pPr>
      <w:r>
        <w:rPr/>
        <w:t>The following verse also depicts the dependency of craving on ignorance:</w:t>
      </w:r>
    </w:p>
    <w:p>
      <w:pPr>
        <w:pStyle w:val="WW-line-block"/>
        <w:rPr/>
      </w:pPr>
      <w:bookmarkStart w:id="18" w:name="bqseg19"/>
      <w:bookmarkEnd w:id="18"/>
      <w:r>
        <w:rPr/>
        <w:t>All the wishes and delights that are always</w:t>
        <w:br/>
        <w:t>connected to the many and various realms,</w:t>
        <w:br/>
        <w:t>yearnings sprung from the root of unknowing:</w:t>
        <w:br/>
        <w:t>I eliminated them all, along with their root.</w:t>
      </w:r>
    </w:p>
    <w:p>
      <w:pPr>
        <w:pStyle w:val="WW-paragraph"/>
        <w:rPr/>
      </w:pPr>
      <w:r>
        <w:rPr/>
        <w:t>Here unknowing (</w:t>
      </w:r>
      <w:r>
        <w:rPr>
          <w:rStyle w:val="Emphasis"/>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rStyle w:val="wwc-figure-image"/>
        </w:rPr>
        <w:t>./img/rootofcraving.png=A flower growing from a root. The flower is labeled ‘craving’ and the root ‘ignorance’.=40=border</w:t>
      </w:r>
      <w:r>
        <w:rPr/>
        <w:br/>
      </w:r>
      <w:r>
        <w:rPr>
          <w:rStyle w:val="wwc-figure-image"/>
        </w:rPr>
        <w:t>./img/rootofcravingb.png=A root developing a small sprout. The root is labeled ‘ignorance’, the sprout ‘potential craving’.=40=border</w:t>
      </w:r>
      <w:r>
        <w:rPr/>
        <w:br/>
      </w:r>
      <w:r>
        <w:rPr>
          <w:rStyle w:val="wwc-figure-caption"/>
        </w:rP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rStyle w:val="wwc-figure-image"/>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br/>
      </w:r>
      <w:r>
        <w:rPr>
          <w:rStyle w:val="wwc-figure-caption"/>
        </w:rP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rStyle w:val="wwc-figure-image"/>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r>
      <w:r>
        <w:rPr/>
        <w:br/>
      </w:r>
      <w:r>
        <w:rPr>
          <w:rStyle w:val="wwc-figure-image"/>
        </w:rP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r>
      <w:r>
        <w:rPr/>
        <w:br/>
      </w:r>
      <w:r>
        <w:rPr>
          <w:rStyle w:val="wwc-figure-caption"/>
        </w:rP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p>
    <w:p>
      <w:pPr>
        <w:pStyle w:val="WW-chapter-section-1"/>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Emphasis"/>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Emphasis"/>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fldChar w:fldCharType="begin"/>
      </w:r>
      <w:r>
        <w:rPr>
          <w:rStyle w:val="Hyperlink"/>
        </w:rPr>
        <w:instrText xml:space="preserve"> HYPERLINK "https://suttacentral.net/XXX/en/sujato" \l "YYY"</w:instrText>
      </w:r>
      <w:r>
        <w:rPr>
          <w:rStyle w:val="Hyperlink"/>
        </w:rPr>
        <w:fldChar w:fldCharType="separate"/>
      </w:r>
      <w:r>
        <w:rPr>
          <w:rStyle w:val="Hyperlink"/>
        </w:rPr>
        <w:t>Sujato 2023</w:t>
      </w:r>
      <w:r>
        <w:rPr>
          <w:rStyle w:val="Hyperlink"/>
        </w:rPr>
        <w:fldChar w:fldCharType="end"/>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fals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b/>
      <w:sz w:val="32"/>
      <w:shd w:fill="FFFF00" w:val="clea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shd w:fill="DEE6EF"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shd w:fill="DEE6EF"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user">
    <w:name w:val="Block Quotation (user)"/>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5234</TotalTime>
  <Application>LibreOffice/25.2.5.2$Windows_X86_64 LibreOffice_project/03d19516eb2e1dd5d4ccd751a0d6f35f35e08022</Application>
  <AppVersion>15.0000</AppVersion>
  <Pages>30</Pages>
  <Words>12958</Words>
  <Characters>66590</Characters>
  <CharactersWithSpaces>79184</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2025-10-15T15:47:42Z</dcterms:modified>
  <cp:revision>595</cp:revision>
  <dc:subject/>
  <dc:title/>
</cp:coreProperties>
</file>

<file path=docProps/custom.xml><?xml version="1.0" encoding="utf-8"?>
<Properties xmlns="http://schemas.openxmlformats.org/officeDocument/2006/custom-properties" xmlns:vt="http://schemas.openxmlformats.org/officeDocument/2006/docPropsVTypes"/>
</file>