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266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numPr>
          <w:ilvl w:val="0"/>
          <w:numId w:val="2"/>
        </w:numPr>
        <w:rPr/>
      </w:pPr>
      <w:r>
        <w:rPr/>
        <w:t xml:space="preserve">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numPr>
          <w:ilvl w:val="0"/>
          <w:numId w:val="2"/>
        </w:numPr>
        <w:rPr/>
      </w:pPr>
      <w:r>
        <w:rPr/>
        <w:t>The before is about how consciousness comes to cease when “its foundation is destroyed”, not about liberating it.</w:t>
      </w:r>
    </w:p>
    <w:p>
      <w:pPr>
        <w:pStyle w:val="FootnoteText"/>
        <w:numPr>
          <w:ilvl w:val="0"/>
          <w:numId w:val="2"/>
        </w:numPr>
        <w:rPr/>
      </w:pPr>
      <w:r>
        <w:rPr/>
        <w:t xml:space="preserve">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numPr>
          <w:ilvl w:val="0"/>
          <w:numId w:val="2"/>
        </w:numPr>
        <w:rPr/>
      </w:pP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unmistakably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hyperlink r:id="rId25">
        <w:r>
          <w:rPr>
            <w:rStyle w:val="Hyperlink"/>
          </w:rPr>
          <w:t>MĀ 97</w:t>
        </w:r>
      </w:hyperlink>
      <w:r>
        <w:rPr/>
        <w:t xml:space="preserve">, translation </w:t>
      </w:r>
      <w:r>
        <w:rPr>
          <w:rStyle w:val="wwc-sesame-zot-reference"/>
        </w:rPr>
        <w:t>Anālayo 2020</w:t>
      </w:r>
      <w:r>
        <w:rPr/>
        <w:t>(a), emphasis added</w:t>
      </w:r>
    </w:p>
    <w:p>
      <w:pPr>
        <w:pStyle w:val="WW-gloss-term"/>
        <w:rPr/>
      </w:pPr>
      <w:r>
        <w:rPr/>
        <w:t>303</w:t>
      </w:r>
    </w:p>
    <w:p>
      <w:pPr>
        <w:pStyle w:val="FootnoteText"/>
        <w:rPr/>
      </w:pPr>
      <w:hyperlink r:id="rId26">
        <w:r>
          <w:rPr>
            <w:rStyle w:val="Hyperlink"/>
          </w:rPr>
          <w:t>DĀ 13</w:t>
        </w:r>
      </w:hyperlink>
      <w:r>
        <w:rPr/>
        <w:t xml:space="preserve">,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p>
      <w:pPr>
        <w:pStyle w:val="WW-gloss-term"/>
        <w:rPr/>
      </w:pPr>
      <w:r>
        <w:rPr/>
        <w:t>305</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308</w:t>
      </w:r>
    </w:p>
    <w:p>
      <w:pPr>
        <w:pStyle w:val="FootnoteText"/>
        <w:rPr/>
      </w:pPr>
      <w:hyperlink r:id="rId27">
        <w:r>
          <w:rPr>
            <w:rStyle w:val="Hyperlink"/>
          </w:rPr>
          <w:t>DĀ 13</w:t>
        </w:r>
      </w:hyperlink>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hyperlink r:id="rId28">
        <w:r>
          <w:rPr>
            <w:rStyle w:val="Hyperlink"/>
          </w:rPr>
          <w:t>Cnd 5</w:t>
        </w:r>
      </w:hyperlink>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p>
      <w:pPr>
        <w:pStyle w:val="WW-gloss-term"/>
        <w:rPr/>
      </w:pPr>
      <w:r>
        <w:rPr/>
        <w:t>318</w:t>
      </w:r>
    </w:p>
    <w:p>
      <w:pPr>
        <w:pStyle w:val="FootnoteText"/>
        <w:rPr/>
      </w:pP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p>
      <w:pPr>
        <w:pStyle w:val="WW-gloss-term"/>
        <w:rPr/>
      </w:pPr>
      <w:r>
        <w:rPr/>
        <w:t>323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p>
      <w:pPr>
        <w:pStyle w:val="WW-gloss-term"/>
        <w:rPr/>
      </w:pPr>
      <w:r>
        <w:rPr/>
        <w:t>324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p>
      <w:pPr>
        <w:pStyle w:val="WW-gloss-term"/>
        <w:rPr/>
      </w:pPr>
      <w:r>
        <w:rPr/>
        <w:t>334</w:t>
      </w:r>
    </w:p>
    <w:p>
      <w:pPr>
        <w:pStyle w:val="FootnoteText"/>
        <w:rPr/>
      </w:pP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p>
      <w:pPr>
        <w:pStyle w:val="WW-gloss-term"/>
        <w:rPr/>
      </w:pPr>
      <w:r>
        <w:rPr/>
        <w:t>335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p>
      <w:pPr>
        <w:pStyle w:val="WW-gloss-term"/>
        <w:rPr/>
      </w:pPr>
      <w:r>
        <w:rPr/>
        <w:t>336</w:t>
      </w:r>
    </w:p>
    <w:p>
      <w:pPr>
        <w:pStyle w:val="FootnoteText"/>
        <w:rPr/>
      </w:pPr>
      <w:r>
        <w:rPr>
          <w:rStyle w:val="wwc-sesame-zot-reference"/>
        </w:rPr>
        <w:t>Bausch 2018</w:t>
      </w:r>
      <w:r>
        <w:rPr/>
        <w:t xml:space="preserve"> p.39</w:t>
      </w:r>
    </w:p>
    <w:p>
      <w:pPr>
        <w:pStyle w:val="WW-gloss-term"/>
        <w:rPr/>
      </w:pPr>
      <w:r>
        <w:rPr/>
        <w:t>337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 xml:space="preserve">BU 2.4.12, </w:t>
      </w:r>
      <w:r>
        <w:rPr>
          <w:rStyle w:val="wwc-pali"/>
        </w:rPr>
        <w:t>anantam apāraṁ vijñāna-ghana eva</w:t>
      </w:r>
      <w:r>
        <w:rPr/>
        <w:t xml:space="preserve">; BU 3.8.8, </w:t>
      </w:r>
      <w:r>
        <w:rPr>
          <w:rStyle w:val="wwc-pali"/>
        </w:rPr>
        <w:t>asthūlam anaṇv ahrasvam adīrgham</w:t>
      </w:r>
      <w:r>
        <w:rPr/>
        <w:t>.</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p>
      <w:pPr>
        <w:pStyle w:val="WW-gloss-term"/>
        <w:rPr/>
      </w:pPr>
      <w:r>
        <w:rPr/>
        <w:t>355</w:t>
      </w:r>
    </w:p>
    <w:p>
      <w:pPr>
        <w:pStyle w:val="FootnoteText"/>
        <w:rPr/>
      </w:pP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p>
      <w:pPr>
        <w:pStyle w:val="WW-gloss-term"/>
        <w:rPr/>
      </w:pPr>
      <w:r>
        <w:rPr/>
        <w:t>356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p>
      <w:pPr>
        <w:pStyle w:val="WW-gloss-term"/>
        <w:rPr/>
      </w:pPr>
      <w:r>
        <w:rPr/>
        <w:t>357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p>
      <w:pPr>
        <w:pStyle w:val="WW-gloss-term"/>
        <w:rPr/>
      </w:pPr>
      <w:r>
        <w:rPr/>
        <w:t>358</w:t>
      </w:r>
    </w:p>
    <w:p>
      <w:pPr>
        <w:pStyle w:val="FootnoteText"/>
        <w:rPr/>
      </w:pPr>
      <w:r>
        <w:rPr/>
        <w:t xml:space="preserve">For example at </w:t>
      </w:r>
      <w:hyperlink r:id="rId29">
        <w:r>
          <w:rPr>
            <w:rStyle w:val="Hyperlink"/>
          </w:rPr>
          <w:t>SĀ 284</w:t>
        </w:r>
      </w:hyperlink>
      <w:r>
        <w:rPr/>
        <w:t xml:space="preserve">, as pointed out by </w:t>
      </w:r>
      <w:r>
        <w:rPr>
          <w:rStyle w:val="wwc-sesame-zot-reference"/>
        </w:rPr>
        <w:t>Choong</w:t>
      </w:r>
      <w:r>
        <w:rPr/>
        <w:t xml:space="preserve"> p.174</w:t>
      </w:r>
    </w:p>
    <w:p>
      <w:pPr>
        <w:pStyle w:val="WW-gloss-term"/>
        <w:rPr/>
      </w:pPr>
      <w:r>
        <w:rPr/>
        <w:t>359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p>
      <w:pPr>
        <w:pStyle w:val="WW-gloss-term"/>
        <w:rPr/>
      </w:pPr>
      <w:r>
        <w:rPr/>
        <w:t>362</w:t>
      </w:r>
    </w:p>
    <w:p>
      <w:pPr>
        <w:pStyle w:val="FootnoteText"/>
        <w:rPr/>
      </w:pP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w:t>
      </w:r>
      <w:r>
        <w:rPr>
          <w:rStyle w:val="wwc-pali"/>
        </w:rPr>
        <w:t>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p>
      <w:pPr>
        <w:pStyle w:val="WW-gloss-term"/>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w:t>
      </w:r>
      <w:r>
        <w:rPr>
          <w:rStyle w:val="wwc-pali"/>
        </w:rPr>
        <w:t>viññāṇa</w:t>
      </w:r>
      <w:r>
        <w:rPr/>
        <w:t>,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p>
      <w:pPr>
        <w:pStyle w:val="WW-gloss-term"/>
        <w:rPr/>
      </w:pPr>
      <w:r>
        <w:rPr/>
        <w:t>389</w:t>
      </w:r>
    </w:p>
    <w:p>
      <w:pPr>
        <w:pStyle w:val="FootnoteText"/>
        <w:rPr/>
      </w:pP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were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selfhood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p>
      <w:pPr>
        <w:pStyle w:val="FootnoteText"/>
        <w:rPr/>
      </w:pPr>
      <w:r>
        <w:rPr/>
      </w:r>
    </w:p>
    <w:p>
      <w:pPr>
        <w:pStyle w:val="WW-gloss-term"/>
        <w:rPr/>
      </w:pPr>
      <w:r>
        <w:rPr/>
        <w:t>390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p>
      <w:pPr>
        <w:pStyle w:val="WW-gloss-term"/>
        <w:rPr/>
      </w:pPr>
      <w:r>
        <w:rPr/>
        <w:t>391</w:t>
      </w:r>
    </w:p>
    <w:p>
      <w:pPr>
        <w:pStyle w:val="FootnoteText"/>
        <w:rPr/>
      </w:pP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p>
      <w:pPr>
        <w:pStyle w:val="WW-gloss-term"/>
        <w:rPr/>
      </w:pPr>
      <w:r>
        <w:rPr/>
        <w:t>393</w:t>
      </w:r>
    </w:p>
    <w:p>
      <w:pPr>
        <w:pStyle w:val="FootnoteText"/>
        <w:rPr/>
      </w:pP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p>
      <w:pPr>
        <w:pStyle w:val="WW-gloss-term"/>
        <w:rPr/>
      </w:pPr>
      <w:r>
        <w:rPr/>
        <w:t>394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p>
      <w:pPr>
        <w:pStyle w:val="WW-gloss-term"/>
        <w:rPr/>
      </w:pPr>
      <w:r>
        <w:rPr/>
        <w:t>395</w:t>
      </w:r>
    </w:p>
    <w:p>
      <w:pPr>
        <w:pStyle w:val="FootnoteText"/>
        <w:rPr/>
      </w:pPr>
      <w:r>
        <w:rPr/>
        <w:t>§146</w:t>
      </w:r>
    </w:p>
    <w:p>
      <w:pPr>
        <w:pStyle w:val="WW-gloss-term"/>
        <w:rPr/>
      </w:pPr>
      <w:r>
        <w:rPr/>
        <w:t>396</w:t>
      </w:r>
    </w:p>
    <w:p>
      <w:pPr>
        <w:pStyle w:val="FootnoteText"/>
        <w:rPr/>
      </w:pPr>
      <w:hyperlink r:id="rId30">
        <w:r>
          <w:rPr>
            <w:rStyle w:val="Hyperlink"/>
          </w:rPr>
          <w:t>SĀ 1187</w:t>
        </w:r>
      </w:hyperlink>
      <w:r>
        <w:rPr/>
        <w:t xml:space="preserve">, </w:t>
      </w:r>
      <w:r>
        <w:rPr/>
        <w:t>諸識永滅</w:t>
      </w:r>
    </w:p>
    <w:p>
      <w:pPr>
        <w:pStyle w:val="WW-gloss-term"/>
        <w:rPr/>
      </w:pPr>
      <w:r>
        <w:rPr/>
        <w:t>397</w:t>
      </w:r>
    </w:p>
    <w:p>
      <w:pPr>
        <w:pStyle w:val="FootnoteText"/>
        <w:rPr/>
      </w:pPr>
      <w:hyperlink r:id="rId31">
        <w:r>
          <w:rPr>
            <w:rStyle w:val="Hyperlink"/>
          </w:rPr>
          <w:t>SĀ</w:t>
        </w:r>
        <w:r>
          <w:rPr>
            <w:rStyle w:val="Hyperlink"/>
            <w:vertAlign w:val="superscript"/>
          </w:rPr>
          <w:t>2</w:t>
        </w:r>
        <w:r>
          <w:rPr>
            <w:rStyle w:val="Hyperlink"/>
          </w:rPr>
          <w:t xml:space="preserve"> 100</w:t>
        </w:r>
      </w:hyperlink>
      <w:r>
        <w:rPr/>
        <w:t xml:space="preserve">,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WW-gloss-term"/>
        <w:rPr/>
      </w:pPr>
      <w:r>
        <w:rPr/>
        <w:t>402</w:t>
      </w:r>
    </w:p>
    <w:p>
      <w:pPr>
        <w:pStyle w:val="FootnoteText"/>
        <w:rPr/>
      </w:pPr>
      <w:r>
        <w:rPr/>
        <w:t>Sujato 2011a</w:t>
      </w:r>
    </w:p>
    <w:p>
      <w:pPr>
        <w:pStyle w:val="WW-gloss-term"/>
        <w:rPr/>
      </w:pPr>
      <w:r>
        <w:rPr/>
        <w:t>403</w:t>
      </w:r>
    </w:p>
    <w:p>
      <w:pPr>
        <w:pStyle w:val="FootnoteText"/>
        <w:rPr/>
      </w:pPr>
      <w:r>
        <w:rPr/>
        <w:t>Bodhi 2020 p.25. See also Warder 2010 p.5</w:t>
      </w:r>
    </w:p>
    <w:p>
      <w:pPr>
        <w:pStyle w:val="WW-gloss-term"/>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WW-gloss-term"/>
        <w:rPr/>
      </w:pPr>
      <w:r>
        <w:rPr/>
        <w:t>405</w:t>
      </w:r>
    </w:p>
    <w:p>
      <w:pPr>
        <w:pStyle w:val="FootnoteText"/>
        <w:rPr/>
      </w:pPr>
      <w:r>
        <w:rPr/>
        <w:t>Ñāṇamoli 1956 n.48 p.606. See also Gombrich 1980 p.43</w:t>
      </w:r>
    </w:p>
    <w:p>
      <w:pPr>
        <w:pStyle w:val="WW-gloss-term"/>
        <w:rPr/>
      </w:pPr>
      <w:r>
        <w:rPr/>
        <w:t>406</w:t>
      </w:r>
    </w:p>
    <w:p>
      <w:pPr>
        <w:pStyle w:val="FootnoteText"/>
        <w:rPr/>
      </w:pPr>
      <w:r>
        <w:rPr/>
        <w:t>Schmithausen 2000 p.74, translation mine, emphasis in the original</w:t>
      </w:r>
    </w:p>
    <w:p>
      <w:pPr>
        <w:pStyle w:val="WW-gloss-term"/>
        <w:rPr/>
      </w:pPr>
      <w:r>
        <w:rPr/>
        <w:t>407</w:t>
      </w:r>
    </w:p>
    <w:p>
      <w:pPr>
        <w:pStyle w:val="FootnoteText"/>
        <w:rPr/>
      </w:pPr>
      <w:r>
        <w:rPr/>
        <w:t>Brahmavamso 1994, which uses the simile with reference to feelings instead of consciousness, but the idea is the same.</w:t>
      </w:r>
    </w:p>
    <w:p>
      <w:pPr>
        <w:pStyle w:val="WW-gloss-term"/>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WW-gloss-term"/>
        <w:rPr/>
      </w:pPr>
      <w:r>
        <w:rPr/>
        <w:t>409</w:t>
      </w:r>
    </w:p>
    <w:p>
      <w:pPr>
        <w:pStyle w:val="FootnoteText"/>
        <w:rPr/>
      </w:pPr>
      <w:r>
        <w:rPr/>
        <w:t>MN 43:9.1–9.9 M I 293</w:t>
      </w:r>
    </w:p>
    <w:p>
      <w:pPr>
        <w:pStyle w:val="WW-gloss-term"/>
        <w:rPr/>
      </w:pPr>
      <w:r>
        <w:rPr/>
        <w:t>410</w:t>
      </w:r>
    </w:p>
    <w:p>
      <w:pPr>
        <w:pStyle w:val="FootnoteText"/>
        <w:rPr/>
      </w:pPr>
      <w:r>
        <w:rPr/>
        <w:t>MN 148:8.1–8.11 M III 281</w:t>
      </w:r>
    </w:p>
    <w:p>
      <w:pPr>
        <w:pStyle w:val="WW-gloss-term"/>
        <w:rPr/>
      </w:pPr>
      <w:r>
        <w:rPr/>
        <w:t>411</w:t>
      </w:r>
    </w:p>
    <w:p>
      <w:pPr>
        <w:pStyle w:val="FootnoteText"/>
        <w:rPr/>
      </w:pPr>
      <w:r>
        <w:rPr/>
        <w:t>See Hamilton p.89</w:t>
      </w:r>
    </w:p>
    <w:p>
      <w:pPr>
        <w:pStyle w:val="WW-gloss-term"/>
        <w:rPr/>
      </w:pPr>
      <w:r>
        <w:rPr/>
        <w:t>412</w:t>
      </w:r>
    </w:p>
    <w:p>
      <w:pPr>
        <w:pStyle w:val="FootnoteText"/>
        <w:rPr/>
      </w:pPr>
      <w:r>
        <w:rPr/>
        <w:t>MN 28:27.1 M I 190</w:t>
      </w:r>
    </w:p>
    <w:p>
      <w:pPr>
        <w:pStyle w:val="WW-gloss-term"/>
        <w:rPr/>
      </w:pPr>
      <w:r>
        <w:rPr/>
        <w:t>413</w:t>
      </w:r>
    </w:p>
    <w:p>
      <w:pPr>
        <w:pStyle w:val="FootnoteText"/>
        <w:rPr/>
      </w:pPr>
      <w:r>
        <w:rPr/>
        <w:t>MN 38:8.1–8.21 M I 260. SN 12.62, SN 36.10, and SN 48.39 contain a similar simile which compares sense impression to fire sticks.</w:t>
      </w:r>
    </w:p>
    <w:p>
      <w:pPr>
        <w:pStyle w:val="WW-gloss-term"/>
        <w:rPr/>
      </w:pPr>
      <w:r>
        <w:rPr/>
        <w:t>414</w:t>
      </w:r>
    </w:p>
    <w:p>
      <w:pPr>
        <w:pStyle w:val="FootnoteText"/>
        <w:rPr/>
      </w:pPr>
      <w:r>
        <w:rPr/>
        <w:t>See for example SN 12.52:2.3: “With that nutriment, that fuel, that bonfire would burn for a very long time.”</w:t>
      </w:r>
    </w:p>
    <w:p>
      <w:pPr>
        <w:pStyle w:val="WW-gloss-term"/>
        <w:rPr/>
      </w:pPr>
      <w:r>
        <w:rPr/>
        <w:t>415</w:t>
      </w:r>
    </w:p>
    <w:p>
      <w:pPr>
        <w:pStyle w:val="FootnoteText"/>
        <w:rPr/>
      </w:pPr>
      <w:r>
        <w:rPr/>
        <w:t>MN 28:17.1 M I 188</w:t>
      </w:r>
    </w:p>
    <w:p>
      <w:pPr>
        <w:pStyle w:val="WW-gloss-term"/>
        <w:rPr/>
      </w:pPr>
      <w:r>
        <w:rPr/>
        <w:t>416</w:t>
      </w:r>
    </w:p>
    <w:p>
      <w:pPr>
        <w:pStyle w:val="FootnoteText"/>
        <w:rPr/>
      </w:pPr>
      <w:r>
        <w:rPr/>
        <w:t>On the same passage see also Gombrich 2009 p.120</w:t>
      </w:r>
    </w:p>
    <w:p>
      <w:pPr>
        <w:pStyle w:val="WW-gloss-term"/>
        <w:rPr/>
      </w:pPr>
      <w:r>
        <w:rPr/>
        <w:t>417</w:t>
      </w:r>
    </w:p>
    <w:p>
      <w:pPr>
        <w:pStyle w:val="FootnoteText"/>
        <w:rPr/>
      </w:pPr>
      <w:r>
        <w:rPr/>
        <w:t>MN 146:8.25–9.19 M III 273</w:t>
      </w:r>
    </w:p>
    <w:p>
      <w:pPr>
        <w:pStyle w:val="WW-gloss-term"/>
        <w:rPr/>
      </w:pPr>
      <w:r>
        <w:rPr/>
        <w:t>418</w:t>
      </w:r>
    </w:p>
    <w:p>
      <w:pPr>
        <w:pStyle w:val="FootnoteText"/>
        <w:rPr/>
      </w:pPr>
      <w:r>
        <w:rPr/>
        <w:t>SN 35.92:1.3–1.5</w:t>
      </w:r>
    </w:p>
    <w:p>
      <w:pPr>
        <w:pStyle w:val="WW-gloss-term"/>
        <w:rPr/>
      </w:pPr>
      <w:r>
        <w:rPr/>
        <w:t>419</w:t>
      </w:r>
    </w:p>
    <w:p>
      <w:pPr>
        <w:pStyle w:val="FootnoteText"/>
        <w:rPr/>
      </w:pPr>
      <w:r>
        <w:rPr/>
        <w:t>SN 35.93</w:t>
      </w:r>
    </w:p>
    <w:p>
      <w:pPr>
        <w:pStyle w:val="WW-gloss-term"/>
        <w:rPr/>
      </w:pPr>
      <w:r>
        <w:rPr/>
        <w:t>420</w:t>
      </w:r>
    </w:p>
    <w:p>
      <w:pPr>
        <w:pStyle w:val="FootnoteText"/>
        <w:rPr/>
      </w:pPr>
      <w:r>
        <w:rPr/>
        <w:t>See DN 1:3.21.1–3.26.2 D I 36</w:t>
      </w:r>
    </w:p>
    <w:p>
      <w:pPr>
        <w:pStyle w:val="WW-gloss-term"/>
        <w:rPr/>
      </w:pPr>
      <w:r>
        <w:rPr/>
        <w:t>421</w:t>
      </w:r>
    </w:p>
    <w:p>
      <w:pPr>
        <w:pStyle w:val="FootnoteText"/>
        <w:rPr/>
      </w:pPr>
      <w:r>
        <w:rPr/>
        <w:t>SN 35.84</w:t>
      </w:r>
    </w:p>
    <w:p>
      <w:pPr>
        <w:pStyle w:val="WW-gloss-term"/>
        <w:rPr/>
      </w:pPr>
      <w:r>
        <w:rPr/>
        <w:t>422</w:t>
      </w:r>
    </w:p>
    <w:p>
      <w:pPr>
        <w:pStyle w:val="FootnoteText"/>
        <w:rPr/>
      </w:pPr>
      <w:r>
        <w:rPr/>
        <w:t>MN 113:21.7–21.8 M III 42</w:t>
      </w:r>
    </w:p>
    <w:p>
      <w:pPr>
        <w:pStyle w:val="WW-gloss-term"/>
        <w:rPr/>
      </w:pPr>
      <w:r>
        <w:rPr/>
        <w:t>423</w:t>
      </w:r>
    </w:p>
    <w:p>
      <w:pPr>
        <w:pStyle w:val="FootnoteText"/>
        <w:rPr/>
      </w:pPr>
      <w:r>
        <w:rPr/>
        <w:t>See also Brahmavamso 2006 ‘The Nature of Citta’</w:t>
      </w:r>
    </w:p>
    <w:p>
      <w:pPr>
        <w:pStyle w:val="WW-gloss-term"/>
        <w:rPr/>
      </w:pPr>
      <w:r>
        <w:rPr/>
        <w:t>424</w:t>
      </w:r>
    </w:p>
    <w:p>
      <w:pPr>
        <w:pStyle w:val="FootnoteText"/>
        <w:rPr/>
      </w:pPr>
      <w:r>
        <w:rPr/>
        <w:t>SN 36.6:2.1. See also SN 36.4</w:t>
      </w:r>
    </w:p>
    <w:p>
      <w:pPr>
        <w:pStyle w:val="WW-gloss-term"/>
        <w:rPr/>
      </w:pPr>
      <w:r>
        <w:rPr/>
        <w:t>425</w:t>
      </w:r>
    </w:p>
    <w:p>
      <w:pPr>
        <w:pStyle w:val="FootnoteText"/>
        <w:rPr/>
      </w:pPr>
      <w:r>
        <w:rPr/>
        <w:t>SN 12.19</w:t>
      </w:r>
    </w:p>
    <w:p>
      <w:pPr>
        <w:pStyle w:val="WW-gloss-term"/>
        <w:rPr/>
      </w:pPr>
      <w:r>
        <w:rPr/>
        <w:t>426</w:t>
      </w:r>
    </w:p>
    <w:p>
      <w:pPr>
        <w:pStyle w:val="FootnoteText"/>
        <w:rPr/>
      </w:pPr>
      <w:r>
        <w:rPr/>
        <w:t xml:space="preserve">Savijñānakaḥ kāyo (SF 161) and </w:t>
      </w:r>
      <w:r>
        <w:rPr/>
        <w:t xml:space="preserve">識身 </w:t>
      </w:r>
      <w:r>
        <w:rPr/>
        <w:t>(SĀ 294). See Choong p.185</w:t>
      </w:r>
    </w:p>
    <w:p>
      <w:pPr>
        <w:pStyle w:val="WW-gloss-term"/>
        <w:rPr/>
      </w:pPr>
      <w:r>
        <w:rPr/>
        <w:t>427</w:t>
      </w:r>
    </w:p>
    <w:p>
      <w:pPr>
        <w:pStyle w:val="FootnoteText"/>
        <w:rPr/>
      </w:pPr>
      <w:r>
        <w:rPr/>
        <w:t>See note 361</w:t>
      </w:r>
    </w:p>
    <w:p>
      <w:pPr>
        <w:pStyle w:val="WW-gloss-term"/>
        <w:rPr/>
      </w:pPr>
      <w:r>
        <w:rPr/>
        <w:t>428</w:t>
      </w:r>
    </w:p>
    <w:p>
      <w:pPr>
        <w:pStyle w:val="FootnoteText"/>
        <w:rPr/>
      </w:pPr>
      <w:r>
        <w:rPr/>
        <w:t>DOP under nimitta</w:t>
      </w:r>
    </w:p>
    <w:p>
      <w:pPr>
        <w:pStyle w:val="WW-gloss-term"/>
        <w:rPr/>
      </w:pPr>
      <w:r>
        <w:rPr/>
        <w:t>429</w:t>
      </w:r>
    </w:p>
    <w:p>
      <w:pPr>
        <w:pStyle w:val="FootnoteText"/>
        <w:rPr/>
      </w:pPr>
      <w:r>
        <w:rPr/>
        <w:t>Bodhi 2012 at AN 3.32, AN 3.33 and AN 7.49. Here I regard nāmarūpa as a bahubbīhi-like compound used as a noun; see note 113</w:t>
      </w:r>
    </w:p>
    <w:p>
      <w:pPr>
        <w:pStyle w:val="WW-gloss-term"/>
        <w:rPr/>
      </w:pPr>
      <w:r>
        <w:rPr/>
        <w:t>430</w:t>
      </w:r>
    </w:p>
    <w:p>
      <w:pPr>
        <w:pStyle w:val="FootnoteText"/>
        <w:rPr/>
      </w:pPr>
      <w:r>
        <w:rPr/>
        <w:t>Schmithausen 2000 p.66 n.103, translation mine</w:t>
      </w:r>
    </w:p>
    <w:p>
      <w:pPr>
        <w:pStyle w:val="WW-gloss-term"/>
        <w:rPr/>
      </w:pPr>
      <w:r>
        <w:rPr/>
        <w:t>431</w:t>
      </w:r>
    </w:p>
    <w:p>
      <w:pPr>
        <w:pStyle w:val="FootnoteText"/>
        <w:rPr/>
      </w:pPr>
      <w:r>
        <w:rPr/>
        <w:t>Gonda p.8</w:t>
      </w:r>
    </w:p>
    <w:p>
      <w:pPr>
        <w:pStyle w:val="WW-gloss-term"/>
        <w:rPr/>
      </w:pPr>
      <w:r>
        <w:rPr/>
        <w:t>432</w:t>
      </w:r>
    </w:p>
    <w:p>
      <w:pPr>
        <w:pStyle w:val="FootnoteText"/>
        <w:rPr/>
      </w:pPr>
      <w:r>
        <w:rPr/>
        <w:t>Bodhi 2000 n.48 at SN 12.19</w:t>
      </w:r>
    </w:p>
    <w:p>
      <w:pPr>
        <w:pStyle w:val="WW-gloss-term"/>
        <w:rPr/>
      </w:pPr>
      <w:r>
        <w:rPr/>
        <w:t>433</w:t>
      </w:r>
    </w:p>
    <w:p>
      <w:pPr>
        <w:pStyle w:val="FootnoteText"/>
        <w:rPr/>
      </w:pPr>
      <w:r>
        <w:rPr/>
        <w:t>Hamilton p.127–135</w:t>
      </w:r>
    </w:p>
    <w:p>
      <w:pPr>
        <w:pStyle w:val="WW-gloss-term"/>
        <w:rPr/>
      </w:pPr>
      <w:r>
        <w:rPr/>
        <w:t>434</w:t>
      </w:r>
    </w:p>
    <w:p>
      <w:pPr>
        <w:pStyle w:val="FootnoteText"/>
        <w:rPr/>
      </w:pPr>
      <w:r>
        <w:rPr/>
        <w:t>Falk p.56 n.1</w:t>
      </w:r>
    </w:p>
    <w:p>
      <w:pPr>
        <w:pStyle w:val="WW-gloss-term"/>
        <w:rPr/>
      </w:pPr>
      <w:r>
        <w:rPr/>
        <w:t>435</w:t>
      </w:r>
    </w:p>
    <w:p>
      <w:pPr>
        <w:pStyle w:val="FootnoteText"/>
        <w:rPr/>
      </w:pPr>
      <w:r>
        <w:rPr/>
        <w:t>For example Reat, Bucknell p.324, Anālayo 2018 p.25</w:t>
      </w:r>
    </w:p>
    <w:p>
      <w:pPr>
        <w:pStyle w:val="WW-gloss-term"/>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WW-gloss-term"/>
        <w:rPr/>
      </w:pPr>
      <w:r>
        <w:rPr/>
        <w:t>437</w:t>
      </w:r>
    </w:p>
    <w:p>
      <w:pPr>
        <w:pStyle w:val="FootnoteText"/>
        <w:rPr/>
      </w:pPr>
      <w:r>
        <w:rPr/>
        <w:t>See for example §137, Thag 1.90</w:t>
      </w:r>
    </w:p>
    <w:p>
      <w:pPr>
        <w:pStyle w:val="WW-gloss-term"/>
        <w:rPr/>
      </w:pPr>
      <w:r>
        <w:rPr/>
        <w:t>438</w:t>
      </w:r>
    </w:p>
    <w:p>
      <w:pPr>
        <w:pStyle w:val="FootnoteText"/>
        <w:rPr/>
      </w:pPr>
      <w:r>
        <w:rPr/>
        <w:t>See also Hamilton p.135</w:t>
      </w:r>
    </w:p>
    <w:p>
      <w:pPr>
        <w:pStyle w:val="WW-gloss-term"/>
        <w:rPr/>
      </w:pPr>
      <w:r>
        <w:rPr/>
        <w:t>439</w:t>
      </w:r>
    </w:p>
    <w:p>
      <w:pPr>
        <w:pStyle w:val="FootnoteText"/>
        <w:rPr/>
      </w:pPr>
      <w:r>
        <w:rPr/>
        <w:t>§83, §84</w:t>
      </w:r>
    </w:p>
    <w:p>
      <w:pPr>
        <w:pStyle w:val="WW-gloss-term"/>
        <w:rPr/>
      </w:pPr>
      <w:r>
        <w:rPr/>
        <w:t>440</w:t>
      </w:r>
    </w:p>
    <w:p>
      <w:pPr>
        <w:pStyle w:val="FootnoteText"/>
        <w:rPr/>
      </w:pPr>
      <w:r>
        <w:rPr/>
        <w:t>§84, §23, §54, §80</w:t>
      </w:r>
    </w:p>
    <w:p>
      <w:pPr>
        <w:pStyle w:val="WW-gloss-term"/>
        <w:rPr/>
      </w:pPr>
      <w:r>
        <w:rPr/>
        <w:t>441</w:t>
      </w:r>
    </w:p>
    <w:p>
      <w:pPr>
        <w:pStyle w:val="FootnoteText"/>
        <w:rPr/>
      </w:pPr>
      <w:r>
        <w:rPr/>
        <w:t>See also Hamilton p.132 and Olalde 2014 p.103</w:t>
      </w:r>
    </w:p>
    <w:p>
      <w:pPr>
        <w:pStyle w:val="WW-gloss-term"/>
        <w:rPr/>
      </w:pPr>
      <w:r>
        <w:rPr/>
        <w:t>442</w:t>
      </w:r>
    </w:p>
    <w:p>
      <w:pPr>
        <w:pStyle w:val="FootnoteText"/>
        <w:rPr/>
      </w:pPr>
      <w:r>
        <w:rPr/>
        <w:t>Schmithausen 2000 pp.69–74, translation mine</w:t>
      </w:r>
    </w:p>
    <w:p>
      <w:pPr>
        <w:pStyle w:val="WW-gloss-term"/>
        <w:rPr/>
      </w:pPr>
      <w:r>
        <w:rPr/>
        <w:t>443</w:t>
      </w:r>
    </w:p>
    <w:p>
      <w:pPr>
        <w:pStyle w:val="FootnoteText"/>
        <w:rPr/>
      </w:pPr>
      <w:r>
        <w:rPr/>
        <w:t>See note 152</w:t>
      </w:r>
    </w:p>
    <w:p>
      <w:pPr>
        <w:pStyle w:val="WW-gloss-term"/>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WW-gloss-term"/>
        <w:rPr/>
      </w:pPr>
      <w:r>
        <w:rPr/>
        <w:t>445</w:t>
      </w:r>
    </w:p>
    <w:p>
      <w:pPr>
        <w:pStyle w:val="FootnoteText"/>
        <w:rPr/>
      </w:pPr>
      <w:r>
        <w:rPr/>
        <w:t>Olalde 2014 p.69, “äußerst unklar”; Vetter 1994 p.147, “wenig Sinn”. Schmithausen 2000 p.58 also calls it “difficult” (schwieriger).</w:t>
      </w:r>
    </w:p>
    <w:p>
      <w:pPr>
        <w:pStyle w:val="WW-gloss-term"/>
        <w:rPr/>
      </w:pPr>
      <w:r>
        <w:rPr/>
        <w:t>446</w:t>
      </w:r>
    </w:p>
    <w:p>
      <w:pPr>
        <w:pStyle w:val="FootnoteText"/>
        <w:rPr/>
      </w:pPr>
      <w:r>
        <w:rPr/>
        <w:t>Bodhi 1984 p.20</w:t>
      </w:r>
    </w:p>
    <w:p>
      <w:pPr>
        <w:pStyle w:val="WW-gloss-term"/>
        <w:rPr/>
      </w:pPr>
      <w:r>
        <w:rPr/>
        <w:t>447</w:t>
      </w:r>
    </w:p>
    <w:p>
      <w:pPr>
        <w:pStyle w:val="FootnoteText"/>
        <w:rPr/>
      </w:pPr>
      <w:r>
        <w:rPr/>
        <w:t>See Bodhi 1984 p.107</w:t>
      </w:r>
    </w:p>
    <w:p>
      <w:pPr>
        <w:pStyle w:val="WW-gloss-term"/>
        <w:rPr/>
      </w:pPr>
      <w:r>
        <w:rPr/>
        <w:t>448</w:t>
      </w:r>
    </w:p>
    <w:p>
      <w:pPr>
        <w:pStyle w:val="FootnoteText"/>
        <w:rPr/>
      </w:pPr>
      <w:r>
        <w:rPr/>
        <w:t>See also note 139</w:t>
      </w:r>
    </w:p>
    <w:p>
      <w:pPr>
        <w:pStyle w:val="WW-gloss-term"/>
        <w:rPr/>
      </w:pPr>
      <w:r>
        <w:rPr/>
        <w:t>449</w:t>
      </w:r>
    </w:p>
    <w:p>
      <w:pPr>
        <w:pStyle w:val="FootnoteText"/>
        <w:rPr/>
      </w:pPr>
      <w:r>
        <w:rPr/>
        <w:t>DN 15:20.1–20.10 D II 63</w:t>
      </w:r>
    </w:p>
    <w:p>
      <w:pPr>
        <w:pStyle w:val="WW-gloss-term"/>
        <w:rPr/>
      </w:pPr>
      <w:r>
        <w:rPr/>
        <w:t>450</w:t>
      </w:r>
    </w:p>
    <w:p>
      <w:pPr>
        <w:pStyle w:val="FootnoteText"/>
        <w:rPr/>
      </w:pPr>
      <w:r>
        <w:rPr/>
        <w:t>Bodhi 1984 p.21</w:t>
      </w:r>
    </w:p>
    <w:p>
      <w:pPr>
        <w:pStyle w:val="WW-gloss-term"/>
        <w:rPr/>
      </w:pPr>
      <w:r>
        <w:rPr/>
        <w:t>451</w:t>
      </w:r>
    </w:p>
    <w:p>
      <w:pPr>
        <w:pStyle w:val="FootnoteText"/>
        <w:rPr/>
      </w:pPr>
      <w:r>
        <w:rPr/>
        <w:t>MN 43:21.1–21.6 M I 295, SN 48.42</w:t>
      </w:r>
    </w:p>
    <w:p>
      <w:pPr>
        <w:pStyle w:val="WW-gloss-term"/>
        <w:rPr/>
      </w:pPr>
      <w:r>
        <w:rPr/>
        <w:t>452</w:t>
      </w:r>
    </w:p>
    <w:p>
      <w:pPr>
        <w:pStyle w:val="FootnoteText"/>
        <w:rPr/>
      </w:pPr>
      <w:r>
        <w:rPr/>
        <w:t>For example Warder 1970 p.108, Vetter 1994 p.148, Olalde 2014 p.110, Schmithausen 2000 p.58</w:t>
      </w:r>
    </w:p>
    <w:p>
      <w:pPr>
        <w:pStyle w:val="WW-gloss-term"/>
        <w:rPr/>
      </w:pPr>
      <w:r>
        <w:rPr/>
        <w:t>453</w:t>
      </w:r>
    </w:p>
    <w:p>
      <w:pPr>
        <w:pStyle w:val="FootnoteText"/>
        <w:rPr/>
      </w:pPr>
      <w:r>
        <w:rPr/>
        <w:t>Bodhi 1984 p.20</w:t>
      </w:r>
    </w:p>
    <w:p>
      <w:pPr>
        <w:pStyle w:val="WW-gloss-term"/>
        <w:rPr/>
      </w:pPr>
      <w:r>
        <w:rPr/>
        <w:t>454</w:t>
      </w:r>
    </w:p>
    <w:p>
      <w:pPr>
        <w:pStyle w:val="FootnoteText"/>
        <w:rPr/>
      </w:pPr>
      <w:r>
        <w:rPr/>
        <w:t>Snp 5.7:6.4. See also DOP s.v. nāmakāya: ‘the group of non-material aspects (of an individual)’.</w:t>
      </w:r>
    </w:p>
    <w:p>
      <w:pPr>
        <w:pStyle w:val="WW-gloss-term"/>
        <w:rPr/>
      </w:pPr>
      <w:r>
        <w:rPr/>
        <w:t>455</w:t>
      </w:r>
    </w:p>
    <w:p>
      <w:pPr>
        <w:pStyle w:val="FootnoteText"/>
        <w:rPr/>
      </w:pPr>
      <w:r>
        <w:rPr/>
        <w:t>DĀ 13 at 61b02, translation Patton</w:t>
      </w:r>
    </w:p>
    <w:p>
      <w:pPr>
        <w:pStyle w:val="WW-gloss-term"/>
        <w:rPr/>
      </w:pPr>
      <w:r>
        <w:rPr/>
        <w:t>456</w:t>
      </w:r>
    </w:p>
    <w:p>
      <w:pPr>
        <w:pStyle w:val="FootnoteText"/>
        <w:rPr/>
      </w:pPr>
      <w:r>
        <w:rPr/>
        <w:t>Hamilton p.134</w:t>
      </w:r>
    </w:p>
    <w:p>
      <w:pPr>
        <w:pStyle w:val="WW-gloss-term"/>
        <w:rPr/>
      </w:pPr>
      <w:r>
        <w:rPr/>
        <w:t>457</w:t>
      </w:r>
    </w:p>
    <w:p>
      <w:pPr>
        <w:pStyle w:val="FootnoteText"/>
        <w:rPr/>
      </w:pPr>
      <w:r>
        <w:rPr/>
        <w:t>See Olalde 2014 p.114ff</w:t>
      </w:r>
    </w:p>
    <w:p>
      <w:pPr>
        <w:pStyle w:val="WW-gloss-term"/>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WW-gloss-term"/>
        <w:rPr/>
      </w:pPr>
      <w:r>
        <w:rPr/>
        <w:t>459</w:t>
      </w:r>
    </w:p>
    <w:p>
      <w:pPr>
        <w:pStyle w:val="FootnoteText"/>
        <w:rPr/>
      </w:pPr>
      <w:r>
        <w:rPr/>
        <w:t>DĀ 13 at 61b3, MĀ 97 at 579c7, T 14 at 243b8; T 52</w:t>
      </w:r>
    </w:p>
    <w:p>
      <w:pPr>
        <w:pStyle w:val="WW-gloss-term"/>
        <w:rPr/>
      </w:pPr>
      <w:r>
        <w:rPr/>
        <w:t>460</w:t>
      </w:r>
    </w:p>
    <w:p>
      <w:pPr>
        <w:pStyle w:val="FootnoteText"/>
        <w:rPr/>
      </w:pPr>
      <w:r>
        <w:rPr/>
        <w:t>Vetter 1994 p.147</w:t>
      </w:r>
    </w:p>
    <w:p>
      <w:pPr>
        <w:pStyle w:val="WW-gloss-term"/>
        <w:rPr/>
      </w:pPr>
      <w:r>
        <w:rPr/>
        <w:t>461</w:t>
      </w:r>
    </w:p>
    <w:p>
      <w:pPr>
        <w:pStyle w:val="FootnoteText"/>
        <w:rPr/>
      </w:pPr>
      <w:r>
        <w:rPr/>
        <w:t>T 52, see also table 3</w:t>
      </w:r>
    </w:p>
    <w:p>
      <w:pPr>
        <w:pStyle w:val="WW-gloss-term"/>
        <w:rPr/>
      </w:pPr>
      <w:r>
        <w:rPr/>
        <w:t>462</w:t>
      </w:r>
    </w:p>
    <w:p>
      <w:pPr>
        <w:pStyle w:val="FootnoteText"/>
        <w:rPr/>
      </w:pPr>
      <w:r>
        <w:rPr/>
        <w:t>Snp 4.11:11.1–11.4</w:t>
      </w:r>
    </w:p>
    <w:p>
      <w:pPr>
        <w:pStyle w:val="WW-gloss-term"/>
        <w:rPr/>
      </w:pPr>
      <w:r>
        <w:rPr/>
        <w:t>463</w:t>
      </w:r>
    </w:p>
    <w:p>
      <w:pPr>
        <w:pStyle w:val="FootnoteText"/>
        <w:rPr/>
      </w:pPr>
      <w:r>
        <w:rPr/>
        <w:t>SN 35.23</w:t>
      </w:r>
    </w:p>
    <w:p>
      <w:pPr>
        <w:pStyle w:val="WW-gloss-term"/>
        <w:rPr/>
      </w:pPr>
      <w:r>
        <w:rPr/>
        <w:t>464</w:t>
      </w:r>
    </w:p>
    <w:p>
      <w:pPr>
        <w:pStyle w:val="FootnoteText"/>
        <w:rPr/>
      </w:pPr>
      <w:r>
        <w:rPr/>
        <w:t>See also Kalupahana 1976 p.158: “There is no transcendent reality or Being or ‘self’ that is given as the object of such direct perception.”</w:t>
      </w:r>
    </w:p>
    <w:p>
      <w:pPr>
        <w:pStyle w:val="WW-gloss-term"/>
        <w:rPr/>
      </w:pPr>
      <w:r>
        <w:rPr/>
        <w:t>465</w:t>
      </w:r>
    </w:p>
    <w:p>
      <w:pPr>
        <w:pStyle w:val="FootnoteText"/>
        <w:rPr/>
      </w:pPr>
      <w:r>
        <w:rPr/>
        <w:t>SN 35.92</w:t>
      </w:r>
    </w:p>
    <w:p>
      <w:pPr>
        <w:pStyle w:val="WW-gloss-term"/>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WW-gloss-term"/>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WW-gloss-term"/>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WW-gloss-term"/>
        <w:rPr/>
      </w:pPr>
      <w:r>
        <w:rPr/>
        <w:t>469</w:t>
      </w:r>
    </w:p>
    <w:p>
      <w:pPr>
        <w:pStyle w:val="FootnoteText"/>
        <w:rPr/>
      </w:pPr>
      <w:r>
        <w:rPr/>
        <w:t>AN 4.173</w:t>
      </w:r>
    </w:p>
    <w:p>
      <w:pPr>
        <w:pStyle w:val="WW-gloss-term"/>
        <w:rPr/>
      </w:pPr>
      <w:r>
        <w:rPr/>
        <w:t>470</w:t>
      </w:r>
    </w:p>
    <w:p>
      <w:pPr>
        <w:pStyle w:val="FootnoteText"/>
        <w:rPr/>
      </w:pPr>
      <w:r>
        <w:rPr/>
        <w:t>SN 35.232:10.1–10.24</w:t>
      </w:r>
    </w:p>
    <w:p>
      <w:pPr>
        <w:pStyle w:val="WW-gloss-term"/>
        <w:rPr/>
      </w:pPr>
      <w:r>
        <w:rPr/>
        <w:t>471</w:t>
      </w:r>
    </w:p>
    <w:p>
      <w:pPr>
        <w:pStyle w:val="FootnoteText"/>
        <w:rPr/>
      </w:pPr>
      <w:r>
        <w:rPr/>
        <w:t>SN 48.53:7.1–7.4</w:t>
      </w:r>
    </w:p>
    <w:p>
      <w:pPr>
        <w:pStyle w:val="WW-gloss-term"/>
        <w:rPr/>
      </w:pPr>
      <w:r>
        <w:rPr/>
        <w:t>472</w:t>
      </w:r>
    </w:p>
    <w:p>
      <w:pPr>
        <w:pStyle w:val="FootnoteText"/>
        <w:rPr/>
      </w:pPr>
      <w:r>
        <w:rPr/>
        <w:t>For example Ṭhānissaro 2008b p.6, Amaro p.25, Anālayo 2021 p.104</w:t>
      </w:r>
    </w:p>
    <w:p>
      <w:pPr>
        <w:pStyle w:val="WW-gloss-term"/>
        <w:rPr/>
      </w:pPr>
      <w:r>
        <w:rPr/>
        <w:t>473</w:t>
      </w:r>
    </w:p>
    <w:p>
      <w:pPr>
        <w:pStyle w:val="FootnoteText"/>
        <w:rPr/>
      </w:pPr>
      <w:r>
        <w:rPr/>
        <w:t>SN 12.40</w:t>
      </w:r>
    </w:p>
    <w:p>
      <w:pPr>
        <w:pStyle w:val="WW-gloss-term"/>
        <w:rPr/>
      </w:pPr>
      <w:r>
        <w:rPr/>
        <w:t>474</w:t>
      </w:r>
    </w:p>
    <w:p>
      <w:pPr>
        <w:pStyle w:val="FootnoteText"/>
        <w:rPr/>
      </w:pPr>
      <w:r>
        <w:rPr/>
        <w:t>SN 12.38, SN 12.39, SN 12.40, at §53, §54, and §115</w:t>
      </w:r>
    </w:p>
    <w:p>
      <w:pPr>
        <w:pStyle w:val="WW-gloss-term"/>
        <w:rPr/>
      </w:pPr>
      <w:r>
        <w:rPr/>
        <w:t>475</w:t>
      </w:r>
    </w:p>
    <w:p>
      <w:pPr>
        <w:pStyle w:val="FootnoteText"/>
        <w:rPr/>
      </w:pPr>
      <w:r>
        <w:rPr/>
        <w:t>SĀ 359, SĀ 360, SĀ 361</w:t>
      </w:r>
    </w:p>
    <w:p>
      <w:pPr>
        <w:pStyle w:val="WW-gloss-term"/>
        <w:rPr/>
      </w:pPr>
      <w:r>
        <w:rPr/>
        <w:t>476</w:t>
      </w:r>
    </w:p>
    <w:p>
      <w:pPr>
        <w:pStyle w:val="FootnoteText"/>
        <w:rPr/>
      </w:pPr>
      <w:r>
        <w:rPr/>
        <w:t>Choong p.172</w:t>
      </w:r>
    </w:p>
    <w:p>
      <w:pPr>
        <w:pStyle w:val="WW-gloss-term"/>
        <w:rPr/>
      </w:pPr>
      <w:r>
        <w:rPr/>
        <w:t>477</w:t>
      </w:r>
    </w:p>
    <w:p>
      <w:pPr>
        <w:pStyle w:val="FootnoteText"/>
        <w:rPr/>
      </w:pPr>
      <w:r>
        <w:rPr/>
        <w:t>MN 144:11.3–11.9 M III 266, SN 35.87:11.3–11.9, Ud 8.4:3.1–3.7</w:t>
      </w:r>
    </w:p>
    <w:p>
      <w:pPr>
        <w:pStyle w:val="WW-gloss-term"/>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WW-gloss-term"/>
        <w:rPr/>
      </w:pPr>
      <w:r>
        <w:rPr/>
        <w:t>479</w:t>
      </w:r>
    </w:p>
    <w:p>
      <w:pPr>
        <w:pStyle w:val="FootnoteText"/>
        <w:rPr/>
      </w:pPr>
      <w:r>
        <w:rPr/>
        <w:t>See Harvey 1995 p.98, Somaratne p.150, Sujato 2008 p.7, Dhammika 2015 p.20 , Anālayo 2018 p.32</w:t>
      </w:r>
    </w:p>
    <w:p>
      <w:pPr>
        <w:pStyle w:val="WW-gloss-term"/>
        <w:rPr/>
      </w:pPr>
      <w:r>
        <w:rPr/>
        <w:t>480</w:t>
      </w:r>
    </w:p>
    <w:p>
      <w:pPr>
        <w:pStyle w:val="FootnoteText"/>
        <w:rPr/>
      </w:pPr>
      <w:r>
        <w:rPr/>
        <w:t>Bodhi 2000 n.53 at SN 35.87:11.8</w:t>
      </w:r>
    </w:p>
    <w:p>
      <w:pPr>
        <w:pStyle w:val="WW-gloss-term"/>
        <w:rPr/>
      </w:pPr>
      <w:r>
        <w:rPr/>
        <w:t>481</w:t>
      </w:r>
    </w:p>
    <w:p>
      <w:pPr>
        <w:pStyle w:val="FootnoteText"/>
        <w:rPr/>
      </w:pPr>
      <w:r>
        <w:rPr/>
        <w:t>Snp 3.12:45.1–45.4</w:t>
      </w:r>
    </w:p>
    <w:p>
      <w:pPr>
        <w:pStyle w:val="WW-gloss-term"/>
        <w:rPr/>
      </w:pPr>
      <w:r>
        <w:rPr/>
        <w:t>482</w:t>
      </w:r>
    </w:p>
    <w:p>
      <w:pPr>
        <w:pStyle w:val="FootnoteText"/>
        <w:rPr/>
      </w:pPr>
      <w:r>
        <w:rPr/>
        <w:t>SN 22.53</w:t>
      </w:r>
    </w:p>
    <w:p>
      <w:pPr>
        <w:pStyle w:val="WW-gloss-term"/>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WW-gloss-term"/>
        <w:rPr/>
      </w:pPr>
      <w:r>
        <w:rPr/>
        <w:t>484</w:t>
      </w:r>
    </w:p>
    <w:p>
      <w:pPr>
        <w:pStyle w:val="FootnoteText"/>
        <w:rPr/>
      </w:pPr>
      <w:r>
        <w:rPr/>
        <w:t>SN 22.45:1.15–1.20</w:t>
      </w:r>
    </w:p>
    <w:p>
      <w:pPr>
        <w:pStyle w:val="WW-gloss-term"/>
        <w:rPr/>
      </w:pPr>
      <w:r>
        <w:rPr/>
        <w:t>485</w:t>
      </w:r>
    </w:p>
    <w:p>
      <w:pPr>
        <w:pStyle w:val="FootnoteText"/>
        <w:rPr/>
      </w:pPr>
      <w:r>
        <w:rPr/>
        <w:t>SN 12.51:13.1–23.2</w:t>
      </w:r>
    </w:p>
    <w:p>
      <w:pPr>
        <w:pStyle w:val="WW-gloss-term"/>
        <w:rPr/>
      </w:pPr>
      <w:r>
        <w:rPr/>
        <w:t>486</w:t>
      </w:r>
    </w:p>
    <w:p>
      <w:pPr>
        <w:pStyle w:val="FootnoteText"/>
        <w:rPr/>
      </w:pPr>
      <w:r>
        <w:rPr/>
        <w:t>Kalupahana 1976 p.52. See also Vélez de Cea p.136</w:t>
      </w:r>
    </w:p>
    <w:p>
      <w:pPr>
        <w:pStyle w:val="WW-gloss-term"/>
        <w:rPr/>
      </w:pPr>
      <w:r>
        <w:rPr/>
        <w:t>487</w:t>
      </w:r>
    </w:p>
    <w:p>
      <w:pPr>
        <w:pStyle w:val="FootnoteText"/>
        <w:rPr/>
      </w:pPr>
      <w:r>
        <w:rPr/>
        <w:t>See also AN 3.34 where a man burns the seeds, although here they represent karma instead of consciousness.</w:t>
      </w:r>
    </w:p>
    <w:p>
      <w:pPr>
        <w:pStyle w:val="WW-gloss-term"/>
        <w:rPr/>
      </w:pPr>
      <w:r>
        <w:rPr/>
        <w:t>488</w:t>
      </w:r>
    </w:p>
    <w:p>
      <w:pPr>
        <w:pStyle w:val="FootnoteText"/>
        <w:rPr/>
      </w:pPr>
      <w:r>
        <w:rPr/>
        <w:t>Patiṭṭhita (‘plant down’) may also be translated as ‘landing’ in this passage, but for consistency I translated it as ‘planting’ everywhere, including here.</w:t>
      </w:r>
    </w:p>
    <w:p>
      <w:pPr>
        <w:pStyle w:val="WW-gloss-term"/>
        <w:rPr/>
      </w:pPr>
      <w:r>
        <w:rPr/>
        <w:t>489</w:t>
      </w:r>
    </w:p>
    <w:p>
      <w:pPr>
        <w:pStyle w:val="FootnoteText"/>
        <w:rPr/>
      </w:pPr>
      <w:r>
        <w:rPr/>
        <w:t>SN 12.64:8.1–9.8</w:t>
      </w:r>
    </w:p>
    <w:p>
      <w:pPr>
        <w:pStyle w:val="WW-gloss-term"/>
        <w:rPr/>
      </w:pPr>
      <w:r>
        <w:rPr/>
        <w:t>490</w:t>
      </w:r>
    </w:p>
    <w:p>
      <w:pPr>
        <w:pStyle w:val="FootnoteText"/>
        <w:rPr/>
      </w:pPr>
      <w:r>
        <w:rPr/>
        <w:t>SN 12.39:3.1–3.5</w:t>
      </w:r>
    </w:p>
    <w:p>
      <w:pPr>
        <w:pStyle w:val="WW-gloss-term"/>
        <w:rPr/>
      </w:pPr>
      <w:r>
        <w:rPr/>
        <w:t>491</w:t>
      </w:r>
    </w:p>
    <w:p>
      <w:pPr>
        <w:pStyle w:val="FootnoteText"/>
        <w:rPr/>
      </w:pPr>
      <w:r>
        <w:rPr/>
        <w:t>SN 12.1:3.1–3.12</w:t>
      </w:r>
    </w:p>
    <w:p>
      <w:pPr>
        <w:pStyle w:val="WW-gloss-term"/>
        <w:rPr/>
      </w:pPr>
      <w:r>
        <w:rPr/>
        <w:t>492</w:t>
      </w:r>
    </w:p>
    <w:p>
      <w:pPr>
        <w:pStyle w:val="FootnoteText"/>
        <w:rPr/>
      </w:pPr>
      <w:r>
        <w:rPr/>
        <w:t>Anālayo 2023 Chapter I.10</w:t>
      </w:r>
    </w:p>
    <w:p>
      <w:pPr>
        <w:pStyle w:val="WW-gloss-term"/>
        <w:rPr/>
      </w:pPr>
      <w:r>
        <w:rPr/>
        <w:t>493</w:t>
      </w:r>
    </w:p>
    <w:p>
      <w:pPr>
        <w:pStyle w:val="FootnoteText"/>
        <w:rPr/>
      </w:pPr>
      <w:r>
        <w:rPr/>
        <w:t>Bodhi 2000 n.174 at SN 12.64</w:t>
      </w:r>
    </w:p>
    <w:p>
      <w:pPr>
        <w:pStyle w:val="WW-gloss-term"/>
        <w:rPr/>
      </w:pPr>
      <w:r>
        <w:rPr/>
        <w:t>494</w:t>
      </w:r>
    </w:p>
    <w:p>
      <w:pPr>
        <w:pStyle w:val="FootnoteText"/>
        <w:rPr/>
      </w:pPr>
      <w:r>
        <w:rPr/>
        <w:t>SN 12.38:3.1–3.5</w:t>
      </w:r>
    </w:p>
    <w:p>
      <w:pPr>
        <w:pStyle w:val="WW-gloss-term"/>
        <w:rPr/>
      </w:pPr>
      <w:r>
        <w:rPr/>
        <w:t>495</w:t>
      </w:r>
    </w:p>
    <w:p>
      <w:pPr>
        <w:pStyle w:val="FootnoteText"/>
        <w:rPr/>
      </w:pPr>
      <w:r>
        <w:rPr/>
        <w:t>Hecker p.53</w:t>
      </w:r>
    </w:p>
    <w:p>
      <w:pPr>
        <w:pStyle w:val="WW-gloss-term"/>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WW-gloss-term"/>
        <w:rPr/>
      </w:pPr>
      <w:r>
        <w:rPr/>
        <w:t>497</w:t>
      </w:r>
    </w:p>
    <w:p>
      <w:pPr>
        <w:pStyle w:val="FootnoteText"/>
        <w:rPr/>
      </w:pPr>
      <w:r>
        <w:rPr/>
        <w:t>Langer p.35, translation mine, referring to Harvey 1995 p.202</w:t>
      </w:r>
    </w:p>
    <w:p>
      <w:pPr>
        <w:pStyle w:val="WW-gloss-term"/>
        <w:rPr/>
      </w:pPr>
      <w:r>
        <w:rPr/>
        <w:t>498</w:t>
      </w:r>
    </w:p>
    <w:p>
      <w:pPr>
        <w:pStyle w:val="FootnoteText"/>
        <w:rPr/>
      </w:pPr>
      <w:r>
        <w:rPr/>
        <w:t>See also AN 8.70:14.3</w:t>
      </w:r>
    </w:p>
    <w:p>
      <w:pPr>
        <w:pStyle w:val="WW-gloss-term"/>
        <w:rPr/>
      </w:pPr>
      <w:r>
        <w:rPr/>
        <w:t>499</w:t>
      </w:r>
    </w:p>
    <w:p>
      <w:pPr>
        <w:pStyle w:val="FootnoteText"/>
        <w:rPr/>
      </w:pPr>
      <w:r>
        <w:rPr/>
        <w:t>SĀ 377</w:t>
      </w:r>
    </w:p>
    <w:p>
      <w:pPr>
        <w:pStyle w:val="WW-gloss-term"/>
        <w:rPr/>
      </w:pPr>
      <w:r>
        <w:rPr/>
        <w:t>500</w:t>
      </w:r>
    </w:p>
    <w:p>
      <w:pPr>
        <w:pStyle w:val="FootnoteText"/>
        <w:rPr/>
      </w:pPr>
      <w:r>
        <w:rPr/>
        <w:t>MN 21:14.1–14.10 M I 128</w:t>
      </w:r>
    </w:p>
    <w:p>
      <w:pPr>
        <w:pStyle w:val="WW-gloss-term"/>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hyperlink" Target="https://suttacentral.net/ma97"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da13" TargetMode="External"/><Relationship Id="rId28" Type="http://schemas.openxmlformats.org/officeDocument/2006/relationships/hyperlink" Target="https://suttacentral.net/cnd5" TargetMode="External"/><Relationship Id="rId29" Type="http://schemas.openxmlformats.org/officeDocument/2006/relationships/hyperlink" Target="https://suttacentral.net/sa284" TargetMode="External"/><Relationship Id="rId30" Type="http://schemas.openxmlformats.org/officeDocument/2006/relationships/hyperlink" Target="https://suttacentral.net/sa1187" TargetMode="External"/><Relationship Id="rId31" Type="http://schemas.openxmlformats.org/officeDocument/2006/relationships/hyperlink" Target="https://suttacentral.net/sa-2.100"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696</TotalTime>
  <Application>LibreOffice/25.2.5.2$Windows_X86_64 LibreOffice_project/03d19516eb2e1dd5d4ccd751a0d6f35f35e08022</Application>
  <AppVersion>15.0000</AppVersion>
  <Pages>39</Pages>
  <Words>11810</Words>
  <Characters>57847</Characters>
  <CharactersWithSpaces>68173</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2025-10-21T11:14:40Z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