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D II 26.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zot-reference"/>
        </w:rPr>
        <w:t>Bodhi 2000</w:t>
      </w:r>
      <w:r>
        <w:rPr/>
        <w:t xml:space="preserve">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“Okkanti [an alternative spelling of avakkanti] is a synonym for birth (jāti).”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br/>
        <w:br/>
      </w:r>
      <w:r>
        <w:rPr/>
        <w:t>++++++++++++++++++++HERE</w:t>
      </w:r>
      <w:r>
        <w:rPr/>
        <w:br/>
        <w:br/>
        <w:br/>
        <w:t>121</w:t>
      </w:r>
    </w:p>
    <w:p>
      <w:pPr>
        <w:pStyle w:val="FootnoteText"/>
        <w:rPr/>
      </w:pPr>
      <w:r>
        <w:rPr/>
        <w:t>RV 10.169; RV 7.103</w:t>
      </w:r>
    </w:p>
    <w:p>
      <w:pPr>
        <w:pStyle w:val="WW-gloss-term"/>
        <w:rPr/>
      </w:pPr>
      <w:r>
        <w:rPr/>
        <w:t>122</w:t>
      </w:r>
    </w:p>
    <w:p>
      <w:pPr>
        <w:pStyle w:val="FootnoteText"/>
        <w:rPr/>
      </w:pPr>
      <w:r>
        <w:rPr/>
        <w:t>See also Olalde 2015 p.21</w:t>
      </w:r>
    </w:p>
    <w:p>
      <w:pPr>
        <w:pStyle w:val="WW-gloss-term"/>
        <w:rPr/>
      </w:pPr>
      <w:r>
        <w:rPr/>
        <w:t>123</w:t>
      </w:r>
    </w:p>
    <w:p>
      <w:pPr>
        <w:pStyle w:val="FootnoteText"/>
        <w:rPr/>
      </w:pPr>
      <w:r>
        <w:rPr/>
        <w:t>BU 1.4.7, translation Olivelle</w:t>
      </w:r>
    </w:p>
    <w:p>
      <w:pPr>
        <w:pStyle w:val="WW-gloss-term"/>
        <w:rPr/>
      </w:pPr>
      <w:r>
        <w:rPr/>
        <w:t>124</w:t>
      </w:r>
    </w:p>
    <w:p>
      <w:pPr>
        <w:pStyle w:val="FootnoteText"/>
        <w:rPr/>
      </w:pPr>
      <w:r>
        <w:rPr/>
        <w:t>TB 3.12.7, see also Frauwallner 1953/1973 p.163</w:t>
      </w:r>
    </w:p>
    <w:p>
      <w:pPr>
        <w:pStyle w:val="WW-gloss-term"/>
        <w:rPr/>
      </w:pPr>
      <w:r>
        <w:rPr/>
        <w:t>125</w:t>
      </w:r>
    </w:p>
    <w:p>
      <w:pPr>
        <w:pStyle w:val="FootnoteText"/>
        <w:rPr/>
      </w:pPr>
      <w:r>
        <w:rPr/>
        <w:t>Atharvaveda 10.2.12 and 12.5.6, see also Olalde 2014 p.12</w:t>
      </w:r>
    </w:p>
    <w:p>
      <w:pPr>
        <w:pStyle w:val="WW-gloss-term"/>
        <w:rPr/>
      </w:pPr>
      <w:r>
        <w:rPr/>
        <w:t>126</w:t>
      </w:r>
    </w:p>
    <w:p>
      <w:pPr>
        <w:pStyle w:val="FootnoteText"/>
        <w:rPr/>
      </w:pPr>
      <w:r>
        <w:rPr/>
        <w:t>Olalde 2015 p.8</w:t>
      </w:r>
    </w:p>
    <w:p>
      <w:pPr>
        <w:pStyle w:val="WW-gloss-term"/>
        <w:rPr/>
      </w:pPr>
      <w:r>
        <w:rPr/>
        <w:t>127</w:t>
      </w:r>
    </w:p>
    <w:p>
      <w:pPr>
        <w:pStyle w:val="FootnoteText"/>
        <w:rPr/>
      </w:pPr>
      <w:r>
        <w:rPr/>
        <w:t>Gonda p.7</w:t>
      </w:r>
    </w:p>
    <w:p>
      <w:pPr>
        <w:pStyle w:val="WW-gloss-term"/>
        <w:rPr/>
      </w:pPr>
      <w:r>
        <w:rPr/>
        <w:t>128</w:t>
      </w:r>
    </w:p>
    <w:p>
      <w:pPr>
        <w:pStyle w:val="FootnoteText"/>
        <w:rPr/>
      </w:pPr>
      <w:r>
        <w:rPr/>
        <w:t>Werner p.28</w:t>
      </w:r>
    </w:p>
    <w:p>
      <w:pPr>
        <w:pStyle w:val="WW-gloss-term"/>
        <w:rPr/>
      </w:pPr>
      <w:r>
        <w:rPr/>
        <w:t>129</w:t>
      </w:r>
    </w:p>
    <w:p>
      <w:pPr>
        <w:pStyle w:val="FootnoteText"/>
        <w:rPr/>
      </w:pPr>
      <w:r>
        <w:rPr/>
        <w:t>BU 3.2.12</w:t>
      </w:r>
    </w:p>
    <w:p>
      <w:pPr>
        <w:pStyle w:val="WW-gloss-term"/>
        <w:rPr/>
      </w:pPr>
      <w:r>
        <w:rPr/>
        <w:t>130</w:t>
      </w:r>
    </w:p>
    <w:p>
      <w:pPr>
        <w:pStyle w:val="FootnoteText"/>
        <w:rPr/>
      </w:pPr>
      <w:r>
        <w:rPr/>
        <w:t>Frazer</w:t>
      </w:r>
    </w:p>
    <w:p>
      <w:pPr>
        <w:pStyle w:val="WW-gloss-term"/>
        <w:rPr/>
      </w:pPr>
      <w:r>
        <w:rPr/>
        <w:t>131</w:t>
      </w:r>
    </w:p>
    <w:p>
      <w:pPr>
        <w:pStyle w:val="FootnoteText"/>
        <w:rPr/>
      </w:pPr>
      <w:r>
        <w:rPr/>
        <w:t>Jurewicz p.89</w:t>
      </w:r>
    </w:p>
    <w:p>
      <w:pPr>
        <w:pStyle w:val="WW-gloss-term"/>
        <w:rPr/>
      </w:pPr>
      <w:r>
        <w:rPr/>
        <w:t>132</w:t>
      </w:r>
    </w:p>
    <w:p>
      <w:pPr>
        <w:pStyle w:val="FootnoteText"/>
        <w:rPr/>
      </w:pPr>
      <w:r>
        <w:rPr/>
        <w:t>BU 6.4.21, translation Olivelle</w:t>
      </w:r>
    </w:p>
    <w:p>
      <w:pPr>
        <w:pStyle w:val="WW-gloss-term"/>
        <w:rPr/>
      </w:pPr>
      <w:r>
        <w:rPr/>
        <w:t>133</w:t>
      </w:r>
    </w:p>
    <w:p>
      <w:pPr>
        <w:pStyle w:val="FootnoteText"/>
        <w:rPr/>
      </w:pPr>
      <w:r>
        <w:rPr/>
        <w:t>Jurewicz p.90</w:t>
      </w:r>
    </w:p>
    <w:p>
      <w:pPr>
        <w:pStyle w:val="WW-gloss-term"/>
        <w:rPr/>
      </w:pPr>
      <w:r>
        <w:rPr/>
        <w:t>134</w:t>
      </w:r>
    </w:p>
    <w:p>
      <w:pPr>
        <w:pStyle w:val="FootnoteText"/>
        <w:rPr/>
      </w:pPr>
      <w:r>
        <w:rPr/>
        <w:t>Frauwallner 1953/1973 p.164</w:t>
      </w:r>
    </w:p>
    <w:p>
      <w:pPr>
        <w:pStyle w:val="WW-gloss-term"/>
        <w:rPr/>
      </w:pPr>
      <w:r>
        <w:rPr/>
        <w:t>135</w:t>
      </w:r>
    </w:p>
    <w:p>
      <w:pPr>
        <w:pStyle w:val="FootnoteText"/>
        <w:rPr/>
      </w:pPr>
      <w:r>
        <w:rPr/>
        <w:t>Hamilton p.127</w:t>
      </w:r>
    </w:p>
    <w:p>
      <w:pPr>
        <w:pStyle w:val="WW-gloss-term"/>
        <w:rPr/>
      </w:pPr>
      <w:r>
        <w:rPr/>
        <w:t>136</w:t>
      </w:r>
    </w:p>
    <w:p>
      <w:pPr>
        <w:pStyle w:val="FootnoteText"/>
        <w:rPr/>
      </w:pPr>
      <w:r>
        <w:rPr/>
        <w:t>Olalde 2014 p.156</w:t>
      </w:r>
    </w:p>
    <w:p>
      <w:pPr>
        <w:pStyle w:val="WW-gloss-term"/>
        <w:rPr/>
      </w:pPr>
      <w:r>
        <w:rPr/>
        <w:t>137</w:t>
      </w:r>
    </w:p>
    <w:p>
      <w:pPr>
        <w:pStyle w:val="FootnoteText"/>
        <w:rPr/>
      </w:pPr>
      <w:r>
        <w:rPr/>
        <w:t>See Wayman 1997 p.507</w:t>
      </w:r>
    </w:p>
    <w:p>
      <w:pPr>
        <w:pStyle w:val="WW-gloss-term"/>
        <w:rPr/>
      </w:pPr>
      <w:r>
        <w:rPr/>
        <w:t>138</w:t>
      </w:r>
    </w:p>
    <w:p>
      <w:pPr>
        <w:pStyle w:val="FootnoteText"/>
        <w:rPr/>
      </w:pPr>
      <w:r>
        <w:rPr/>
        <w:t>T1548.28.689a20, translation Patton “If it recognizes, designates, and makes names, then this is called name.” See also Bodhi 2000 p.48</w:t>
      </w:r>
    </w:p>
    <w:p>
      <w:pPr>
        <w:pStyle w:val="WW-gloss-term"/>
        <w:rPr/>
      </w:pPr>
      <w:r>
        <w:rPr/>
        <w:t>139</w:t>
      </w:r>
    </w:p>
    <w:p>
      <w:pPr>
        <w:pStyle w:val="FootnoteText"/>
        <w:rPr/>
      </w:pPr>
      <w:r>
        <w:rPr/>
        <w:t>See Olalde 2015 p.2, referring to certain views: “They understand ‘name’ as ‘designation’ and neglect the fact that it also (or may I say actually) means ‘proper name;’ in this manner they understand name as ‘naming’ and assume that it always encompasses conceptualisation.”</w:t>
      </w:r>
    </w:p>
    <w:p>
      <w:pPr>
        <w:pStyle w:val="WW-gloss-term"/>
        <w:rPr/>
      </w:pPr>
      <w:r>
        <w:rPr/>
        <w:t>140</w:t>
      </w:r>
    </w:p>
    <w:p>
      <w:pPr>
        <w:pStyle w:val="FootnoteText"/>
        <w:rPr/>
      </w:pPr>
      <w:r>
        <w:rPr/>
        <w:t>See also Bodhi 1984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For example Ds 2.3.3.</w:t>
      </w:r>
    </w:p>
    <w:p>
      <w:pPr>
        <w:pStyle w:val="WW-gloss-term"/>
        <w:rPr/>
      </w:pPr>
      <w:r>
        <w:rPr/>
        <w:t>143</w:t>
      </w:r>
    </w:p>
    <w:p>
      <w:pPr>
        <w:pStyle w:val="FootnoteText"/>
        <w:rPr/>
      </w:pPr>
      <w:r>
        <w:rPr/>
        <w:t>Gombrich 2009 p.136</w:t>
      </w:r>
    </w:p>
    <w:p>
      <w:pPr>
        <w:pStyle w:val="WW-gloss-term"/>
        <w:rPr/>
      </w:pPr>
      <w:r>
        <w:rPr/>
        <w:t>144</w:t>
      </w:r>
    </w:p>
    <w:p>
      <w:pPr>
        <w:pStyle w:val="FootnoteText"/>
        <w:rPr/>
      </w:pPr>
      <w:r>
        <w:rPr/>
        <w:t>For example SĀ 298. For a further discussion see Choong p.163</w:t>
      </w:r>
    </w:p>
    <w:p>
      <w:pPr>
        <w:pStyle w:val="WW-gloss-term"/>
        <w:rPr/>
      </w:pPr>
      <w:r>
        <w:rPr/>
        <w:t>145</w:t>
      </w:r>
    </w:p>
    <w:p>
      <w:pPr>
        <w:pStyle w:val="FootnoteText"/>
        <w:rPr/>
      </w:pPr>
      <w:r>
        <w:rPr/>
        <w:t>Vb 6:9.4</w:t>
      </w:r>
    </w:p>
    <w:p>
      <w:pPr>
        <w:pStyle w:val="WW-gloss-term"/>
        <w:rPr/>
      </w:pPr>
      <w:r>
        <w:rPr/>
        <w:t>146</w:t>
      </w:r>
    </w:p>
    <w:p>
      <w:pPr>
        <w:pStyle w:val="FootnoteText"/>
        <w:rPr/>
      </w:pPr>
      <w:r>
        <w:rPr/>
        <w:t>MN-A 1.221: ‘Vedanā’ti vedanākkhandho. ‘Saññā’ti saññākkhandho. ‘Cetanā phasso manasikāro’ti saṅkhārakkhandho veditabbo, “‘Sensation’ is the aggregate of sensation. ‘Perception’ is the aggregate of perception. ‘Intention, sense impression, and attention’ should be understood as the aggregate of saṅkhāra.</w:t>
      </w:r>
    </w:p>
    <w:p>
      <w:pPr>
        <w:pStyle w:val="WW-gloss-term"/>
        <w:rPr/>
      </w:pPr>
      <w:r>
        <w:rPr/>
        <w:t>147</w:t>
      </w:r>
    </w:p>
    <w:p>
      <w:pPr>
        <w:pStyle w:val="FootnoteText"/>
        <w:rPr/>
      </w:pPr>
      <w:r>
        <w:rPr/>
        <w:t>T1548.28.689a20; Frauwallner 1995 p.108; EĀ 49.5, EĀ 46.8</w:t>
      </w:r>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Bodhi 2000 n.81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and Hamilton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M I 185.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M I 422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M III 240</w:t>
      </w:r>
    </w:p>
    <w:p>
      <w:pPr>
        <w:pStyle w:val="WW-gloss-term"/>
        <w:rPr/>
      </w:pPr>
      <w:r>
        <w:rPr/>
        <w:t>153</w:t>
      </w:r>
    </w:p>
    <w:p>
      <w:pPr>
        <w:pStyle w:val="FootnoteText"/>
        <w:rPr/>
      </w:pPr>
      <w:r>
        <w:rPr/>
        <w:t>Rather than the standard translation ‘the eye’ I translate cakkhu as ‘the sense of sight’, and likewise for the other senses. Olivelle p.22 notes on the Upaniṣads: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two—cakṣus and śrotra for sight and hearing, and akṣan and karṇa for eye and ear, respectively.” I think this distinction is to some extent also present in the Pāli suttas, with the respective terms being cakkhu and sota, and akkhi and kaṇṇa. Hamilton p.18 similarly states: “One might suggest that what is referred to [in the Pāli suttas] by the terms cakkhu, sota, ghāna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M III 261.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D III 243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See also Frauwallner 1953/1973 p.158: “By [saḷāyatana in Dependent Arising] are meant the six inner spheres, i.e., the six sense organs.” Also Hamilton p.16: “In the Saḷāyatana Vagga of the Saṁyutta Nikāya, the six senses are defined as being ajjhattaṁ, personal or internal, and the six corresponding objects are defined as being bāhiraṁ, external, thus giving two ‘sets’ of six āyatanas. In the Nidāna Saṁyutta, however, which is concerned with explaining paṭiccasamuppāda, only the personal āyatanas [i.e. the sense ‘organs’] are referred to by the term āyatana.”</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D I 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D I 208,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M I 143,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M I 499,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D II 294,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M I 58</w:t>
      </w:r>
    </w:p>
    <w:p>
      <w:pPr>
        <w:pStyle w:val="WW-gloss-term"/>
        <w:rPr/>
      </w:pPr>
      <w:r>
        <w:rPr/>
        <w:t>159</w:t>
      </w:r>
    </w:p>
    <w:p>
      <w:pPr>
        <w:pStyle w:val="FootnoteText"/>
        <w:rPr/>
      </w:pPr>
      <w:r>
        <w:rPr/>
        <w:t>Hamilton p.104</w:t>
      </w:r>
    </w:p>
    <w:p>
      <w:pPr>
        <w:pStyle w:val="WW-gloss-term"/>
        <w:rPr/>
      </w:pPr>
      <w:r>
        <w:rPr/>
        <w:t>160</w:t>
      </w:r>
    </w:p>
    <w:p>
      <w:pPr>
        <w:pStyle w:val="FootnoteText"/>
        <w:rPr/>
      </w:pPr>
      <w:r>
        <w:rPr/>
        <w:t>Olalde 2014 p.114 (translation mine): “But first I would like to recall that nāmarūpa in the Vedic texts and Upaniṣads can refer to both an individual, i.e. a person, as well as [things in] the entire world, with its application to individuals being actually older.”</w:t>
      </w:r>
    </w:p>
    <w:p>
      <w:pPr>
        <w:pStyle w:val="WW-gloss-term"/>
        <w:rPr/>
      </w:pPr>
      <w:r>
        <w:rPr/>
        <w:t>161</w:t>
      </w:r>
    </w:p>
    <w:p>
      <w:pPr>
        <w:pStyle w:val="FootnoteText"/>
        <w:rPr/>
      </w:pPr>
      <w:r>
        <w:rPr/>
        <w:t>Olivelle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Hecker p.53 and the commentary, translated by Bodhi 2000 n.173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For example Ñāṇananda 2015 p.120, Cintita p.61</w:t>
      </w:r>
    </w:p>
    <w:p>
      <w:pPr>
        <w:pStyle w:val="WW-gloss-term"/>
        <w:rPr/>
      </w:pPr>
      <w:r>
        <w:rPr/>
        <w:t>166</w:t>
      </w:r>
    </w:p>
    <w:p>
      <w:pPr>
        <w:pStyle w:val="FootnoteText"/>
        <w:rPr/>
      </w:pPr>
      <w:r>
        <w:rPr/>
        <w:t xml:space="preserve">Abhinibbattento abhinibbatteti, ‘when [they] produce a next life, they produce’. The word abhinibbatteti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(abhinibbatti) is painful”, or the definition of birth in §20, which includes abhinibbatti. To capture this meaning, which is surely implied given the context of transmigration, I translate it here as ‘they produce a next life’, following the example of 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t>Bodhi 2000 n.206 at SN 22.100</w:t>
      </w:r>
    </w:p>
    <w:p>
      <w:pPr>
        <w:pStyle w:val="WW-gloss-term"/>
        <w:rPr/>
      </w:pPr>
      <w:r>
        <w:rPr/>
        <w:t>170</w:t>
      </w:r>
    </w:p>
    <w:p>
      <w:pPr>
        <w:pStyle w:val="FootnoteText"/>
        <w:rPr/>
      </w:pPr>
      <w:r>
        <w:rPr/>
        <w:t>See also Piyadassi p.6 , Bodhi 1984 p.5, Nyanatiloka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M III 207,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(sañcetanika kamma).</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M I 389,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M I 301,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Bodhi 1998 p.57, contra e.g. Ñāṇavīra p.16, Ñāṇananda 2015 p.125, Ṭhānissaro 2008b p.3 . Bodhi also argues: “In analyzing the teaching of paṭiccasamuppāda, the texts use the two terms cittasaṅkhārā and manosaṅkhārā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manaḥsaṁskāra instead of cittasaṅkhāra (SF 165, SF 238).</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M I 287,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See also Vetter 1988 p.50: “Saṅkhārā as a condition of ‘perception’ [viññāṇa]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xml:space="preserve">, which equates deeds of merit (katānaṁ puññānaṁ) to wholesome deeds (katānaṁ kusalānaṁ);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(upaga)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M II 73,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See for example Gombrich 1980 p.50</w:t>
      </w:r>
    </w:p>
    <w:p>
      <w:pPr>
        <w:pStyle w:val="WW-gloss-term"/>
        <w:rPr/>
      </w:pPr>
      <w:r>
        <w:rPr/>
        <w:t>198</w:t>
      </w:r>
    </w:p>
    <w:p>
      <w:pPr>
        <w:pStyle w:val="FootnoteText"/>
        <w:rPr/>
      </w:pPr>
      <w:r>
        <w:rPr/>
        <w:t xml:space="preserve">In Jain context āsava/āsrava refers to the inflow of physical karmic particles, which in the Jain texts is compared to water flowing into a pond. (Malvania p.47, 83) The Buddha used the same terminology, possibly having adopted it directly from the Jains. For him āsavas are not physical particles but states of mind that defile (saṅkilesikā),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M I 250.</w:t>
      </w:r>
    </w:p>
    <w:p>
      <w:pPr>
        <w:pStyle w:val="WW-gloss-term"/>
        <w:rPr/>
      </w:pPr>
      <w:r>
        <w:rPr/>
        <w:t>199</w:t>
      </w:r>
    </w:p>
    <w:p>
      <w:pPr>
        <w:pStyle w:val="FootnoteText"/>
        <w:rPr/>
      </w:pPr>
      <w:r>
        <w:rPr/>
        <w:t>More literally it says the pain-producing āsavas (lit. ‘inflowings’) flow into (assaveyyuṁ)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See Gombrich 2009 p.56: “The Buddha converts a Jain by making play with two words, āsava and samārambha.”</w:t>
      </w:r>
    </w:p>
    <w:p>
      <w:pPr>
        <w:pStyle w:val="FootnoteText"/>
        <w:rPr/>
      </w:pPr>
      <w:r>
        <w:rPr/>
        <w:t>202</w:t>
      </w:r>
    </w:p>
    <w:p>
      <w:pPr>
        <w:pStyle w:val="FootnoteText"/>
        <w:rPr/>
      </w:pPr>
      <w:r>
        <w:rPr/>
        <w:t>SN 35.146:1.3–1.7</w:t>
      </w:r>
    </w:p>
    <w:p>
      <w:pPr>
        <w:pStyle w:val="FootnoteText"/>
        <w:rPr/>
      </w:pPr>
      <w:r>
        <w:rPr/>
        <w:t>203</w:t>
      </w:r>
    </w:p>
    <w:p>
      <w:pPr>
        <w:pStyle w:val="FootnoteText"/>
        <w:rPr/>
      </w:pPr>
      <w:r>
        <w:rPr/>
        <w:t>SN 12.37</w:t>
      </w:r>
    </w:p>
    <w:p>
      <w:pPr>
        <w:pStyle w:val="FootnoteText"/>
        <w:rPr/>
      </w:pPr>
      <w:r>
        <w:rPr/>
        <w:t>204</w:t>
      </w:r>
    </w:p>
    <w:p>
      <w:pPr>
        <w:pStyle w:val="FootnoteText"/>
        <w:rPr/>
      </w:pPr>
      <w:r>
        <w:rPr/>
        <w:t>Sujato 2023 at SN 12.37: “It’s old deeds, and should be seen as produced by choices and intentions, as something to be felt.”</w:t>
      </w:r>
    </w:p>
    <w:p>
      <w:pPr>
        <w:pStyle w:val="FootnoteText"/>
        <w:rPr/>
      </w:pPr>
      <w:r>
        <w:rPr/>
        <w:t>205</w:t>
      </w:r>
    </w:p>
    <w:p>
      <w:pPr>
        <w:pStyle w:val="FootnoteText"/>
        <w:rPr/>
      </w:pPr>
      <w:r>
        <w:rPr/>
        <w:t>For example Dhp 278</w:t>
      </w:r>
    </w:p>
    <w:p>
      <w:pPr>
        <w:pStyle w:val="FootnoteText"/>
        <w:rPr/>
      </w:pPr>
      <w:r>
        <w:rPr/>
        <w:t>206</w:t>
      </w:r>
    </w:p>
    <w:p>
      <w:pPr>
        <w:pStyle w:val="FootnoteText"/>
        <w:rPr/>
      </w:pPr>
      <w:r>
        <w:rPr/>
        <w:t xml:space="preserve">See also Piyadassi p.6 </w:t>
      </w:r>
    </w:p>
    <w:p>
      <w:pPr>
        <w:pStyle w:val="FootnoteText"/>
        <w:rPr/>
      </w:pPr>
      <w:r>
        <w:rPr/>
        <w:t>207</w:t>
      </w:r>
    </w:p>
    <w:p>
      <w:pPr>
        <w:pStyle w:val="FootnoteText"/>
        <w:rPr/>
      </w:pPr>
      <w:r>
        <w:rPr/>
        <w:t>Contextually this refers to the aggregate of saṅkhāra, which I usually translate as ‘will’, but to show the connections with Dependent Arising I translated it here as ‘wilful actions’.</w:t>
      </w:r>
    </w:p>
    <w:p>
      <w:pPr>
        <w:pStyle w:val="FootnoteText"/>
        <w:rPr/>
      </w:pPr>
      <w:r>
        <w:rPr/>
        <w:t>208</w:t>
      </w:r>
    </w:p>
    <w:p>
      <w:pPr>
        <w:pStyle w:val="FootnoteText"/>
        <w:rPr/>
      </w:pPr>
      <w:r>
        <w:rPr/>
        <w:t>Saṅkhata, quite literally ‘put (khata) together (saṁ)’, means ‘fabricated’, ‘constructed’, ‘created’, and so forth. In daily speech it is used for a raft that is properly assembled and for a well-made meal (Snp 1.2:4.1; AN 4.57:3.1). The noun saṅkhāra is used for medicine that is prepared (Kd6). In none of these contexts does the common translation ‘conditioned’ work, and neither is it intended in deeper philosophical contexts such as Dependent Arising. For example, in Dhp 154 vi-saṅkhata describes taking apart a house—with the prefix vi- indicating the opposite of putting together—where the house is symbolic for lives in saṁsāra. The point is that lives are created by craving and karma, not merely conditioned by it.</w:t>
      </w:r>
    </w:p>
    <w:p>
      <w:pPr>
        <w:pStyle w:val="FootnoteText"/>
        <w:rPr/>
      </w:pPr>
      <w:r>
        <w:rPr/>
        <w:t>209</w:t>
      </w:r>
    </w:p>
    <w:p>
      <w:pPr>
        <w:pStyle w:val="FootnoteText"/>
        <w:rPr/>
      </w:pPr>
      <w:r>
        <w:rPr/>
        <w:t>SN 22.79:5.1–5.5</w:t>
      </w:r>
    </w:p>
    <w:p>
      <w:pPr>
        <w:pStyle w:val="FootnoteText"/>
        <w:rPr/>
      </w:pPr>
      <w:r>
        <w:rPr/>
        <w:t>210</w:t>
      </w:r>
    </w:p>
    <w:p>
      <w:pPr>
        <w:pStyle w:val="FootnoteText"/>
        <w:rPr/>
      </w:pPr>
      <w:r>
        <w:rPr/>
        <w:t>See Bodhi 2000 n.110 at SN 22.79, Hamilton p.4</w:t>
      </w:r>
    </w:p>
    <w:p>
      <w:pPr>
        <w:pStyle w:val="FootnoteText"/>
        <w:rPr/>
      </w:pPr>
      <w:r>
        <w:rPr/>
        <w:t>211</w:t>
      </w:r>
    </w:p>
    <w:p>
      <w:pPr>
        <w:pStyle w:val="FootnoteText"/>
        <w:rPr/>
      </w:pPr>
      <w:r>
        <w:rPr/>
        <w:t>Thig 16.1:25.1–25.4. See also PED under sankhata: “‘created’, brought about as effect of actions in former births”.</w:t>
      </w:r>
    </w:p>
    <w:p>
      <w:pPr>
        <w:pStyle w:val="FootnoteText"/>
        <w:rPr/>
      </w:pPr>
      <w:r>
        <w:rPr/>
        <w:t>212</w:t>
      </w:r>
    </w:p>
    <w:p>
      <w:pPr>
        <w:pStyle w:val="FootnoteText"/>
        <w:rPr/>
      </w:pPr>
      <w:r>
        <w:rPr/>
        <w:t>SN 22.21</w:t>
      </w:r>
    </w:p>
    <w:p>
      <w:pPr>
        <w:pStyle w:val="FootnoteText"/>
        <w:rPr/>
      </w:pPr>
      <w:r>
        <w:rPr/>
        <w:t>213</w:t>
      </w:r>
    </w:p>
    <w:p>
      <w:pPr>
        <w:pStyle w:val="FootnoteText"/>
        <w:rPr/>
      </w:pPr>
      <w:r>
        <w:rPr/>
        <w:t>SN 56.42, cf. SN 56.43, SN 56.46</w:t>
      </w:r>
    </w:p>
    <w:p>
      <w:pPr>
        <w:pStyle w:val="FootnoteText"/>
        <w:rPr/>
      </w:pPr>
      <w:r>
        <w:rPr/>
        <w:t>214</w:t>
      </w:r>
    </w:p>
    <w:p>
      <w:pPr>
        <w:pStyle w:val="FootnoteText"/>
        <w:rPr/>
      </w:pPr>
      <w:r>
        <w:rPr/>
        <w:t>SN 12.2:14.1–14.3, SN 12.27:4.5–5.1, SN 12.28:4.5–5.1, SN 12.33:10.1–11.2</w:t>
      </w:r>
    </w:p>
    <w:p>
      <w:pPr>
        <w:pStyle w:val="FootnoteText"/>
        <w:rPr/>
      </w:pPr>
      <w:r>
        <w:rPr/>
        <w:t>215</w:t>
      </w:r>
    </w:p>
    <w:p>
      <w:pPr>
        <w:pStyle w:val="FootnoteText"/>
        <w:rPr/>
      </w:pPr>
      <w:r>
        <w:rPr/>
        <w:t>Patiṭṭhā viññaṇassa, ‘a support for the planting of consciousness’. Bodhi 2000 n.112 at SN 12.38 explains: “‘a support for the establishing of consciousness’ renders patiṭṭhā viññaṇassa. I find that ‘established’ works consistently better as a rendering for the participle patiṭṭhita, but ‘support’ for the noun patiṭṭhā, so to bridge the participle and the noun in the present passage (and at SN 22.53, SN 22.54) I have coined this compound expression.” I followed this example, although with ‘planting’ instead of ‘establishing’.</w:t>
      </w:r>
    </w:p>
    <w:p>
      <w:pPr>
        <w:pStyle w:val="FootnoteText"/>
        <w:rPr/>
      </w:pPr>
      <w:r>
        <w:rPr/>
        <w:t>216</w:t>
      </w:r>
    </w:p>
    <w:p>
      <w:pPr>
        <w:pStyle w:val="FootnoteText"/>
        <w:rPr/>
      </w:pPr>
      <w:r>
        <w:rPr/>
        <w:t>SN 12.38:1.2–1.6</w:t>
      </w:r>
    </w:p>
    <w:p>
      <w:pPr>
        <w:pStyle w:val="FootnoteText"/>
        <w:rPr/>
      </w:pPr>
      <w:r>
        <w:rPr/>
        <w:t>217</w:t>
      </w:r>
    </w:p>
    <w:p>
      <w:pPr>
        <w:pStyle w:val="FootnoteText"/>
        <w:rPr/>
      </w:pPr>
      <w:r>
        <w:rPr/>
        <w:t>AN 4.184:5.1–5.8; MN 129:5.1–5.9 M III 165</w:t>
      </w:r>
    </w:p>
    <w:p>
      <w:pPr>
        <w:pStyle w:val="FootnoteText"/>
        <w:rPr/>
      </w:pPr>
      <w:r>
        <w:rPr/>
        <w:t>218</w:t>
      </w:r>
    </w:p>
    <w:p>
      <w:pPr>
        <w:pStyle w:val="FootnoteText"/>
        <w:rPr/>
      </w:pPr>
      <w:r>
        <w:rPr/>
        <w:t>MN 120</w:t>
      </w:r>
    </w:p>
    <w:p>
      <w:pPr>
        <w:pStyle w:val="FootnoteText"/>
        <w:rPr/>
      </w:pPr>
      <w:r>
        <w:rPr/>
        <w:t>219</w:t>
      </w:r>
    </w:p>
    <w:p>
      <w:pPr>
        <w:pStyle w:val="FootnoteText"/>
        <w:rPr/>
      </w:pPr>
      <w:r>
        <w:rPr/>
        <w:t>See also Bodhi 2000 p.522</w:t>
      </w:r>
    </w:p>
    <w:p>
      <w:pPr>
        <w:pStyle w:val="FootnoteText"/>
        <w:rPr/>
      </w:pPr>
      <w:r>
        <w:rPr/>
        <w:t>220</w:t>
      </w:r>
    </w:p>
    <w:p>
      <w:pPr>
        <w:pStyle w:val="FootnoteText"/>
        <w:rPr/>
      </w:pPr>
      <w:r>
        <w:rPr/>
        <w:t>See for example AN 7.11</w:t>
      </w:r>
    </w:p>
    <w:p>
      <w:pPr>
        <w:pStyle w:val="FootnoteText"/>
        <w:rPr/>
      </w:pPr>
      <w:r>
        <w:rPr/>
        <w:t>221</w:t>
      </w:r>
    </w:p>
    <w:p>
      <w:pPr>
        <w:pStyle w:val="FootnoteText"/>
        <w:rPr/>
      </w:pPr>
      <w:r>
        <w:rPr/>
        <w:t>Langer p.30 says the three discourses on intention (SN 12.38, SN 12.39, SN 12.40) “limit themselves […] to descriptions of rebirth” (translation mine). Likewise, although I believe he misunderstands appatiṭṭhita viññāṇa to be a state of mind, Ñāṇananda 2016 p.97 states: “The point at issue [in the First Discourse on Intention] is the question as to how consciousness gets a footing—how consciousness gets established at the moment of death. In fact, it is an attempt to show us the connection between two lives.” See also Anālayo 2018 p.28</w:t>
      </w:r>
    </w:p>
    <w:p>
      <w:pPr>
        <w:pStyle w:val="FootnoteText"/>
        <w:rPr/>
      </w:pPr>
      <w:r>
        <w:rPr/>
        <w:t>222</w:t>
      </w:r>
    </w:p>
    <w:p>
      <w:pPr>
        <w:pStyle w:val="FootnoteText"/>
        <w:rPr/>
      </w:pPr>
      <w:r>
        <w:rPr/>
        <w:t>See also Langer p.32 (translation mine): “In [SN 12.38, SN 12.39, SN 12.40] viruḷhi [means] ‘a new growth’, like a part taken from the mother plant grows again somewhere else. With that, viruḷhi marks the beginning of a new existence.”</w:t>
      </w:r>
    </w:p>
    <w:p>
      <w:pPr>
        <w:pStyle w:val="FootnoteText"/>
        <w:rPr/>
      </w:pPr>
      <w:r>
        <w:rPr/>
        <w:t>223</w:t>
      </w:r>
    </w:p>
    <w:p>
      <w:pPr>
        <w:pStyle w:val="FootnoteText"/>
        <w:rPr/>
      </w:pPr>
      <w:r>
        <w:rPr/>
        <w:t>SĀ 359, translation mine. Compare SĀ 360 in Choong p.170</w:t>
      </w:r>
    </w:p>
    <w:p>
      <w:pPr>
        <w:pStyle w:val="FootnoteText"/>
        <w:rPr/>
      </w:pPr>
      <w:r>
        <w:rPr/>
        <w:t>224</w:t>
      </w:r>
    </w:p>
    <w:p>
      <w:pPr>
        <w:pStyle w:val="FootnoteText"/>
        <w:rPr/>
      </w:pPr>
      <w:r>
        <w:rPr/>
        <w:t>SN 12.39</w:t>
      </w:r>
    </w:p>
    <w:p>
      <w:pPr>
        <w:pStyle w:val="FootnoteText"/>
        <w:rPr/>
      </w:pPr>
      <w:r>
        <w:rPr/>
        <w:t>225</w:t>
      </w:r>
    </w:p>
    <w:p>
      <w:pPr>
        <w:pStyle w:val="FootnoteText"/>
        <w:rPr/>
      </w:pPr>
      <w:r>
        <w:rPr/>
        <w:t xml:space="preserve">SĀ 360: </w:t>
      </w:r>
      <w:r>
        <w:rPr/>
        <w:t>入名色故</w:t>
      </w:r>
      <w:r>
        <w:rPr/>
        <w:t xml:space="preserve">, </w:t>
      </w:r>
      <w:r>
        <w:rPr/>
        <w:t>有未來世生</w:t>
      </w:r>
      <w:r>
        <w:rPr/>
        <w:t>. Choong p.170 translates: “Because of the entry [i.e. conception] of name-and-material form, there are, in the future, birth, ageing-sickness-and-death […]”</w:t>
      </w:r>
    </w:p>
    <w:p>
      <w:pPr>
        <w:pStyle w:val="FootnoteText"/>
        <w:rPr/>
      </w:pPr>
      <w:r>
        <w:rPr/>
        <w:t>226</w:t>
      </w:r>
    </w:p>
    <w:p>
      <w:pPr>
        <w:pStyle w:val="FootnoteText"/>
        <w:rPr/>
      </w:pPr>
      <w:r>
        <w:rPr/>
        <w:t>See note 192. The translation ‘demerit’ for apuñña is perhaps a bit artificial, having connotations with demerit points on a driver’s license, but it keeps consistency with ‘merit’ (puñña). I tried various other translations for puñña, but overall ‘merit’ just seems to work best.</w:t>
      </w:r>
    </w:p>
    <w:p>
      <w:pPr>
        <w:pStyle w:val="FootnoteText"/>
        <w:rPr/>
      </w:pPr>
      <w:r>
        <w:rPr/>
        <w:t>227</w:t>
      </w:r>
    </w:p>
    <w:p>
      <w:pPr>
        <w:pStyle w:val="FootnoteText"/>
        <w:rPr/>
      </w:pPr>
      <w:r>
        <w:rPr/>
        <w:t>SN 12.51:9.1–9.3</w:t>
      </w:r>
    </w:p>
    <w:p>
      <w:pPr>
        <w:pStyle w:val="FootnoteText"/>
        <w:rPr/>
      </w:pPr>
      <w:r>
        <w:rPr/>
        <w:t>228</w:t>
      </w:r>
    </w:p>
    <w:p>
      <w:pPr>
        <w:pStyle w:val="FootnoteText"/>
        <w:rPr/>
      </w:pPr>
      <w:r>
        <w:rPr/>
        <w:t>AN 6.63:30.2</w:t>
      </w:r>
    </w:p>
    <w:p>
      <w:pPr>
        <w:pStyle w:val="FootnoteText"/>
        <w:rPr/>
      </w:pPr>
      <w:r>
        <w:rPr/>
        <w:t>229</w:t>
      </w:r>
    </w:p>
    <w:p>
      <w:pPr>
        <w:pStyle w:val="FootnoteText"/>
        <w:rPr/>
      </w:pPr>
      <w:r>
        <w:rPr/>
        <w:t>See DPD under upaga: “passing on to (used of consciousness’s linking at death with a new existence)”. See also Bodhi 1998 p.161</w:t>
      </w:r>
    </w:p>
    <w:p>
      <w:pPr>
        <w:pStyle w:val="FootnoteText"/>
        <w:rPr/>
      </w:pPr>
      <w:r>
        <w:rPr/>
        <w:t>230</w:t>
      </w:r>
    </w:p>
    <w:p>
      <w:pPr>
        <w:pStyle w:val="FootnoteText"/>
        <w:rPr/>
      </w:pPr>
      <w:r>
        <w:rPr/>
        <w:t>§108; §77</w:t>
      </w:r>
    </w:p>
    <w:p>
      <w:pPr>
        <w:pStyle w:val="FootnoteText"/>
        <w:rPr/>
      </w:pPr>
      <w:r>
        <w:rPr/>
        <w:t>231</w:t>
      </w:r>
    </w:p>
    <w:p>
      <w:pPr>
        <w:pStyle w:val="FootnoteText"/>
        <w:rPr/>
      </w:pPr>
      <w:r>
        <w:rPr/>
        <w:t>MN 106:3.12, 4.7, 5.10, 6.12, 7.5, 8.5, 9.12 M II 262</w:t>
      </w:r>
    </w:p>
    <w:p>
      <w:pPr>
        <w:pStyle w:val="FootnoteText"/>
        <w:rPr/>
      </w:pPr>
      <w:r>
        <w:rPr/>
        <w:t>232</w:t>
      </w:r>
    </w:p>
    <w:p>
      <w:pPr>
        <w:pStyle w:val="FootnoteText"/>
        <w:rPr/>
      </w:pPr>
      <w:r>
        <w:rPr/>
        <w:t>See also Langer p.28</w:t>
      </w:r>
    </w:p>
    <w:p>
      <w:pPr>
        <w:pStyle w:val="FootnoteText"/>
        <w:rPr/>
      </w:pPr>
      <w:r>
        <w:rPr/>
        <w:t>233</w:t>
      </w:r>
    </w:p>
    <w:p>
      <w:pPr>
        <w:pStyle w:val="FootnoteText"/>
        <w:rPr/>
      </w:pPr>
      <w:r>
        <w:rPr/>
        <w:t>DN 15:33.0–34.10 D II 69. Also at AN 7.44</w:t>
      </w:r>
    </w:p>
    <w:p>
      <w:pPr>
        <w:pStyle w:val="FootnoteText"/>
        <w:rPr/>
      </w:pPr>
      <w:r>
        <w:rPr/>
        <w:t>234</w:t>
      </w:r>
    </w:p>
    <w:p>
      <w:pPr>
        <w:pStyle w:val="FootnoteText"/>
        <w:rPr/>
      </w:pPr>
      <w:r>
        <w:rPr/>
        <w:t>See also Bodhi 2003 p.30</w:t>
      </w:r>
    </w:p>
    <w:p>
      <w:pPr>
        <w:pStyle w:val="FootnoteText"/>
        <w:rPr/>
      </w:pPr>
      <w:r>
        <w:rPr/>
        <w:t>235</w:t>
      </w:r>
    </w:p>
    <w:p>
      <w:pPr>
        <w:pStyle w:val="FootnoteText"/>
        <w:rPr/>
      </w:pPr>
      <w:r>
        <w:rPr/>
        <w:t>SN 12.63:3.7–3.8</w:t>
      </w:r>
    </w:p>
    <w:p>
      <w:pPr>
        <w:pStyle w:val="FootnoteText"/>
        <w:rPr/>
      </w:pPr>
      <w:r>
        <w:rPr/>
        <w:t>236</w:t>
      </w:r>
    </w:p>
    <w:p>
      <w:pPr>
        <w:pStyle w:val="FootnoteText"/>
        <w:rPr/>
      </w:pPr>
      <w:r>
        <w:rPr/>
        <w:t>For example §118, §119</w:t>
      </w:r>
    </w:p>
    <w:p>
      <w:pPr>
        <w:pStyle w:val="FootnoteText"/>
        <w:rPr/>
      </w:pPr>
      <w:r>
        <w:rPr/>
        <w:t>237</w:t>
      </w:r>
    </w:p>
    <w:p>
      <w:pPr>
        <w:pStyle w:val="FootnoteText"/>
        <w:rPr/>
      </w:pPr>
      <w:r>
        <w:rPr/>
        <w:t>See Nyanaponika 1981 for a translation of the commentary to this sutta. Also see Bodhi 2000 n.166 at SN 12.63</w:t>
      </w:r>
    </w:p>
    <w:p>
      <w:pPr>
        <w:pStyle w:val="FootnoteText"/>
        <w:rPr/>
      </w:pPr>
      <w:r>
        <w:rPr/>
        <w:t>238</w:t>
      </w:r>
    </w:p>
    <w:p>
      <w:pPr>
        <w:pStyle w:val="FootnoteText"/>
        <w:rPr/>
      </w:pPr>
      <w:r>
        <w:rPr/>
        <w:t>For example SN 56.11:4.4–4.5</w:t>
      </w:r>
    </w:p>
    <w:p>
      <w:pPr>
        <w:pStyle w:val="FootnoteText"/>
        <w:rPr/>
      </w:pPr>
      <w:r>
        <w:rPr/>
        <w:t>239</w:t>
      </w:r>
    </w:p>
    <w:p>
      <w:pPr>
        <w:pStyle w:val="FootnoteText"/>
        <w:rPr/>
      </w:pPr>
      <w:r>
        <w:rPr/>
        <w:t>MN 12:37.1–37.11 M I 74</w:t>
      </w:r>
    </w:p>
    <w:p>
      <w:pPr>
        <w:pStyle w:val="FootnoteText"/>
        <w:rPr/>
      </w:pPr>
      <w:r>
        <w:rPr/>
        <w:t>240</w:t>
      </w:r>
    </w:p>
    <w:p>
      <w:pPr>
        <w:pStyle w:val="FootnoteText"/>
        <w:rPr/>
      </w:pPr>
      <w:r>
        <w:rPr/>
        <w:t>See for example §17</w:t>
      </w:r>
    </w:p>
    <w:p>
      <w:pPr>
        <w:pStyle w:val="FootnoteText"/>
        <w:rPr/>
      </w:pPr>
      <w:r>
        <w:rPr/>
        <w:t>241</w:t>
      </w:r>
    </w:p>
    <w:p>
      <w:pPr>
        <w:pStyle w:val="FootnoteText"/>
        <w:rPr/>
      </w:pPr>
      <w:r>
        <w:rPr/>
        <w:t>See also AN 7.74:8.1–8.2, Snp 3.8:7.1–7.4</w:t>
      </w:r>
    </w:p>
    <w:p>
      <w:pPr>
        <w:pStyle w:val="FootnoteText"/>
        <w:rPr/>
      </w:pPr>
      <w:r>
        <w:rPr/>
        <w:t>242</w:t>
      </w:r>
    </w:p>
    <w:p>
      <w:pPr>
        <w:pStyle w:val="FootnoteText"/>
        <w:rPr/>
      </w:pPr>
      <w:r>
        <w:rPr/>
        <w:t>Ādicca (‘Sun’) was a name for the clan of the Buddha, possibly a honorific. See Snp 3.1:19.1–19.2 and DPPN under ‘Ādicca’.</w:t>
      </w:r>
    </w:p>
    <w:p>
      <w:pPr>
        <w:pStyle w:val="FootnoteText"/>
        <w:rPr/>
      </w:pPr>
      <w:r>
        <w:rPr/>
        <w:t>243</w:t>
      </w:r>
    </w:p>
    <w:p>
      <w:pPr>
        <w:pStyle w:val="FootnoteText"/>
        <w:rPr/>
      </w:pPr>
      <w:r>
        <w:rPr/>
        <w:t>Thag 6.8</w:t>
      </w:r>
    </w:p>
    <w:p>
      <w:pPr>
        <w:pStyle w:val="FootnoteText"/>
        <w:rPr/>
      </w:pPr>
      <w:r>
        <w:rPr/>
        <w:t>244</w:t>
      </w:r>
    </w:p>
    <w:p>
      <w:pPr>
        <w:pStyle w:val="FootnoteText"/>
        <w:rPr/>
      </w:pPr>
      <w:r>
        <w:rPr/>
        <w:t>Hamilton p.98</w:t>
      </w:r>
    </w:p>
    <w:p>
      <w:pPr>
        <w:pStyle w:val="FootnoteText"/>
        <w:rPr/>
      </w:pPr>
      <w:r>
        <w:rPr/>
        <w:t>245</w:t>
      </w:r>
    </w:p>
    <w:p>
      <w:pPr>
        <w:pStyle w:val="FootnoteText"/>
        <w:rPr/>
      </w:pPr>
      <w:r>
        <w:rPr/>
        <w:t>SN 56.35</w:t>
      </w:r>
    </w:p>
    <w:p>
      <w:pPr>
        <w:pStyle w:val="FootnoteText"/>
        <w:rPr/>
      </w:pPr>
      <w:r>
        <w:rPr/>
        <w:t>246</w:t>
      </w:r>
    </w:p>
    <w:p>
      <w:pPr>
        <w:pStyle w:val="FootnoteText"/>
        <w:rPr/>
      </w:pPr>
      <w:r>
        <w:rPr/>
        <w:t>Thig 16.1:26.1–26.4</w:t>
      </w:r>
    </w:p>
    <w:p>
      <w:pPr>
        <w:pStyle w:val="FootnoteText"/>
        <w:rPr/>
      </w:pPr>
      <w:r>
        <w:rPr/>
        <w:t>247</w:t>
      </w:r>
    </w:p>
    <w:p>
      <w:pPr>
        <w:pStyle w:val="FootnoteText"/>
        <w:rPr/>
      </w:pPr>
      <w:r>
        <w:rPr/>
        <w:t>Hecker p.50</w:t>
      </w:r>
    </w:p>
    <w:p>
      <w:pPr>
        <w:pStyle w:val="FootnoteText"/>
        <w:rPr/>
      </w:pPr>
      <w:r>
        <w:rPr/>
        <w:t>248</w:t>
      </w:r>
    </w:p>
    <w:p>
      <w:pPr>
        <w:pStyle w:val="FootnoteText"/>
        <w:rPr/>
      </w:pPr>
      <w:r>
        <w:rPr/>
        <w:t>Nyanaponika 1981 p.9. See also PED s.v. viññāṇa: “As one of the four āhāras viññāṇa is considered as the material, food or cause, through which comes rebirth. As such it is likened to seed in the field of action (kamma), and as entering (a body) at rebirth the phrase viññāṇassa avakkanti is used.”</w:t>
      </w:r>
    </w:p>
    <w:p>
      <w:pPr>
        <w:pStyle w:val="FootnoteText"/>
        <w:rPr/>
      </w:pPr>
      <w:r>
        <w:rPr/>
        <w:t>249</w:t>
      </w:r>
    </w:p>
    <w:p>
      <w:pPr>
        <w:pStyle w:val="FootnoteText"/>
        <w:rPr/>
      </w:pPr>
      <w:r>
        <w:rPr/>
        <w:t>SN 12.12:2.11</w:t>
      </w:r>
    </w:p>
    <w:p>
      <w:pPr>
        <w:pStyle w:val="FootnoteText"/>
        <w:rPr/>
      </w:pPr>
      <w:r>
        <w:rPr/>
        <w:t>250</w:t>
      </w:r>
    </w:p>
    <w:p>
      <w:pPr>
        <w:pStyle w:val="FootnoteText"/>
        <w:rPr/>
      </w:pPr>
      <w:r>
        <w:rPr/>
        <w:t>Bodhi 2000 n.24 at SN 12.12</w:t>
      </w:r>
    </w:p>
    <w:p>
      <w:pPr>
        <w:pStyle w:val="FootnoteText"/>
        <w:rPr/>
      </w:pPr>
      <w:r>
        <w:rPr/>
        <w:t>251</w:t>
      </w:r>
    </w:p>
    <w:p>
      <w:pPr>
        <w:pStyle w:val="FootnoteText"/>
        <w:rPr/>
      </w:pPr>
      <w:r>
        <w:rPr/>
        <w:t>Bodhi 2000 n.25 at SN 12.12: “The conjunction bhūte sati [‘when the being is born’] is unusual and the redundancy can only be avoided if the past participle bhūte is here understood to function as a noun denoting the being that has come to be.”</w:t>
      </w:r>
    </w:p>
    <w:p>
      <w:pPr>
        <w:pStyle w:val="FootnoteText"/>
        <w:rPr/>
      </w:pPr>
      <w:r>
        <w:rPr/>
        <w:t>252</w:t>
      </w:r>
    </w:p>
    <w:p>
      <w:pPr>
        <w:pStyle w:val="FootnoteText"/>
        <w:rPr/>
      </w:pPr>
      <w:r>
        <w:rPr/>
        <w:t>AN 3.61:9.3, 13.4–13.6</w:t>
      </w:r>
    </w:p>
    <w:p>
      <w:pPr>
        <w:pStyle w:val="FootnoteText"/>
        <w:rPr/>
      </w:pPr>
      <w:r>
        <w:rPr/>
        <w:t>253</w:t>
      </w:r>
    </w:p>
    <w:p>
      <w:pPr>
        <w:pStyle w:val="FootnoteText"/>
        <w:rPr/>
      </w:pPr>
      <w:r>
        <w:rPr/>
        <w:t>MN 140:8.1–8.6 M III 239. See also Wynne p.31: “There are also a number of lists in which ‘space’ and/or ‘consciousness’ are added to this basic set of four elements […] in most places they occur in teachings where they form the objects of a detailed contemplation of the human person.”</w:t>
      </w:r>
    </w:p>
    <w:p>
      <w:pPr>
        <w:pStyle w:val="FootnoteText"/>
        <w:rPr/>
      </w:pPr>
      <w:r>
        <w:rPr/>
        <w:t>254</w:t>
      </w:r>
    </w:p>
    <w:p>
      <w:pPr>
        <w:pStyle w:val="FootnoteText"/>
        <w:rPr/>
      </w:pPr>
      <w:r>
        <w:rPr/>
        <w:t>MN 62:12.1–12.9 M I 423</w:t>
      </w:r>
    </w:p>
    <w:p>
      <w:pPr>
        <w:pStyle w:val="FootnoteText"/>
        <w:rPr/>
      </w:pPr>
      <w:r>
        <w:rPr/>
        <w:t>255</w:t>
      </w:r>
    </w:p>
    <w:p>
      <w:pPr>
        <w:pStyle w:val="FootnoteText"/>
        <w:rPr/>
      </w:pPr>
      <w:r>
        <w:rPr/>
        <w:t>See Hamilton p.5 and Bodhi 2000 n.339 at SN 18.9: “To the four primary elements of the form aggregate the suttas sometimes add the space element.”</w:t>
      </w:r>
    </w:p>
    <w:p>
      <w:pPr>
        <w:pStyle w:val="FootnoteText"/>
        <w:rPr/>
      </w:pPr>
      <w:r>
        <w:rPr/>
        <w:t>256</w:t>
      </w:r>
    </w:p>
    <w:p>
      <w:pPr>
        <w:pStyle w:val="FootnoteText"/>
        <w:rPr/>
      </w:pPr>
      <w:r>
        <w:rPr/>
        <w:t>SN 46.2:1.2</w:t>
      </w:r>
    </w:p>
    <w:p>
      <w:pPr>
        <w:pStyle w:val="FootnoteText"/>
        <w:rPr/>
      </w:pPr>
      <w:r>
        <w:rPr/>
        <w:t>257</w:t>
      </w:r>
    </w:p>
    <w:p>
      <w:pPr>
        <w:pStyle w:val="FootnoteText"/>
        <w:rPr/>
      </w:pPr>
      <w:r>
        <w:rPr/>
        <w:t>For example SN 4.18:4.3–4.4</w:t>
      </w:r>
    </w:p>
    <w:p>
      <w:pPr>
        <w:pStyle w:val="FootnoteText"/>
        <w:rPr/>
      </w:pPr>
      <w:r>
        <w:rPr/>
        <w:t>258</w:t>
      </w:r>
    </w:p>
    <w:p>
      <w:pPr>
        <w:pStyle w:val="FootnoteText"/>
        <w:rPr/>
      </w:pPr>
      <w:r>
        <w:rPr/>
        <w:t>SN 22.22:6.1–7.4</w:t>
      </w:r>
    </w:p>
    <w:p>
      <w:pPr>
        <w:pStyle w:val="FootnoteText"/>
        <w:rPr/>
      </w:pPr>
      <w:r>
        <w:rPr/>
        <w:t>259</w:t>
      </w:r>
    </w:p>
    <w:p>
      <w:pPr>
        <w:pStyle w:val="FootnoteText"/>
        <w:rPr/>
      </w:pPr>
      <w:r>
        <w:rPr/>
        <w:t>AN 10.27:10.5, Kp 4:1.2</w:t>
      </w:r>
    </w:p>
    <w:p>
      <w:pPr>
        <w:pStyle w:val="FootnoteText"/>
        <w:rPr/>
      </w:pPr>
      <w:r>
        <w:rPr/>
        <w:t>260</w:t>
      </w:r>
    </w:p>
    <w:p>
      <w:pPr>
        <w:pStyle w:val="FootnoteText"/>
        <w:rPr/>
      </w:pPr>
      <w:r>
        <w:rPr/>
        <w:t>TU 2.2.1, translation Purohit</w:t>
      </w:r>
    </w:p>
    <w:p>
      <w:pPr>
        <w:pStyle w:val="FootnoteText"/>
        <w:rPr/>
      </w:pPr>
      <w:r>
        <w:rPr/>
        <w:t>261</w:t>
      </w:r>
    </w:p>
    <w:p>
      <w:pPr>
        <w:pStyle w:val="FootnoteText"/>
        <w:rPr/>
      </w:pPr>
      <w:r>
        <w:rPr/>
        <w:t>Lopez</w:t>
      </w:r>
    </w:p>
    <w:p>
      <w:pPr>
        <w:pStyle w:val="FootnoteText"/>
        <w:rPr/>
      </w:pPr>
      <w:r>
        <w:rPr/>
        <w:t>262</w:t>
      </w:r>
    </w:p>
    <w:p>
      <w:pPr>
        <w:pStyle w:val="FootnoteText"/>
        <w:rPr/>
      </w:pPr>
      <w:r>
        <w:rPr/>
        <w:t>Kp 7:6.3–13.4</w:t>
      </w:r>
    </w:p>
    <w:p>
      <w:pPr>
        <w:pStyle w:val="FootnoteText"/>
        <w:rPr/>
      </w:pPr>
      <w:r>
        <w:rPr/>
        <w:t>263</w:t>
      </w:r>
    </w:p>
    <w:p>
      <w:pPr>
        <w:pStyle w:val="FootnoteText"/>
        <w:rPr/>
      </w:pPr>
      <w:r>
        <w:rPr/>
        <w:t>Norman 1991 p.194</w:t>
      </w:r>
    </w:p>
    <w:p>
      <w:pPr>
        <w:pStyle w:val="FootnoteText"/>
        <w:rPr/>
      </w:pPr>
      <w:r>
        <w:rPr/>
        <w:t>264</w:t>
      </w:r>
    </w:p>
    <w:p>
      <w:pPr>
        <w:pStyle w:val="FootnoteText"/>
        <w:rPr/>
      </w:pPr>
      <w:r>
        <w:rPr/>
        <w:t>Snp 3.12:38.1–38.4</w:t>
      </w:r>
    </w:p>
    <w:p>
      <w:pPr>
        <w:pStyle w:val="FootnoteText"/>
        <w:rPr/>
      </w:pPr>
      <w:r>
        <w:rPr/>
        <w:t>265</w:t>
      </w:r>
    </w:p>
    <w:p>
      <w:pPr>
        <w:pStyle w:val="FootnoteText"/>
        <w:rPr/>
      </w:pPr>
      <w:r>
        <w:rPr/>
        <w:t>See for example Nyanaponika 1981</w:t>
      </w:r>
    </w:p>
    <w:p>
      <w:pPr>
        <w:pStyle w:val="FootnoteText"/>
        <w:rPr/>
      </w:pPr>
      <w:r>
        <w:rPr/>
        <w:t>266</w:t>
      </w:r>
    </w:p>
    <w:p>
      <w:pPr>
        <w:pStyle w:val="FootnoteText"/>
        <w:rPr/>
      </w:pPr>
      <w:r>
        <w:rPr/>
        <w:t>AN 3.76</w:t>
      </w:r>
    </w:p>
    <w:p>
      <w:pPr>
        <w:pStyle w:val="FootnoteText"/>
        <w:rPr/>
      </w:pPr>
      <w:r>
        <w:rPr/>
        <w:t>267</w:t>
      </w:r>
    </w:p>
    <w:p>
      <w:pPr>
        <w:pStyle w:val="FootnoteText"/>
        <w:rPr/>
      </w:pPr>
      <w:r>
        <w:rPr/>
        <w:t>AN 3.92:1.3–1.4. See also DN 23:31.3, 31.10 D II 353</w:t>
      </w:r>
    </w:p>
    <w:p>
      <w:pPr>
        <w:pStyle w:val="FootnoteText"/>
        <w:rPr/>
      </w:pPr>
      <w:r>
        <w:rPr/>
        <w:t>268</w:t>
      </w:r>
    </w:p>
    <w:p>
      <w:pPr>
        <w:pStyle w:val="FootnoteText"/>
        <w:rPr/>
      </w:pPr>
      <w:r>
        <w:rPr/>
        <w:t>This translation fits other contexts of the word too. Patiṭṭhita is used for a cow planting down her feet—see AN 9.35:1.4, 3.4. In English we also say “to plant an arrow”, and patiṭṭhita is also used for planting arrows in a target—see DN 3:1.23.17–1.23.20 D I 97 and SN 20.6:1.4, 2.1. English also uses ‘plant’ as a synonym for ‘establish’, like in “to plant a religion in a country”.</w:t>
      </w:r>
    </w:p>
    <w:p>
      <w:pPr>
        <w:pStyle w:val="FootnoteText"/>
        <w:rPr/>
      </w:pPr>
      <w:r>
        <w:rPr/>
        <w:t>269</w:t>
      </w:r>
    </w:p>
    <w:p>
      <w:pPr>
        <w:pStyle w:val="FootnoteText"/>
        <w:rPr/>
      </w:pPr>
      <w:r>
        <w:rPr/>
        <w:t>MN 45:4.7 M I 307. See also AN 3.34:5.1–5.3, which says seeds that are put underground will “develop, sprout, and mature” when rained upon.</w:t>
      </w:r>
    </w:p>
    <w:p>
      <w:pPr>
        <w:pStyle w:val="FootnoteText"/>
        <w:rPr/>
      </w:pPr>
      <w:r>
        <w:rPr/>
        <w:t>270</w:t>
      </w:r>
    </w:p>
    <w:p>
      <w:pPr>
        <w:pStyle w:val="FootnoteText"/>
        <w:rPr/>
      </w:pPr>
      <w:r>
        <w:rPr/>
        <w:t>Mil 3.6.9</w:t>
      </w:r>
    </w:p>
    <w:p>
      <w:pPr>
        <w:pStyle w:val="FootnoteText"/>
        <w:rPr/>
      </w:pPr>
      <w:r>
        <w:rPr/>
        <w:t>271</w:t>
      </w:r>
    </w:p>
    <w:p>
      <w:pPr>
        <w:pStyle w:val="FootnoteText"/>
        <w:rPr/>
      </w:pPr>
      <w:r>
        <w:rPr/>
        <w:t>Vism 602 and 688</w:t>
      </w:r>
    </w:p>
    <w:p>
      <w:pPr>
        <w:pStyle w:val="FootnoteText"/>
        <w:rPr/>
      </w:pPr>
      <w:r>
        <w:rPr/>
        <w:t>272</w:t>
      </w:r>
    </w:p>
    <w:p>
      <w:pPr>
        <w:pStyle w:val="FootnoteText"/>
        <w:rPr/>
      </w:pPr>
      <w:r>
        <w:rPr/>
        <w:t>SN 5.9:4.1–6.4</w:t>
      </w:r>
    </w:p>
    <w:p>
      <w:pPr>
        <w:pStyle w:val="FootnoteText"/>
        <w:rPr/>
      </w:pPr>
      <w:r>
        <w:rPr/>
        <w:t>273</w:t>
      </w:r>
    </w:p>
    <w:p>
      <w:pPr>
        <w:pStyle w:val="FootnoteText"/>
        <w:rPr/>
      </w:pPr>
      <w:r>
        <w:rPr/>
        <w:t>Kp 6:15.1–15.4, Snp 2.1:15.1–15.4</w:t>
      </w:r>
    </w:p>
    <w:p>
      <w:pPr>
        <w:pStyle w:val="FootnoteText"/>
        <w:rPr/>
      </w:pPr>
      <w:r>
        <w:rPr/>
        <w:t>274</w:t>
      </w:r>
    </w:p>
    <w:p>
      <w:pPr>
        <w:pStyle w:val="FootnoteText"/>
        <w:rPr/>
      </w:pPr>
      <w:r>
        <w:rPr/>
        <w:t>See Bodhi 2017 p.523</w:t>
      </w:r>
    </w:p>
    <w:p>
      <w:pPr>
        <w:pStyle w:val="FootnoteText"/>
        <w:rPr/>
      </w:pPr>
      <w:r>
        <w:rPr/>
        <w:t>275</w:t>
      </w:r>
    </w:p>
    <w:p>
      <w:pPr>
        <w:pStyle w:val="FootnoteText"/>
        <w:rPr/>
      </w:pPr>
      <w:r>
        <w:rPr/>
        <w:t>Santipada, ‘place of peace’. In contexts such as this, pada is commonly translated as ‘state’. But related to the English ‘pedal’, it literally means ‘foot’ or ‘step’ and by extent can mean ‘path’ (where one walks) or ‘place’ (where one stands). For example, janapada, ‘country’, is literally ‘people’s place’. Monier-Williams lists ‘a plot of ground’ as one meaning of the Sanskrit pada, and refers to padajñā in RV 1.62.2, which seems to refer to knowing (jñā) the places (pada) where to find cattle. I am not aware of any instance in the Nikāyas where pada unambiguously means ‘state’, so, following Norman 1997 p.13, I translate ‘the sorrowless place’, ‘the peaceful place’, and so on.</w:t>
      </w:r>
    </w:p>
    <w:p>
      <w:pPr>
        <w:pStyle w:val="FootnoteText"/>
        <w:rPr/>
      </w:pPr>
      <w:r>
        <w:rPr/>
      </w:r>
    </w:p>
    <w:p>
      <w:pPr>
        <w:pStyle w:val="FootnoteText"/>
        <w:rPr/>
      </w:pPr>
      <w:r>
        <w:rPr/>
        <w:t>I take pada to be a metaphor for the end of the eightfold path, not as a description of what that end exactly is. Just like we do not go to a literal island, literal refuge, literal other shore (mentioned in this very verse), and so on, we do not go to a literal pada. The fact that pada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FootnoteText"/>
        <w:rPr/>
      </w:pPr>
      <w:r>
        <w:rPr/>
        <w:t>276</w:t>
      </w:r>
    </w:p>
    <w:p>
      <w:pPr>
        <w:pStyle w:val="FootnoteText"/>
        <w:rPr/>
      </w:pPr>
      <w:r>
        <w:rPr/>
        <w:t>Snp 1.12:2.1–4.4</w:t>
      </w:r>
    </w:p>
    <w:p>
      <w:pPr>
        <w:pStyle w:val="FootnoteText"/>
        <w:rPr/>
      </w:pPr>
      <w:r>
        <w:rPr/>
        <w:t>277</w:t>
      </w:r>
    </w:p>
    <w:p>
      <w:pPr>
        <w:pStyle w:val="FootnoteText"/>
        <w:rPr/>
      </w:pPr>
      <w:r>
        <w:rPr/>
        <w:t>I follow the Burmese edition, which mentions two situations: unbroken seeds with earth and water and unbroken seeds without earth and water. The PTS edition mentions three situations: unbroken seeds without water and earth, broken seeds with water and earth, and unbroken seeds with water and earth. This seems incorrect, for at no point can consciousness (the seed) be broken while desire (the water) still remains. The Chinese parallel at SĀ 39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FootnoteText"/>
        <w:rPr/>
      </w:pPr>
      <w:r>
        <w:rPr/>
        <w:t>278</w:t>
      </w:r>
    </w:p>
    <w:p>
      <w:pPr>
        <w:pStyle w:val="FootnoteText"/>
        <w:rPr/>
      </w:pPr>
      <w:r>
        <w:rPr/>
        <w:t>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peyalla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FootnoteText"/>
        <w:rPr/>
      </w:pPr>
      <w:r>
        <w:rPr/>
        <w:t>279</w:t>
      </w:r>
    </w:p>
    <w:p>
      <w:pPr>
        <w:pStyle w:val="FootnoteText"/>
        <w:rPr/>
      </w:pPr>
      <w:r>
        <w:rPr/>
        <w:t>I follow tadappatiṭṭhitaṁ viññāṇaṁ avirūḷhaṁ anabhisaṅkhārañ-ca vimuttaṁ, instead of alternative manuscripts which have anabhisaṅkhacca. Both anabhisaṅkhāraṁ (not willing) and vimuttaṁ (liberated) could be taken as adjectives of viññāṇaṁ. However:</w:t>
      </w:r>
    </w:p>
    <w:p>
      <w:pPr>
        <w:pStyle w:val="FootnoteText"/>
        <w:rPr/>
      </w:pPr>
      <w:r>
        <w:rPr/>
        <w:t>Consciousness as one of the khandhas is just aware of things, it does not do things nor stop doing things at enlightenment, so ‘not willing’ would likely not be said of it.</w:t>
      </w:r>
    </w:p>
    <w:p>
      <w:pPr>
        <w:pStyle w:val="FootnoteText"/>
        <w:rPr/>
      </w:pPr>
      <w:r>
        <w:rPr/>
        <w:t>The before is about how consciousness comes to cease when “its foundation is destroyed”, not about liberating it.</w:t>
      </w:r>
    </w:p>
    <w:p>
      <w:pPr>
        <w:pStyle w:val="FootnoteText"/>
        <w:rPr/>
      </w:pPr>
      <w:r>
        <w:rPr/>
        <w:t>Although viññāṇa can be a near synonym for the mind (citta), the two words are still used in different senses, and elsewhere in the Nikāyas it is always either the mind or the person that is said to be liberated, never viññāṇa.</w:t>
      </w:r>
    </w:p>
    <w:p>
      <w:pPr>
        <w:pStyle w:val="FootnoteText"/>
        <w:rPr/>
      </w:pPr>
      <w:r>
        <w:rPr/>
        <w:t>SN 22.45 &amp; SN 22.46 share their closing paragraph with this sutta, and there it is unmistakably the mind that is liberated.</w:t>
      </w:r>
    </w:p>
    <w:p>
      <w:pPr>
        <w:pStyle w:val="FootnoteText"/>
        <w:rPr/>
      </w:pPr>
      <w:r>
        <w:rPr/>
        <w:t>For these reasons I think the mind is intended in this sutta as well. I take ca (and) to indicate there to be two separate sentences: Tadappatiṭṭhitaṁ viññāṇaṁ avirūḷhaṁ. Anabhisaṅkhārañ-ca vimuttaṁ. Seeing the first part as a full sentence is supported by SN 12.38:3.3, SN 12.38:3.3 &amp; SN 12.40:3.3, where tadappatiṭṭhite viññāṇe avirūḷhe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vimuttasmiṁ ‘vimuttam’iti ñāṇaṁ hoti, “when liberated, there is the knowledge ‘it [the mind] is liberated’.” Previous translators similarly separated viññāṇaṁ from vimuttaṁ in the Seeds Discourse (see note 504). Nyanaponika 1990 has “ist man befreit”, meaning “one is liberated”. But vimuttaṁ being neuter, ‘the mind’ is preferable over ‘one’, which would require the masculine.</w:t>
      </w:r>
    </w:p>
    <w:p>
      <w:pPr>
        <w:pStyle w:val="FootnoteText"/>
        <w:rPr/>
      </w:pPr>
      <w:r>
        <w:rPr/>
      </w:r>
    </w:p>
    <w:p>
      <w:pPr>
        <w:pStyle w:val="FootnoteText"/>
        <w:rPr/>
      </w:pPr>
      <w:r>
        <w:rPr/>
        <w:t>The Chinese parallel at SĀ 39 also supports the separation of consciousness and liberation, as it disjoints the two with a set of phrases not found in the Pāli. Anālayo 2014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note 277 and note 278, seems more on point than the Pāli.</w:t>
      </w:r>
    </w:p>
    <w:p>
      <w:pPr>
        <w:pStyle w:val="FootnoteText"/>
        <w:rPr/>
      </w:pPr>
      <w:r>
        <w:rPr/>
      </w:r>
    </w:p>
    <w:p>
      <w:pPr>
        <w:pStyle w:val="FootnoteText"/>
        <w:rPr/>
      </w:pPr>
      <w:r>
        <w:rPr/>
        <w:t>280</w:t>
      </w:r>
    </w:p>
    <w:p>
      <w:pPr>
        <w:pStyle w:val="FootnoteText"/>
        <w:rPr/>
      </w:pPr>
      <w:r>
        <w:rPr/>
        <w:t>SN 22.54</w:t>
      </w:r>
    </w:p>
    <w:p>
      <w:pPr>
        <w:pStyle w:val="FootnoteText"/>
        <w:rPr/>
      </w:pPr>
      <w:r>
        <w:rPr/>
        <w:t>281</w:t>
      </w:r>
    </w:p>
    <w:p>
      <w:pPr>
        <w:pStyle w:val="FootnoteText"/>
        <w:rPr/>
      </w:pPr>
      <w:r>
        <w:rPr/>
        <w:t>For example AN 3.58:5.1–6.4</w:t>
      </w:r>
    </w:p>
    <w:p>
      <w:pPr>
        <w:pStyle w:val="FootnoteText"/>
        <w:rPr/>
      </w:pPr>
      <w:r>
        <w:rPr/>
        <w:t>282</w:t>
      </w:r>
    </w:p>
    <w:p>
      <w:pPr>
        <w:pStyle w:val="FootnoteText"/>
        <w:rPr/>
      </w:pPr>
      <w:r>
        <w:rPr/>
        <w:t>AN 6.10:7.3</w:t>
      </w:r>
    </w:p>
    <w:p>
      <w:pPr>
        <w:pStyle w:val="FootnoteText"/>
        <w:rPr/>
      </w:pPr>
      <w:r>
        <w:rPr/>
        <w:t>283</w:t>
      </w:r>
    </w:p>
    <w:p>
      <w:pPr>
        <w:pStyle w:val="FootnoteText"/>
        <w:rPr/>
      </w:pPr>
      <w:r>
        <w:rPr/>
        <w:t>SN 44.9:6.4</w:t>
      </w:r>
    </w:p>
    <w:p>
      <w:pPr>
        <w:pStyle w:val="FootnoteText"/>
        <w:rPr/>
      </w:pPr>
      <w:r>
        <w:rPr/>
        <w:t>284</w:t>
      </w:r>
    </w:p>
    <w:p>
      <w:pPr>
        <w:pStyle w:val="FootnoteText"/>
        <w:rPr/>
      </w:pPr>
      <w:r>
        <w:rPr/>
        <w:t>Gati, ‘departing’, is usually translated as ‘going’ (with agati as ‘coming’). But it being a euphemism for dying in this context, I prefer ‘departing’, which in English is also a euphemism for death. I translate āgati accordingly as ‘arriving’.</w:t>
      </w:r>
    </w:p>
    <w:p>
      <w:pPr>
        <w:pStyle w:val="FootnoteText"/>
        <w:rPr/>
      </w:pPr>
      <w:r>
        <w:rPr/>
        <w:t>285</w:t>
      </w:r>
    </w:p>
    <w:p>
      <w:pPr>
        <w:pStyle w:val="FootnoteText"/>
        <w:rPr/>
      </w:pPr>
      <w:r>
        <w:rPr/>
        <w:t>Thag 16.9:26.1–26.4; DN 8:3.6 D I 162; Thig 6.1:4.1–4.4</w:t>
      </w:r>
    </w:p>
    <w:p>
      <w:pPr>
        <w:pStyle w:val="FootnoteText"/>
        <w:rPr/>
      </w:pPr>
      <w:r>
        <w:rPr/>
        <w:t>286</w:t>
      </w:r>
    </w:p>
    <w:p>
      <w:pPr>
        <w:pStyle w:val="FootnoteText"/>
        <w:rPr/>
      </w:pPr>
      <w:r>
        <w:rPr/>
        <w:t>See also Harvey 1995 p.97f</w:t>
      </w:r>
    </w:p>
    <w:p>
      <w:pPr>
        <w:pStyle w:val="FootnoteText"/>
        <w:rPr/>
      </w:pPr>
      <w:r>
        <w:rPr/>
        <w:t>287</w:t>
      </w:r>
    </w:p>
    <w:p>
      <w:pPr>
        <w:pStyle w:val="FootnoteText"/>
        <w:rPr/>
      </w:pPr>
      <w:r>
        <w:rPr/>
        <w:t>AN 3.34:5.3. See also SN 45.150:1.1, SN 55.25:10.2, AN 6.62:7.8</w:t>
      </w:r>
    </w:p>
    <w:p>
      <w:pPr>
        <w:pStyle w:val="FootnoteText"/>
        <w:rPr/>
      </w:pPr>
      <w:r>
        <w:rPr/>
        <w:t>288</w:t>
      </w:r>
    </w:p>
    <w:p>
      <w:pPr>
        <w:pStyle w:val="FootnoteText"/>
        <w:rPr/>
      </w:pPr>
      <w:r>
        <w:rPr/>
        <w:t>Rūpupayaṁ viññāṇaṁ tiṭṭhamānaṁ tiṭṭheyya, ‘consciousness would continue to exist if it is attracted to form’. Bodhi 2000 translates: “Consciousness, while standing, might stand engaged with form.” Ṭhānissaro 2008a p.27 has: “Should consciousness, when standing, stand attached to form […]” Under tiṭṭhati DOP glosses the literal ‘stands’ but also ‘continues to exist’. The latter is meant here, not ‘stand’, which is too literal. Choong p.50 more accurately translates ‘may persist’. See also Hamilton p.97: “This term [ṭhiti] itself implies continuity: being ‘stationed’ means that [consciousness] ‘persists’.” Harvey 1995 p.97 also renders this term as ‘maintenance’.</w:t>
      </w:r>
    </w:p>
    <w:p>
      <w:pPr>
        <w:pStyle w:val="FootnoteText"/>
        <w:rPr/>
      </w:pPr>
      <w:r>
        <w:rPr/>
      </w:r>
    </w:p>
    <w:p>
      <w:pPr>
        <w:pStyle w:val="FootnoteText"/>
        <w:rPr/>
      </w:pPr>
      <w:r>
        <w:rPr/>
        <w:t>Although viññāṇaṁ tiṭṭhamānaṁ tiṭṭheyya literally is ‘existing consciousness would continue’, a present participle followed by a finite form of the same verb is a form of emphasis. For example, cittaṁ bahulaṁ gacchamānaṁ gaccheyya, literally ‘the straying mind may often stray’, simply means the mind may often stray. (SN 35.117:1.2) So I excluded the present participle tiṭṭhamānaṁ, like other translators have done in this example case and similar instances, and instead emphasize the verb with ‘continue to exist’. Further, rūpupayaṁ is a bahubbīhi compound, so the sentence literally says, “existing consciousness which has an attraction to form will continue”. Like Choong I therefore also think it is incorrect to treat rūpa as an object of tiṭṭheyya, as in “stand engaged with form” of other translators.</w:t>
      </w:r>
    </w:p>
    <w:p>
      <w:pPr>
        <w:pStyle w:val="FootnoteText"/>
        <w:rPr/>
      </w:pPr>
      <w:r>
        <w:rPr/>
      </w:r>
    </w:p>
    <w:p>
      <w:pPr>
        <w:pStyle w:val="FootnoteText"/>
        <w:rPr/>
      </w:pPr>
      <w:r>
        <w:rPr/>
        <w:t>289</w:t>
      </w:r>
    </w:p>
    <w:p>
      <w:pPr>
        <w:pStyle w:val="FootnoteText"/>
        <w:rPr/>
      </w:pPr>
      <w:r>
        <w:rPr/>
        <w:t>SN 35.235:1.4–1.7</w:t>
      </w:r>
    </w:p>
    <w:p>
      <w:pPr>
        <w:pStyle w:val="FootnoteText"/>
        <w:rPr/>
      </w:pPr>
      <w:r>
        <w:rPr/>
        <w:t>290</w:t>
      </w:r>
    </w:p>
    <w:p>
      <w:pPr>
        <w:pStyle w:val="FootnoteText"/>
        <w:rPr/>
      </w:pPr>
      <w:r>
        <w:rPr/>
        <w:t>On one-seeders see for example AN 3.87. Other suttas on seeds and rebirth are AN 3.34, AN 3.77, AN 6.62</w:t>
      </w:r>
    </w:p>
    <w:p>
      <w:pPr>
        <w:pStyle w:val="FootnoteText"/>
        <w:rPr/>
      </w:pPr>
      <w:r>
        <w:rPr/>
        <w:t>291</w:t>
      </w:r>
    </w:p>
    <w:p>
      <w:pPr>
        <w:pStyle w:val="FootnoteText"/>
        <w:rPr/>
      </w:pPr>
      <w:r>
        <w:rPr/>
        <w:t>SN 12.57. Compare also SN 12.55, SN 12.56 and SN 12.60</w:t>
      </w:r>
    </w:p>
    <w:p>
      <w:pPr>
        <w:pStyle w:val="FootnoteText"/>
        <w:rPr/>
      </w:pPr>
      <w:r>
        <w:rPr/>
        <w:t>292</w:t>
      </w:r>
    </w:p>
    <w:p>
      <w:pPr>
        <w:pStyle w:val="FootnoteText"/>
        <w:rPr/>
      </w:pPr>
      <w:r>
        <w:rPr/>
        <w:t>See also Sunyo 2017</w:t>
      </w:r>
    </w:p>
    <w:p>
      <w:pPr>
        <w:pStyle w:val="FootnoteText"/>
        <w:rPr/>
      </w:pPr>
      <w:r>
        <w:rPr/>
        <w:t>293</w:t>
      </w:r>
    </w:p>
    <w:p>
      <w:pPr>
        <w:pStyle w:val="FootnoteText"/>
        <w:rPr/>
      </w:pPr>
      <w:r>
        <w:rPr/>
        <w:t>AN 1.314:1.4</w:t>
      </w:r>
    </w:p>
    <w:p>
      <w:pPr>
        <w:pStyle w:val="FootnoteText"/>
        <w:rPr/>
      </w:pPr>
      <w:r>
        <w:rPr/>
        <w:t>294</w:t>
      </w:r>
    </w:p>
    <w:p>
      <w:pPr>
        <w:pStyle w:val="FootnoteText"/>
        <w:rPr/>
      </w:pPr>
      <w:r>
        <w:rPr/>
        <w:t>Saṁyojaniyesu, bhikkhave, dhammesu assādānupassino viharato, ‘for those who live focusing on the gratification of things that can chain them’. Bodhi 2000 translates the phrase here as “when one dwells contemplating gratification in things that can fetter”, but in his later translation of the Aṅguttara Nikāya he translates -anupassino viharato as “for one who dwells contemplating”. (Bodhi 2012, AN 5.30) Assādānupassino viharato is a genitive absolute of “whom it concerns” (cf. Wijesekera 1993 §159), so is best translated with “for those who”, like Olalde 2014 p.84, “für denjenigen”. The point is that for those who live dwelling on these things, there will be rebirth, but for those who do not, there won’t be. There are no temporal implications of “when” here.</w:t>
      </w:r>
    </w:p>
    <w:p>
      <w:pPr>
        <w:pStyle w:val="FootnoteText"/>
        <w:rPr/>
      </w:pPr>
      <w:r>
        <w:rPr/>
        <w:t>295</w:t>
      </w:r>
    </w:p>
    <w:p>
      <w:pPr>
        <w:pStyle w:val="FootnoteText"/>
        <w:rPr/>
      </w:pPr>
      <w:r>
        <w:rPr/>
        <w:t>SN 12.58</w:t>
      </w:r>
    </w:p>
    <w:p>
      <w:pPr>
        <w:pStyle w:val="FootnoteText"/>
        <w:rPr/>
      </w:pPr>
      <w:r>
        <w:rPr/>
        <w:t>296</w:t>
      </w:r>
    </w:p>
    <w:p>
      <w:pPr>
        <w:pStyle w:val="FootnoteText"/>
        <w:rPr/>
      </w:pPr>
      <w:r>
        <w:rPr/>
        <w:t>SN 12.59</w:t>
      </w:r>
    </w:p>
    <w:p>
      <w:pPr>
        <w:pStyle w:val="FootnoteText"/>
        <w:rPr/>
      </w:pPr>
      <w:r>
        <w:rPr/>
        <w:t>297</w:t>
      </w:r>
    </w:p>
    <w:p>
      <w:pPr>
        <w:pStyle w:val="FootnoteText"/>
        <w:rPr/>
      </w:pPr>
      <w:r>
        <w:rPr/>
        <w:t>SN 22.3:4.1–4.9</w:t>
      </w:r>
    </w:p>
    <w:p>
      <w:pPr>
        <w:pStyle w:val="FootnoteText"/>
        <w:rPr/>
      </w:pPr>
      <w:r>
        <w:rPr/>
        <w:t>298</w:t>
      </w:r>
    </w:p>
    <w:p>
      <w:pPr>
        <w:pStyle w:val="FootnoteText"/>
        <w:rPr/>
      </w:pPr>
      <w:r>
        <w:rPr/>
        <w:t>See also Wijesekera 1994 p.106</w:t>
      </w:r>
    </w:p>
    <w:p>
      <w:pPr>
        <w:pStyle w:val="FootnoteText"/>
        <w:rPr/>
      </w:pPr>
      <w:r>
        <w:rPr/>
        <w:t>299</w:t>
      </w:r>
    </w:p>
    <w:p>
      <w:pPr>
        <w:pStyle w:val="FootnoteText"/>
        <w:rPr/>
      </w:pPr>
      <w:r>
        <w:rPr/>
        <w:t>SN 12.65:1.2–3.8. See also DN 14:2.19.1–2.19.5 D II 33</w:t>
      </w:r>
    </w:p>
    <w:p>
      <w:pPr>
        <w:pStyle w:val="FootnoteText"/>
        <w:rPr/>
      </w:pPr>
      <w:r>
        <w:rPr/>
        <w:t>300</w:t>
      </w:r>
    </w:p>
    <w:p>
      <w:pPr>
        <w:pStyle w:val="FootnoteText"/>
        <w:rPr/>
      </w:pPr>
      <w:r>
        <w:rPr/>
        <w:t>DN 15:2.15–2.18, 21.1–22.6 D II 63</w:t>
      </w:r>
    </w:p>
    <w:p>
      <w:pPr>
        <w:pStyle w:val="FootnoteText"/>
        <w:rPr/>
      </w:pPr>
      <w:r>
        <w:rPr/>
        <w:t>301</w:t>
      </w:r>
    </w:p>
    <w:p>
      <w:pPr>
        <w:pStyle w:val="FootnoteText"/>
        <w:rPr/>
      </w:pPr>
      <w:r>
        <w:rPr/>
        <w:t>See note 435 and note 436</w:t>
      </w:r>
    </w:p>
    <w:p>
      <w:pPr>
        <w:pStyle w:val="FootnoteText"/>
        <w:rPr/>
      </w:pPr>
      <w:r>
        <w:rPr/>
        <w:t>302</w:t>
      </w:r>
    </w:p>
    <w:p>
      <w:pPr>
        <w:pStyle w:val="FootnoteText"/>
        <w:rPr/>
      </w:pPr>
      <w:r>
        <w:rPr/>
        <w:t>MĀ 97, translation Anālayo 2020(a), emphasis added</w:t>
      </w:r>
    </w:p>
    <w:p>
      <w:pPr>
        <w:pStyle w:val="FootnoteText"/>
        <w:rPr/>
      </w:pPr>
      <w:r>
        <w:rPr/>
        <w:t>303</w:t>
      </w:r>
    </w:p>
    <w:p>
      <w:pPr>
        <w:pStyle w:val="FootnoteText"/>
        <w:rPr/>
      </w:pPr>
      <w:r>
        <w:rPr/>
        <w:t>DĀ 13, translation Patton</w:t>
      </w:r>
    </w:p>
    <w:p>
      <w:pPr>
        <w:pStyle w:val="FootnoteText"/>
        <w:rPr/>
      </w:pPr>
      <w:r>
        <w:rPr/>
        <w:t>304</w:t>
      </w:r>
    </w:p>
    <w:p>
      <w:pPr>
        <w:pStyle w:val="FootnoteText"/>
        <w:rPr/>
      </w:pPr>
      <w:r>
        <w:rPr/>
        <w:t>Contra Ñāṇananda 2015 p.65, p.36. PED states that translating itthatta as ‘thusness’ is incorrect. The word instead refers to existence, literally ‘a state (-tta) here (ittha)’. See for example AN 2.36:2.4, 3.5, 4.7: so tato cuto […] āgantā itthattaṁ, “passing on from there […] he comes to ‘life here’”.</w:t>
      </w:r>
    </w:p>
    <w:p>
      <w:pPr>
        <w:pStyle w:val="FootnoteText"/>
        <w:rPr/>
      </w:pPr>
      <w:r>
        <w:rPr/>
        <w:t>305</w:t>
      </w:r>
    </w:p>
    <w:p>
      <w:pPr>
        <w:pStyle w:val="FootnoteText"/>
        <w:rPr/>
      </w:pPr>
      <w:r>
        <w:rPr/>
        <w:t>For example, in DN 24:2.17.5 D III 29 itthatta refers to a state of existence in the realm of Brahmā. See also Bodhi 2015 p.168</w:t>
      </w:r>
    </w:p>
    <w:p>
      <w:pPr>
        <w:pStyle w:val="FootnoteText"/>
        <w:rPr/>
      </w:pPr>
      <w:r>
        <w:rPr/>
        <w:t>306</w:t>
      </w:r>
    </w:p>
    <w:p>
      <w:pPr>
        <w:pStyle w:val="FootnoteText"/>
        <w:rPr/>
      </w:pPr>
      <w:r>
        <w:rPr/>
        <w:t>See Bodhi 1984 p.29</w:t>
      </w:r>
    </w:p>
    <w:p>
      <w:pPr>
        <w:pStyle w:val="FootnoteText"/>
        <w:rPr/>
      </w:pPr>
      <w:r>
        <w:rPr/>
        <w:t>307</w:t>
      </w:r>
    </w:p>
    <w:p>
      <w:pPr>
        <w:pStyle w:val="FootnoteText"/>
        <w:rPr/>
      </w:pPr>
      <w:r>
        <w:rPr/>
        <w:t>DN 14:2.19.1–2.19.5 D II 33</w:t>
      </w:r>
    </w:p>
    <w:p>
      <w:pPr>
        <w:pStyle w:val="FootnoteText"/>
        <w:rPr/>
      </w:pPr>
      <w:r>
        <w:rPr/>
        <w:t>308</w:t>
      </w:r>
    </w:p>
    <w:p>
      <w:pPr>
        <w:pStyle w:val="FootnoteText"/>
        <w:rPr/>
      </w:pPr>
      <w:r>
        <w:rPr/>
        <w:t>DĀ 13</w:t>
      </w:r>
    </w:p>
    <w:p>
      <w:pPr>
        <w:pStyle w:val="FootnoteText"/>
        <w:rPr/>
      </w:pPr>
      <w:r>
        <w:rPr/>
        <w:t>309</w:t>
      </w:r>
    </w:p>
    <w:p>
      <w:pPr>
        <w:pStyle w:val="FootnoteText"/>
        <w:rPr/>
      </w:pPr>
      <w:r>
        <w:rPr/>
        <w:t>Vetter 1994 p.151</w:t>
      </w:r>
    </w:p>
    <w:p>
      <w:pPr>
        <w:pStyle w:val="FootnoteText"/>
        <w:rPr/>
      </w:pPr>
      <w:r>
        <w:rPr/>
        <w:t>310</w:t>
      </w:r>
    </w:p>
    <w:p>
      <w:pPr>
        <w:pStyle w:val="FootnoteText"/>
        <w:rPr/>
      </w:pPr>
      <w:r>
        <w:rPr/>
        <w:t>DN 15:32.11 D II 68</w:t>
      </w:r>
    </w:p>
    <w:p>
      <w:pPr>
        <w:pStyle w:val="FootnoteText"/>
        <w:rPr/>
      </w:pPr>
      <w:r>
        <w:rPr/>
        <w:t>311</w:t>
      </w:r>
    </w:p>
    <w:p>
      <w:pPr>
        <w:pStyle w:val="FootnoteText"/>
        <w:rPr/>
      </w:pPr>
      <w:r>
        <w:rPr/>
        <w:t>As argued by Olalde 2014 p.102</w:t>
      </w:r>
    </w:p>
    <w:p>
      <w:pPr>
        <w:pStyle w:val="FootnoteText"/>
        <w:rPr/>
      </w:pPr>
      <w:r>
        <w:rPr/>
        <w:t>312</w:t>
      </w:r>
    </w:p>
    <w:p>
      <w:pPr>
        <w:pStyle w:val="FootnoteText"/>
        <w:rPr/>
      </w:pPr>
      <w:r>
        <w:rPr/>
        <w:t>Brahmavamso 2006 p.221</w:t>
      </w:r>
    </w:p>
    <w:p>
      <w:pPr>
        <w:pStyle w:val="FootnoteText"/>
        <w:rPr/>
      </w:pPr>
      <w:r>
        <w:rPr/>
        <w:t>313</w:t>
      </w:r>
    </w:p>
    <w:p>
      <w:pPr>
        <w:pStyle w:val="FootnoteText"/>
        <w:rPr/>
      </w:pPr>
      <w:r>
        <w:rPr/>
        <w:t>Bodhi 1984 p.30</w:t>
      </w:r>
    </w:p>
    <w:p>
      <w:pPr>
        <w:pStyle w:val="FootnoteText"/>
        <w:rPr/>
      </w:pPr>
      <w:r>
        <w:rPr/>
        <w:t>314</w:t>
      </w:r>
    </w:p>
    <w:p>
      <w:pPr>
        <w:pStyle w:val="FootnoteText"/>
        <w:rPr/>
      </w:pPr>
      <w:r>
        <w:rPr/>
        <w:t>Cnd 5</w:t>
      </w:r>
    </w:p>
    <w:p>
      <w:pPr>
        <w:pStyle w:val="FootnoteText"/>
        <w:rPr/>
      </w:pPr>
      <w:r>
        <w:rPr/>
        <w:t>315</w:t>
      </w:r>
    </w:p>
    <w:p>
      <w:pPr>
        <w:pStyle w:val="FootnoteText"/>
        <w:rPr/>
      </w:pPr>
      <w:r>
        <w:rPr/>
        <w:t>For example Ñāṇananda 2015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FootnoteText"/>
        <w:rPr/>
      </w:pPr>
      <w:r>
        <w:rPr/>
        <w:t>316</w:t>
      </w:r>
    </w:p>
    <w:p>
      <w:pPr>
        <w:pStyle w:val="FootnoteText"/>
        <w:rPr/>
      </w:pPr>
      <w:r>
        <w:rPr/>
        <w:t>See also Sujato 2023 note at DN 15:22.6: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FootnoteText"/>
        <w:rPr/>
      </w:pPr>
      <w:r>
        <w:rPr/>
        <w:t>317</w:t>
      </w:r>
    </w:p>
    <w:p>
      <w:pPr>
        <w:pStyle w:val="FootnoteText"/>
        <w:rPr/>
      </w:pPr>
      <w:r>
        <w:rPr/>
        <w:t>DN 14:2.18.40–2.18.43 D II 32,</w:t>
      </w:r>
    </w:p>
    <w:p>
      <w:pPr>
        <w:pStyle w:val="FootnoteText"/>
        <w:rPr/>
      </w:pPr>
      <w:r>
        <w:rPr/>
        <w:t>DN 15:22.1–22.2 D II 63 (§84),</w:t>
      </w:r>
    </w:p>
    <w:p>
      <w:pPr>
        <w:pStyle w:val="FootnoteText"/>
        <w:rPr/>
      </w:pPr>
      <w:r>
        <w:rPr/>
        <w:t>SN 12.65:2.14–2.16 (§83),</w:t>
      </w:r>
    </w:p>
    <w:p>
      <w:pPr>
        <w:pStyle w:val="FootnoteText"/>
        <w:rPr/>
      </w:pPr>
      <w:r>
        <w:rPr/>
        <w:t>SN 12.67:4.2–4.3 (§95),</w:t>
      </w:r>
    </w:p>
    <w:p>
      <w:pPr>
        <w:pStyle w:val="FootnoteText"/>
        <w:rPr/>
      </w:pPr>
      <w:r>
        <w:rPr/>
        <w:t>SN 22.57:14.5,</w:t>
      </w:r>
    </w:p>
    <w:p>
      <w:pPr>
        <w:pStyle w:val="FootnoteText"/>
        <w:rPr/>
      </w:pPr>
      <w:r>
        <w:rPr/>
        <w:t>SN 22.82:7.10</w:t>
      </w:r>
    </w:p>
    <w:p>
      <w:pPr>
        <w:pStyle w:val="FootnoteText"/>
        <w:rPr/>
      </w:pPr>
      <w:r>
        <w:rPr/>
        <w:t>318</w:t>
      </w:r>
    </w:p>
    <w:p>
      <w:pPr>
        <w:pStyle w:val="FootnoteText"/>
        <w:rPr/>
      </w:pPr>
      <w:r>
        <w:rPr/>
        <w:t>Viññāṇañca hi, Ānanda, nāmarūpe patiṭṭhaṁ na labhissatha. For patiṭṭhaṁ as ‘support to be planted’ see note 215. See also Sujato 2023 note at DN 15:22.2: “Just as name and form—the organic, sensual, and sense-making body—cannot grow without consciousness, so too consciousness must acquire a landing or grounding place to be ‘planted’ in name and form.” Interestingly, JU 3.20.8 also mentions “my name, my body (śarīra), my support (pratiṣṭhā)”.</w:t>
      </w:r>
    </w:p>
    <w:p>
      <w:pPr>
        <w:pStyle w:val="FootnoteText"/>
        <w:rPr/>
      </w:pPr>
      <w:r>
        <w:rPr/>
        <w:t>319</w:t>
      </w:r>
    </w:p>
    <w:p>
      <w:pPr>
        <w:pStyle w:val="FootnoteText"/>
        <w:rPr/>
      </w:pPr>
      <w:r>
        <w:rPr/>
        <w:t>Hamilton p.129</w:t>
      </w:r>
    </w:p>
    <w:p>
      <w:pPr>
        <w:pStyle w:val="FootnoteText"/>
        <w:rPr/>
      </w:pPr>
      <w:r>
        <w:rPr/>
        <w:t>320</w:t>
      </w:r>
    </w:p>
    <w:p>
      <w:pPr>
        <w:pStyle w:val="FootnoteText"/>
        <w:rPr/>
      </w:pPr>
      <w:r>
        <w:rPr/>
        <w:t>Bodhi 1984 p.25</w:t>
      </w:r>
    </w:p>
    <w:p>
      <w:pPr>
        <w:pStyle w:val="FootnoteText"/>
        <w:rPr/>
      </w:pPr>
      <w:r>
        <w:rPr/>
        <w:t>321</w:t>
      </w:r>
    </w:p>
    <w:p>
      <w:pPr>
        <w:pStyle w:val="FootnoteText"/>
        <w:rPr/>
      </w:pPr>
      <w:r>
        <w:rPr/>
        <w:t>Langer p.25, translation mine</w:t>
      </w:r>
    </w:p>
    <w:p>
      <w:pPr>
        <w:pStyle w:val="FootnoteText"/>
        <w:rPr/>
      </w:pPr>
      <w:r>
        <w:rPr/>
        <w:t>322</w:t>
      </w:r>
    </w:p>
    <w:p>
      <w:pPr>
        <w:pStyle w:val="FootnoteText"/>
        <w:rPr/>
      </w:pPr>
      <w:r>
        <w:rPr/>
        <w:t>DN 10:2.22.1 D I 209. Similar at DN 2:84.1 D I 76, MN 77:29.9 M II 17</w:t>
      </w:r>
    </w:p>
    <w:p>
      <w:pPr>
        <w:pStyle w:val="FootnoteText"/>
        <w:rPr/>
      </w:pPr>
      <w:r>
        <w:rPr/>
        <w:t>323</w:t>
      </w:r>
    </w:p>
    <w:p>
      <w:pPr>
        <w:pStyle w:val="FootnoteText"/>
        <w:rPr/>
      </w:pPr>
      <w:r>
        <w:rPr/>
        <w:t>DN 14:1.21.2 D II 14, MN 123:12.3 M III 121;</w:t>
      </w:r>
    </w:p>
    <w:p>
      <w:pPr>
        <w:pStyle w:val="FootnoteText"/>
        <w:rPr/>
      </w:pPr>
      <w:r>
        <w:rPr/>
        <w:t>MN 79:11.1 M II 33, MN 80:4.1 M II 41</w:t>
      </w:r>
    </w:p>
    <w:p>
      <w:pPr>
        <w:pStyle w:val="FootnoteText"/>
        <w:rPr/>
      </w:pPr>
      <w:r>
        <w:rPr/>
        <w:t>324</w:t>
      </w:r>
    </w:p>
    <w:p>
      <w:pPr>
        <w:pStyle w:val="FootnoteText"/>
        <w:rPr/>
      </w:pPr>
      <w:r>
        <w:rPr/>
        <w:t>SN 12.65:6.3–6.7, SN 12.67:7.12–7.16, DN 14:2.21.3 D II 35</w:t>
      </w:r>
    </w:p>
    <w:p>
      <w:pPr>
        <w:pStyle w:val="FootnoteText"/>
        <w:rPr/>
      </w:pPr>
      <w:r>
        <w:rPr/>
        <w:t>325</w:t>
      </w:r>
    </w:p>
    <w:p>
      <w:pPr>
        <w:pStyle w:val="FootnoteText"/>
        <w:rPr/>
      </w:pPr>
      <w:r>
        <w:rPr/>
        <w:t>For example Falk p.40, Hamilton p.123, Gombrich 2009 p.120, Olalde 2014 p.38ff.</w:t>
      </w:r>
    </w:p>
    <w:p>
      <w:pPr>
        <w:pStyle w:val="FootnoteText"/>
        <w:rPr/>
      </w:pPr>
      <w:r>
        <w:rPr/>
        <w:t>326</w:t>
      </w:r>
    </w:p>
    <w:p>
      <w:pPr>
        <w:pStyle w:val="FootnoteText"/>
        <w:rPr/>
      </w:pPr>
      <w:r>
        <w:rPr/>
        <w:t>Sujato 2012 Section 3.2 - Insight 2.3: Im</w:t>
        <w:softHyphen/>
        <w:t>perm</w:t>
        <w:softHyphen/>
        <w:t>anence of the Mind</w:t>
      </w:r>
    </w:p>
    <w:p>
      <w:pPr>
        <w:pStyle w:val="FootnoteText"/>
        <w:rPr/>
      </w:pPr>
      <w:r>
        <w:rPr/>
        <w:t>327</w:t>
      </w:r>
    </w:p>
    <w:p>
      <w:pPr>
        <w:pStyle w:val="FootnoteText"/>
        <w:rPr/>
      </w:pPr>
      <w:r>
        <w:rPr/>
        <w:t>Falk p.40</w:t>
      </w:r>
    </w:p>
    <w:p>
      <w:pPr>
        <w:pStyle w:val="FootnoteText"/>
        <w:rPr/>
      </w:pPr>
      <w:r>
        <w:rPr/>
        <w:t>328</w:t>
      </w:r>
    </w:p>
    <w:p>
      <w:pPr>
        <w:pStyle w:val="FootnoteText"/>
        <w:rPr/>
      </w:pPr>
      <w:r>
        <w:rPr/>
        <w:t>See for example Flood p.274: “The Brahmanical tradition was not a monolithic entity.” Or Bausch 2015 p.1: “There was never a unitary Vedic tradition against which Buddhism reacted. Vedic religiosity was a dynamic aggregate, alive with regional variation.” See also Olivelle pp.8–11. In DN 13 different brahmin traditions are said to teach different paths to Brahma(n).</w:t>
      </w:r>
    </w:p>
    <w:p>
      <w:pPr>
        <w:pStyle w:val="FootnoteText"/>
        <w:rPr/>
      </w:pPr>
      <w:r>
        <w:rPr/>
        <w:t>329</w:t>
      </w:r>
    </w:p>
    <w:p>
      <w:pPr>
        <w:pStyle w:val="FootnoteText"/>
        <w:rPr/>
      </w:pPr>
      <w:r>
        <w:rPr/>
        <w:t>MuṇU 3.2.8, translation Olivelle</w:t>
      </w:r>
    </w:p>
    <w:p>
      <w:pPr>
        <w:pStyle w:val="FootnoteText"/>
        <w:rPr/>
      </w:pPr>
      <w:r>
        <w:rPr/>
        <w:t>330</w:t>
      </w:r>
    </w:p>
    <w:p>
      <w:pPr>
        <w:pStyle w:val="FootnoteText"/>
        <w:rPr/>
      </w:pPr>
      <w:r>
        <w:rPr/>
        <w:t>PrU 6.5, translation Olivelle</w:t>
      </w:r>
    </w:p>
    <w:p>
      <w:pPr>
        <w:pStyle w:val="FootnoteText"/>
        <w:rPr/>
      </w:pPr>
      <w:r>
        <w:rPr/>
        <w:t>331</w:t>
      </w:r>
    </w:p>
    <w:p>
      <w:pPr>
        <w:pStyle w:val="FootnoteText"/>
        <w:rPr/>
      </w:pPr>
      <w:r>
        <w:rPr/>
        <w:t>CU 6.10, translation Olivelle</w:t>
      </w:r>
    </w:p>
    <w:p>
      <w:pPr>
        <w:pStyle w:val="FootnoteText"/>
        <w:rPr/>
      </w:pPr>
      <w:r>
        <w:rPr/>
        <w:t>332</w:t>
      </w:r>
    </w:p>
    <w:p>
      <w:pPr>
        <w:pStyle w:val="FootnoteText"/>
        <w:rPr/>
      </w:pPr>
      <w:r>
        <w:rPr/>
        <w:t>See also Olalde 2014 p.39 (translation mine): “[On the basis of CU 6.10 (§89)] it seems most likely to me that nāmarūpa in MuṇU 3.2.8 and PrU 6.5 (§87 and §88) refers specifically to a person, who until the depicted point in time existed as an individual with his (proper) name and visible form.” See also Olalde 2015 p.14</w:t>
      </w:r>
    </w:p>
    <w:p>
      <w:pPr>
        <w:pStyle w:val="FootnoteText"/>
        <w:rPr/>
      </w:pPr>
      <w:r>
        <w:rPr/>
        <w:t>333</w:t>
      </w:r>
    </w:p>
    <w:p>
      <w:pPr>
        <w:pStyle w:val="FootnoteText"/>
        <w:rPr/>
      </w:pPr>
      <w:r>
        <w:rPr/>
        <w:t>SN 45.91, SN 45.92-95,</w:t>
      </w:r>
    </w:p>
    <w:p>
      <w:pPr>
        <w:pStyle w:val="FootnoteText"/>
        <w:rPr/>
      </w:pPr>
      <w:r>
        <w:rPr/>
        <w:t>SN 45.96,</w:t>
      </w:r>
    </w:p>
    <w:p>
      <w:pPr>
        <w:pStyle w:val="FootnoteText"/>
        <w:rPr/>
      </w:pPr>
      <w:r>
        <w:rPr/>
        <w:t>SN 45.97, SN 45.98-102,</w:t>
      </w:r>
    </w:p>
    <w:p>
      <w:pPr>
        <w:pStyle w:val="FootnoteText"/>
        <w:rPr/>
      </w:pPr>
      <w:r>
        <w:rPr/>
        <w:t>SN 45.103, SN 45.104-108,</w:t>
      </w:r>
    </w:p>
    <w:p>
      <w:pPr>
        <w:pStyle w:val="FootnoteText"/>
        <w:rPr/>
      </w:pPr>
      <w:r>
        <w:rPr/>
        <w:t>SN 45.109, SN 45.110-114,</w:t>
      </w:r>
    </w:p>
    <w:p>
      <w:pPr>
        <w:pStyle w:val="FootnoteText"/>
        <w:rPr/>
      </w:pPr>
      <w:r>
        <w:rPr/>
        <w:t>SN 45.115, SN 45.116-120,</w:t>
      </w:r>
    </w:p>
    <w:p>
      <w:pPr>
        <w:pStyle w:val="FootnoteText"/>
        <w:rPr/>
      </w:pPr>
      <w:r>
        <w:rPr/>
        <w:t>SN 45.121, SN 45.122-126,</w:t>
      </w:r>
    </w:p>
    <w:p>
      <w:pPr>
        <w:pStyle w:val="FootnoteText"/>
        <w:rPr/>
      </w:pPr>
      <w:r>
        <w:rPr/>
        <w:t>SN 45.127, SN 45.128-132,</w:t>
      </w:r>
    </w:p>
    <w:p>
      <w:pPr>
        <w:pStyle w:val="FootnoteText"/>
        <w:rPr/>
      </w:pPr>
      <w:r>
        <w:rPr/>
        <w:t>SN 45.133, SN 45.134-138</w:t>
      </w:r>
    </w:p>
    <w:p>
      <w:pPr>
        <w:pStyle w:val="FootnoteText"/>
        <w:rPr/>
      </w:pPr>
      <w:r>
        <w:rPr/>
        <w:t>334</w:t>
      </w:r>
    </w:p>
    <w:p>
      <w:pPr>
        <w:pStyle w:val="FootnoteText"/>
        <w:rPr/>
      </w:pPr>
      <w:r>
        <w:rPr/>
        <w:t>MN 22:25.5–25.6 M I 138. See also Wijesekera 1994 p.261</w:t>
      </w:r>
    </w:p>
    <w:p>
      <w:pPr>
        <w:pStyle w:val="FootnoteText"/>
        <w:rPr/>
      </w:pPr>
      <w:r>
        <w:rPr/>
        <w:t>335</w:t>
      </w:r>
    </w:p>
    <w:p>
      <w:pPr>
        <w:pStyle w:val="FootnoteText"/>
        <w:rPr/>
      </w:pPr>
      <w:r>
        <w:rPr/>
        <w:t>SN 1.50:6.1–6.4</w:t>
      </w:r>
    </w:p>
    <w:p>
      <w:pPr>
        <w:pStyle w:val="FootnoteText"/>
        <w:rPr/>
      </w:pPr>
      <w:r>
        <w:rPr/>
        <w:t>336</w:t>
      </w:r>
    </w:p>
    <w:p>
      <w:pPr>
        <w:pStyle w:val="FootnoteText"/>
        <w:rPr/>
      </w:pPr>
      <w:r>
        <w:rPr/>
        <w:t>Bausch 2018 p.39</w:t>
      </w:r>
    </w:p>
    <w:p>
      <w:pPr>
        <w:pStyle w:val="FootnoteText"/>
        <w:rPr/>
      </w:pPr>
      <w:r>
        <w:rPr/>
        <w:t>337</w:t>
      </w:r>
    </w:p>
    <w:p>
      <w:pPr>
        <w:pStyle w:val="FootnoteText"/>
        <w:rPr/>
      </w:pPr>
      <w:r>
        <w:rPr/>
        <w:t>Snp 5.2:5.1–6.6</w:t>
      </w:r>
    </w:p>
    <w:p>
      <w:pPr>
        <w:pStyle w:val="FootnoteText"/>
        <w:rPr/>
      </w:pPr>
      <w:r>
        <w:rPr/>
        <w:t>338</w:t>
      </w:r>
    </w:p>
    <w:p>
      <w:pPr>
        <w:pStyle w:val="FootnoteText"/>
        <w:rPr/>
      </w:pPr>
      <w:r>
        <w:rPr/>
        <w:t>Sunyo 2021</w:t>
      </w:r>
    </w:p>
    <w:p>
      <w:pPr>
        <w:pStyle w:val="FootnoteText"/>
        <w:rPr/>
      </w:pPr>
      <w:r>
        <w:rPr/>
        <w:t>339</w:t>
      </w:r>
    </w:p>
    <w:p>
      <w:pPr>
        <w:pStyle w:val="FootnoteText"/>
        <w:rPr/>
      </w:pPr>
      <w:r>
        <w:rPr/>
        <w:t>See Hinüber p.28f</w:t>
      </w:r>
    </w:p>
    <w:p>
      <w:pPr>
        <w:pStyle w:val="FootnoteText"/>
        <w:rPr/>
      </w:pPr>
      <w:r>
        <w:rPr/>
        <w:t>340</w:t>
      </w:r>
    </w:p>
    <w:p>
      <w:pPr>
        <w:pStyle w:val="FootnoteText"/>
        <w:rPr/>
      </w:pPr>
      <w:r>
        <w:rPr/>
        <w:t>DN 11:85.18–85.27 D I 223</w:t>
      </w:r>
    </w:p>
    <w:p>
      <w:pPr>
        <w:pStyle w:val="FootnoteText"/>
        <w:rPr/>
      </w:pPr>
      <w:r>
        <w:rPr/>
        <w:t>341</w:t>
      </w:r>
    </w:p>
    <w:p>
      <w:pPr>
        <w:pStyle w:val="FootnoteText"/>
        <w:rPr/>
      </w:pPr>
      <w:r>
        <w:rPr/>
        <w:t>See for example Hamilton p.12</w:t>
      </w:r>
    </w:p>
    <w:p>
      <w:pPr>
        <w:pStyle w:val="FootnoteText"/>
        <w:rPr/>
      </w:pPr>
      <w:r>
        <w:rPr/>
        <w:t>342</w:t>
      </w:r>
    </w:p>
    <w:p>
      <w:pPr>
        <w:pStyle w:val="FootnoteText"/>
        <w:rPr/>
      </w:pPr>
      <w:r>
        <w:rPr/>
        <w:t>Gombrich 1980 p.45</w:t>
      </w:r>
    </w:p>
    <w:p>
      <w:pPr>
        <w:pStyle w:val="FootnoteText"/>
        <w:rPr/>
      </w:pPr>
      <w:r>
        <w:rPr/>
        <w:t>343</w:t>
      </w:r>
    </w:p>
    <w:p>
      <w:pPr>
        <w:pStyle w:val="FootnoteText"/>
        <w:rPr/>
      </w:pPr>
      <w:r>
        <w:rPr/>
        <w:t>BU 2.4.12, anantam apāraṁ vijñāna-ghana eva; BU 3.8.8, asthūlam anaṇv ahrasvam adīrgham.</w:t>
      </w:r>
    </w:p>
    <w:p>
      <w:pPr>
        <w:pStyle w:val="FootnoteText"/>
        <w:rPr/>
      </w:pPr>
      <w:r>
        <w:rPr/>
        <w:t>344</w:t>
      </w:r>
    </w:p>
    <w:p>
      <w:pPr>
        <w:pStyle w:val="FootnoteText"/>
        <w:rPr/>
      </w:pPr>
      <w:r>
        <w:rPr/>
        <w:t>BU 3.7.3–7, translation Olivelle: “This self of yours who is present within but is different from the earth, whom the earth does not know, […] who is present within but is different from the waters […] the fire […] the wind, whom the wind does not know, […] he is the inner controller, the immortal.”</w:t>
      </w:r>
    </w:p>
    <w:p>
      <w:pPr>
        <w:pStyle w:val="FootnoteText"/>
        <w:rPr/>
      </w:pPr>
      <w:r>
        <w:rPr/>
        <w:t>345</w:t>
      </w:r>
    </w:p>
    <w:p>
      <w:pPr>
        <w:pStyle w:val="FootnoteText"/>
        <w:rPr/>
      </w:pPr>
      <w:r>
        <w:rPr/>
        <w:t>TU 2.8, translation Olivelle: “For when a man finds within that invisible (nadṛśya), incorporeal, indistinct, and supportless essence, the fearless state on which to rest, then he becomes free from fear.” The word has the same verbal root as anidassana of the Kevaddha Sutta</w:t>
      </w:r>
    </w:p>
    <w:p>
      <w:pPr>
        <w:pStyle w:val="FootnoteText"/>
        <w:rPr/>
      </w:pPr>
      <w:r>
        <w:rPr/>
        <w:t>346</w:t>
      </w:r>
    </w:p>
    <w:p>
      <w:pPr>
        <w:pStyle w:val="FootnoteText"/>
        <w:rPr/>
      </w:pPr>
      <w:r>
        <w:rPr/>
        <w:t>CU 3.13.7–14.2, translation Olivelle. See also ‘inner light’ in §94</w:t>
      </w:r>
    </w:p>
    <w:p>
      <w:pPr>
        <w:pStyle w:val="FootnoteText"/>
        <w:rPr/>
      </w:pPr>
      <w:r>
        <w:rPr/>
        <w:t>347</w:t>
      </w:r>
    </w:p>
    <w:p>
      <w:pPr>
        <w:pStyle w:val="FootnoteText"/>
        <w:rPr/>
      </w:pPr>
      <w:r>
        <w:rPr/>
        <w:t>See Sunyo 2021</w:t>
      </w:r>
    </w:p>
    <w:p>
      <w:pPr>
        <w:pStyle w:val="FootnoteText"/>
        <w:rPr/>
      </w:pPr>
      <w:r>
        <w:rPr/>
        <w:t>348</w:t>
      </w:r>
    </w:p>
    <w:p>
      <w:pPr>
        <w:pStyle w:val="FootnoteText"/>
        <w:rPr/>
      </w:pPr>
      <w:r>
        <w:rPr/>
        <w:t>See also Jayatilleke §42: “There is no reason to believe that Yājñavalkya’s theories are based on any kind of mystical experience.”</w:t>
      </w:r>
    </w:p>
    <w:p>
      <w:pPr>
        <w:pStyle w:val="FootnoteText"/>
        <w:rPr/>
      </w:pPr>
      <w:r>
        <w:rPr/>
        <w:t>349</w:t>
      </w:r>
    </w:p>
    <w:p>
      <w:pPr>
        <w:pStyle w:val="FootnoteText"/>
        <w:rPr/>
      </w:pPr>
      <w:r>
        <w:rPr/>
        <w:t>Werner p.26</w:t>
      </w:r>
    </w:p>
    <w:p>
      <w:pPr>
        <w:pStyle w:val="FootnoteText"/>
        <w:rPr/>
      </w:pPr>
      <w:r>
        <w:rPr/>
        <w:t>350</w:t>
      </w:r>
    </w:p>
    <w:p>
      <w:pPr>
        <w:pStyle w:val="FootnoteText"/>
        <w:rPr/>
      </w:pPr>
      <w:r>
        <w:rPr/>
        <w:t>BU 4.4.19</w:t>
      </w:r>
    </w:p>
    <w:p>
      <w:pPr>
        <w:pStyle w:val="FootnoteText"/>
        <w:rPr/>
      </w:pPr>
      <w:r>
        <w:rPr/>
        <w:t>351</w:t>
      </w:r>
    </w:p>
    <w:p>
      <w:pPr>
        <w:pStyle w:val="FootnoteText"/>
        <w:rPr/>
      </w:pPr>
      <w:r>
        <w:rPr/>
        <w:t>Gombrich 1980 p.45</w:t>
      </w:r>
    </w:p>
    <w:p>
      <w:pPr>
        <w:pStyle w:val="FootnoteText"/>
        <w:rPr/>
      </w:pPr>
      <w:r>
        <w:rPr/>
        <w:t>352</w:t>
      </w:r>
    </w:p>
    <w:p>
      <w:pPr>
        <w:pStyle w:val="FootnoteText"/>
        <w:rPr/>
      </w:pPr>
      <w:r>
        <w:rPr/>
        <w:t>For example Ñāṇananda 2016 p.27: “There is a consciousness that is freed from name and form.” Also Oldenberg p.87, who says the “Brahmanic thinking […] is also basically valid for the Buddhistic”, both resulting in “the blissful merging with infinity” when name and form are abandoned.</w:t>
      </w:r>
    </w:p>
    <w:p>
      <w:pPr>
        <w:pStyle w:val="FootnoteText"/>
        <w:rPr/>
      </w:pPr>
      <w:r>
        <w:rPr/>
        <w:t>353</w:t>
      </w:r>
    </w:p>
    <w:p>
      <w:pPr>
        <w:pStyle w:val="FootnoteText"/>
        <w:rPr/>
      </w:pPr>
      <w:r>
        <w:rPr/>
        <w:t>As argued for example by Ñāṇananda 2015 p.60: “In some discourses, like the Mahānidāna Sutta, there is a discussion about a descent of consciousness into a mother’s womb. […] The point […] is that the constant interrelation that exists between consciousness and name-and-form is present even during one’s life in the mother’s womb.” Also see Cintita p.227</w:t>
      </w:r>
    </w:p>
    <w:p>
      <w:pPr>
        <w:pStyle w:val="FootnoteText"/>
        <w:rPr/>
      </w:pPr>
      <w:r>
        <w:rPr/>
        <w:t>354</w:t>
      </w:r>
    </w:p>
    <w:p>
      <w:pPr>
        <w:pStyle w:val="FootnoteText"/>
        <w:rPr/>
      </w:pPr>
      <w:r>
        <w:rPr/>
        <w:t>For example MN 60:5.1–8.8 M I 401, MN 76:7.1–7.10 M I 515, MN 110:11.1–11.4 M III 22, SN 24.5, AN 10.216:5.9</w:t>
      </w:r>
    </w:p>
    <w:p>
      <w:pPr>
        <w:pStyle w:val="FootnoteText"/>
        <w:rPr/>
      </w:pPr>
      <w:r>
        <w:rPr/>
        <w:t>355</w:t>
      </w:r>
    </w:p>
    <w:p>
      <w:pPr>
        <w:pStyle w:val="FootnoteText"/>
        <w:rPr/>
      </w:pPr>
      <w:r>
        <w:rPr/>
        <w:t>§126, DN 1:2.13.4 D I 21</w:t>
      </w:r>
    </w:p>
    <w:p>
      <w:pPr>
        <w:pStyle w:val="FootnoteText"/>
        <w:rPr/>
      </w:pPr>
      <w:r>
        <w:rPr/>
        <w:t>356</w:t>
      </w:r>
    </w:p>
    <w:p>
      <w:pPr>
        <w:pStyle w:val="FootnoteText"/>
        <w:rPr/>
      </w:pPr>
      <w:r>
        <w:rPr/>
        <w:t>SN 22.7:2.5</w:t>
      </w:r>
    </w:p>
    <w:p>
      <w:pPr>
        <w:pStyle w:val="FootnoteText"/>
        <w:rPr/>
      </w:pPr>
      <w:r>
        <w:rPr/>
        <w:t>357</w:t>
      </w:r>
    </w:p>
    <w:p>
      <w:pPr>
        <w:pStyle w:val="FootnoteText"/>
        <w:rPr/>
      </w:pPr>
      <w:r>
        <w:rPr/>
        <w:t>MN 111:6.1 M III 25, as noted by Anālayo 2017 p.120</w:t>
      </w:r>
    </w:p>
    <w:p>
      <w:pPr>
        <w:pStyle w:val="FootnoteText"/>
        <w:rPr/>
      </w:pPr>
      <w:r>
        <w:rPr/>
        <w:t>358</w:t>
      </w:r>
    </w:p>
    <w:p>
      <w:pPr>
        <w:pStyle w:val="FootnoteText"/>
        <w:rPr/>
      </w:pPr>
      <w:r>
        <w:rPr/>
        <w:t>For example at SĀ 284, as pointed out by Choong p.174</w:t>
      </w:r>
    </w:p>
    <w:p>
      <w:pPr>
        <w:pStyle w:val="FootnoteText"/>
        <w:rPr/>
      </w:pPr>
      <w:r>
        <w:rPr/>
        <w:t>359</w:t>
      </w:r>
    </w:p>
    <w:p>
      <w:pPr>
        <w:pStyle w:val="FootnoteText"/>
        <w:rPr/>
      </w:pPr>
      <w:r>
        <w:rPr/>
        <w:t>SN 47.42</w:t>
      </w:r>
    </w:p>
    <w:p>
      <w:pPr>
        <w:pStyle w:val="FootnoteText"/>
        <w:rPr/>
      </w:pPr>
      <w:r>
        <w:rPr/>
        <w:t>360</w:t>
      </w:r>
    </w:p>
    <w:p>
      <w:pPr>
        <w:pStyle w:val="FootnoteText"/>
        <w:rPr/>
      </w:pPr>
      <w:r>
        <w:rPr/>
        <w:t>Anālayo 2018 p.27</w:t>
      </w:r>
    </w:p>
    <w:p>
      <w:pPr>
        <w:pStyle w:val="FootnoteText"/>
        <w:rPr/>
      </w:pPr>
      <w:r>
        <w:rPr/>
        <w:t>361</w:t>
      </w:r>
    </w:p>
    <w:p>
      <w:pPr>
        <w:pStyle w:val="FootnoteText"/>
        <w:rPr/>
      </w:pPr>
      <w:r>
        <w:rPr/>
        <w:t>Body with consciousness (saviññāṇaka kāya):</w:t>
      </w:r>
    </w:p>
    <w:p>
      <w:pPr>
        <w:pStyle w:val="FootnoteText"/>
        <w:rPr/>
      </w:pPr>
      <w:r>
        <w:rPr/>
        <w:t>MN 109:13.1,13.7 M III 18,</w:t>
      </w:r>
    </w:p>
    <w:p>
      <w:pPr>
        <w:pStyle w:val="FootnoteText"/>
        <w:rPr/>
      </w:pPr>
      <w:r>
        <w:rPr/>
        <w:t>MN 112:11.3,20.4 M III 32,</w:t>
      </w:r>
    </w:p>
    <w:p>
      <w:pPr>
        <w:pStyle w:val="FootnoteText"/>
        <w:rPr/>
      </w:pPr>
      <w:r>
        <w:rPr/>
        <w:t>SN 18.21:1.3,1.9,</w:t>
      </w:r>
    </w:p>
    <w:p>
      <w:pPr>
        <w:pStyle w:val="FootnoteText"/>
        <w:rPr/>
      </w:pPr>
      <w:r>
        <w:rPr/>
        <w:t>SN 22.71:1.3,1.9,</w:t>
      </w:r>
    </w:p>
    <w:p>
      <w:pPr>
        <w:pStyle w:val="FootnoteText"/>
        <w:rPr/>
      </w:pPr>
      <w:r>
        <w:rPr/>
        <w:t>SN 22.72:1.3,1.12,</w:t>
      </w:r>
    </w:p>
    <w:p>
      <w:pPr>
        <w:pStyle w:val="FootnoteText"/>
        <w:rPr/>
      </w:pPr>
      <w:r>
        <w:rPr/>
        <w:t>SN 22.82:11.1,11.7,</w:t>
      </w:r>
    </w:p>
    <w:p>
      <w:pPr>
        <w:pStyle w:val="FootnoteText"/>
        <w:rPr/>
      </w:pPr>
      <w:r>
        <w:rPr/>
        <w:t>SN 22.91:1.3,2.7,</w:t>
      </w:r>
    </w:p>
    <w:p>
      <w:pPr>
        <w:pStyle w:val="FootnoteText"/>
        <w:rPr/>
      </w:pPr>
      <w:r>
        <w:rPr/>
        <w:t>SN 22.92:1.3,2.6,</w:t>
      </w:r>
    </w:p>
    <w:p>
      <w:pPr>
        <w:pStyle w:val="FootnoteText"/>
        <w:rPr/>
      </w:pPr>
      <w:r>
        <w:rPr/>
        <w:t>SN 22.124:1.3,2.6,</w:t>
      </w:r>
    </w:p>
    <w:p>
      <w:pPr>
        <w:pStyle w:val="FootnoteText"/>
        <w:rPr/>
      </w:pPr>
      <w:r>
        <w:rPr/>
        <w:t>SN 22.125:1.3,2.6,</w:t>
      </w:r>
    </w:p>
    <w:p>
      <w:pPr>
        <w:pStyle w:val="FootnoteText"/>
        <w:rPr/>
      </w:pPr>
      <w:r>
        <w:rPr/>
        <w:t>AN 3.32:2.1,2.3,4.3,</w:t>
      </w:r>
    </w:p>
    <w:p>
      <w:pPr>
        <w:pStyle w:val="FootnoteText"/>
        <w:rPr/>
      </w:pPr>
      <w:r>
        <w:rPr/>
        <w:t>AN 3.33:2.2,3.1,</w:t>
      </w:r>
    </w:p>
    <w:p>
      <w:pPr>
        <w:pStyle w:val="FootnoteText"/>
        <w:rPr/>
      </w:pPr>
      <w:r>
        <w:rPr/>
        <w:t>AN 7.49:14.3,15.1,16.1;</w:t>
      </w:r>
    </w:p>
    <w:p>
      <w:pPr>
        <w:pStyle w:val="FootnoteText"/>
        <w:rPr/>
      </w:pPr>
      <w:r>
        <w:rPr/>
        <w:t>cf. SN 35.234.</w:t>
      </w:r>
    </w:p>
    <w:p>
      <w:pPr>
        <w:pStyle w:val="FootnoteText"/>
        <w:rPr/>
      </w:pPr>
      <w:r>
        <w:rPr/>
        <w:t>Consciousness bound to the body:</w:t>
      </w:r>
    </w:p>
    <w:p>
      <w:pPr>
        <w:pStyle w:val="FootnoteText"/>
        <w:rPr/>
      </w:pPr>
      <w:r>
        <w:rPr/>
        <w:t>DN 10:2.21.4 D I 209 (§85),</w:t>
      </w:r>
    </w:p>
    <w:p>
      <w:pPr>
        <w:pStyle w:val="FootnoteText"/>
        <w:rPr/>
      </w:pPr>
      <w:r>
        <w:rPr/>
        <w:t>DN 2:83.4 D I 76,</w:t>
      </w:r>
    </w:p>
    <w:p>
      <w:pPr>
        <w:pStyle w:val="FootnoteText"/>
        <w:rPr/>
      </w:pPr>
      <w:r>
        <w:rPr/>
        <w:t>MN 77:29.9–29.11 M II 17.</w:t>
      </w:r>
    </w:p>
    <w:p>
      <w:pPr>
        <w:pStyle w:val="FootnoteText"/>
        <w:rPr/>
      </w:pPr>
      <w:r>
        <w:rPr/>
        <w:t>Consciousness leaves the body:</w:t>
      </w:r>
    </w:p>
    <w:p>
      <w:pPr>
        <w:pStyle w:val="FootnoteText"/>
        <w:rPr/>
      </w:pPr>
      <w:r>
        <w:rPr/>
        <w:t>MN 43:24.2 M I 296</w:t>
      </w:r>
    </w:p>
    <w:p>
      <w:pPr>
        <w:pStyle w:val="FootnoteText"/>
        <w:rPr/>
      </w:pPr>
      <w:r>
        <w:rPr/>
        <w:t>362</w:t>
      </w:r>
    </w:p>
    <w:p>
      <w:pPr>
        <w:pStyle w:val="FootnoteText"/>
        <w:rPr/>
      </w:pPr>
      <w:r>
        <w:rPr/>
        <w:t>Consciousness transmigrates: MN 38:2.2 M I 256. Consciousness passes on and gets reborn: §76, §118. Consciousness travels on: §55. Conceived: §84, see also §81</w:t>
      </w:r>
    </w:p>
    <w:p>
      <w:pPr>
        <w:pStyle w:val="FootnoteText"/>
        <w:rPr/>
      </w:pPr>
      <w:r>
        <w:rPr/>
        <w:t>363</w:t>
      </w:r>
    </w:p>
    <w:p>
      <w:pPr>
        <w:pStyle w:val="FootnoteText"/>
        <w:rPr/>
      </w:pPr>
      <w:r>
        <w:rPr/>
        <w:t>PED under viññāṇa</w:t>
      </w:r>
    </w:p>
    <w:p>
      <w:pPr>
        <w:pStyle w:val="FootnoteText"/>
        <w:rPr/>
      </w:pPr>
      <w:r>
        <w:rPr/>
        <w:t>364</w:t>
      </w:r>
    </w:p>
    <w:p>
      <w:pPr>
        <w:pStyle w:val="FootnoteText"/>
        <w:rPr/>
      </w:pPr>
      <w:r>
        <w:rPr/>
        <w:t>For example Frauwallner 1953/1973 p.162, Hamilton p.101, Langer p.9, Vetter 1988 p.49, Wijesekera 1994 p.111</w:t>
      </w:r>
    </w:p>
    <w:p>
      <w:pPr>
        <w:pStyle w:val="FootnoteText"/>
        <w:rPr/>
      </w:pPr>
      <w:r>
        <w:rPr/>
        <w:t>365</w:t>
      </w:r>
    </w:p>
    <w:p>
      <w:pPr>
        <w:pStyle w:val="FootnoteText"/>
        <w:rPr/>
      </w:pPr>
      <w:r>
        <w:rPr/>
        <w:t>Kalupahana 1975 p.119</w:t>
      </w:r>
    </w:p>
    <w:p>
      <w:pPr>
        <w:pStyle w:val="FootnoteText"/>
        <w:rPr/>
      </w:pPr>
      <w:r>
        <w:rPr/>
        <w:t>366</w:t>
      </w:r>
    </w:p>
    <w:p>
      <w:pPr>
        <w:pStyle w:val="FootnoteText"/>
        <w:rPr/>
      </w:pPr>
      <w:r>
        <w:rPr/>
        <w:t>As argued by Hamilton p.85</w:t>
      </w:r>
    </w:p>
    <w:p>
      <w:pPr>
        <w:pStyle w:val="FootnoteText"/>
        <w:rPr/>
      </w:pPr>
      <w:r>
        <w:rPr/>
        <w:t>367</w:t>
      </w:r>
    </w:p>
    <w:p>
      <w:pPr>
        <w:pStyle w:val="FootnoteText"/>
        <w:rPr/>
      </w:pPr>
      <w:r>
        <w:rPr/>
        <w:t>Gombrich 2009 p.60</w:t>
      </w:r>
    </w:p>
    <w:p>
      <w:pPr>
        <w:pStyle w:val="FootnoteText"/>
        <w:rPr/>
      </w:pPr>
      <w:r>
        <w:rPr/>
        <w:t>368</w:t>
      </w:r>
    </w:p>
    <w:p>
      <w:pPr>
        <w:pStyle w:val="FootnoteText"/>
        <w:rPr/>
      </w:pPr>
      <w:r>
        <w:rPr/>
        <w:t>Vetter 1988 p.36 notes: “The word ‘consciousness’ which is often employed here, is rather inconvenient when one has to interpret viññāṇa as a link in the twelvefold chain of dependent origination, where it seems to point to the first moment of life in the mother’s womb.” Rhys Davids p.55 comments upon her translation of AN 3.76 (§71) that ‘consciousness’ is not an adequate translation in this context: “I have rendered by ‘man [surviving]’ the word viññāṇa, literally ‘awareness’, and rightly so rendered it. [Here] viññāṇa clearly means the man who has survived death.”</w:t>
      </w:r>
    </w:p>
    <w:p>
      <w:pPr>
        <w:pStyle w:val="FootnoteText"/>
        <w:rPr/>
      </w:pPr>
      <w:r>
        <w:rPr/>
        <w:t>369</w:t>
      </w:r>
    </w:p>
    <w:p>
      <w:pPr>
        <w:pStyle w:val="FootnoteText"/>
        <w:rPr/>
      </w:pPr>
      <w:r>
        <w:rPr/>
        <w:t>Schmithausen 2000 p.57, translation mine</w:t>
      </w:r>
    </w:p>
    <w:p>
      <w:pPr>
        <w:pStyle w:val="FootnoteText"/>
        <w:rPr/>
      </w:pPr>
      <w:r>
        <w:rPr/>
        <w:t>370</w:t>
      </w:r>
    </w:p>
    <w:p>
      <w:pPr>
        <w:pStyle w:val="FootnoteText"/>
        <w:rPr/>
      </w:pPr>
      <w:r>
        <w:rPr/>
        <w:t>Frauwallner 1953/1973 p.162, emphasis added</w:t>
      </w:r>
    </w:p>
    <w:p>
      <w:pPr>
        <w:pStyle w:val="FootnoteText"/>
        <w:rPr/>
      </w:pPr>
      <w:r>
        <w:rPr/>
        <w:t>371</w:t>
      </w:r>
    </w:p>
    <w:p>
      <w:pPr>
        <w:pStyle w:val="FootnoteText"/>
        <w:rPr/>
      </w:pPr>
      <w:r>
        <w:rPr/>
        <w:t>Hamilton p.101</w:t>
      </w:r>
    </w:p>
    <w:p>
      <w:pPr>
        <w:pStyle w:val="FootnoteText"/>
        <w:rPr/>
      </w:pPr>
      <w:r>
        <w:rPr/>
        <w:t>372</w:t>
      </w:r>
    </w:p>
    <w:p>
      <w:pPr>
        <w:pStyle w:val="FootnoteText"/>
        <w:rPr/>
      </w:pPr>
      <w:r>
        <w:rPr/>
        <w:t>See for example §8, §137, §114, Thag 1.90</w:t>
      </w:r>
    </w:p>
    <w:p>
      <w:pPr>
        <w:pStyle w:val="FootnoteText"/>
        <w:rPr/>
      </w:pPr>
      <w:r>
        <w:rPr/>
        <w:t>373</w:t>
      </w:r>
    </w:p>
    <w:p>
      <w:pPr>
        <w:pStyle w:val="FootnoteText"/>
        <w:rPr/>
      </w:pPr>
      <w:r>
        <w:rPr/>
        <w:t>See also Brahmavamso 2002</w:t>
      </w:r>
    </w:p>
    <w:p>
      <w:pPr>
        <w:pStyle w:val="FootnoteText"/>
        <w:rPr/>
      </w:pPr>
      <w:r>
        <w:rPr/>
        <w:t>374</w:t>
      </w:r>
    </w:p>
    <w:p>
      <w:pPr>
        <w:pStyle w:val="FootnoteText"/>
        <w:rPr/>
      </w:pPr>
      <w:r>
        <w:rPr/>
        <w:t>For example Vism 546</w:t>
      </w:r>
    </w:p>
    <w:p>
      <w:pPr>
        <w:pStyle w:val="FootnoteText"/>
        <w:rPr/>
      </w:pPr>
      <w:r>
        <w:rPr/>
        <w:t>375</w:t>
      </w:r>
    </w:p>
    <w:p>
      <w:pPr>
        <w:pStyle w:val="FootnoteText"/>
        <w:rPr/>
      </w:pPr>
      <w:r>
        <w:rPr/>
        <w:t>Wijesekera 1994 p.111</w:t>
      </w:r>
    </w:p>
    <w:p>
      <w:pPr>
        <w:pStyle w:val="FootnoteText"/>
        <w:rPr/>
      </w:pPr>
      <w:r>
        <w:rPr/>
        <w:t>376</w:t>
      </w:r>
    </w:p>
    <w:p>
      <w:pPr>
        <w:pStyle w:val="FootnoteText"/>
        <w:rPr/>
      </w:pPr>
      <w:r>
        <w:rPr/>
        <w:t>BU 4.3.7, translation Olivelle</w:t>
      </w:r>
    </w:p>
    <w:p>
      <w:pPr>
        <w:pStyle w:val="FootnoteText"/>
        <w:rPr/>
      </w:pPr>
      <w:r>
        <w:rPr/>
        <w:t>377</w:t>
      </w:r>
    </w:p>
    <w:p>
      <w:pPr>
        <w:pStyle w:val="FootnoteText"/>
        <w:rPr/>
      </w:pPr>
      <w:r>
        <w:rPr/>
        <w:t>MN 38:5.11 M I 256. Compare MN 2:8.8 M I 8: “It is this self of mine who speaks, who feels, who in various realms experiences the results of good and bad deeds.”</w:t>
      </w:r>
    </w:p>
    <w:p>
      <w:pPr>
        <w:pStyle w:val="FootnoteText"/>
        <w:rPr/>
      </w:pPr>
      <w:r>
        <w:rPr/>
        <w:t>378</w:t>
      </w:r>
    </w:p>
    <w:p>
      <w:pPr>
        <w:pStyle w:val="FootnoteText"/>
        <w:rPr/>
      </w:pPr>
      <w:r>
        <w:rPr/>
        <w:t>See also Vetter 1988 p.48–50. For similar explanations see Bodhi 1984 p.24, Wijesekera 1994 p.168–172, Shults p.110</w:t>
      </w:r>
    </w:p>
    <w:p>
      <w:pPr>
        <w:pStyle w:val="FootnoteText"/>
        <w:rPr/>
      </w:pPr>
      <w:r>
        <w:rPr/>
        <w:t>379</w:t>
      </w:r>
    </w:p>
    <w:p>
      <w:pPr>
        <w:pStyle w:val="FootnoteText"/>
        <w:rPr/>
      </w:pPr>
      <w:r>
        <w:rPr/>
        <w:t>DN 28:7.13 D III 105. See also Anālayo 2008 p.97</w:t>
      </w:r>
    </w:p>
    <w:p>
      <w:pPr>
        <w:pStyle w:val="FootnoteText"/>
        <w:rPr/>
      </w:pPr>
      <w:r>
        <w:rPr/>
        <w:t>380</w:t>
      </w:r>
    </w:p>
    <w:p>
      <w:pPr>
        <w:pStyle w:val="FootnoteText"/>
        <w:rPr/>
      </w:pPr>
      <w:r>
        <w:rPr/>
        <w:t>See also Hamilton p.97</w:t>
      </w:r>
    </w:p>
    <w:p>
      <w:pPr>
        <w:pStyle w:val="FootnoteText"/>
        <w:rPr/>
      </w:pPr>
      <w:r>
        <w:rPr/>
        <w:t>381</w:t>
      </w:r>
    </w:p>
    <w:p>
      <w:pPr>
        <w:pStyle w:val="FootnoteText"/>
        <w:rPr/>
      </w:pPr>
      <w:r>
        <w:rPr/>
        <w:t>§126</w:t>
      </w:r>
    </w:p>
    <w:p>
      <w:pPr>
        <w:pStyle w:val="FootnoteText"/>
        <w:rPr/>
      </w:pPr>
      <w:r>
        <w:rPr/>
        <w:t>382</w:t>
      </w:r>
    </w:p>
    <w:p>
      <w:pPr>
        <w:pStyle w:val="FootnoteText"/>
        <w:rPr/>
      </w:pPr>
      <w:r>
        <w:rPr/>
        <w:t>For example Buddhadāsa p.14, Reinhard p.9</w:t>
      </w:r>
    </w:p>
    <w:p>
      <w:pPr>
        <w:pStyle w:val="FootnoteText"/>
        <w:rPr/>
      </w:pPr>
      <w:r>
        <w:rPr/>
        <w:t>383</w:t>
      </w:r>
    </w:p>
    <w:p>
      <w:pPr>
        <w:pStyle w:val="FootnoteText"/>
        <w:rPr/>
      </w:pPr>
      <w:r>
        <w:rPr/>
        <w:t>See also Harvey 1995 p.98</w:t>
      </w:r>
    </w:p>
    <w:p>
      <w:pPr>
        <w:pStyle w:val="FootnoteText"/>
        <w:rPr/>
      </w:pPr>
      <w:r>
        <w:rPr/>
        <w:t>384</w:t>
      </w:r>
    </w:p>
    <w:p>
      <w:pPr>
        <w:pStyle w:val="FootnoteText"/>
        <w:rPr/>
      </w:pPr>
      <w:r>
        <w:rPr/>
        <w:t>PED s.v. viññāṇa, emphasis added.</w:t>
      </w:r>
    </w:p>
    <w:p>
      <w:pPr>
        <w:pStyle w:val="FootnoteText"/>
        <w:rPr/>
      </w:pPr>
      <w:r>
        <w:rPr/>
        <w:t>385</w:t>
      </w:r>
    </w:p>
    <w:p>
      <w:pPr>
        <w:pStyle w:val="FootnoteText"/>
        <w:rPr/>
      </w:pPr>
      <w:r>
        <w:rPr/>
        <w:t>Olalde 2014 p.156. See also p.73ff.</w:t>
      </w:r>
    </w:p>
    <w:p>
      <w:pPr>
        <w:pStyle w:val="FootnoteText"/>
        <w:rPr/>
      </w:pPr>
      <w:r>
        <w:rPr/>
        <w:t>386</w:t>
      </w:r>
    </w:p>
    <w:p>
      <w:pPr>
        <w:pStyle w:val="FootnoteText"/>
        <w:rPr/>
      </w:pPr>
      <w:r>
        <w:rPr/>
        <w:t>SN 12.67:3.7–7.16</w:t>
      </w:r>
    </w:p>
    <w:p>
      <w:pPr>
        <w:pStyle w:val="FootnoteText"/>
        <w:rPr/>
      </w:pPr>
      <w:r>
        <w:rPr/>
        <w:t>387</w:t>
      </w:r>
    </w:p>
    <w:p>
      <w:pPr>
        <w:pStyle w:val="FootnoteText"/>
        <w:rPr/>
      </w:pPr>
      <w:r>
        <w:rPr/>
        <w:t>DPPN</w:t>
      </w:r>
    </w:p>
    <w:p>
      <w:pPr>
        <w:pStyle w:val="FootnoteText"/>
        <w:rPr/>
      </w:pPr>
      <w:r>
        <w:rPr/>
        <w:t>388</w:t>
      </w:r>
    </w:p>
    <w:p>
      <w:pPr>
        <w:pStyle w:val="FootnoteText"/>
        <w:rPr/>
      </w:pPr>
      <w:r>
        <w:rPr/>
        <w:t>See also AN 3.61</w:t>
      </w:r>
    </w:p>
    <w:p>
      <w:pPr>
        <w:pStyle w:val="FootnoteText"/>
        <w:rPr/>
      </w:pPr>
      <w:r>
        <w:rPr/>
        <w:t>389</w:t>
      </w:r>
    </w:p>
    <w:p>
      <w:pPr>
        <w:pStyle w:val="FootnoteText"/>
        <w:rPr/>
      </w:pPr>
      <w:r>
        <w:rPr/>
        <w:t>‘</w:t>
      </w:r>
      <w:r>
        <w:rPr/>
        <w:t>Idaṁ saccan’ti maññati, ‘imagining they know the truth’. This is a typical example of Pāli using quotation in a more abstract sense than English. The quoted words are not literal thoughts, and therefore do not have to be translated as a literal quote. Idaṁ is a pronoun without explicit referent, meaning it does not refer to any specific noun, including nāmarūpa (contra e.g. Ñāṇananda 2015 p.132). See the prose preceding these verses in the discourse, where idaṁ also does not refer to anything specific: “What the world […] considers to be the truth (‘idaṁ saccan’ti upanijjhāyitaṁ), the noble ones […] understand to be false. […] What the world […] considers to be false (‘idaṁ musā’ti upanijjhāyitaṁ), the noble ones […] understand to be the truth.” There is no mention of nāmarūpa at this point. Furthermore, if idaṁ were to refer to nāmarūpa here, then the noble ones also understand it to be true. This does not fit Ñāṇananda’s ideas, who took nāmarūpa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The same idea applies to the common phrase idam’eva saccaṁ, for example in sassato loko, idam’eva saccaṁ, ‘the world is eternal, just this is the truth’— e.g. DN 9:25.3 D I 187. Idaṁ is neuter, while loko is masculine, so the former does not refer to the latter. Put differently, ‘the world’ is not considered to be ‘the truth’: it is the entire statement ‘the world is eternal’ which is taken as truth. Likewise, in the discourse at hand, nāmarūpa is not the thing that is considered to be the truth. It is its selfhood which is mistakenly taken as truth, as the commentary also notes, not nāmarūpa itself. The world imagining (maññati) things to be true refers back to the earlier line on them imagining nāmarūpa to have a self (atta-māniṁ). It also corresponds with the next line: “for whatever they imagine it is [i.e. a self], it is different from that [i.e. without a self].” (See also the passage quoted at note 422: “The Buddha has said to not identify with the attainment of the first jhāna. For whatever you imagine it is, it is different from that.”)</w:t>
      </w:r>
    </w:p>
    <w:p>
      <w:pPr>
        <w:pStyle w:val="FootnoteText"/>
        <w:rPr/>
      </w:pPr>
      <w:r>
        <w:rPr/>
      </w:r>
    </w:p>
    <w:p>
      <w:pPr>
        <w:pStyle w:val="FootnoteText"/>
        <w:rPr/>
      </w:pPr>
      <w:r>
        <w:rPr/>
        <w:t>390</w:t>
      </w:r>
    </w:p>
    <w:p>
      <w:pPr>
        <w:pStyle w:val="FootnoteText"/>
        <w:rPr/>
      </w:pPr>
      <w:r>
        <w:rPr/>
        <w:t>Snp 3.12:51.1–53.4</w:t>
      </w:r>
    </w:p>
    <w:p>
      <w:pPr>
        <w:pStyle w:val="FootnoteText"/>
        <w:rPr/>
      </w:pPr>
      <w:r>
        <w:rPr/>
        <w:t>391</w:t>
      </w:r>
    </w:p>
    <w:p>
      <w:pPr>
        <w:pStyle w:val="FootnoteText"/>
        <w:rPr/>
      </w:pPr>
      <w:r>
        <w:rPr/>
        <w:t>The verb niviṭṭha has two meanings. It literally means settling down in some physical place like a campground, but it can also figuratively mean being used to something, similar to English ‘habituate’. In this case it can mean being reborn “in” or being attached to nāmarūpa.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FootnoteText"/>
        <w:rPr/>
      </w:pPr>
      <w:r>
        <w:rPr/>
        <w:t>392</w:t>
      </w:r>
    </w:p>
    <w:p>
      <w:pPr>
        <w:pStyle w:val="FootnoteText"/>
        <w:rPr/>
      </w:pPr>
      <w:r>
        <w:rPr/>
        <w:t>Iti 41</w:t>
      </w:r>
    </w:p>
    <w:p>
      <w:pPr>
        <w:pStyle w:val="FootnoteText"/>
        <w:rPr/>
      </w:pPr>
      <w:r>
        <w:rPr/>
        <w:t>393</w:t>
      </w:r>
    </w:p>
    <w:p>
      <w:pPr>
        <w:pStyle w:val="FootnoteText"/>
        <w:rPr/>
      </w:pPr>
      <w:r>
        <w:rPr/>
        <w:t>There is a pun here, which I tried to show in translation. The cutting of the tangle (jaṭā) also refers to the hair of Bhāradvāja Tangled-Hair (jaṭā-bhāradvāja), which was dreadlocked in the style of brahmin renunciants.</w:t>
      </w:r>
    </w:p>
    <w:p>
      <w:pPr>
        <w:pStyle w:val="FootnoteText"/>
        <w:rPr/>
      </w:pPr>
      <w:r>
        <w:rPr/>
        <w:t>394</w:t>
      </w:r>
    </w:p>
    <w:p>
      <w:pPr>
        <w:pStyle w:val="FootnoteText"/>
        <w:rPr/>
      </w:pPr>
      <w:r>
        <w:rPr/>
        <w:t>SN 7.6. Similar at SN 1.23</w:t>
      </w:r>
    </w:p>
    <w:p>
      <w:pPr>
        <w:pStyle w:val="FootnoteText"/>
        <w:rPr/>
      </w:pPr>
      <w:r>
        <w:rPr/>
        <w:t>395</w:t>
      </w:r>
    </w:p>
    <w:p>
      <w:pPr>
        <w:pStyle w:val="FootnoteText"/>
        <w:rPr/>
      </w:pPr>
      <w:r>
        <w:rPr/>
        <w:t>§146</w:t>
      </w:r>
    </w:p>
    <w:p>
      <w:pPr>
        <w:pStyle w:val="FootnoteText"/>
        <w:rPr/>
      </w:pPr>
      <w:r>
        <w:rPr/>
        <w:t>396</w:t>
      </w:r>
    </w:p>
    <w:p>
      <w:pPr>
        <w:pStyle w:val="FootnoteText"/>
        <w:rPr/>
      </w:pPr>
      <w:r>
        <w:rPr/>
        <w:t xml:space="preserve">SĀ 1187, </w:t>
      </w:r>
      <w:r>
        <w:rPr/>
        <w:t>諸識永滅</w:t>
      </w:r>
    </w:p>
    <w:p>
      <w:pPr>
        <w:pStyle w:val="FootnoteText"/>
        <w:rPr/>
      </w:pPr>
      <w:r>
        <w:rPr/>
        <w:t>397</w:t>
      </w:r>
    </w:p>
    <w:p>
      <w:pPr>
        <w:pStyle w:val="FootnoteText"/>
        <w:rPr/>
      </w:pPr>
      <w:r>
        <w:rPr/>
        <w:t xml:space="preserve">SĀ2 100, </w:t>
      </w:r>
      <w:r>
        <w:rPr/>
        <w:t>心意盡滅</w:t>
      </w:r>
    </w:p>
    <w:p>
      <w:pPr>
        <w:pStyle w:val="FootnoteText"/>
        <w:rPr/>
      </w:pPr>
      <w:r>
        <w:rPr/>
        <w:t>398</w:t>
      </w:r>
    </w:p>
    <w:p>
      <w:pPr>
        <w:pStyle w:val="FootnoteText"/>
        <w:rPr/>
      </w:pPr>
      <w:r>
        <w:rPr/>
        <w:t>See also Bodhi 2000 p.48: “Consciousness can operate only in dependence on a physical body (rūpa) and in conjunction with its constellation of concomitants (nāma); conversely, only when consciousness is present can a compound of material elements function as a sentient body and the mental concomitants participate in cognition.”</w:t>
      </w:r>
    </w:p>
    <w:p>
      <w:pPr>
        <w:pStyle w:val="FootnoteText"/>
        <w:rPr/>
      </w:pPr>
      <w:r>
        <w:rPr/>
        <w:t>399</w:t>
      </w:r>
    </w:p>
    <w:p>
      <w:pPr>
        <w:pStyle w:val="FootnoteText"/>
        <w:rPr/>
      </w:pPr>
      <w:r>
        <w:rPr/>
        <w:t>Langer p.27, translation mine</w:t>
      </w:r>
    </w:p>
    <w:p>
      <w:pPr>
        <w:pStyle w:val="FootnoteText"/>
        <w:rPr/>
      </w:pPr>
      <w:r>
        <w:rPr/>
        <w:t>400</w:t>
      </w:r>
    </w:p>
    <w:p>
      <w:pPr>
        <w:pStyle w:val="FootnoteText"/>
        <w:rPr/>
      </w:pPr>
      <w:r>
        <w:rPr/>
        <w:t>See also Karunadasa p.33: “It is on the reciprocal interplay between consciousness and mentality-materiality that the whole saṁsāric process of birth and death revolves. In this sense their mutual dependence constitutes the irreducible ground of saṁsāric experience.”</w:t>
      </w:r>
    </w:p>
    <w:p>
      <w:pPr>
        <w:pStyle w:val="FootnoteText"/>
        <w:rPr/>
      </w:pPr>
      <w:r>
        <w:rPr/>
        <w:t>401</w:t>
      </w:r>
    </w:p>
    <w:p>
      <w:pPr>
        <w:pStyle w:val="FootnoteText"/>
        <w:rPr/>
      </w:pPr>
      <w:r>
        <w:rPr/>
        <w:t>For example Harvey 1995 p.143, Pasanno p.133, Cintita p.166</w:t>
      </w:r>
    </w:p>
    <w:p>
      <w:pPr>
        <w:pStyle w:val="FootnoteText"/>
        <w:rPr/>
      </w:pPr>
      <w:r>
        <w:rPr/>
        <w:t>402</w:t>
      </w:r>
    </w:p>
    <w:p>
      <w:pPr>
        <w:pStyle w:val="FootnoteText"/>
        <w:rPr/>
      </w:pPr>
      <w:r>
        <w:rPr/>
        <w:t>Sujato 2011a</w:t>
      </w:r>
    </w:p>
    <w:p>
      <w:pPr>
        <w:pStyle w:val="FootnoteText"/>
        <w:rPr/>
      </w:pPr>
      <w:r>
        <w:rPr/>
        <w:t>403</w:t>
      </w:r>
    </w:p>
    <w:p>
      <w:pPr>
        <w:pStyle w:val="FootnoteText"/>
        <w:rPr/>
      </w:pPr>
      <w:r>
        <w:rPr/>
        <w:t>Bodhi 2020 p.25. See also Warder 2010 p.5</w:t>
      </w:r>
    </w:p>
    <w:p>
      <w:pPr>
        <w:pStyle w:val="FootnoteText"/>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FootnoteText"/>
        <w:rPr/>
      </w:pPr>
      <w:r>
        <w:rPr/>
        <w:t>405</w:t>
      </w:r>
    </w:p>
    <w:p>
      <w:pPr>
        <w:pStyle w:val="FootnoteText"/>
        <w:rPr/>
      </w:pPr>
      <w:r>
        <w:rPr/>
        <w:t>Ñāṇamoli 1956 n.48 p.606. See also Gombrich 1980 p.43</w:t>
      </w:r>
    </w:p>
    <w:p>
      <w:pPr>
        <w:pStyle w:val="FootnoteText"/>
        <w:rPr/>
      </w:pPr>
      <w:r>
        <w:rPr/>
        <w:t>406</w:t>
      </w:r>
    </w:p>
    <w:p>
      <w:pPr>
        <w:pStyle w:val="FootnoteText"/>
        <w:rPr/>
      </w:pPr>
      <w:r>
        <w:rPr/>
        <w:t>Schmithausen 2000 p.74, translation mine, emphasis in the original</w:t>
      </w:r>
    </w:p>
    <w:p>
      <w:pPr>
        <w:pStyle w:val="FootnoteText"/>
        <w:rPr/>
      </w:pPr>
      <w:r>
        <w:rPr/>
        <w:t>407</w:t>
      </w:r>
    </w:p>
    <w:p>
      <w:pPr>
        <w:pStyle w:val="FootnoteText"/>
        <w:rPr/>
      </w:pPr>
      <w:r>
        <w:rPr/>
        <w:t>Brahmavamso 1994, which uses the simile with reference to feelings instead of consciousness, but the idea is the same.</w:t>
      </w:r>
    </w:p>
    <w:p>
      <w:pPr>
        <w:pStyle w:val="FootnoteText"/>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FootnoteText"/>
        <w:rPr/>
      </w:pPr>
      <w:r>
        <w:rPr/>
        <w:t>409</w:t>
      </w:r>
    </w:p>
    <w:p>
      <w:pPr>
        <w:pStyle w:val="FootnoteText"/>
        <w:rPr/>
      </w:pPr>
      <w:r>
        <w:rPr/>
        <w:t>MN 43:9.1–9.9 M I 293</w:t>
      </w:r>
    </w:p>
    <w:p>
      <w:pPr>
        <w:pStyle w:val="FootnoteText"/>
        <w:rPr/>
      </w:pPr>
      <w:r>
        <w:rPr/>
        <w:t>410</w:t>
      </w:r>
    </w:p>
    <w:p>
      <w:pPr>
        <w:pStyle w:val="FootnoteText"/>
        <w:rPr/>
      </w:pPr>
      <w:r>
        <w:rPr/>
        <w:t>MN 148:8.1–8.11 M III 281</w:t>
      </w:r>
    </w:p>
    <w:p>
      <w:pPr>
        <w:pStyle w:val="FootnoteText"/>
        <w:rPr/>
      </w:pPr>
      <w:r>
        <w:rPr/>
        <w:t>411</w:t>
      </w:r>
    </w:p>
    <w:p>
      <w:pPr>
        <w:pStyle w:val="FootnoteText"/>
        <w:rPr/>
      </w:pPr>
      <w:r>
        <w:rPr/>
        <w:t>See Hamilton p.89</w:t>
      </w:r>
    </w:p>
    <w:p>
      <w:pPr>
        <w:pStyle w:val="FootnoteText"/>
        <w:rPr/>
      </w:pPr>
      <w:r>
        <w:rPr/>
        <w:t>412</w:t>
      </w:r>
    </w:p>
    <w:p>
      <w:pPr>
        <w:pStyle w:val="FootnoteText"/>
        <w:rPr/>
      </w:pPr>
      <w:r>
        <w:rPr/>
        <w:t>MN 28:27.1 M I 190</w:t>
      </w:r>
    </w:p>
    <w:p>
      <w:pPr>
        <w:pStyle w:val="FootnoteText"/>
        <w:rPr/>
      </w:pPr>
      <w:r>
        <w:rPr/>
        <w:t>413</w:t>
      </w:r>
    </w:p>
    <w:p>
      <w:pPr>
        <w:pStyle w:val="FootnoteText"/>
        <w:rPr/>
      </w:pPr>
      <w:r>
        <w:rPr/>
        <w:t>MN 38:8.1–8.21 M I 260. SN 12.62, SN 36.10, and SN 48.39 contain a similar simile which compares sense impression to fire sticks.</w:t>
      </w:r>
    </w:p>
    <w:p>
      <w:pPr>
        <w:pStyle w:val="FootnoteText"/>
        <w:rPr/>
      </w:pPr>
      <w:r>
        <w:rPr/>
        <w:t>414</w:t>
      </w:r>
    </w:p>
    <w:p>
      <w:pPr>
        <w:pStyle w:val="FootnoteText"/>
        <w:rPr/>
      </w:pPr>
      <w:r>
        <w:rPr/>
        <w:t>See for example SN 12.52:2.3: “With that nutriment, that fuel, that bonfire would burn for a very long time.”</w:t>
      </w:r>
    </w:p>
    <w:p>
      <w:pPr>
        <w:pStyle w:val="FootnoteText"/>
        <w:rPr/>
      </w:pPr>
      <w:r>
        <w:rPr/>
        <w:t>415</w:t>
      </w:r>
    </w:p>
    <w:p>
      <w:pPr>
        <w:pStyle w:val="FootnoteText"/>
        <w:rPr/>
      </w:pPr>
      <w:r>
        <w:rPr/>
        <w:t>MN 28:17.1 M I 188</w:t>
      </w:r>
    </w:p>
    <w:p>
      <w:pPr>
        <w:pStyle w:val="FootnoteText"/>
        <w:rPr/>
      </w:pPr>
      <w:r>
        <w:rPr/>
        <w:t>416</w:t>
      </w:r>
    </w:p>
    <w:p>
      <w:pPr>
        <w:pStyle w:val="FootnoteText"/>
        <w:rPr/>
      </w:pPr>
      <w:r>
        <w:rPr/>
        <w:t>On the same passage see also Gombrich 2009 p.120</w:t>
      </w:r>
    </w:p>
    <w:p>
      <w:pPr>
        <w:pStyle w:val="FootnoteText"/>
        <w:rPr/>
      </w:pPr>
      <w:r>
        <w:rPr/>
        <w:t>417</w:t>
      </w:r>
    </w:p>
    <w:p>
      <w:pPr>
        <w:pStyle w:val="FootnoteText"/>
        <w:rPr/>
      </w:pPr>
      <w:r>
        <w:rPr/>
        <w:t>MN 146:8.25–9.19 M III 273</w:t>
      </w:r>
    </w:p>
    <w:p>
      <w:pPr>
        <w:pStyle w:val="FootnoteText"/>
        <w:rPr/>
      </w:pPr>
      <w:r>
        <w:rPr/>
        <w:t>418</w:t>
      </w:r>
    </w:p>
    <w:p>
      <w:pPr>
        <w:pStyle w:val="FootnoteText"/>
        <w:rPr/>
      </w:pPr>
      <w:r>
        <w:rPr/>
        <w:t>SN 35.92:1.3–1.5</w:t>
      </w:r>
    </w:p>
    <w:p>
      <w:pPr>
        <w:pStyle w:val="FootnoteText"/>
        <w:rPr/>
      </w:pPr>
      <w:r>
        <w:rPr/>
        <w:t>419</w:t>
      </w:r>
    </w:p>
    <w:p>
      <w:pPr>
        <w:pStyle w:val="FootnoteText"/>
        <w:rPr/>
      </w:pPr>
      <w:r>
        <w:rPr/>
        <w:t>SN 35.93</w:t>
      </w:r>
    </w:p>
    <w:p>
      <w:pPr>
        <w:pStyle w:val="FootnoteText"/>
        <w:rPr/>
      </w:pPr>
      <w:r>
        <w:rPr/>
        <w:t>420</w:t>
      </w:r>
    </w:p>
    <w:p>
      <w:pPr>
        <w:pStyle w:val="FootnoteText"/>
        <w:rPr/>
      </w:pPr>
      <w:r>
        <w:rPr/>
        <w:t>See DN 1:3.21.1–3.26.2 D I 36</w:t>
      </w:r>
    </w:p>
    <w:p>
      <w:pPr>
        <w:pStyle w:val="FootnoteText"/>
        <w:rPr/>
      </w:pPr>
      <w:r>
        <w:rPr/>
        <w:t>421</w:t>
      </w:r>
    </w:p>
    <w:p>
      <w:pPr>
        <w:pStyle w:val="FootnoteText"/>
        <w:rPr/>
      </w:pPr>
      <w:r>
        <w:rPr/>
        <w:t>SN 35.84</w:t>
      </w:r>
    </w:p>
    <w:p>
      <w:pPr>
        <w:pStyle w:val="FootnoteText"/>
        <w:rPr/>
      </w:pPr>
      <w:r>
        <w:rPr/>
        <w:t>422</w:t>
      </w:r>
    </w:p>
    <w:p>
      <w:pPr>
        <w:pStyle w:val="FootnoteText"/>
        <w:rPr/>
      </w:pPr>
      <w:r>
        <w:rPr/>
        <w:t>MN 113:21.7–21.8 M III 42</w:t>
      </w:r>
    </w:p>
    <w:p>
      <w:pPr>
        <w:pStyle w:val="FootnoteText"/>
        <w:rPr/>
      </w:pPr>
      <w:r>
        <w:rPr/>
        <w:t>423</w:t>
      </w:r>
    </w:p>
    <w:p>
      <w:pPr>
        <w:pStyle w:val="FootnoteText"/>
        <w:rPr/>
      </w:pPr>
      <w:r>
        <w:rPr/>
        <w:t>See also Brahmavamso 2006 ‘The Nature of Citta’</w:t>
      </w:r>
    </w:p>
    <w:p>
      <w:pPr>
        <w:pStyle w:val="FootnoteText"/>
        <w:rPr/>
      </w:pPr>
      <w:r>
        <w:rPr/>
        <w:t>424</w:t>
      </w:r>
    </w:p>
    <w:p>
      <w:pPr>
        <w:pStyle w:val="FootnoteText"/>
        <w:rPr/>
      </w:pPr>
      <w:r>
        <w:rPr/>
        <w:t>SN 36.6:2.1. See also SN 36.4</w:t>
      </w:r>
    </w:p>
    <w:p>
      <w:pPr>
        <w:pStyle w:val="FootnoteText"/>
        <w:rPr/>
      </w:pPr>
      <w:r>
        <w:rPr/>
        <w:t>425</w:t>
      </w:r>
    </w:p>
    <w:p>
      <w:pPr>
        <w:pStyle w:val="FootnoteText"/>
        <w:rPr/>
      </w:pPr>
      <w:r>
        <w:rPr/>
        <w:t>SN 12.19</w:t>
      </w:r>
    </w:p>
    <w:p>
      <w:pPr>
        <w:pStyle w:val="FootnoteText"/>
        <w:rPr/>
      </w:pPr>
      <w:r>
        <w:rPr/>
        <w:t>426</w:t>
      </w:r>
    </w:p>
    <w:p>
      <w:pPr>
        <w:pStyle w:val="FootnoteText"/>
        <w:rPr/>
      </w:pPr>
      <w:r>
        <w:rPr/>
        <w:t xml:space="preserve">Savijñānakaḥ kāyo (SF 161) and </w:t>
      </w:r>
      <w:r>
        <w:rPr/>
        <w:t xml:space="preserve">識身 </w:t>
      </w:r>
      <w:r>
        <w:rPr/>
        <w:t>(SĀ 294). See Choong p.185</w:t>
      </w:r>
    </w:p>
    <w:p>
      <w:pPr>
        <w:pStyle w:val="FootnoteText"/>
        <w:rPr/>
      </w:pPr>
      <w:r>
        <w:rPr/>
        <w:t>427</w:t>
      </w:r>
    </w:p>
    <w:p>
      <w:pPr>
        <w:pStyle w:val="FootnoteText"/>
        <w:rPr/>
      </w:pPr>
      <w:r>
        <w:rPr/>
        <w:t>See note 361</w:t>
      </w:r>
    </w:p>
    <w:p>
      <w:pPr>
        <w:pStyle w:val="FootnoteText"/>
        <w:rPr/>
      </w:pPr>
      <w:r>
        <w:rPr/>
        <w:t>428</w:t>
      </w:r>
    </w:p>
    <w:p>
      <w:pPr>
        <w:pStyle w:val="FootnoteText"/>
        <w:rPr/>
      </w:pPr>
      <w:r>
        <w:rPr/>
        <w:t>DOP under nimitta</w:t>
      </w:r>
    </w:p>
    <w:p>
      <w:pPr>
        <w:pStyle w:val="FootnoteText"/>
        <w:rPr/>
      </w:pPr>
      <w:r>
        <w:rPr/>
        <w:t>429</w:t>
      </w:r>
    </w:p>
    <w:p>
      <w:pPr>
        <w:pStyle w:val="FootnoteText"/>
        <w:rPr/>
      </w:pPr>
      <w:r>
        <w:rPr/>
        <w:t>Bodhi 2012 at AN 3.32, AN 3.33 and AN 7.49. Here I regard nāmarūpa as a bahubbīhi-like compound used as a noun; see note 113</w:t>
      </w:r>
    </w:p>
    <w:p>
      <w:pPr>
        <w:pStyle w:val="FootnoteText"/>
        <w:rPr/>
      </w:pPr>
      <w:r>
        <w:rPr/>
        <w:t>430</w:t>
      </w:r>
    </w:p>
    <w:p>
      <w:pPr>
        <w:pStyle w:val="FootnoteText"/>
        <w:rPr/>
      </w:pPr>
      <w:r>
        <w:rPr/>
        <w:t>Schmithausen 2000 p.66 n.103, translation mine</w:t>
      </w:r>
    </w:p>
    <w:p>
      <w:pPr>
        <w:pStyle w:val="FootnoteText"/>
        <w:rPr/>
      </w:pPr>
      <w:r>
        <w:rPr/>
        <w:t>431</w:t>
      </w:r>
    </w:p>
    <w:p>
      <w:pPr>
        <w:pStyle w:val="FootnoteText"/>
        <w:rPr/>
      </w:pPr>
      <w:r>
        <w:rPr/>
        <w:t>Gonda p.8</w:t>
      </w:r>
    </w:p>
    <w:p>
      <w:pPr>
        <w:pStyle w:val="FootnoteText"/>
        <w:rPr/>
      </w:pPr>
      <w:r>
        <w:rPr/>
        <w:t>432</w:t>
      </w:r>
    </w:p>
    <w:p>
      <w:pPr>
        <w:pStyle w:val="FootnoteText"/>
        <w:rPr/>
      </w:pPr>
      <w:r>
        <w:rPr/>
        <w:t>Bodhi 2000 n.48 at SN 12.19</w:t>
      </w:r>
    </w:p>
    <w:p>
      <w:pPr>
        <w:pStyle w:val="FootnoteText"/>
        <w:rPr/>
      </w:pPr>
      <w:r>
        <w:rPr/>
        <w:t>433</w:t>
      </w:r>
    </w:p>
    <w:p>
      <w:pPr>
        <w:pStyle w:val="FootnoteText"/>
        <w:rPr/>
      </w:pPr>
      <w:r>
        <w:rPr/>
        <w:t>Hamilton p.127–135</w:t>
      </w:r>
    </w:p>
    <w:p>
      <w:pPr>
        <w:pStyle w:val="FootnoteText"/>
        <w:rPr/>
      </w:pPr>
      <w:r>
        <w:rPr/>
        <w:t>434</w:t>
      </w:r>
    </w:p>
    <w:p>
      <w:pPr>
        <w:pStyle w:val="FootnoteText"/>
        <w:rPr/>
      </w:pPr>
      <w:r>
        <w:rPr/>
        <w:t>Falk p.56 n.1</w:t>
      </w:r>
    </w:p>
    <w:p>
      <w:pPr>
        <w:pStyle w:val="FootnoteText"/>
        <w:rPr/>
      </w:pPr>
      <w:r>
        <w:rPr/>
        <w:t>435</w:t>
      </w:r>
    </w:p>
    <w:p>
      <w:pPr>
        <w:pStyle w:val="FootnoteText"/>
        <w:rPr/>
      </w:pPr>
      <w:r>
        <w:rPr/>
        <w:t>For example Reat, Bucknell p.324, Anālayo 2018 p.25</w:t>
      </w:r>
    </w:p>
    <w:p>
      <w:pPr>
        <w:pStyle w:val="FootnoteText"/>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FootnoteText"/>
        <w:rPr/>
      </w:pPr>
      <w:r>
        <w:rPr/>
        <w:t>437</w:t>
      </w:r>
    </w:p>
    <w:p>
      <w:pPr>
        <w:pStyle w:val="FootnoteText"/>
        <w:rPr/>
      </w:pPr>
      <w:r>
        <w:rPr/>
        <w:t>See for example §137, Thag 1.90</w:t>
      </w:r>
    </w:p>
    <w:p>
      <w:pPr>
        <w:pStyle w:val="FootnoteText"/>
        <w:rPr/>
      </w:pPr>
      <w:r>
        <w:rPr/>
        <w:t>438</w:t>
      </w:r>
    </w:p>
    <w:p>
      <w:pPr>
        <w:pStyle w:val="FootnoteText"/>
        <w:rPr/>
      </w:pPr>
      <w:r>
        <w:rPr/>
        <w:t>See also Hamilton p.135</w:t>
      </w:r>
    </w:p>
    <w:p>
      <w:pPr>
        <w:pStyle w:val="FootnoteText"/>
        <w:rPr/>
      </w:pPr>
      <w:r>
        <w:rPr/>
        <w:t>439</w:t>
      </w:r>
    </w:p>
    <w:p>
      <w:pPr>
        <w:pStyle w:val="FootnoteText"/>
        <w:rPr/>
      </w:pPr>
      <w:r>
        <w:rPr/>
        <w:t>§83, §84</w:t>
      </w:r>
    </w:p>
    <w:p>
      <w:pPr>
        <w:pStyle w:val="FootnoteText"/>
        <w:rPr/>
      </w:pPr>
      <w:r>
        <w:rPr/>
        <w:t>440</w:t>
      </w:r>
    </w:p>
    <w:p>
      <w:pPr>
        <w:pStyle w:val="FootnoteText"/>
        <w:rPr/>
      </w:pPr>
      <w:r>
        <w:rPr/>
        <w:t>§84, §23, §54, §80</w:t>
      </w:r>
    </w:p>
    <w:p>
      <w:pPr>
        <w:pStyle w:val="FootnoteText"/>
        <w:rPr/>
      </w:pPr>
      <w:r>
        <w:rPr/>
        <w:t>441</w:t>
      </w:r>
    </w:p>
    <w:p>
      <w:pPr>
        <w:pStyle w:val="FootnoteText"/>
        <w:rPr/>
      </w:pPr>
      <w:r>
        <w:rPr/>
        <w:t>See also Hamilton p.132 and Olalde 2014 p.103</w:t>
      </w:r>
    </w:p>
    <w:p>
      <w:pPr>
        <w:pStyle w:val="FootnoteText"/>
        <w:rPr/>
      </w:pPr>
      <w:r>
        <w:rPr/>
        <w:t>442</w:t>
      </w:r>
    </w:p>
    <w:p>
      <w:pPr>
        <w:pStyle w:val="FootnoteText"/>
        <w:rPr/>
      </w:pPr>
      <w:r>
        <w:rPr/>
        <w:t>Schmithausen 2000 pp.69–74, translation mine</w:t>
      </w:r>
    </w:p>
    <w:p>
      <w:pPr>
        <w:pStyle w:val="FootnoteText"/>
        <w:rPr/>
      </w:pPr>
      <w:r>
        <w:rPr/>
        <w:t>443</w:t>
      </w:r>
    </w:p>
    <w:p>
      <w:pPr>
        <w:pStyle w:val="FootnoteText"/>
        <w:rPr/>
      </w:pPr>
      <w:r>
        <w:rPr/>
        <w:t>See note 152</w:t>
      </w:r>
    </w:p>
    <w:p>
      <w:pPr>
        <w:pStyle w:val="FootnoteText"/>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FootnoteText"/>
        <w:rPr/>
      </w:pPr>
      <w:r>
        <w:rPr/>
        <w:t>445</w:t>
      </w:r>
    </w:p>
    <w:p>
      <w:pPr>
        <w:pStyle w:val="FootnoteText"/>
        <w:rPr/>
      </w:pPr>
      <w:r>
        <w:rPr/>
        <w:t>Olalde 2014 p.69, “äußerst unklar”; Vetter 1994 p.147, “wenig Sinn”. Schmithausen 2000 p.58 also calls it “difficult” (schwieriger).</w:t>
      </w:r>
    </w:p>
    <w:p>
      <w:pPr>
        <w:pStyle w:val="FootnoteText"/>
        <w:rPr/>
      </w:pPr>
      <w:r>
        <w:rPr/>
        <w:t>446</w:t>
      </w:r>
    </w:p>
    <w:p>
      <w:pPr>
        <w:pStyle w:val="FootnoteText"/>
        <w:rPr/>
      </w:pPr>
      <w:r>
        <w:rPr/>
        <w:t>Bodhi 1984 p.20</w:t>
      </w:r>
    </w:p>
    <w:p>
      <w:pPr>
        <w:pStyle w:val="FootnoteText"/>
        <w:rPr/>
      </w:pPr>
      <w:r>
        <w:rPr/>
        <w:t>447</w:t>
      </w:r>
    </w:p>
    <w:p>
      <w:pPr>
        <w:pStyle w:val="FootnoteText"/>
        <w:rPr/>
      </w:pPr>
      <w:r>
        <w:rPr/>
        <w:t>See Bodhi 1984 p.107</w:t>
      </w:r>
    </w:p>
    <w:p>
      <w:pPr>
        <w:pStyle w:val="FootnoteText"/>
        <w:rPr/>
      </w:pPr>
      <w:r>
        <w:rPr/>
        <w:t>448</w:t>
      </w:r>
    </w:p>
    <w:p>
      <w:pPr>
        <w:pStyle w:val="FootnoteText"/>
        <w:rPr/>
      </w:pPr>
      <w:r>
        <w:rPr/>
        <w:t>See also note 139</w:t>
      </w:r>
    </w:p>
    <w:p>
      <w:pPr>
        <w:pStyle w:val="FootnoteText"/>
        <w:rPr/>
      </w:pPr>
      <w:r>
        <w:rPr/>
        <w:t>449</w:t>
      </w:r>
    </w:p>
    <w:p>
      <w:pPr>
        <w:pStyle w:val="FootnoteText"/>
        <w:rPr/>
      </w:pPr>
      <w:r>
        <w:rPr/>
        <w:t>DN 15:20.1–20.10 D II 63</w:t>
      </w:r>
    </w:p>
    <w:p>
      <w:pPr>
        <w:pStyle w:val="FootnoteText"/>
        <w:rPr/>
      </w:pPr>
      <w:r>
        <w:rPr/>
        <w:t>450</w:t>
      </w:r>
    </w:p>
    <w:p>
      <w:pPr>
        <w:pStyle w:val="FootnoteText"/>
        <w:rPr/>
      </w:pPr>
      <w:r>
        <w:rPr/>
        <w:t>Bodhi 1984 p.21</w:t>
      </w:r>
    </w:p>
    <w:p>
      <w:pPr>
        <w:pStyle w:val="FootnoteText"/>
        <w:rPr/>
      </w:pPr>
      <w:r>
        <w:rPr/>
        <w:t>451</w:t>
      </w:r>
    </w:p>
    <w:p>
      <w:pPr>
        <w:pStyle w:val="FootnoteText"/>
        <w:rPr/>
      </w:pPr>
      <w:r>
        <w:rPr/>
        <w:t>MN 43:21.1–21.6 M I 295, SN 48.42</w:t>
      </w:r>
    </w:p>
    <w:p>
      <w:pPr>
        <w:pStyle w:val="FootnoteText"/>
        <w:rPr/>
      </w:pPr>
      <w:r>
        <w:rPr/>
        <w:t>452</w:t>
      </w:r>
    </w:p>
    <w:p>
      <w:pPr>
        <w:pStyle w:val="FootnoteText"/>
        <w:rPr/>
      </w:pPr>
      <w:r>
        <w:rPr/>
        <w:t>For example Warder 1970 p.108, Vetter 1994 p.148, Olalde 2014 p.110, Schmithausen 2000 p.58</w:t>
      </w:r>
    </w:p>
    <w:p>
      <w:pPr>
        <w:pStyle w:val="FootnoteText"/>
        <w:rPr/>
      </w:pPr>
      <w:r>
        <w:rPr/>
        <w:t>453</w:t>
      </w:r>
    </w:p>
    <w:p>
      <w:pPr>
        <w:pStyle w:val="FootnoteText"/>
        <w:rPr/>
      </w:pPr>
      <w:r>
        <w:rPr/>
        <w:t>Bodhi 1984 p.20</w:t>
      </w:r>
    </w:p>
    <w:p>
      <w:pPr>
        <w:pStyle w:val="FootnoteText"/>
        <w:rPr/>
      </w:pPr>
      <w:r>
        <w:rPr/>
        <w:t>454</w:t>
      </w:r>
    </w:p>
    <w:p>
      <w:pPr>
        <w:pStyle w:val="FootnoteText"/>
        <w:rPr/>
      </w:pPr>
      <w:r>
        <w:rPr/>
        <w:t>Snp 5.7:6.4. See also DOP s.v. nāmakāya: ‘the group of non-material aspects (of an individual)’.</w:t>
      </w:r>
    </w:p>
    <w:p>
      <w:pPr>
        <w:pStyle w:val="FootnoteText"/>
        <w:rPr/>
      </w:pPr>
      <w:r>
        <w:rPr/>
        <w:t>455</w:t>
      </w:r>
    </w:p>
    <w:p>
      <w:pPr>
        <w:pStyle w:val="FootnoteText"/>
        <w:rPr/>
      </w:pPr>
      <w:r>
        <w:rPr/>
        <w:t>DĀ 13 at 61b02, translation Patton</w:t>
      </w:r>
    </w:p>
    <w:p>
      <w:pPr>
        <w:pStyle w:val="FootnoteText"/>
        <w:rPr/>
      </w:pPr>
      <w:r>
        <w:rPr/>
        <w:t>456</w:t>
      </w:r>
    </w:p>
    <w:p>
      <w:pPr>
        <w:pStyle w:val="FootnoteText"/>
        <w:rPr/>
      </w:pPr>
      <w:r>
        <w:rPr/>
        <w:t>Hamilton p.134</w:t>
      </w:r>
    </w:p>
    <w:p>
      <w:pPr>
        <w:pStyle w:val="FootnoteText"/>
        <w:rPr/>
      </w:pPr>
      <w:r>
        <w:rPr/>
        <w:t>457</w:t>
      </w:r>
    </w:p>
    <w:p>
      <w:pPr>
        <w:pStyle w:val="FootnoteText"/>
        <w:rPr/>
      </w:pPr>
      <w:r>
        <w:rPr/>
        <w:t>See Olalde 2014 p.114ff</w:t>
      </w:r>
    </w:p>
    <w:p>
      <w:pPr>
        <w:pStyle w:val="FootnoteText"/>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FootnoteText"/>
        <w:rPr/>
      </w:pPr>
      <w:r>
        <w:rPr/>
        <w:t>459</w:t>
      </w:r>
    </w:p>
    <w:p>
      <w:pPr>
        <w:pStyle w:val="FootnoteText"/>
        <w:rPr/>
      </w:pPr>
      <w:r>
        <w:rPr/>
        <w:t>DĀ 13 at 61b3, MĀ 97 at 579c7, T 14 at 243b8; T 52</w:t>
      </w:r>
    </w:p>
    <w:p>
      <w:pPr>
        <w:pStyle w:val="FootnoteText"/>
        <w:rPr/>
      </w:pPr>
      <w:r>
        <w:rPr/>
        <w:t>460</w:t>
      </w:r>
    </w:p>
    <w:p>
      <w:pPr>
        <w:pStyle w:val="FootnoteText"/>
        <w:rPr/>
      </w:pPr>
      <w:r>
        <w:rPr/>
        <w:t>Vetter 1994 p.147</w:t>
      </w:r>
    </w:p>
    <w:p>
      <w:pPr>
        <w:pStyle w:val="FootnoteText"/>
        <w:rPr/>
      </w:pPr>
      <w:r>
        <w:rPr/>
        <w:t>461</w:t>
      </w:r>
    </w:p>
    <w:p>
      <w:pPr>
        <w:pStyle w:val="FootnoteText"/>
        <w:rPr/>
      </w:pPr>
      <w:r>
        <w:rPr/>
        <w:t>T 52, see also table 3</w:t>
      </w:r>
    </w:p>
    <w:p>
      <w:pPr>
        <w:pStyle w:val="FootnoteText"/>
        <w:rPr/>
      </w:pPr>
      <w:r>
        <w:rPr/>
        <w:t>462</w:t>
      </w:r>
    </w:p>
    <w:p>
      <w:pPr>
        <w:pStyle w:val="FootnoteText"/>
        <w:rPr/>
      </w:pPr>
      <w:r>
        <w:rPr/>
        <w:t>Snp 4.11:11.1–11.4</w:t>
      </w:r>
    </w:p>
    <w:p>
      <w:pPr>
        <w:pStyle w:val="FootnoteText"/>
        <w:rPr/>
      </w:pPr>
      <w:r>
        <w:rPr/>
        <w:t>463</w:t>
      </w:r>
    </w:p>
    <w:p>
      <w:pPr>
        <w:pStyle w:val="FootnoteText"/>
        <w:rPr/>
      </w:pPr>
      <w:r>
        <w:rPr/>
        <w:t>SN 35.23</w:t>
      </w:r>
    </w:p>
    <w:p>
      <w:pPr>
        <w:pStyle w:val="FootnoteText"/>
        <w:rPr/>
      </w:pPr>
      <w:r>
        <w:rPr/>
        <w:t>464</w:t>
      </w:r>
    </w:p>
    <w:p>
      <w:pPr>
        <w:pStyle w:val="FootnoteText"/>
        <w:rPr/>
      </w:pPr>
      <w:r>
        <w:rPr/>
        <w:t>See also Kalupahana 1976 p.158: “There is no transcendent reality or Being or ‘self’ that is given as the object of such direct perception.”</w:t>
      </w:r>
    </w:p>
    <w:p>
      <w:pPr>
        <w:pStyle w:val="FootnoteText"/>
        <w:rPr/>
      </w:pPr>
      <w:r>
        <w:rPr/>
        <w:t>465</w:t>
      </w:r>
    </w:p>
    <w:p>
      <w:pPr>
        <w:pStyle w:val="FootnoteText"/>
        <w:rPr/>
      </w:pPr>
      <w:r>
        <w:rPr/>
        <w:t>SN 35.92</w:t>
      </w:r>
    </w:p>
    <w:p>
      <w:pPr>
        <w:pStyle w:val="FootnoteText"/>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FootnoteText"/>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FootnoteText"/>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FootnoteText"/>
        <w:rPr/>
      </w:pPr>
      <w:r>
        <w:rPr/>
        <w:t>469</w:t>
      </w:r>
    </w:p>
    <w:p>
      <w:pPr>
        <w:pStyle w:val="FootnoteText"/>
        <w:rPr/>
      </w:pPr>
      <w:r>
        <w:rPr/>
        <w:t>AN 4.173</w:t>
      </w:r>
    </w:p>
    <w:p>
      <w:pPr>
        <w:pStyle w:val="FootnoteText"/>
        <w:rPr/>
      </w:pPr>
      <w:r>
        <w:rPr/>
        <w:t>470</w:t>
      </w:r>
    </w:p>
    <w:p>
      <w:pPr>
        <w:pStyle w:val="FootnoteText"/>
        <w:rPr/>
      </w:pPr>
      <w:r>
        <w:rPr/>
        <w:t>SN 35.232:10.1–10.24</w:t>
      </w:r>
    </w:p>
    <w:p>
      <w:pPr>
        <w:pStyle w:val="FootnoteText"/>
        <w:rPr/>
      </w:pPr>
      <w:r>
        <w:rPr/>
        <w:t>471</w:t>
      </w:r>
    </w:p>
    <w:p>
      <w:pPr>
        <w:pStyle w:val="FootnoteText"/>
        <w:rPr/>
      </w:pPr>
      <w:r>
        <w:rPr/>
        <w:t>SN 48.53:7.1–7.4</w:t>
      </w:r>
    </w:p>
    <w:p>
      <w:pPr>
        <w:pStyle w:val="FootnoteText"/>
        <w:rPr/>
      </w:pPr>
      <w:r>
        <w:rPr/>
        <w:t>472</w:t>
      </w:r>
    </w:p>
    <w:p>
      <w:pPr>
        <w:pStyle w:val="FootnoteText"/>
        <w:rPr/>
      </w:pPr>
      <w:r>
        <w:rPr/>
        <w:t>For example Ṭhānissaro 2008b p.6, Amaro p.25, Anālayo 2021 p.104</w:t>
      </w:r>
    </w:p>
    <w:p>
      <w:pPr>
        <w:pStyle w:val="FootnoteText"/>
        <w:rPr/>
      </w:pPr>
      <w:r>
        <w:rPr/>
        <w:t>473</w:t>
      </w:r>
    </w:p>
    <w:p>
      <w:pPr>
        <w:pStyle w:val="FootnoteText"/>
        <w:rPr/>
      </w:pPr>
      <w:r>
        <w:rPr/>
        <w:t>SN 12.40</w:t>
      </w:r>
    </w:p>
    <w:p>
      <w:pPr>
        <w:pStyle w:val="FootnoteText"/>
        <w:rPr/>
      </w:pPr>
      <w:r>
        <w:rPr/>
        <w:t>474</w:t>
      </w:r>
    </w:p>
    <w:p>
      <w:pPr>
        <w:pStyle w:val="FootnoteText"/>
        <w:rPr/>
      </w:pPr>
      <w:r>
        <w:rPr/>
        <w:t>SN 12.38, SN 12.39, SN 12.40, at §53, §54, and §115</w:t>
      </w:r>
    </w:p>
    <w:p>
      <w:pPr>
        <w:pStyle w:val="FootnoteText"/>
        <w:rPr/>
      </w:pPr>
      <w:r>
        <w:rPr/>
        <w:t>475</w:t>
      </w:r>
    </w:p>
    <w:p>
      <w:pPr>
        <w:pStyle w:val="FootnoteText"/>
        <w:rPr/>
      </w:pPr>
      <w:r>
        <w:rPr/>
        <w:t>SĀ 359, SĀ 360, SĀ 361</w:t>
      </w:r>
    </w:p>
    <w:p>
      <w:pPr>
        <w:pStyle w:val="FootnoteText"/>
        <w:rPr/>
      </w:pPr>
      <w:r>
        <w:rPr/>
        <w:t>476</w:t>
      </w:r>
    </w:p>
    <w:p>
      <w:pPr>
        <w:pStyle w:val="FootnoteText"/>
        <w:rPr/>
      </w:pPr>
      <w:r>
        <w:rPr/>
        <w:t>Choong p.172</w:t>
      </w:r>
    </w:p>
    <w:p>
      <w:pPr>
        <w:pStyle w:val="FootnoteText"/>
        <w:rPr/>
      </w:pPr>
      <w:r>
        <w:rPr/>
        <w:t>477</w:t>
      </w:r>
    </w:p>
    <w:p>
      <w:pPr>
        <w:pStyle w:val="FootnoteText"/>
        <w:rPr/>
      </w:pPr>
      <w:r>
        <w:rPr/>
        <w:t>MN 144:11.3–11.9 M III 266, SN 35.87:11.3–11.9, Ud 8.4:3.1–3.7</w:t>
      </w:r>
    </w:p>
    <w:p>
      <w:pPr>
        <w:pStyle w:val="FootnoteText"/>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FootnoteText"/>
        <w:rPr/>
      </w:pPr>
      <w:r>
        <w:rPr/>
        <w:t>479</w:t>
      </w:r>
    </w:p>
    <w:p>
      <w:pPr>
        <w:pStyle w:val="FootnoteText"/>
        <w:rPr/>
      </w:pPr>
      <w:r>
        <w:rPr/>
        <w:t>See Harvey 1995 p.98, Somaratne p.150, Sujato 2008 p.7, Dhammika 2015 p.20 , Anālayo 2018 p.32</w:t>
      </w:r>
    </w:p>
    <w:p>
      <w:pPr>
        <w:pStyle w:val="FootnoteText"/>
        <w:rPr/>
      </w:pPr>
      <w:r>
        <w:rPr/>
        <w:t>480</w:t>
      </w:r>
    </w:p>
    <w:p>
      <w:pPr>
        <w:pStyle w:val="FootnoteText"/>
        <w:rPr/>
      </w:pPr>
      <w:r>
        <w:rPr/>
        <w:t>Bodhi 2000 n.53 at SN 35.87:11.8</w:t>
      </w:r>
    </w:p>
    <w:p>
      <w:pPr>
        <w:pStyle w:val="FootnoteText"/>
        <w:rPr/>
      </w:pPr>
      <w:r>
        <w:rPr/>
        <w:t>481</w:t>
      </w:r>
    </w:p>
    <w:p>
      <w:pPr>
        <w:pStyle w:val="FootnoteText"/>
        <w:rPr/>
      </w:pPr>
      <w:r>
        <w:rPr/>
        <w:t>Snp 3.12:45.1–45.4</w:t>
      </w:r>
    </w:p>
    <w:p>
      <w:pPr>
        <w:pStyle w:val="FootnoteText"/>
        <w:rPr/>
      </w:pPr>
      <w:r>
        <w:rPr/>
        <w:t>482</w:t>
      </w:r>
    </w:p>
    <w:p>
      <w:pPr>
        <w:pStyle w:val="FootnoteText"/>
        <w:rPr/>
      </w:pPr>
      <w:r>
        <w:rPr/>
        <w:t>SN 22.53</w:t>
      </w:r>
    </w:p>
    <w:p>
      <w:pPr>
        <w:pStyle w:val="FootnoteText"/>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FootnoteText"/>
        <w:rPr/>
      </w:pPr>
      <w:r>
        <w:rPr/>
        <w:t>484</w:t>
      </w:r>
    </w:p>
    <w:p>
      <w:pPr>
        <w:pStyle w:val="FootnoteText"/>
        <w:rPr/>
      </w:pPr>
      <w:r>
        <w:rPr/>
        <w:t>SN 22.45:1.15–1.20</w:t>
      </w:r>
    </w:p>
    <w:p>
      <w:pPr>
        <w:pStyle w:val="FootnoteText"/>
        <w:rPr/>
      </w:pPr>
      <w:r>
        <w:rPr/>
        <w:t>485</w:t>
      </w:r>
    </w:p>
    <w:p>
      <w:pPr>
        <w:pStyle w:val="FootnoteText"/>
        <w:rPr/>
      </w:pPr>
      <w:r>
        <w:rPr/>
        <w:t>SN 12.51:13.1–23.2</w:t>
      </w:r>
    </w:p>
    <w:p>
      <w:pPr>
        <w:pStyle w:val="FootnoteText"/>
        <w:rPr/>
      </w:pPr>
      <w:r>
        <w:rPr/>
        <w:t>486</w:t>
      </w:r>
    </w:p>
    <w:p>
      <w:pPr>
        <w:pStyle w:val="FootnoteText"/>
        <w:rPr/>
      </w:pPr>
      <w:r>
        <w:rPr/>
        <w:t>Kalupahana 1976 p.52. See also Vélez de Cea p.136</w:t>
      </w:r>
    </w:p>
    <w:p>
      <w:pPr>
        <w:pStyle w:val="FootnoteText"/>
        <w:rPr/>
      </w:pPr>
      <w:r>
        <w:rPr/>
        <w:t>487</w:t>
      </w:r>
    </w:p>
    <w:p>
      <w:pPr>
        <w:pStyle w:val="FootnoteText"/>
        <w:rPr/>
      </w:pPr>
      <w:r>
        <w:rPr/>
        <w:t>See also AN 3.34 where a man burns the seeds, although here they represent karma instead of consciousness.</w:t>
      </w:r>
    </w:p>
    <w:p>
      <w:pPr>
        <w:pStyle w:val="FootnoteText"/>
        <w:rPr/>
      </w:pPr>
      <w:r>
        <w:rPr/>
        <w:t>488</w:t>
      </w:r>
    </w:p>
    <w:p>
      <w:pPr>
        <w:pStyle w:val="FootnoteText"/>
        <w:rPr/>
      </w:pPr>
      <w:r>
        <w:rPr/>
        <w:t>Patiṭṭhita (‘plant down’) may also be translated as ‘landing’ in this passage, but for consistency I translated it as ‘planting’ everywhere, including here.</w:t>
      </w:r>
    </w:p>
    <w:p>
      <w:pPr>
        <w:pStyle w:val="FootnoteText"/>
        <w:rPr/>
      </w:pPr>
      <w:r>
        <w:rPr/>
        <w:t>489</w:t>
      </w:r>
    </w:p>
    <w:p>
      <w:pPr>
        <w:pStyle w:val="FootnoteText"/>
        <w:rPr/>
      </w:pPr>
      <w:r>
        <w:rPr/>
        <w:t>SN 12.64:8.1–9.8</w:t>
      </w:r>
    </w:p>
    <w:p>
      <w:pPr>
        <w:pStyle w:val="FootnoteText"/>
        <w:rPr/>
      </w:pPr>
      <w:r>
        <w:rPr/>
        <w:t>490</w:t>
      </w:r>
    </w:p>
    <w:p>
      <w:pPr>
        <w:pStyle w:val="FootnoteText"/>
        <w:rPr/>
      </w:pPr>
      <w:r>
        <w:rPr/>
        <w:t>SN 12.39:3.1–3.5</w:t>
      </w:r>
    </w:p>
    <w:p>
      <w:pPr>
        <w:pStyle w:val="FootnoteText"/>
        <w:rPr/>
      </w:pPr>
      <w:r>
        <w:rPr/>
        <w:t>491</w:t>
      </w:r>
    </w:p>
    <w:p>
      <w:pPr>
        <w:pStyle w:val="FootnoteText"/>
        <w:rPr/>
      </w:pPr>
      <w:r>
        <w:rPr/>
        <w:t>SN 12.1:3.1–3.12</w:t>
      </w:r>
    </w:p>
    <w:p>
      <w:pPr>
        <w:pStyle w:val="FootnoteText"/>
        <w:rPr/>
      </w:pPr>
      <w:r>
        <w:rPr/>
        <w:t>492</w:t>
      </w:r>
    </w:p>
    <w:p>
      <w:pPr>
        <w:pStyle w:val="FootnoteText"/>
        <w:rPr/>
      </w:pPr>
      <w:r>
        <w:rPr/>
        <w:t>Anālayo 2023 Chapter I.10</w:t>
      </w:r>
    </w:p>
    <w:p>
      <w:pPr>
        <w:pStyle w:val="FootnoteText"/>
        <w:rPr/>
      </w:pPr>
      <w:r>
        <w:rPr/>
        <w:t>493</w:t>
      </w:r>
    </w:p>
    <w:p>
      <w:pPr>
        <w:pStyle w:val="FootnoteText"/>
        <w:rPr/>
      </w:pPr>
      <w:r>
        <w:rPr/>
        <w:t>Bodhi 2000 n.174 at SN 12.64</w:t>
      </w:r>
    </w:p>
    <w:p>
      <w:pPr>
        <w:pStyle w:val="FootnoteText"/>
        <w:rPr/>
      </w:pPr>
      <w:r>
        <w:rPr/>
        <w:t>494</w:t>
      </w:r>
    </w:p>
    <w:p>
      <w:pPr>
        <w:pStyle w:val="FootnoteText"/>
        <w:rPr/>
      </w:pPr>
      <w:r>
        <w:rPr/>
        <w:t>SN 12.38:3.1–3.5</w:t>
      </w:r>
    </w:p>
    <w:p>
      <w:pPr>
        <w:pStyle w:val="FootnoteText"/>
        <w:rPr/>
      </w:pPr>
      <w:r>
        <w:rPr/>
        <w:t>495</w:t>
      </w:r>
    </w:p>
    <w:p>
      <w:pPr>
        <w:pStyle w:val="FootnoteText"/>
        <w:rPr/>
      </w:pPr>
      <w:r>
        <w:rPr/>
        <w:t>Hecker p.53</w:t>
      </w:r>
    </w:p>
    <w:p>
      <w:pPr>
        <w:pStyle w:val="FootnoteText"/>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FootnoteText"/>
        <w:rPr/>
      </w:pPr>
      <w:r>
        <w:rPr/>
        <w:t>497</w:t>
      </w:r>
    </w:p>
    <w:p>
      <w:pPr>
        <w:pStyle w:val="FootnoteText"/>
        <w:rPr/>
      </w:pPr>
      <w:r>
        <w:rPr/>
        <w:t>Langer p.35, translation mine, referring to Harvey 1995 p.202</w:t>
      </w:r>
    </w:p>
    <w:p>
      <w:pPr>
        <w:pStyle w:val="FootnoteText"/>
        <w:rPr/>
      </w:pPr>
      <w:r>
        <w:rPr/>
        <w:t>498</w:t>
      </w:r>
    </w:p>
    <w:p>
      <w:pPr>
        <w:pStyle w:val="FootnoteText"/>
        <w:rPr/>
      </w:pPr>
      <w:r>
        <w:rPr/>
        <w:t>See also AN 8.70:14.3</w:t>
      </w:r>
    </w:p>
    <w:p>
      <w:pPr>
        <w:pStyle w:val="FootnoteText"/>
        <w:rPr/>
      </w:pPr>
      <w:r>
        <w:rPr/>
        <w:t>499</w:t>
      </w:r>
    </w:p>
    <w:p>
      <w:pPr>
        <w:pStyle w:val="FootnoteText"/>
        <w:rPr/>
      </w:pPr>
      <w:r>
        <w:rPr/>
        <w:t>SĀ 377</w:t>
      </w:r>
    </w:p>
    <w:p>
      <w:pPr>
        <w:pStyle w:val="FootnoteText"/>
        <w:rPr/>
      </w:pPr>
      <w:r>
        <w:rPr/>
        <w:t>500</w:t>
      </w:r>
    </w:p>
    <w:p>
      <w:pPr>
        <w:pStyle w:val="FootnoteText"/>
        <w:rPr/>
      </w:pPr>
      <w:r>
        <w:rPr/>
        <w:t>MN 21:14.1–14.10 M I 128</w:t>
      </w:r>
    </w:p>
    <w:p>
      <w:pPr>
        <w:pStyle w:val="FootnoteText"/>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757575"/>
      <w:shd w:fill="EEEEEE"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user">
    <w:name w:val="Block Quotation (user)"/>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274</TotalTime>
  <Application>LibreOffice/25.2.5.2$Windows_X86_64 LibreOffice_project/03d19516eb2e1dd5d4ccd751a0d6f35f35e08022</Application>
  <AppVersion>15.0000</AppVersion>
  <Pages>31</Pages>
  <Words>11802</Words>
  <Characters>57835</Characters>
  <CharactersWithSpaces>68162</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2025-10-16T13:05:52Z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