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M I 250.</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rPr/>
        <w:t>SN 12.37</w:t>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Hamilton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SN 12.38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so to bridge the participle and the noun in the present passage (and at SN 22.53, SN 22.54)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 xml:space="preserve">Langer p.30 says the three discourses on intention (SN 12.38, SN 12.39, SN 12.40) “limit themselves […] to descriptions of rebirth” (translation mine). Likewise, although I believe he misunderstands </w:t>
      </w:r>
      <w:r>
        <w:rPr>
          <w:rStyle w:val="wwc-pali"/>
        </w:rPr>
        <w:t>appatiṭṭhita viññāṇa</w:t>
      </w:r>
      <w:r>
        <w:rPr/>
        <w:t xml:space="preserve"> to be a state of mind, Ñāṇananda 2016 p.97 states: “The point at issue [in the First Discourse on Intention] is the question as to how consciousness gets a footing—how consciousness gets established at the moment of death. In fact, it is an attempt to show us the connection between two lives.” See also Anālayo 2018 p.28</w:t>
      </w:r>
    </w:p>
    <w:p>
      <w:pPr>
        <w:pStyle w:val="WW-gloss-term"/>
        <w:rPr/>
      </w:pPr>
      <w:r>
        <w:rPr/>
        <w:t>222</w:t>
      </w:r>
    </w:p>
    <w:p>
      <w:pPr>
        <w:pStyle w:val="FootnoteText"/>
        <w:rPr/>
      </w:pPr>
      <w:r>
        <w:rPr/>
        <w:t xml:space="preserve">See also Langer p.32 (translation mine): “In [SN 12.38, SN 12.39, SN 12.40]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r>
        <w:rPr/>
        <w:t>SĀ 359, translation mine. Compare SĀ 360 in Choong p.170</w:t>
      </w:r>
    </w:p>
    <w:p>
      <w:pPr>
        <w:pStyle w:val="WW-gloss-term"/>
        <w:rPr/>
      </w:pPr>
      <w:r>
        <w:rPr/>
        <w:t>224</w:t>
      </w:r>
    </w:p>
    <w:p>
      <w:pPr>
        <w:pStyle w:val="FootnoteText"/>
        <w:rPr/>
      </w:pPr>
      <w:r>
        <w:rPr/>
        <w:t>SN 12.39</w:t>
      </w:r>
    </w:p>
    <w:p>
      <w:pPr>
        <w:pStyle w:val="WW-gloss-term"/>
        <w:rPr/>
      </w:pPr>
      <w:r>
        <w:rPr/>
        <w:t>225</w:t>
      </w:r>
    </w:p>
    <w:p>
      <w:pPr>
        <w:pStyle w:val="FootnoteText"/>
        <w:rPr/>
      </w:pPr>
      <w:r>
        <w:rPr/>
        <w:t xml:space="preserve">SĀ 360: </w:t>
      </w:r>
      <w:r>
        <w:rPr/>
        <w:t>入名色故</w:t>
      </w:r>
      <w:r>
        <w:rPr/>
        <w:t xml:space="preserve">, </w:t>
      </w:r>
      <w:r>
        <w:rPr/>
        <w:t>有未來世生</w:t>
      </w:r>
      <w:r>
        <w:rPr/>
        <w:t>. Choong p.170 translates: “Because of the entry [i.e. conception] of name-and-material form, there are, in the future, birth, ageing-sickness-and-death […]”</w:t>
      </w:r>
    </w:p>
    <w:p>
      <w:pPr>
        <w:pStyle w:val="WW-gloss-term"/>
        <w:rPr/>
      </w:pPr>
      <w:r>
        <w:rPr/>
        <w:t>226</w:t>
      </w:r>
    </w:p>
    <w:p>
      <w:pPr>
        <w:pStyle w:val="FootnoteText"/>
        <w:rPr/>
      </w:pPr>
      <w:r>
        <w:rPr/>
        <w:t xml:space="preserve">See note 192.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rPr/>
        <w:t>SN 12.51:9.1–9.3</w:t>
      </w:r>
    </w:p>
    <w:p>
      <w:pPr>
        <w:pStyle w:val="WW-gloss-term"/>
        <w:rPr/>
      </w:pPr>
      <w:r>
        <w:rPr/>
        <w:t>228</w:t>
      </w:r>
    </w:p>
    <w:p>
      <w:pPr>
        <w:pStyle w:val="FootnoteText"/>
        <w:rPr/>
      </w:pPr>
      <w:r>
        <w:rPr/>
        <w:t>AN 6.63:30.2</w:t>
      </w:r>
    </w:p>
    <w:p>
      <w:pPr>
        <w:pStyle w:val="WW-gloss-term"/>
        <w:rPr/>
      </w:pPr>
      <w:r>
        <w:rPr/>
        <w:t>229</w:t>
      </w:r>
    </w:p>
    <w:p>
      <w:pPr>
        <w:pStyle w:val="FootnoteText"/>
        <w:rPr/>
      </w:pPr>
      <w:r>
        <w:rPr/>
        <w:t xml:space="preserve">See DPD under </w:t>
      </w:r>
      <w:r>
        <w:rPr>
          <w:rStyle w:val="wwc-pali"/>
        </w:rPr>
        <w:t>upaga</w:t>
      </w:r>
      <w:r>
        <w:rPr/>
        <w:t>: “passing on to (used of consciousness’s linking at death with a new existence)”. See also Bodhi 1998 p.161</w:t>
      </w:r>
    </w:p>
    <w:p>
      <w:pPr>
        <w:pStyle w:val="WW-gloss-term"/>
        <w:rPr/>
      </w:pPr>
      <w:r>
        <w:rPr/>
        <w:t>230</w:t>
      </w:r>
    </w:p>
    <w:p>
      <w:pPr>
        <w:pStyle w:val="FootnoteText"/>
        <w:rPr/>
      </w:pPr>
      <w:r>
        <w:rPr/>
        <w:t>§108; §77</w:t>
      </w:r>
    </w:p>
    <w:p>
      <w:pPr>
        <w:pStyle w:val="WW-gloss-term"/>
        <w:rPr/>
      </w:pPr>
      <w:r>
        <w:rPr/>
        <w:t>231</w:t>
      </w:r>
    </w:p>
    <w:p>
      <w:pPr>
        <w:pStyle w:val="FootnoteText"/>
        <w:rPr/>
      </w:pPr>
      <w:r>
        <w:rPr/>
        <w:t>MN 106:3.12, 4.7, 5.10, 6.12, 7.5, 8.5, 9.12 M II 262</w:t>
      </w:r>
    </w:p>
    <w:p>
      <w:pPr>
        <w:pStyle w:val="WW-gloss-term"/>
        <w:rPr/>
      </w:pPr>
      <w:r>
        <w:rPr/>
        <w:t>232</w:t>
      </w:r>
    </w:p>
    <w:p>
      <w:pPr>
        <w:pStyle w:val="FootnoteText"/>
        <w:rPr/>
      </w:pPr>
      <w:r>
        <w:rPr/>
        <w:t>See also Langer p.28</w:t>
      </w:r>
    </w:p>
    <w:p>
      <w:pPr>
        <w:pStyle w:val="WW-gloss-term"/>
        <w:rPr/>
      </w:pPr>
      <w:r>
        <w:rPr/>
        <w:t>233</w:t>
      </w:r>
    </w:p>
    <w:p>
      <w:pPr>
        <w:pStyle w:val="FootnoteText"/>
        <w:rPr/>
      </w:pPr>
      <w:r>
        <w:rPr/>
        <w:t>DN 15:33.0–34.10 D II 69. Also at AN 7.44</w:t>
      </w:r>
    </w:p>
    <w:p>
      <w:pPr>
        <w:pStyle w:val="WW-gloss-term"/>
        <w:rPr/>
      </w:pPr>
      <w:r>
        <w:rPr/>
        <w:t>234</w:t>
      </w:r>
    </w:p>
    <w:p>
      <w:pPr>
        <w:pStyle w:val="FootnoteText"/>
        <w:rPr/>
      </w:pPr>
      <w:r>
        <w:rPr/>
        <w:t>See also Bodhi 2003 p.30</w:t>
      </w:r>
    </w:p>
    <w:p>
      <w:pPr>
        <w:pStyle w:val="WW-gloss-term"/>
        <w:rPr/>
      </w:pPr>
      <w:r>
        <w:rPr/>
        <w:t>235</w:t>
      </w:r>
    </w:p>
    <w:p>
      <w:pPr>
        <w:pStyle w:val="FootnoteText"/>
        <w:rPr/>
      </w:pPr>
      <w:r>
        <w:rPr/>
        <w:t>SN 12.63:3.7–3.8</w:t>
      </w:r>
    </w:p>
    <w:p>
      <w:pPr>
        <w:pStyle w:val="WW-gloss-term"/>
        <w:rPr/>
      </w:pPr>
      <w:r>
        <w:rPr/>
        <w:t>236</w:t>
      </w:r>
    </w:p>
    <w:p>
      <w:pPr>
        <w:pStyle w:val="FootnoteText"/>
        <w:rPr/>
      </w:pPr>
      <w:r>
        <w:rPr/>
        <w:t>For example §118, §119</w:t>
      </w:r>
    </w:p>
    <w:p>
      <w:pPr>
        <w:pStyle w:val="WW-gloss-term"/>
        <w:rPr/>
      </w:pPr>
      <w:r>
        <w:rPr/>
        <w:t>237</w:t>
      </w:r>
    </w:p>
    <w:p>
      <w:pPr>
        <w:pStyle w:val="FootnoteText"/>
        <w:rPr/>
      </w:pPr>
      <w:r>
        <w:rPr/>
        <w:t>See Nyanaponika 1981 for a translation of the commentary to this sutta. Also see Bodhi 2000 n.166 at SN 12.63</w:t>
      </w:r>
    </w:p>
    <w:p>
      <w:pPr>
        <w:pStyle w:val="WW-gloss-term"/>
        <w:rPr/>
      </w:pPr>
      <w:r>
        <w:rPr/>
        <w:t>238</w:t>
      </w:r>
    </w:p>
    <w:p>
      <w:pPr>
        <w:pStyle w:val="FootnoteText"/>
        <w:rPr/>
      </w:pPr>
      <w:r>
        <w:rPr/>
        <w:t>For example SN 56.11:4.4–4.5</w:t>
      </w:r>
    </w:p>
    <w:p>
      <w:pPr>
        <w:pStyle w:val="WW-gloss-term"/>
        <w:rPr/>
      </w:pPr>
      <w:r>
        <w:rPr/>
        <w:t>239</w:t>
      </w:r>
    </w:p>
    <w:p>
      <w:pPr>
        <w:pStyle w:val="FootnoteText"/>
        <w:rPr/>
      </w:pPr>
      <w:r>
        <w:rPr/>
        <w:t>MN 12:37.1–37.11 M I 74</w:t>
      </w:r>
    </w:p>
    <w:p>
      <w:pPr>
        <w:pStyle w:val="WW-gloss-term"/>
        <w:rPr/>
      </w:pPr>
      <w:r>
        <w:rPr/>
        <w:t>240</w:t>
      </w:r>
    </w:p>
    <w:p>
      <w:pPr>
        <w:pStyle w:val="FootnoteText"/>
        <w:rPr/>
      </w:pPr>
      <w:r>
        <w:rPr/>
        <w:t>See for example §17</w:t>
      </w:r>
    </w:p>
    <w:p>
      <w:pPr>
        <w:pStyle w:val="WW-gloss-term"/>
        <w:rPr/>
      </w:pPr>
      <w:r>
        <w:rPr/>
        <w:t>241</w:t>
      </w:r>
    </w:p>
    <w:p>
      <w:pPr>
        <w:pStyle w:val="FootnoteText"/>
        <w:rPr/>
      </w:pPr>
      <w:r>
        <w:rPr/>
        <w:t>See also AN 7.74:8.1–8.2, Snp 3.8:7.1–7.4</w:t>
      </w:r>
    </w:p>
    <w:p>
      <w:pPr>
        <w:pStyle w:val="WW-gloss-term"/>
        <w:rPr/>
      </w:pPr>
      <w:r>
        <w:rPr/>
        <w:t>242</w:t>
      </w:r>
    </w:p>
    <w:p>
      <w:pPr>
        <w:pStyle w:val="FootnoteText"/>
        <w:rPr/>
      </w:pPr>
      <w:r>
        <w:rPr>
          <w:rStyle w:val="wwc-pali"/>
        </w:rPr>
        <w:t>Ādicca</w:t>
      </w:r>
      <w:r>
        <w:rPr/>
        <w:t xml:space="preserve"> (‘Sun’) was a name for the clan of the Buddha, possibly a</w:t>
      </w:r>
      <w:r>
        <w:rPr/>
        <w:t>n</w:t>
      </w:r>
      <w:r>
        <w:rPr/>
        <w:t xml:space="preserve"> honorific. See Snp 3.1:19.1–19.2 and DPPN under ‘</w:t>
      </w:r>
      <w:r>
        <w:rPr>
          <w:rStyle w:val="wwc-pali"/>
        </w:rPr>
        <w:t>Ādicca</w:t>
      </w:r>
      <w:r>
        <w:rPr/>
        <w:t>’.</w:t>
      </w:r>
    </w:p>
    <w:p>
      <w:pPr>
        <w:pStyle w:val="WW-gloss-term"/>
        <w:rPr/>
      </w:pPr>
      <w:r>
        <w:rPr/>
        <w:t>243</w:t>
      </w:r>
    </w:p>
    <w:p>
      <w:pPr>
        <w:pStyle w:val="FootnoteText"/>
        <w:rPr/>
      </w:pPr>
      <w:r>
        <w:rPr/>
        <w:t>Thag 6.8</w:t>
      </w:r>
    </w:p>
    <w:p>
      <w:pPr>
        <w:pStyle w:val="WW-gloss-term"/>
        <w:rPr/>
      </w:pPr>
      <w:r>
        <w:rPr/>
        <w:t>244</w:t>
      </w:r>
    </w:p>
    <w:p>
      <w:pPr>
        <w:pStyle w:val="FootnoteText"/>
        <w:rPr/>
      </w:pPr>
      <w:r>
        <w:rPr/>
        <w:t>Hamilton p.98</w:t>
      </w:r>
    </w:p>
    <w:p>
      <w:pPr>
        <w:pStyle w:val="WW-gloss-term"/>
        <w:rPr/>
      </w:pPr>
      <w:r>
        <w:rPr/>
        <w:t>245</w:t>
      </w:r>
    </w:p>
    <w:p>
      <w:pPr>
        <w:pStyle w:val="FootnoteText"/>
        <w:rPr/>
      </w:pPr>
      <w:r>
        <w:rPr/>
        <w:t>SN 56.35</w:t>
      </w:r>
    </w:p>
    <w:p>
      <w:pPr>
        <w:pStyle w:val="WW-gloss-term"/>
        <w:rPr/>
      </w:pPr>
      <w:r>
        <w:rPr/>
        <w:t>246</w:t>
      </w:r>
    </w:p>
    <w:p>
      <w:pPr>
        <w:pStyle w:val="FootnoteText"/>
        <w:rPr/>
      </w:pPr>
      <w:r>
        <w:rPr/>
        <w:t>Thig 16.1:26.1–26.4</w:t>
      </w:r>
    </w:p>
    <w:p>
      <w:pPr>
        <w:pStyle w:val="WW-gloss-term"/>
        <w:rPr/>
      </w:pPr>
      <w:r>
        <w:rPr/>
        <w:t>247</w:t>
      </w:r>
    </w:p>
    <w:p>
      <w:pPr>
        <w:pStyle w:val="FootnoteText"/>
        <w:rPr/>
      </w:pPr>
      <w:r>
        <w:rPr/>
        <w:t>Hecker p.50</w:t>
      </w:r>
    </w:p>
    <w:p>
      <w:pPr>
        <w:pStyle w:val="WW-gloss-term"/>
        <w:rPr/>
      </w:pPr>
      <w:r>
        <w:rPr/>
        <w:t>248</w:t>
      </w:r>
    </w:p>
    <w:p>
      <w:pPr>
        <w:pStyle w:val="FootnoteText"/>
        <w:rPr/>
      </w:pPr>
      <w:r>
        <w:rPr/>
        <w:t xml:space="preserve">Nyanaponika 1981 p.9. See also PED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rPr/>
        <w:t>SN 12.12:2.11</w:t>
      </w:r>
    </w:p>
    <w:p>
      <w:pPr>
        <w:pStyle w:val="WW-gloss-term"/>
        <w:rPr/>
      </w:pPr>
      <w:r>
        <w:rPr/>
        <w:t>250</w:t>
      </w:r>
    </w:p>
    <w:p>
      <w:pPr>
        <w:pStyle w:val="FootnoteText"/>
        <w:rPr/>
      </w:pPr>
      <w:r>
        <w:rPr/>
        <w:t>Bodhi 2000 n.24 at SN 12.12</w:t>
      </w:r>
    </w:p>
    <w:p>
      <w:pPr>
        <w:pStyle w:val="WW-gloss-term"/>
        <w:rPr/>
      </w:pPr>
      <w:r>
        <w:rPr/>
        <w:t>251</w:t>
      </w:r>
    </w:p>
    <w:p>
      <w:pPr>
        <w:pStyle w:val="FootnoteText"/>
        <w:rPr/>
      </w:pPr>
      <w:r>
        <w:rPr/>
        <w:t xml:space="preserve">Bodhi 2000 n.25 at SN 12.12: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rPr/>
        <w:t>AN 3.61:9.3, 13.4–13.6</w:t>
      </w:r>
    </w:p>
    <w:p>
      <w:pPr>
        <w:pStyle w:val="WW-gloss-term"/>
        <w:rPr/>
      </w:pPr>
      <w:r>
        <w:rPr/>
        <w:t>253</w:t>
      </w:r>
    </w:p>
    <w:p>
      <w:pPr>
        <w:pStyle w:val="FootnoteText"/>
        <w:rPr/>
      </w:pPr>
      <w:r>
        <w:rPr/>
        <w:t>MN 140:8.1–8.6 M III 239. See also Wynne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rPr/>
        <w:t>MN 62:12.1–12.9 M I 423</w:t>
      </w:r>
    </w:p>
    <w:p>
      <w:pPr>
        <w:pStyle w:val="WW-gloss-term"/>
        <w:rPr/>
      </w:pPr>
      <w:r>
        <w:rPr/>
        <w:t>255</w:t>
      </w:r>
    </w:p>
    <w:p>
      <w:pPr>
        <w:pStyle w:val="FootnoteText"/>
        <w:rPr/>
      </w:pPr>
      <w:r>
        <w:rPr/>
        <w:t>See Hamilton p.5 and Bodhi 2000 n.339 at SN 18.9: “To the four primary elements of the form aggregate the suttas sometimes add the space element.”</w:t>
      </w:r>
    </w:p>
    <w:p>
      <w:pPr>
        <w:pStyle w:val="WW-gloss-term"/>
        <w:rPr/>
      </w:pPr>
      <w:r>
        <w:rPr/>
        <w:t>256</w:t>
      </w:r>
    </w:p>
    <w:p>
      <w:pPr>
        <w:pStyle w:val="FootnoteText"/>
        <w:rPr/>
      </w:pPr>
      <w:r>
        <w:rPr/>
        <w:t>SN 46.2:1.2</w:t>
      </w:r>
    </w:p>
    <w:p>
      <w:pPr>
        <w:pStyle w:val="WW-gloss-term"/>
        <w:rPr/>
      </w:pPr>
      <w:r>
        <w:rPr/>
        <w:t>257</w:t>
      </w:r>
    </w:p>
    <w:p>
      <w:pPr>
        <w:pStyle w:val="FootnoteText"/>
        <w:rPr/>
      </w:pPr>
      <w:r>
        <w:rPr/>
        <w:t>For example SN 4.18:4.3–4.4</w:t>
      </w:r>
    </w:p>
    <w:p>
      <w:pPr>
        <w:pStyle w:val="WW-gloss-term"/>
        <w:rPr/>
      </w:pPr>
      <w:r>
        <w:rPr/>
        <w:t>258</w:t>
      </w:r>
    </w:p>
    <w:p>
      <w:pPr>
        <w:pStyle w:val="FootnoteText"/>
        <w:rPr/>
      </w:pPr>
      <w:r>
        <w:rPr/>
        <w:t>SN 22.22:6.1–7.4</w:t>
      </w:r>
    </w:p>
    <w:p>
      <w:pPr>
        <w:pStyle w:val="WW-gloss-term"/>
        <w:rPr/>
      </w:pPr>
      <w:r>
        <w:rPr/>
        <w:t>259</w:t>
      </w:r>
    </w:p>
    <w:p>
      <w:pPr>
        <w:pStyle w:val="FootnoteText"/>
        <w:rPr/>
      </w:pPr>
      <w:r>
        <w:rPr/>
        <w:t>AN 10.27:10.5, Kp 4:1.2</w:t>
      </w:r>
    </w:p>
    <w:p>
      <w:pPr>
        <w:pStyle w:val="WW-gloss-term"/>
        <w:rPr/>
      </w:pPr>
      <w:r>
        <w:rPr/>
        <w:t>260</w:t>
      </w:r>
    </w:p>
    <w:p>
      <w:pPr>
        <w:pStyle w:val="FootnoteText"/>
        <w:rPr/>
      </w:pPr>
      <w:r>
        <w:rPr/>
        <w:t>TU 2.2.1, translation Purohit</w:t>
      </w:r>
    </w:p>
    <w:p>
      <w:pPr>
        <w:pStyle w:val="WW-gloss-term"/>
        <w:rPr/>
      </w:pPr>
      <w:r>
        <w:rPr/>
        <w:t>261</w:t>
      </w:r>
    </w:p>
    <w:p>
      <w:pPr>
        <w:pStyle w:val="FootnoteText"/>
        <w:rPr/>
      </w:pPr>
      <w:r>
        <w:rPr/>
        <w:t>Lopez</w:t>
      </w:r>
    </w:p>
    <w:p>
      <w:pPr>
        <w:pStyle w:val="WW-gloss-term"/>
        <w:rPr/>
      </w:pPr>
      <w:r>
        <w:rPr/>
        <w:t>262</w:t>
      </w:r>
    </w:p>
    <w:p>
      <w:pPr>
        <w:pStyle w:val="FootnoteText"/>
        <w:rPr/>
      </w:pPr>
      <w:r>
        <w:rPr/>
        <w:t>Kp 7:6.3–13.4</w:t>
      </w:r>
    </w:p>
    <w:p>
      <w:pPr>
        <w:pStyle w:val="WW-gloss-term"/>
        <w:rPr/>
      </w:pPr>
      <w:r>
        <w:rPr/>
        <w:t>263</w:t>
      </w:r>
    </w:p>
    <w:p>
      <w:pPr>
        <w:pStyle w:val="FootnoteText"/>
        <w:rPr/>
      </w:pPr>
      <w:r>
        <w:rPr/>
        <w:t>Norman 1991 p.194</w:t>
      </w:r>
    </w:p>
    <w:p>
      <w:pPr>
        <w:pStyle w:val="WW-gloss-term"/>
        <w:rPr/>
      </w:pPr>
      <w:r>
        <w:rPr/>
        <w:t>264</w:t>
      </w:r>
    </w:p>
    <w:p>
      <w:pPr>
        <w:pStyle w:val="FootnoteText"/>
        <w:rPr/>
      </w:pPr>
      <w:r>
        <w:rPr/>
        <w:t>Snp 3.12:38.1–38.4</w:t>
      </w:r>
    </w:p>
    <w:p>
      <w:pPr>
        <w:pStyle w:val="WW-gloss-term"/>
        <w:rPr/>
      </w:pPr>
      <w:r>
        <w:rPr/>
        <w:t>265</w:t>
      </w:r>
    </w:p>
    <w:p>
      <w:pPr>
        <w:pStyle w:val="FootnoteText"/>
        <w:rPr/>
      </w:pPr>
      <w:r>
        <w:rPr/>
        <w:t>See for example Nyanaponika 1981</w:t>
      </w:r>
    </w:p>
    <w:p>
      <w:pPr>
        <w:pStyle w:val="WW-gloss-term"/>
        <w:rPr/>
      </w:pPr>
      <w:r>
        <w:rPr/>
        <w:t>266</w:t>
      </w:r>
    </w:p>
    <w:p>
      <w:pPr>
        <w:pStyle w:val="FootnoteText"/>
        <w:rPr/>
      </w:pPr>
      <w:r>
        <w:rPr/>
        <w:t>AN 3.76</w:t>
      </w:r>
    </w:p>
    <w:p>
      <w:pPr>
        <w:pStyle w:val="WW-gloss-term"/>
        <w:rPr/>
      </w:pPr>
      <w:r>
        <w:rPr/>
        <w:t>267</w:t>
      </w:r>
    </w:p>
    <w:p>
      <w:pPr>
        <w:pStyle w:val="FootnoteText"/>
        <w:rPr/>
      </w:pPr>
      <w:r>
        <w:rPr/>
        <w:t>AN 3.92:1.3–1.4. See also DN 23:31.3, 31.10 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AN 9.35:1.4, 3.4. In English we also say “to plant an arrow”, and </w:t>
      </w:r>
      <w:r>
        <w:rPr>
          <w:rStyle w:val="wwc-pali"/>
        </w:rPr>
        <w:t>patiṭṭhita</w:t>
      </w:r>
      <w:r>
        <w:rPr/>
        <w:t xml:space="preserve"> is also used for planting arrows in a target—see DN 3:1.23.17–1.23.20 D I 97 and SN 20.6:1.4, 2.1. English also uses ‘plant’ as a synonym for ‘establish’, like in “to plant a religion in a country”.</w:t>
      </w:r>
    </w:p>
    <w:p>
      <w:pPr>
        <w:pStyle w:val="WW-gloss-term"/>
        <w:rPr/>
      </w:pPr>
      <w:r>
        <w:rPr/>
        <w:t>269</w:t>
      </w:r>
    </w:p>
    <w:p>
      <w:pPr>
        <w:pStyle w:val="FootnoteText"/>
        <w:rPr/>
      </w:pPr>
      <w:r>
        <w:rPr/>
        <w:t>MN 45:4.7 M I 307. See also AN 3.34:5.1–5.3, which says seeds that are put underground will “develop, sprout, and mature” when rained upon.</w:t>
      </w:r>
    </w:p>
    <w:p>
      <w:pPr>
        <w:pStyle w:val="WW-gloss-term"/>
        <w:rPr/>
      </w:pPr>
      <w:r>
        <w:rPr/>
        <w:t>270</w:t>
      </w:r>
    </w:p>
    <w:p>
      <w:pPr>
        <w:pStyle w:val="FootnoteText"/>
        <w:rPr/>
      </w:pPr>
      <w:r>
        <w:rPr/>
        <w:t>Mil 3.6.9</w:t>
      </w:r>
    </w:p>
    <w:p>
      <w:pPr>
        <w:pStyle w:val="WW-gloss-term"/>
        <w:rPr/>
      </w:pPr>
      <w:r>
        <w:rPr/>
        <w:t>271</w:t>
      </w:r>
    </w:p>
    <w:p>
      <w:pPr>
        <w:pStyle w:val="FootnoteText"/>
        <w:rPr/>
      </w:pPr>
      <w:r>
        <w:rPr/>
        <w:t>Vism 602 and 688</w:t>
      </w:r>
    </w:p>
    <w:p>
      <w:pPr>
        <w:pStyle w:val="WW-gloss-term"/>
        <w:rPr/>
      </w:pPr>
      <w:r>
        <w:rPr/>
        <w:t>272</w:t>
      </w:r>
    </w:p>
    <w:p>
      <w:pPr>
        <w:pStyle w:val="FootnoteText"/>
        <w:rPr/>
      </w:pPr>
      <w:r>
        <w:rPr/>
        <w:t>SN 5.9:4.1–6.4</w:t>
      </w:r>
    </w:p>
    <w:p>
      <w:pPr>
        <w:pStyle w:val="WW-gloss-term"/>
        <w:rPr/>
      </w:pPr>
      <w:r>
        <w:rPr/>
        <w:t>273</w:t>
      </w:r>
    </w:p>
    <w:p>
      <w:pPr>
        <w:pStyle w:val="FootnoteText"/>
        <w:rPr/>
      </w:pPr>
      <w:r>
        <w:rPr/>
        <w:t>Kp 6:15.1–15.4, Snp 2.1:15.1–15.4</w:t>
      </w:r>
    </w:p>
    <w:p>
      <w:pPr>
        <w:pStyle w:val="WW-gloss-term"/>
        <w:rPr/>
      </w:pPr>
      <w:r>
        <w:rPr/>
        <w:t>274</w:t>
      </w:r>
    </w:p>
    <w:p>
      <w:pPr>
        <w:pStyle w:val="FootnoteText"/>
        <w:rPr/>
      </w:pPr>
      <w:r>
        <w:rPr/>
        <w:t>See 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Monier-Williams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Norman 1997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rPr/>
        <w:t>Snp 1.12:2.1–4.4</w:t>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SĀ 39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The before is about how consciousness comes to cease when “its foundation is destroyed”, not about liberating it.</w:t>
      </w:r>
    </w:p>
    <w:p>
      <w:pPr>
        <w:pStyle w:val="FootnoteText"/>
        <w:rPr/>
      </w:pP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SN 22.45 &amp; SN 22.46 share their closing paragraph with this sutta, and there it is unmistakably the mind that is liberated.</w:t>
      </w:r>
    </w:p>
    <w:p>
      <w:pPr>
        <w:pStyle w:val="FootnoteText"/>
        <w:rPr/>
      </w:pPr>
      <w:r>
        <w:rPr/>
        <w:t xml:space="preserve">For these reasons I think the mind is intended in this sutta as well. I take ca (and) to indicate there to be two separate sentences: </w:t>
      </w:r>
      <w:r>
        <w:rPr>
          <w:rStyle w:val="wwc-pali"/>
        </w:rPr>
        <w:t>Tadappatiṭṭhitaṁ viññāṇaṁ avirūḷhaṁ. Anabhisaṅkhārañ-ca vimuttaṁ</w:t>
      </w:r>
      <w:r>
        <w:rPr/>
        <w:t xml:space="preserve">. Seeing the first part as a full sentence is supported by SN 12.38:3.3, SN 12.38:3.3 &amp; SN 12.40:3.3,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Seeds Discourse (see note 504). Nyanaponika 1990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The Chinese parallel at SĀ 39 also supports the separation of consciousness and liberation, as it disjoints the two with a set of phrases not found in the Pāli. Anālayo 2014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note 277 and note 278, seems more on point than the Pāli.</w:t>
      </w:r>
    </w:p>
    <w:p>
      <w:pPr>
        <w:pStyle w:val="FootnoteText"/>
        <w:rPr/>
      </w:pPr>
      <w:r>
        <w:rPr/>
      </w:r>
    </w:p>
    <w:p>
      <w:pPr>
        <w:pStyle w:val="WW-gloss-term"/>
        <w:rPr/>
      </w:pPr>
      <w:r>
        <w:rPr/>
        <w:t>280</w:t>
      </w:r>
    </w:p>
    <w:p>
      <w:pPr>
        <w:pStyle w:val="FootnoteText"/>
        <w:rPr/>
      </w:pPr>
      <w:r>
        <w:rPr/>
        <w:t>SN 22.54</w:t>
      </w:r>
    </w:p>
    <w:p>
      <w:pPr>
        <w:pStyle w:val="WW-gloss-term"/>
        <w:rPr/>
      </w:pPr>
      <w:r>
        <w:rPr/>
        <w:t>281</w:t>
      </w:r>
    </w:p>
    <w:p>
      <w:pPr>
        <w:pStyle w:val="FootnoteText"/>
        <w:rPr/>
      </w:pPr>
      <w:r>
        <w:rPr/>
        <w:t>For example AN 3.58:5.1–6.4</w:t>
      </w:r>
    </w:p>
    <w:p>
      <w:pPr>
        <w:pStyle w:val="WW-gloss-term"/>
        <w:rPr/>
      </w:pPr>
      <w:r>
        <w:rPr/>
        <w:t>282</w:t>
      </w:r>
    </w:p>
    <w:p>
      <w:pPr>
        <w:pStyle w:val="FootnoteText"/>
        <w:rPr/>
      </w:pPr>
      <w:r>
        <w:rPr/>
        <w:t>AN 6.10:7.3</w:t>
      </w:r>
    </w:p>
    <w:p>
      <w:pPr>
        <w:pStyle w:val="WW-gloss-term"/>
        <w:rPr/>
      </w:pPr>
      <w:r>
        <w:rPr/>
        <w:t>283</w:t>
      </w:r>
    </w:p>
    <w:p>
      <w:pPr>
        <w:pStyle w:val="FootnoteText"/>
        <w:rPr/>
      </w:pPr>
      <w:r>
        <w:rPr/>
        <w:t>SN 44.9:6.4</w:t>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rPr/>
        <w:t>Thag 16.9:26.1–26.4; DN 8:3.6 D I 162; Thig 6.1:4.1–4.4</w:t>
      </w:r>
    </w:p>
    <w:p>
      <w:pPr>
        <w:pStyle w:val="WW-gloss-term"/>
        <w:rPr/>
      </w:pPr>
      <w:r>
        <w:rPr/>
        <w:t>286</w:t>
      </w:r>
    </w:p>
    <w:p>
      <w:pPr>
        <w:pStyle w:val="FootnoteText"/>
        <w:rPr/>
      </w:pPr>
      <w:r>
        <w:rPr/>
        <w:t>See also Harvey 1995 p.97f</w:t>
      </w:r>
    </w:p>
    <w:p>
      <w:pPr>
        <w:pStyle w:val="WW-gloss-term"/>
        <w:rPr/>
      </w:pPr>
      <w:r>
        <w:rPr/>
        <w:t>287</w:t>
      </w:r>
    </w:p>
    <w:p>
      <w:pPr>
        <w:pStyle w:val="FootnoteText"/>
        <w:rPr/>
      </w:pPr>
      <w:r>
        <w:rPr/>
        <w:t>AN 3.34:5.3. See also SN 45.150:1.1, SN 55.25:10.2, AN 6.62:7.8</w:t>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Bodhi 2000 translates: “Consciousness, while standing, might stand engaged with form.” Ṭhānissaro 2008a p.27 has: “Should consciousness, when standing, stand attached to form […]” Under </w:t>
      </w:r>
      <w:r>
        <w:rPr>
          <w:rStyle w:val="wwc-pali"/>
        </w:rPr>
        <w:t>tiṭṭhati</w:t>
      </w:r>
      <w:r>
        <w:rPr/>
        <w:t xml:space="preserve"> DOP glosses the literal ‘stands’ but also ‘continues to exist’. The latter is meant here, not ‘stand’, which is too literal. Choong p.50 more accurately translates ‘may persist’. See also Hamilton p.97: “This term [</w:t>
      </w:r>
      <w:r>
        <w:rPr>
          <w:rStyle w:val="wwc-pali"/>
        </w:rPr>
        <w:t>ṭhiti</w:t>
      </w:r>
      <w:r>
        <w:rPr/>
        <w:t>] itself implies continuity: being ‘stationed’ means that [consciousness] ‘persists’.” Harvey 1995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‘existing consciousness would continue’, a present participle followed by a finite form of the same verb is a form of emphasis. For example, </w:t>
      </w:r>
      <w:r>
        <w:rPr>
          <w:rStyle w:val="wwc-pali"/>
        </w:rPr>
        <w:t>cittaṁ bahulaṁ gacchamānaṁ gaccheyya</w:t>
      </w:r>
      <w:r>
        <w:rPr/>
        <w:t xml:space="preserve">, literally ‘the straying mind may often stray’, simply means the mind may often stray. (SN 35.117:1.2)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Choong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rPr/>
        <w:t>SN 35.235:1.4–1.7</w:t>
      </w:r>
    </w:p>
    <w:p>
      <w:pPr>
        <w:pStyle w:val="WW-gloss-term"/>
        <w:rPr/>
      </w:pPr>
      <w:r>
        <w:rPr/>
        <w:t>290</w:t>
      </w:r>
    </w:p>
    <w:p>
      <w:pPr>
        <w:pStyle w:val="FootnoteText"/>
        <w:rPr/>
      </w:pPr>
      <w:r>
        <w:rPr/>
        <w:t>On one-seeders see for example AN 3.87. Other suttas on seeds and rebirth are AN 3.34, AN 3.77, AN 6.62</w:t>
      </w:r>
    </w:p>
    <w:p>
      <w:pPr>
        <w:pStyle w:val="WW-gloss-term"/>
        <w:rPr/>
      </w:pPr>
      <w:r>
        <w:rPr/>
        <w:t>291</w:t>
      </w:r>
    </w:p>
    <w:p>
      <w:pPr>
        <w:pStyle w:val="FootnoteText"/>
        <w:rPr/>
      </w:pPr>
      <w:r>
        <w:rPr/>
        <w:t>SN 12.57. Compare also SN 12.55, SN 12.56 and SN 12.60</w:t>
      </w:r>
    </w:p>
    <w:p>
      <w:pPr>
        <w:pStyle w:val="WW-gloss-term"/>
        <w:rPr/>
      </w:pPr>
      <w:r>
        <w:rPr/>
        <w:t>292</w:t>
      </w:r>
    </w:p>
    <w:p>
      <w:pPr>
        <w:pStyle w:val="FootnoteText"/>
        <w:rPr/>
      </w:pPr>
      <w:r>
        <w:rPr/>
        <w:t>See also Sunyo 2017</w:t>
      </w:r>
    </w:p>
    <w:p>
      <w:pPr>
        <w:pStyle w:val="WW-gloss-term"/>
        <w:rPr/>
      </w:pPr>
      <w:r>
        <w:rPr/>
        <w:t>293</w:t>
      </w:r>
    </w:p>
    <w:p>
      <w:pPr>
        <w:pStyle w:val="FootnoteText"/>
        <w:rPr/>
      </w:pPr>
      <w:r>
        <w:rPr/>
        <w:t>AN 1.314:1.4</w:t>
      </w:r>
    </w:p>
    <w:p>
      <w:pPr>
        <w:pStyle w:val="WW-gloss-term"/>
        <w:rPr/>
      </w:pPr>
      <w:r>
        <w:rPr/>
        <w:t>294</w:t>
      </w:r>
    </w:p>
    <w:p>
      <w:pPr>
        <w:pStyle w:val="FootnoteText"/>
        <w:rPr/>
      </w:pPr>
      <w:r>
        <w:rPr>
          <w:rStyle w:val="wwc-pali"/>
        </w:rPr>
        <w:t>Saṁyojaniyesu, bhikkhave, dhammesu assādānupassino viharato</w:t>
      </w:r>
      <w:r>
        <w:rPr/>
        <w:t>, ‘for those who live focusing on the gratification of things that can chain them’. Bodhi 2000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“for one who dwells contemplating”. (Bodhi 2012, AN 5.30) </w:t>
      </w:r>
      <w:r>
        <w:rPr>
          <w:rStyle w:val="wwc-pali"/>
        </w:rPr>
        <w:t>Assādānupassino viharato</w:t>
      </w:r>
      <w:r>
        <w:rPr/>
        <w:t xml:space="preserve"> is a genitive absolute of “whom it concerns” (cf. Wijesekera 1993 §159), so is best translated with “</w:t>
      </w:r>
      <w:r>
        <w:rPr>
          <w:rStyle w:val="Emphasis"/>
        </w:rPr>
        <w:t>for those who</w:t>
      </w:r>
      <w:r>
        <w:rPr/>
        <w:t>”, like Olalde 2014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rPr/>
        <w:t>SN 12.58</w:t>
      </w:r>
    </w:p>
    <w:p>
      <w:pPr>
        <w:pStyle w:val="WW-gloss-term"/>
        <w:rPr/>
      </w:pPr>
      <w:r>
        <w:rPr/>
        <w:t>296</w:t>
      </w:r>
    </w:p>
    <w:p>
      <w:pPr>
        <w:pStyle w:val="FootnoteText"/>
        <w:rPr/>
      </w:pPr>
      <w:r>
        <w:rPr/>
        <w:t>SN 12.59</w:t>
      </w:r>
    </w:p>
    <w:p>
      <w:pPr>
        <w:pStyle w:val="WW-gloss-term"/>
        <w:rPr/>
      </w:pPr>
      <w:r>
        <w:rPr/>
        <w:t>297</w:t>
      </w:r>
    </w:p>
    <w:p>
      <w:pPr>
        <w:pStyle w:val="FootnoteText"/>
        <w:rPr/>
      </w:pPr>
      <w:r>
        <w:rPr/>
        <w:t>SN 22.3:4.1–4.9</w:t>
      </w:r>
    </w:p>
    <w:p>
      <w:pPr>
        <w:pStyle w:val="WW-gloss-term"/>
        <w:rPr/>
      </w:pPr>
      <w:r>
        <w:rPr/>
        <w:t>298</w:t>
      </w:r>
    </w:p>
    <w:p>
      <w:pPr>
        <w:pStyle w:val="FootnoteText"/>
        <w:rPr/>
      </w:pPr>
      <w:r>
        <w:rPr/>
        <w:t>See also Wijesekera 1994 p.106</w:t>
      </w:r>
    </w:p>
    <w:p>
      <w:pPr>
        <w:pStyle w:val="WW-gloss-term"/>
        <w:rPr/>
      </w:pPr>
      <w:r>
        <w:rPr/>
        <w:t>299</w:t>
      </w:r>
    </w:p>
    <w:p>
      <w:pPr>
        <w:pStyle w:val="FootnoteText"/>
        <w:rPr/>
      </w:pPr>
      <w:r>
        <w:rPr/>
        <w:t>SN 12.65:1.2–3.8. See also DN 14:2.19.1–2.19.5 D II 33</w:t>
      </w:r>
    </w:p>
    <w:p>
      <w:pPr>
        <w:pStyle w:val="WW-gloss-term"/>
        <w:rPr/>
      </w:pPr>
      <w:r>
        <w:rPr/>
        <w:t>300</w:t>
      </w:r>
    </w:p>
    <w:p>
      <w:pPr>
        <w:pStyle w:val="FootnoteText"/>
        <w:rPr/>
      </w:pPr>
      <w:r>
        <w:rPr/>
        <w:t>DN 15:2.15–2.18, 21.1–22.6 D II 63</w:t>
      </w:r>
    </w:p>
    <w:p>
      <w:pPr>
        <w:pStyle w:val="WW-gloss-term"/>
        <w:rPr/>
      </w:pPr>
      <w:r>
        <w:rPr/>
        <w:t>301</w:t>
      </w:r>
    </w:p>
    <w:p>
      <w:pPr>
        <w:pStyle w:val="FootnoteText"/>
        <w:rPr/>
      </w:pPr>
      <w:r>
        <w:rPr/>
        <w:t>See note 435 and note 436</w:t>
      </w:r>
    </w:p>
    <w:p>
      <w:pPr>
        <w:pStyle w:val="FootnoteText"/>
        <w:rPr/>
      </w:pPr>
      <w:r>
        <w:rPr/>
        <w:t>302</w:t>
      </w:r>
    </w:p>
    <w:p>
      <w:pPr>
        <w:pStyle w:val="FootnoteText"/>
        <w:rPr/>
      </w:pPr>
      <w:r>
        <w:rPr/>
        <w:t>MĀ 97, translation Anālayo 2020(a), emphasis added</w:t>
      </w:r>
    </w:p>
    <w:p>
      <w:pPr>
        <w:pStyle w:val="FootnoteText"/>
        <w:rPr/>
      </w:pPr>
      <w:r>
        <w:rPr/>
        <w:t>303</w:t>
      </w:r>
    </w:p>
    <w:p>
      <w:pPr>
        <w:pStyle w:val="FootnoteText"/>
        <w:rPr/>
      </w:pPr>
      <w:r>
        <w:rPr/>
        <w:t>DĀ 13, translation Patton</w:t>
      </w:r>
    </w:p>
    <w:p>
      <w:pPr>
        <w:pStyle w:val="FootnoteText"/>
        <w:rPr/>
      </w:pPr>
      <w:r>
        <w:rPr/>
        <w:t>304</w:t>
      </w:r>
    </w:p>
    <w:p>
      <w:pPr>
        <w:pStyle w:val="FootnoteText"/>
        <w:rPr/>
      </w:pPr>
      <w:r>
        <w:rPr/>
        <w:t>Contra Ñāṇananda 2015 p.65, p.36. PED states that translating itthatta as ‘thusness’ is incorrect. The word instead refers to existence, literally ‘a state (-tta) here (ittha)’. See for example AN 2.36:2.4, 3.5, 4.7: so tato cuto […] āgantā itthattaṁ, “passing on from there […] he comes to ‘life here’”.</w:t>
      </w:r>
    </w:p>
    <w:p>
      <w:pPr>
        <w:pStyle w:val="FootnoteText"/>
        <w:rPr/>
      </w:pPr>
      <w:r>
        <w:rPr/>
        <w:t>305</w:t>
      </w:r>
    </w:p>
    <w:p>
      <w:pPr>
        <w:pStyle w:val="FootnoteText"/>
        <w:rPr/>
      </w:pPr>
      <w:r>
        <w:rPr/>
        <w:t>For example, in DN 24:2.17.5 D III 29 itthatta refers to a state of existence in the realm of Brahmā. See also Bodhi 2015 p.168</w:t>
      </w:r>
    </w:p>
    <w:p>
      <w:pPr>
        <w:pStyle w:val="FootnoteText"/>
        <w:rPr/>
      </w:pPr>
      <w:r>
        <w:rPr/>
        <w:t>306</w:t>
      </w:r>
    </w:p>
    <w:p>
      <w:pPr>
        <w:pStyle w:val="FootnoteText"/>
        <w:rPr/>
      </w:pPr>
      <w:r>
        <w:rPr/>
        <w:t>See Bodhi 1984 p.29</w:t>
      </w:r>
    </w:p>
    <w:p>
      <w:pPr>
        <w:pStyle w:val="FootnoteText"/>
        <w:rPr/>
      </w:pPr>
      <w:r>
        <w:rPr/>
        <w:t>307</w:t>
      </w:r>
    </w:p>
    <w:p>
      <w:pPr>
        <w:pStyle w:val="FootnoteText"/>
        <w:rPr/>
      </w:pPr>
      <w:r>
        <w:rPr/>
        <w:t>DN 14:2.19.1–2.19.5 D II 33</w:t>
      </w:r>
    </w:p>
    <w:p>
      <w:pPr>
        <w:pStyle w:val="FootnoteText"/>
        <w:rPr/>
      </w:pPr>
      <w:r>
        <w:rPr/>
        <w:t>308</w:t>
      </w:r>
    </w:p>
    <w:p>
      <w:pPr>
        <w:pStyle w:val="FootnoteText"/>
        <w:rPr/>
      </w:pPr>
      <w:r>
        <w:rPr/>
        <w:t>DĀ 13</w:t>
      </w:r>
    </w:p>
    <w:p>
      <w:pPr>
        <w:pStyle w:val="FootnoteText"/>
        <w:rPr/>
      </w:pPr>
      <w:r>
        <w:rPr/>
        <w:t>309</w:t>
      </w:r>
    </w:p>
    <w:p>
      <w:pPr>
        <w:pStyle w:val="FootnoteText"/>
        <w:rPr/>
      </w:pPr>
      <w:r>
        <w:rPr/>
        <w:t>Vetter 1994 p.151</w:t>
      </w:r>
    </w:p>
    <w:p>
      <w:pPr>
        <w:pStyle w:val="FootnoteText"/>
        <w:rPr/>
      </w:pPr>
      <w:r>
        <w:rPr/>
        <w:t>310</w:t>
      </w:r>
    </w:p>
    <w:p>
      <w:pPr>
        <w:pStyle w:val="FootnoteText"/>
        <w:rPr/>
      </w:pPr>
      <w:r>
        <w:rPr/>
        <w:t>DN 15:32.11 D II 68</w:t>
      </w:r>
    </w:p>
    <w:p>
      <w:pPr>
        <w:pStyle w:val="FootnoteText"/>
        <w:rPr/>
      </w:pPr>
      <w:r>
        <w:rPr/>
        <w:t>311</w:t>
      </w:r>
    </w:p>
    <w:p>
      <w:pPr>
        <w:pStyle w:val="FootnoteText"/>
        <w:rPr/>
      </w:pPr>
      <w:r>
        <w:rPr/>
        <w:t>As argued by Olalde 2014 p.102</w:t>
      </w:r>
    </w:p>
    <w:p>
      <w:pPr>
        <w:pStyle w:val="FootnoteText"/>
        <w:rPr/>
      </w:pPr>
      <w:r>
        <w:rPr/>
        <w:t>312</w:t>
      </w:r>
    </w:p>
    <w:p>
      <w:pPr>
        <w:pStyle w:val="FootnoteText"/>
        <w:rPr/>
      </w:pPr>
      <w:r>
        <w:rPr/>
        <w:t>Brahmavamso 2006 p.221</w:t>
      </w:r>
    </w:p>
    <w:p>
      <w:pPr>
        <w:pStyle w:val="FootnoteText"/>
        <w:rPr/>
      </w:pPr>
      <w:r>
        <w:rPr/>
        <w:t>313</w:t>
      </w:r>
    </w:p>
    <w:p>
      <w:pPr>
        <w:pStyle w:val="FootnoteText"/>
        <w:rPr/>
      </w:pPr>
      <w:r>
        <w:rPr/>
        <w:t>Bodhi 1984 p.30</w:t>
      </w:r>
    </w:p>
    <w:p>
      <w:pPr>
        <w:pStyle w:val="FootnoteText"/>
        <w:rPr/>
      </w:pPr>
      <w:r>
        <w:rPr/>
        <w:t>314</w:t>
      </w:r>
    </w:p>
    <w:p>
      <w:pPr>
        <w:pStyle w:val="FootnoteText"/>
        <w:rPr/>
      </w:pPr>
      <w:r>
        <w:rPr/>
        <w:t>Cnd 5</w:t>
      </w:r>
    </w:p>
    <w:p>
      <w:pPr>
        <w:pStyle w:val="FootnoteText"/>
        <w:rPr/>
      </w:pPr>
      <w:r>
        <w:rPr/>
        <w:t>315</w:t>
      </w:r>
    </w:p>
    <w:p>
      <w:pPr>
        <w:pStyle w:val="FootnoteText"/>
        <w:rPr/>
      </w:pPr>
      <w:r>
        <w:rPr/>
        <w:t>For example Ñāṇananda 2015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FootnoteText"/>
        <w:rPr/>
      </w:pPr>
      <w:r>
        <w:rPr/>
        <w:t>316</w:t>
      </w:r>
    </w:p>
    <w:p>
      <w:pPr>
        <w:pStyle w:val="FootnoteText"/>
        <w:rPr/>
      </w:pPr>
      <w:r>
        <w:rPr/>
        <w:t>See also Sujato 2023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FootnoteText"/>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FootnoteText"/>
        <w:rPr/>
      </w:pPr>
      <w:r>
        <w:rPr/>
        <w:t>318</w:t>
      </w:r>
    </w:p>
    <w:p>
      <w:pPr>
        <w:pStyle w:val="FootnoteText"/>
        <w:rPr/>
      </w:pPr>
      <w:r>
        <w:rPr/>
        <w:t>Viññāṇañca hi, Ānanda, nāmarūpe patiṭṭhaṁ na labhissatha. For patiṭṭhaṁ as ‘support to be planted’ see note 215. See also Sujato 2023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FootnoteText"/>
        <w:rPr/>
      </w:pPr>
      <w:r>
        <w:rPr/>
        <w:t>319</w:t>
      </w:r>
    </w:p>
    <w:p>
      <w:pPr>
        <w:pStyle w:val="FootnoteText"/>
        <w:rPr/>
      </w:pPr>
      <w:r>
        <w:rPr/>
        <w:t>Hamilton p.129</w:t>
      </w:r>
    </w:p>
    <w:p>
      <w:pPr>
        <w:pStyle w:val="FootnoteText"/>
        <w:rPr/>
      </w:pPr>
      <w:r>
        <w:rPr/>
        <w:t>320</w:t>
      </w:r>
    </w:p>
    <w:p>
      <w:pPr>
        <w:pStyle w:val="FootnoteText"/>
        <w:rPr/>
      </w:pPr>
      <w:r>
        <w:rPr/>
        <w:t>Bodhi 1984 p.25</w:t>
      </w:r>
    </w:p>
    <w:p>
      <w:pPr>
        <w:pStyle w:val="FootnoteText"/>
        <w:rPr/>
      </w:pPr>
      <w:r>
        <w:rPr/>
        <w:t>321</w:t>
      </w:r>
    </w:p>
    <w:p>
      <w:pPr>
        <w:pStyle w:val="FootnoteText"/>
        <w:rPr/>
      </w:pPr>
      <w:r>
        <w:rPr/>
        <w:t>Langer p.25, translation mine</w:t>
      </w:r>
    </w:p>
    <w:p>
      <w:pPr>
        <w:pStyle w:val="FootnoteText"/>
        <w:rPr/>
      </w:pPr>
      <w:r>
        <w:rPr/>
        <w:t>322</w:t>
      </w:r>
    </w:p>
    <w:p>
      <w:pPr>
        <w:pStyle w:val="FootnoteText"/>
        <w:rPr/>
      </w:pPr>
      <w:r>
        <w:rPr/>
        <w:t>DN 10:2.22.1 D I 209. Similar at DN 2:84.1 D I 76, MN 77:29.9 M II 17</w:t>
      </w:r>
    </w:p>
    <w:p>
      <w:pPr>
        <w:pStyle w:val="FootnoteText"/>
        <w:rPr/>
      </w:pPr>
      <w:r>
        <w:rPr/>
        <w:t>323</w:t>
      </w:r>
    </w:p>
    <w:p>
      <w:pPr>
        <w:pStyle w:val="FootnoteText"/>
        <w:rPr/>
      </w:pPr>
      <w:r>
        <w:rPr/>
        <w:t>DN 14:1.21.2 D II 14, MN 123:12.3 M III 121;</w:t>
      </w:r>
    </w:p>
    <w:p>
      <w:pPr>
        <w:pStyle w:val="FootnoteText"/>
        <w:rPr/>
      </w:pPr>
      <w:r>
        <w:rPr/>
        <w:t>MN 79:11.1 M II 33, MN 80:4.1 M II 41</w:t>
      </w:r>
    </w:p>
    <w:p>
      <w:pPr>
        <w:pStyle w:val="FootnoteText"/>
        <w:rPr/>
      </w:pPr>
      <w:r>
        <w:rPr/>
        <w:t>324</w:t>
      </w:r>
    </w:p>
    <w:p>
      <w:pPr>
        <w:pStyle w:val="FootnoteText"/>
        <w:rPr/>
      </w:pPr>
      <w:r>
        <w:rPr/>
        <w:t>SN 12.65:6.3–6.7, SN 12.67:7.12–7.16, DN 14:2.21.3 D II 35</w:t>
      </w:r>
    </w:p>
    <w:p>
      <w:pPr>
        <w:pStyle w:val="FootnoteText"/>
        <w:rPr/>
      </w:pPr>
      <w:r>
        <w:rPr/>
        <w:t>325</w:t>
      </w:r>
    </w:p>
    <w:p>
      <w:pPr>
        <w:pStyle w:val="FootnoteText"/>
        <w:rPr/>
      </w:pPr>
      <w:r>
        <w:rPr/>
        <w:t>For example Falk p.40, Hamilton p.123, Gombrich 2009 p.120, Olalde 2014 p.38ff.</w:t>
      </w:r>
    </w:p>
    <w:p>
      <w:pPr>
        <w:pStyle w:val="FootnoteText"/>
        <w:rPr/>
      </w:pPr>
      <w:r>
        <w:rPr/>
        <w:t>326</w:t>
      </w:r>
    </w:p>
    <w:p>
      <w:pPr>
        <w:pStyle w:val="FootnoteText"/>
        <w:rPr/>
      </w:pPr>
      <w:r>
        <w:rPr/>
        <w:t>Sujato 2012 Section 3.2 - Insight 2.3: Im</w:t>
        <w:softHyphen/>
        <w:t>perm</w:t>
        <w:softHyphen/>
        <w:t>anence of the Mind</w:t>
      </w:r>
    </w:p>
    <w:p>
      <w:pPr>
        <w:pStyle w:val="FootnoteText"/>
        <w:rPr/>
      </w:pPr>
      <w:r>
        <w:rPr/>
        <w:t>327</w:t>
      </w:r>
    </w:p>
    <w:p>
      <w:pPr>
        <w:pStyle w:val="FootnoteText"/>
        <w:rPr/>
      </w:pPr>
      <w:r>
        <w:rPr/>
        <w:t>Falk p.40</w:t>
      </w:r>
    </w:p>
    <w:p>
      <w:pPr>
        <w:pStyle w:val="FootnoteText"/>
        <w:rPr/>
      </w:pPr>
      <w:r>
        <w:rPr/>
        <w:t>328</w:t>
      </w:r>
    </w:p>
    <w:p>
      <w:pPr>
        <w:pStyle w:val="FootnoteText"/>
        <w:rPr/>
      </w:pPr>
      <w:r>
        <w:rPr/>
        <w:t>See for example Flood p.274: “The Brahmanical tradition was not a monolithic entity.” Or Bausch 2015 p.1: “There was never a unitary Vedic tradition against which Buddhism reacted. Vedic religiosity was a dynamic aggregate, alive with regional variation.” See also Olivelle pp.8–11. In DN 13 different brahmin traditions are said to teach different paths to Brahma(n).</w:t>
      </w:r>
    </w:p>
    <w:p>
      <w:pPr>
        <w:pStyle w:val="FootnoteText"/>
        <w:rPr/>
      </w:pPr>
      <w:r>
        <w:rPr/>
        <w:t>329</w:t>
      </w:r>
    </w:p>
    <w:p>
      <w:pPr>
        <w:pStyle w:val="FootnoteText"/>
        <w:rPr/>
      </w:pPr>
      <w:r>
        <w:rPr/>
        <w:t>MuṇU 3.2.8, translation Olivelle</w:t>
      </w:r>
    </w:p>
    <w:p>
      <w:pPr>
        <w:pStyle w:val="FootnoteText"/>
        <w:rPr/>
      </w:pPr>
      <w:r>
        <w:rPr/>
        <w:t>330</w:t>
      </w:r>
    </w:p>
    <w:p>
      <w:pPr>
        <w:pStyle w:val="FootnoteText"/>
        <w:rPr/>
      </w:pPr>
      <w:r>
        <w:rPr/>
        <w:t>PrU 6.5, translation Olivelle</w:t>
      </w:r>
    </w:p>
    <w:p>
      <w:pPr>
        <w:pStyle w:val="FootnoteText"/>
        <w:rPr/>
      </w:pPr>
      <w:r>
        <w:rPr/>
        <w:t>331</w:t>
      </w:r>
    </w:p>
    <w:p>
      <w:pPr>
        <w:pStyle w:val="FootnoteText"/>
        <w:rPr/>
      </w:pPr>
      <w:r>
        <w:rPr/>
        <w:t>CU 6.10, translation Olivelle</w:t>
      </w:r>
    </w:p>
    <w:p>
      <w:pPr>
        <w:pStyle w:val="FootnoteText"/>
        <w:rPr/>
      </w:pPr>
      <w:r>
        <w:rPr/>
        <w:t>332</w:t>
      </w:r>
    </w:p>
    <w:p>
      <w:pPr>
        <w:pStyle w:val="FootnoteText"/>
        <w:rPr/>
      </w:pPr>
      <w:r>
        <w:rPr/>
        <w:t>See also Olalde 2014 p.39 (translation mine): “[On the basis of CU 6.10 (§89)] it seems most likely to me that nāmarūpa in MuṇU 3.2.8 and PrU 6.5 (§87 and §88) refers specifically to a person, who until the depicted point in time existed as an individual with his (proper) name and visible form.” See also Olalde 2015 p.14</w:t>
      </w:r>
    </w:p>
    <w:p>
      <w:pPr>
        <w:pStyle w:val="FootnoteText"/>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FootnoteText"/>
        <w:rPr/>
      </w:pPr>
      <w:r>
        <w:rPr/>
        <w:t>334</w:t>
      </w:r>
    </w:p>
    <w:p>
      <w:pPr>
        <w:pStyle w:val="FootnoteText"/>
        <w:rPr/>
      </w:pPr>
      <w:r>
        <w:rPr/>
        <w:t>MN 22:25.5–25.6 M I 138. See also Wijesekera 1994 p.261</w:t>
      </w:r>
    </w:p>
    <w:p>
      <w:pPr>
        <w:pStyle w:val="FootnoteText"/>
        <w:rPr/>
      </w:pPr>
      <w:r>
        <w:rPr/>
        <w:t>335</w:t>
      </w:r>
    </w:p>
    <w:p>
      <w:pPr>
        <w:pStyle w:val="FootnoteText"/>
        <w:rPr/>
      </w:pPr>
      <w:r>
        <w:rPr/>
        <w:t>SN 1.50:6.1–6.4</w:t>
      </w:r>
    </w:p>
    <w:p>
      <w:pPr>
        <w:pStyle w:val="FootnoteText"/>
        <w:rPr/>
      </w:pPr>
      <w:r>
        <w:rPr/>
        <w:t>336</w:t>
      </w:r>
    </w:p>
    <w:p>
      <w:pPr>
        <w:pStyle w:val="FootnoteText"/>
        <w:rPr/>
      </w:pPr>
      <w:r>
        <w:rPr/>
        <w:t>Bausch 2018 p.39</w:t>
      </w:r>
    </w:p>
    <w:p>
      <w:pPr>
        <w:pStyle w:val="FootnoteText"/>
        <w:rPr/>
      </w:pPr>
      <w:r>
        <w:rPr/>
        <w:t>337</w:t>
      </w:r>
    </w:p>
    <w:p>
      <w:pPr>
        <w:pStyle w:val="FootnoteText"/>
        <w:rPr/>
      </w:pPr>
      <w:r>
        <w:rPr/>
        <w:t>Snp 5.2:5.1–6.6</w:t>
      </w:r>
    </w:p>
    <w:p>
      <w:pPr>
        <w:pStyle w:val="FootnoteText"/>
        <w:rPr/>
      </w:pPr>
      <w:r>
        <w:rPr/>
        <w:t>338</w:t>
      </w:r>
    </w:p>
    <w:p>
      <w:pPr>
        <w:pStyle w:val="FootnoteText"/>
        <w:rPr/>
      </w:pPr>
      <w:r>
        <w:rPr/>
        <w:t>Sunyo 2021</w:t>
      </w:r>
    </w:p>
    <w:p>
      <w:pPr>
        <w:pStyle w:val="FootnoteText"/>
        <w:rPr/>
      </w:pPr>
      <w:r>
        <w:rPr/>
        <w:t>339</w:t>
      </w:r>
    </w:p>
    <w:p>
      <w:pPr>
        <w:pStyle w:val="FootnoteText"/>
        <w:rPr/>
      </w:pPr>
      <w:r>
        <w:rPr/>
        <w:t>See Hinüber p.28f</w:t>
      </w:r>
    </w:p>
    <w:p>
      <w:pPr>
        <w:pStyle w:val="FootnoteText"/>
        <w:rPr/>
      </w:pPr>
      <w:r>
        <w:rPr/>
        <w:t>340</w:t>
      </w:r>
    </w:p>
    <w:p>
      <w:pPr>
        <w:pStyle w:val="FootnoteText"/>
        <w:rPr/>
      </w:pPr>
      <w:r>
        <w:rPr/>
        <w:t>DN 11:85.18–85.27 D I 223</w:t>
      </w:r>
    </w:p>
    <w:p>
      <w:pPr>
        <w:pStyle w:val="FootnoteText"/>
        <w:rPr/>
      </w:pPr>
      <w:r>
        <w:rPr/>
        <w:t>341</w:t>
      </w:r>
    </w:p>
    <w:p>
      <w:pPr>
        <w:pStyle w:val="FootnoteText"/>
        <w:rPr/>
      </w:pPr>
      <w:r>
        <w:rPr/>
        <w:t>See for example Hamilton p.12</w:t>
      </w:r>
    </w:p>
    <w:p>
      <w:pPr>
        <w:pStyle w:val="FootnoteText"/>
        <w:rPr/>
      </w:pPr>
      <w:r>
        <w:rPr/>
        <w:t>342</w:t>
      </w:r>
    </w:p>
    <w:p>
      <w:pPr>
        <w:pStyle w:val="FootnoteText"/>
        <w:rPr/>
      </w:pPr>
      <w:r>
        <w:rPr/>
        <w:t>Gombrich 1980 p.45</w:t>
      </w:r>
    </w:p>
    <w:p>
      <w:pPr>
        <w:pStyle w:val="FootnoteText"/>
        <w:rPr/>
      </w:pPr>
      <w:r>
        <w:rPr/>
        <w:t>343</w:t>
      </w:r>
    </w:p>
    <w:p>
      <w:pPr>
        <w:pStyle w:val="FootnoteText"/>
        <w:rPr/>
      </w:pPr>
      <w:r>
        <w:rPr/>
        <w:t>BU 2.4.12, anantam apāraṁ vijñāna-ghana eva; BU 3.8.8, asthūlam anaṇv ahrasvam adīrgham.</w:t>
      </w:r>
    </w:p>
    <w:p>
      <w:pPr>
        <w:pStyle w:val="FootnoteText"/>
        <w:rPr/>
      </w:pPr>
      <w:r>
        <w:rPr/>
        <w:t>344</w:t>
      </w:r>
    </w:p>
    <w:p>
      <w:pPr>
        <w:pStyle w:val="FootnoteText"/>
        <w:rPr/>
      </w:pPr>
      <w:r>
        <w:rPr/>
        <w:t>BU 3.7.3–7, translation Olivelle: “This self of yours who is present within but is different from the earth, whom the earth does not know, […] who is present within but is different from the waters […] the fire […] the wind, whom the wind does not know, […] he is the inner controller, the immortal.”</w:t>
      </w:r>
    </w:p>
    <w:p>
      <w:pPr>
        <w:pStyle w:val="FootnoteText"/>
        <w:rPr/>
      </w:pPr>
      <w:r>
        <w:rPr/>
        <w:t>345</w:t>
      </w:r>
    </w:p>
    <w:p>
      <w:pPr>
        <w:pStyle w:val="FootnoteText"/>
        <w:rPr/>
      </w:pPr>
      <w:r>
        <w:rPr/>
        <w:t>TU 2.8, translation Olivelle: “For when a man finds within that invisible (nadṛśya), incorporeal, indistinct, and supportless essence, the fearless state on which to rest, then he becomes free from fear.” The word has the same verbal root as anidassana of the Kevaddha Sutta</w:t>
      </w:r>
    </w:p>
    <w:p>
      <w:pPr>
        <w:pStyle w:val="FootnoteText"/>
        <w:rPr/>
      </w:pPr>
      <w:r>
        <w:rPr/>
        <w:t>346</w:t>
      </w:r>
    </w:p>
    <w:p>
      <w:pPr>
        <w:pStyle w:val="FootnoteText"/>
        <w:rPr/>
      </w:pPr>
      <w:r>
        <w:rPr/>
        <w:t>CU 3.13.7–14.2, translation Olivelle. See also ‘inner light’ in §94</w:t>
      </w:r>
    </w:p>
    <w:p>
      <w:pPr>
        <w:pStyle w:val="FootnoteText"/>
        <w:rPr/>
      </w:pPr>
      <w:r>
        <w:rPr/>
        <w:t>347</w:t>
      </w:r>
    </w:p>
    <w:p>
      <w:pPr>
        <w:pStyle w:val="FootnoteText"/>
        <w:rPr/>
      </w:pPr>
      <w:r>
        <w:rPr/>
        <w:t>See Sunyo 2021</w:t>
      </w:r>
    </w:p>
    <w:p>
      <w:pPr>
        <w:pStyle w:val="FootnoteText"/>
        <w:rPr/>
      </w:pPr>
      <w:r>
        <w:rPr/>
        <w:t>348</w:t>
      </w:r>
    </w:p>
    <w:p>
      <w:pPr>
        <w:pStyle w:val="FootnoteText"/>
        <w:rPr/>
      </w:pPr>
      <w:r>
        <w:rPr/>
        <w:t>See also Jayatilleke §42: “There is no reason to believe that Yājñavalkya’s theories are based on any kind of mystical experience.”</w:t>
      </w:r>
    </w:p>
    <w:p>
      <w:pPr>
        <w:pStyle w:val="FootnoteText"/>
        <w:rPr/>
      </w:pPr>
      <w:r>
        <w:rPr/>
        <w:t>349</w:t>
      </w:r>
    </w:p>
    <w:p>
      <w:pPr>
        <w:pStyle w:val="FootnoteText"/>
        <w:rPr/>
      </w:pPr>
      <w:r>
        <w:rPr/>
        <w:t>Werner p.26</w:t>
      </w:r>
    </w:p>
    <w:p>
      <w:pPr>
        <w:pStyle w:val="FootnoteText"/>
        <w:rPr/>
      </w:pPr>
      <w:r>
        <w:rPr/>
        <w:t>350</w:t>
      </w:r>
    </w:p>
    <w:p>
      <w:pPr>
        <w:pStyle w:val="FootnoteText"/>
        <w:rPr/>
      </w:pPr>
      <w:r>
        <w:rPr/>
        <w:t>BU 4.4.19</w:t>
      </w:r>
    </w:p>
    <w:p>
      <w:pPr>
        <w:pStyle w:val="FootnoteText"/>
        <w:rPr/>
      </w:pPr>
      <w:r>
        <w:rPr/>
        <w:t>351</w:t>
      </w:r>
    </w:p>
    <w:p>
      <w:pPr>
        <w:pStyle w:val="FootnoteText"/>
        <w:rPr/>
      </w:pPr>
      <w:r>
        <w:rPr/>
        <w:t>Gombrich 1980 p.45</w:t>
      </w:r>
    </w:p>
    <w:p>
      <w:pPr>
        <w:pStyle w:val="FootnoteText"/>
        <w:rPr/>
      </w:pPr>
      <w:r>
        <w:rPr/>
        <w:t>352</w:t>
      </w:r>
    </w:p>
    <w:p>
      <w:pPr>
        <w:pStyle w:val="FootnoteText"/>
        <w:rPr/>
      </w:pPr>
      <w:r>
        <w:rPr/>
        <w:t>For example Ñāṇananda 2016 p.27: “There is a consciousness that is freed from name and form.” Also Oldenberg p.87, who says the “Brahmanic thinking […] is also basically valid for the Buddhistic”, both resulting in “the blissful merging with infinity” when name and form are abandoned.</w:t>
      </w:r>
    </w:p>
    <w:p>
      <w:pPr>
        <w:pStyle w:val="FootnoteText"/>
        <w:rPr/>
      </w:pPr>
      <w:r>
        <w:rPr/>
        <w:t>353</w:t>
      </w:r>
    </w:p>
    <w:p>
      <w:pPr>
        <w:pStyle w:val="FootnoteText"/>
        <w:rPr/>
      </w:pPr>
      <w:r>
        <w:rPr/>
        <w:t>As argued for example by Ñāṇananda 2015 p.60: “In some discourses, like the Mahānidāna Sutta, there is a discussion about a descent of consciousness into a mother’s womb. […] The point […] is that the constant interrelation that exists between consciousness and name-and-form is present even during one’s life in the mother’s womb.” Also see Cintita p.227</w:t>
      </w:r>
    </w:p>
    <w:p>
      <w:pPr>
        <w:pStyle w:val="FootnoteText"/>
        <w:rPr/>
      </w:pPr>
      <w:r>
        <w:rPr/>
        <w:t>354</w:t>
      </w:r>
    </w:p>
    <w:p>
      <w:pPr>
        <w:pStyle w:val="FootnoteText"/>
        <w:rPr/>
      </w:pPr>
      <w:r>
        <w:rPr/>
        <w:t>For example MN 60:5.1–8.8 M I 401, MN 76:7.1–7.10 M I 515, MN 110:11.1–11.4 M III 22, SN 24.5, AN 10.216:5.9</w:t>
      </w:r>
    </w:p>
    <w:p>
      <w:pPr>
        <w:pStyle w:val="FootnoteText"/>
        <w:rPr/>
      </w:pPr>
      <w:r>
        <w:rPr/>
        <w:t>355</w:t>
      </w:r>
    </w:p>
    <w:p>
      <w:pPr>
        <w:pStyle w:val="FootnoteText"/>
        <w:rPr/>
      </w:pPr>
      <w:r>
        <w:rPr/>
        <w:t>§126, DN 1:2.13.4 D I 21</w:t>
      </w:r>
    </w:p>
    <w:p>
      <w:pPr>
        <w:pStyle w:val="FootnoteText"/>
        <w:rPr/>
      </w:pPr>
      <w:r>
        <w:rPr/>
        <w:t>356</w:t>
      </w:r>
    </w:p>
    <w:p>
      <w:pPr>
        <w:pStyle w:val="FootnoteText"/>
        <w:rPr/>
      </w:pPr>
      <w:r>
        <w:rPr/>
        <w:t>SN 22.7:2.5</w:t>
      </w:r>
    </w:p>
    <w:p>
      <w:pPr>
        <w:pStyle w:val="FootnoteText"/>
        <w:rPr/>
      </w:pPr>
      <w:r>
        <w:rPr/>
        <w:t>357</w:t>
      </w:r>
    </w:p>
    <w:p>
      <w:pPr>
        <w:pStyle w:val="FootnoteText"/>
        <w:rPr/>
      </w:pPr>
      <w:r>
        <w:rPr/>
        <w:t>MN 111:6.1 M III 25, as noted by Anālayo 2017 p.120</w:t>
      </w:r>
    </w:p>
    <w:p>
      <w:pPr>
        <w:pStyle w:val="FootnoteText"/>
        <w:rPr/>
      </w:pPr>
      <w:r>
        <w:rPr/>
        <w:t>358</w:t>
      </w:r>
    </w:p>
    <w:p>
      <w:pPr>
        <w:pStyle w:val="FootnoteText"/>
        <w:rPr/>
      </w:pPr>
      <w:r>
        <w:rPr/>
        <w:t>For example at SĀ 284, as pointed out by Choong p.174</w:t>
      </w:r>
    </w:p>
    <w:p>
      <w:pPr>
        <w:pStyle w:val="FootnoteText"/>
        <w:rPr/>
      </w:pPr>
      <w:r>
        <w:rPr/>
        <w:t>359</w:t>
      </w:r>
    </w:p>
    <w:p>
      <w:pPr>
        <w:pStyle w:val="FootnoteText"/>
        <w:rPr/>
      </w:pPr>
      <w:r>
        <w:rPr/>
        <w:t>SN 47.42</w:t>
      </w:r>
    </w:p>
    <w:p>
      <w:pPr>
        <w:pStyle w:val="FootnoteText"/>
        <w:rPr/>
      </w:pPr>
      <w:r>
        <w:rPr/>
        <w:t>360</w:t>
      </w:r>
    </w:p>
    <w:p>
      <w:pPr>
        <w:pStyle w:val="FootnoteText"/>
        <w:rPr/>
      </w:pPr>
      <w:r>
        <w:rPr/>
        <w:t>Anālayo 2018 p.27</w:t>
      </w:r>
    </w:p>
    <w:p>
      <w:pPr>
        <w:pStyle w:val="FootnoteText"/>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FootnoteText"/>
        <w:rPr/>
      </w:pPr>
      <w:r>
        <w:rPr/>
        <w:t>362</w:t>
      </w:r>
    </w:p>
    <w:p>
      <w:pPr>
        <w:pStyle w:val="FootnoteText"/>
        <w:rPr/>
      </w:pPr>
      <w:r>
        <w:rPr/>
        <w:t>Consciousness transmigrates: MN 38:2.2 M I 256. Consciousness passes on and gets reborn: §76, §118. Consciousness travels on: §55. Conceived: §84, see also §81</w:t>
      </w:r>
    </w:p>
    <w:p>
      <w:pPr>
        <w:pStyle w:val="FootnoteText"/>
        <w:rPr/>
      </w:pPr>
      <w:r>
        <w:rPr/>
        <w:t>363</w:t>
      </w:r>
    </w:p>
    <w:p>
      <w:pPr>
        <w:pStyle w:val="FootnoteText"/>
        <w:rPr/>
      </w:pPr>
      <w:r>
        <w:rPr/>
        <w:t>PED under viññāṇa</w:t>
      </w:r>
    </w:p>
    <w:p>
      <w:pPr>
        <w:pStyle w:val="FootnoteText"/>
        <w:rPr/>
      </w:pPr>
      <w:r>
        <w:rPr/>
        <w:t>364</w:t>
      </w:r>
    </w:p>
    <w:p>
      <w:pPr>
        <w:pStyle w:val="FootnoteText"/>
        <w:rPr/>
      </w:pPr>
      <w:r>
        <w:rPr/>
        <w:t>For example Frauwallner 1953/1973 p.162, Hamilton p.101, Langer p.9, Vetter 1988 p.49, Wijesekera 1994 p.111</w:t>
      </w:r>
    </w:p>
    <w:p>
      <w:pPr>
        <w:pStyle w:val="FootnoteText"/>
        <w:rPr/>
      </w:pPr>
      <w:r>
        <w:rPr/>
        <w:t>365</w:t>
      </w:r>
    </w:p>
    <w:p>
      <w:pPr>
        <w:pStyle w:val="FootnoteText"/>
        <w:rPr/>
      </w:pPr>
      <w:r>
        <w:rPr/>
        <w:t>Kalupahana 1975 p.119</w:t>
      </w:r>
    </w:p>
    <w:p>
      <w:pPr>
        <w:pStyle w:val="FootnoteText"/>
        <w:rPr/>
      </w:pPr>
      <w:r>
        <w:rPr/>
        <w:t>366</w:t>
      </w:r>
    </w:p>
    <w:p>
      <w:pPr>
        <w:pStyle w:val="FootnoteText"/>
        <w:rPr/>
      </w:pPr>
      <w:r>
        <w:rPr/>
        <w:t>As argued by Hamilton p.85</w:t>
      </w:r>
    </w:p>
    <w:p>
      <w:pPr>
        <w:pStyle w:val="FootnoteText"/>
        <w:rPr/>
      </w:pPr>
      <w:r>
        <w:rPr/>
        <w:t>367</w:t>
      </w:r>
    </w:p>
    <w:p>
      <w:pPr>
        <w:pStyle w:val="FootnoteText"/>
        <w:rPr/>
      </w:pPr>
      <w:r>
        <w:rPr/>
        <w:t>Gombrich 2009 p.60</w:t>
      </w:r>
    </w:p>
    <w:p>
      <w:pPr>
        <w:pStyle w:val="FootnoteText"/>
        <w:rPr/>
      </w:pPr>
      <w:r>
        <w:rPr/>
        <w:t>368</w:t>
      </w:r>
    </w:p>
    <w:p>
      <w:pPr>
        <w:pStyle w:val="FootnoteText"/>
        <w:rPr/>
      </w:pPr>
      <w:r>
        <w:rPr/>
        <w:t>Vetter 1988 p.36 notes: “The word ‘consciousness’ which is often employed here, is rather inconvenient when one has to interpret viññāṇa as a link in the twelvefold chain of dependent origination, where it seems to point to the first moment of life in the mother’s womb.” Rhys Davids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FootnoteText"/>
        <w:rPr/>
      </w:pPr>
      <w:r>
        <w:rPr/>
        <w:t>369</w:t>
      </w:r>
    </w:p>
    <w:p>
      <w:pPr>
        <w:pStyle w:val="FootnoteText"/>
        <w:rPr/>
      </w:pPr>
      <w:r>
        <w:rPr/>
        <w:t>Schmithausen 2000 p.57, translation mine</w:t>
      </w:r>
    </w:p>
    <w:p>
      <w:pPr>
        <w:pStyle w:val="FootnoteText"/>
        <w:rPr/>
      </w:pPr>
      <w:r>
        <w:rPr/>
        <w:t>370</w:t>
      </w:r>
    </w:p>
    <w:p>
      <w:pPr>
        <w:pStyle w:val="FootnoteText"/>
        <w:rPr/>
      </w:pPr>
      <w:r>
        <w:rPr/>
        <w:t>Frauwallner 1953/1973 p.162, emphasis added</w:t>
      </w:r>
    </w:p>
    <w:p>
      <w:pPr>
        <w:pStyle w:val="FootnoteText"/>
        <w:rPr/>
      </w:pPr>
      <w:r>
        <w:rPr/>
        <w:t>371</w:t>
      </w:r>
    </w:p>
    <w:p>
      <w:pPr>
        <w:pStyle w:val="FootnoteText"/>
        <w:rPr/>
      </w:pPr>
      <w:r>
        <w:rPr/>
        <w:t>Hamilton p.101</w:t>
      </w:r>
    </w:p>
    <w:p>
      <w:pPr>
        <w:pStyle w:val="FootnoteText"/>
        <w:rPr/>
      </w:pPr>
      <w:r>
        <w:rPr/>
        <w:t>372</w:t>
      </w:r>
    </w:p>
    <w:p>
      <w:pPr>
        <w:pStyle w:val="FootnoteText"/>
        <w:rPr/>
      </w:pPr>
      <w:r>
        <w:rPr/>
        <w:t>See for example §8, §137, §114, Thag 1.90</w:t>
      </w:r>
    </w:p>
    <w:p>
      <w:pPr>
        <w:pStyle w:val="FootnoteText"/>
        <w:rPr/>
      </w:pPr>
      <w:r>
        <w:rPr/>
        <w:t>373</w:t>
      </w:r>
    </w:p>
    <w:p>
      <w:pPr>
        <w:pStyle w:val="FootnoteText"/>
        <w:rPr/>
      </w:pPr>
      <w:r>
        <w:rPr/>
        <w:t>See also Brahmavamso 2002</w:t>
      </w:r>
    </w:p>
    <w:p>
      <w:pPr>
        <w:pStyle w:val="FootnoteText"/>
        <w:rPr/>
      </w:pPr>
      <w:r>
        <w:rPr/>
        <w:t>374</w:t>
      </w:r>
    </w:p>
    <w:p>
      <w:pPr>
        <w:pStyle w:val="FootnoteText"/>
        <w:rPr/>
      </w:pPr>
      <w:r>
        <w:rPr/>
        <w:t>For example Vism 546</w:t>
      </w:r>
    </w:p>
    <w:p>
      <w:pPr>
        <w:pStyle w:val="FootnoteText"/>
        <w:rPr/>
      </w:pPr>
      <w:r>
        <w:rPr/>
        <w:t>375</w:t>
      </w:r>
    </w:p>
    <w:p>
      <w:pPr>
        <w:pStyle w:val="FootnoteText"/>
        <w:rPr/>
      </w:pPr>
      <w:r>
        <w:rPr/>
        <w:t>Wijesekera 1994 p.111</w:t>
      </w:r>
    </w:p>
    <w:p>
      <w:pPr>
        <w:pStyle w:val="FootnoteText"/>
        <w:rPr/>
      </w:pPr>
      <w:r>
        <w:rPr/>
        <w:t>376</w:t>
      </w:r>
    </w:p>
    <w:p>
      <w:pPr>
        <w:pStyle w:val="FootnoteText"/>
        <w:rPr/>
      </w:pPr>
      <w:r>
        <w:rPr/>
        <w:t>BU 4.3.7, translation Olivelle</w:t>
      </w:r>
    </w:p>
    <w:p>
      <w:pPr>
        <w:pStyle w:val="FootnoteText"/>
        <w:rPr/>
      </w:pPr>
      <w:r>
        <w:rPr/>
        <w:t>377</w:t>
      </w:r>
    </w:p>
    <w:p>
      <w:pPr>
        <w:pStyle w:val="FootnoteText"/>
        <w:rPr/>
      </w:pPr>
      <w:r>
        <w:rPr/>
        <w:t>MN 38:5.11 M I 256. Compare MN 2:8.8 M I 8: “It is this self of mine who speaks, who feels, who in various realms experiences the results of good and bad deeds.”</w:t>
      </w:r>
    </w:p>
    <w:p>
      <w:pPr>
        <w:pStyle w:val="FootnoteText"/>
        <w:rPr/>
      </w:pPr>
      <w:r>
        <w:rPr/>
        <w:t>378</w:t>
      </w:r>
    </w:p>
    <w:p>
      <w:pPr>
        <w:pStyle w:val="FootnoteText"/>
        <w:rPr/>
      </w:pPr>
      <w:r>
        <w:rPr/>
        <w:t>See also Vetter 1988 p.48–50. For similar explanations see Bodhi 1984 p.24, Wijesekera 1994 p.168–172, Shults p.110</w:t>
      </w:r>
    </w:p>
    <w:p>
      <w:pPr>
        <w:pStyle w:val="FootnoteText"/>
        <w:rPr/>
      </w:pPr>
      <w:r>
        <w:rPr/>
        <w:t>379</w:t>
      </w:r>
    </w:p>
    <w:p>
      <w:pPr>
        <w:pStyle w:val="FootnoteText"/>
        <w:rPr/>
      </w:pPr>
      <w:r>
        <w:rPr/>
        <w:t>DN 28:7.13 D III 105. See also Anālayo 2008 p.97</w:t>
      </w:r>
    </w:p>
    <w:p>
      <w:pPr>
        <w:pStyle w:val="FootnoteText"/>
        <w:rPr/>
      </w:pPr>
      <w:r>
        <w:rPr/>
        <w:t>380</w:t>
      </w:r>
    </w:p>
    <w:p>
      <w:pPr>
        <w:pStyle w:val="FootnoteText"/>
        <w:rPr/>
      </w:pPr>
      <w:r>
        <w:rPr/>
        <w:t>See also Hamilton p.97</w:t>
      </w:r>
    </w:p>
    <w:p>
      <w:pPr>
        <w:pStyle w:val="FootnoteText"/>
        <w:rPr/>
      </w:pPr>
      <w:r>
        <w:rPr/>
        <w:t>381</w:t>
      </w:r>
    </w:p>
    <w:p>
      <w:pPr>
        <w:pStyle w:val="FootnoteText"/>
        <w:rPr/>
      </w:pPr>
      <w:r>
        <w:rPr/>
        <w:t>§126</w:t>
      </w:r>
    </w:p>
    <w:p>
      <w:pPr>
        <w:pStyle w:val="FootnoteText"/>
        <w:rPr/>
      </w:pPr>
      <w:r>
        <w:rPr/>
        <w:t>382</w:t>
      </w:r>
    </w:p>
    <w:p>
      <w:pPr>
        <w:pStyle w:val="FootnoteText"/>
        <w:rPr/>
      </w:pPr>
      <w:r>
        <w:rPr/>
        <w:t>For example Buddhadāsa p.14, Reinhard p.9</w:t>
      </w:r>
    </w:p>
    <w:p>
      <w:pPr>
        <w:pStyle w:val="FootnoteText"/>
        <w:rPr/>
      </w:pPr>
      <w:r>
        <w:rPr/>
        <w:t>383</w:t>
      </w:r>
    </w:p>
    <w:p>
      <w:pPr>
        <w:pStyle w:val="FootnoteText"/>
        <w:rPr/>
      </w:pPr>
      <w:r>
        <w:rPr/>
        <w:t>See also Harvey 1995 p.98</w:t>
      </w:r>
    </w:p>
    <w:p>
      <w:pPr>
        <w:pStyle w:val="FootnoteText"/>
        <w:rPr/>
      </w:pPr>
      <w:r>
        <w:rPr/>
        <w:t>384</w:t>
      </w:r>
    </w:p>
    <w:p>
      <w:pPr>
        <w:pStyle w:val="FootnoteText"/>
        <w:rPr/>
      </w:pPr>
      <w:r>
        <w:rPr/>
        <w:t>PED s.v. viññāṇa, emphasis added.</w:t>
      </w:r>
    </w:p>
    <w:p>
      <w:pPr>
        <w:pStyle w:val="FootnoteText"/>
        <w:rPr/>
      </w:pPr>
      <w:r>
        <w:rPr/>
        <w:t>385</w:t>
      </w:r>
    </w:p>
    <w:p>
      <w:pPr>
        <w:pStyle w:val="FootnoteText"/>
        <w:rPr/>
      </w:pPr>
      <w:r>
        <w:rPr/>
        <w:t>Olalde 2014 p.156. See also p.73ff.</w:t>
      </w:r>
    </w:p>
    <w:p>
      <w:pPr>
        <w:pStyle w:val="FootnoteText"/>
        <w:rPr/>
      </w:pPr>
      <w:r>
        <w:rPr/>
        <w:t>386</w:t>
      </w:r>
    </w:p>
    <w:p>
      <w:pPr>
        <w:pStyle w:val="FootnoteText"/>
        <w:rPr/>
      </w:pPr>
      <w:r>
        <w:rPr/>
        <w:t>SN 12.67:3.7–7.16</w:t>
      </w:r>
    </w:p>
    <w:p>
      <w:pPr>
        <w:pStyle w:val="FootnoteText"/>
        <w:rPr/>
      </w:pPr>
      <w:r>
        <w:rPr/>
        <w:t>387</w:t>
      </w:r>
    </w:p>
    <w:p>
      <w:pPr>
        <w:pStyle w:val="FootnoteText"/>
        <w:rPr/>
      </w:pPr>
      <w:r>
        <w:rPr/>
        <w:t>DPPN</w:t>
      </w:r>
    </w:p>
    <w:p>
      <w:pPr>
        <w:pStyle w:val="FootnoteText"/>
        <w:rPr/>
      </w:pPr>
      <w:r>
        <w:rPr/>
        <w:t>388</w:t>
      </w:r>
    </w:p>
    <w:p>
      <w:pPr>
        <w:pStyle w:val="FootnoteText"/>
        <w:rPr/>
      </w:pPr>
      <w:r>
        <w:rPr/>
        <w:t>See also AN 3.61</w:t>
      </w:r>
    </w:p>
    <w:p>
      <w:pPr>
        <w:pStyle w:val="FootnoteText"/>
        <w:rPr/>
      </w:pPr>
      <w:r>
        <w:rPr/>
        <w:t>389</w:t>
      </w:r>
    </w:p>
    <w:p>
      <w:pPr>
        <w:pStyle w:val="FootnoteText"/>
        <w:rPr/>
      </w:pPr>
      <w:r>
        <w:rPr/>
        <w:t>‘</w:t>
      </w:r>
      <w:r>
        <w:rPr/>
        <w:t>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Ñāṇananda 2015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FootnoteText"/>
        <w:rPr/>
      </w:pPr>
      <w:r>
        <w:rPr/>
        <w:t>390</w:t>
      </w:r>
    </w:p>
    <w:p>
      <w:pPr>
        <w:pStyle w:val="FootnoteText"/>
        <w:rPr/>
      </w:pPr>
      <w:r>
        <w:rPr/>
        <w:t>Snp 3.12:51.1–53.4</w:t>
      </w:r>
    </w:p>
    <w:p>
      <w:pPr>
        <w:pStyle w:val="FootnoteText"/>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FootnoteText"/>
        <w:rPr/>
      </w:pPr>
      <w:r>
        <w:rPr/>
        <w:t>392</w:t>
      </w:r>
    </w:p>
    <w:p>
      <w:pPr>
        <w:pStyle w:val="FootnoteText"/>
        <w:rPr/>
      </w:pPr>
      <w:r>
        <w:rPr/>
        <w:t>Iti 41</w:t>
      </w:r>
    </w:p>
    <w:p>
      <w:pPr>
        <w:pStyle w:val="FootnoteText"/>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FootnoteText"/>
        <w:rPr/>
      </w:pPr>
      <w:r>
        <w:rPr/>
        <w:t>394</w:t>
      </w:r>
    </w:p>
    <w:p>
      <w:pPr>
        <w:pStyle w:val="FootnoteText"/>
        <w:rPr/>
      </w:pPr>
      <w:r>
        <w:rPr/>
        <w:t>SN 7.6. Similar at SN 1.23</w:t>
      </w:r>
    </w:p>
    <w:p>
      <w:pPr>
        <w:pStyle w:val="FootnoteText"/>
        <w:rPr/>
      </w:pPr>
      <w:r>
        <w:rPr/>
        <w:t>395</w:t>
      </w:r>
    </w:p>
    <w:p>
      <w:pPr>
        <w:pStyle w:val="FootnoteText"/>
        <w:rPr/>
      </w:pPr>
      <w:r>
        <w:rPr/>
        <w:t>§146</w:t>
      </w:r>
    </w:p>
    <w:p>
      <w:pPr>
        <w:pStyle w:val="FootnoteText"/>
        <w:rPr/>
      </w:pPr>
      <w:r>
        <w:rPr/>
        <w:t>396</w:t>
      </w:r>
    </w:p>
    <w:p>
      <w:pPr>
        <w:pStyle w:val="FootnoteText"/>
        <w:rPr/>
      </w:pPr>
      <w:r>
        <w:rPr/>
        <w:t xml:space="preserve">SĀ 1187, </w:t>
      </w:r>
      <w:r>
        <w:rPr/>
        <w:t>諸識永滅</w:t>
      </w:r>
    </w:p>
    <w:p>
      <w:pPr>
        <w:pStyle w:val="FootnoteText"/>
        <w:rPr/>
      </w:pPr>
      <w:r>
        <w:rPr/>
        <w:t>397</w:t>
      </w:r>
    </w:p>
    <w:p>
      <w:pPr>
        <w:pStyle w:val="FootnoteText"/>
        <w:rPr/>
      </w:pPr>
      <w:r>
        <w:rPr/>
        <w:t xml:space="preserve">SĀ2 100, </w:t>
      </w:r>
      <w:r>
        <w:rPr/>
        <w:t>心意盡滅</w:t>
      </w:r>
    </w:p>
    <w:p>
      <w:pPr>
        <w:pStyle w:val="FootnoteText"/>
        <w:rPr/>
      </w:pPr>
      <w:r>
        <w:rPr/>
        <w:t>398</w:t>
      </w:r>
    </w:p>
    <w:p>
      <w:pPr>
        <w:pStyle w:val="FootnoteText"/>
        <w:rPr/>
      </w:pPr>
      <w:r>
        <w:rPr/>
        <w:t>See also Bodhi 2000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FootnoteText"/>
        <w:rPr/>
      </w:pPr>
      <w:r>
        <w:rPr/>
        <w:t>399</w:t>
      </w:r>
    </w:p>
    <w:p>
      <w:pPr>
        <w:pStyle w:val="FootnoteText"/>
        <w:rPr/>
      </w:pPr>
      <w:r>
        <w:rPr/>
        <w:t>Langer p.27, translation mine</w:t>
      </w:r>
    </w:p>
    <w:p>
      <w:pPr>
        <w:pStyle w:val="FootnoteText"/>
        <w:rPr/>
      </w:pPr>
      <w:r>
        <w:rPr/>
        <w:t>400</w:t>
      </w:r>
    </w:p>
    <w:p>
      <w:pPr>
        <w:pStyle w:val="FootnoteText"/>
        <w:rPr/>
      </w:pPr>
      <w:r>
        <w:rPr/>
        <w:t>See also Karunadasa p.33: “It is on the reciprocal interplay between consciousness and mentality-materiality that the whole saṁsāric process of birth and death revolves. In this sense their mutual dependence constitutes the irreducible ground of saṁsāric experience.”</w:t>
      </w:r>
    </w:p>
    <w:p>
      <w:pPr>
        <w:pStyle w:val="FootnoteText"/>
        <w:rPr/>
      </w:pPr>
      <w:r>
        <w:rPr/>
        <w:t>401</w:t>
      </w:r>
    </w:p>
    <w:p>
      <w:pPr>
        <w:pStyle w:val="FootnoteText"/>
        <w:rPr/>
      </w:pPr>
      <w:r>
        <w:rPr/>
        <w:t>For example Harvey 1995 p.143, Pasanno p.133, Cintita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757575"/>
      <w:shd w:fill="EEEEEE"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461</TotalTime>
  <Application>LibreOffice/25.2.5.2$Windows_X86_64 LibreOffice_project/03d19516eb2e1dd5d4ccd751a0d6f35f35e08022</Application>
  <AppVersion>15.0000</AppVersion>
  <Pages>34</Pages>
  <Words>11807</Words>
  <Characters>57839</Characters>
  <CharactersWithSpaces>68167</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2025-10-17T15:52:38Z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