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gloss-term"/>
        <w:shd w:val="clear" w:fill="E0E0E0"/>
        <w:bidi w:val="0"/>
        <w:spacing w:before="170" w:after="170"/>
        <w:rPr/>
      </w:pPr>
      <w:r>
        <w:rPr/>
        <w:t>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24:14.1–14.2</w:t>
      </w:r>
      <w:r>
        <w:rPr>
          <w:rStyle w:val="Hyperlink"/>
        </w:rPr>
        <w:fldChar w:fldCharType="end"/>
      </w:r>
      <w:r>
        <w:rPr/>
        <w:t xml:space="preserve"> </w:t>
      </w:r>
      <w:r>
        <w:rPr>
          <w:rStyle w:val="wwc-PTS-reference"/>
        </w:rPr>
        <w:t>M I 145</w:t>
      </w:r>
    </w:p>
    <w:p>
      <w:pPr>
        <w:pStyle w:val="WW-gloss-term"/>
        <w:rPr/>
      </w:pPr>
      <w:r>
        <w:rPr/>
        <w:t>2</w:t>
      </w:r>
    </w:p>
    <w:p>
      <w:pPr>
        <w:pStyle w:val="FootnoteText"/>
        <w:rPr/>
      </w:pPr>
      <w:r>
        <w:rPr>
          <w:rStyle w:val="wwc-sesame-zot-reference"/>
        </w:rPr>
        <w:t>Sunyo 2021</w:t>
      </w:r>
    </w:p>
    <w:p>
      <w:pPr>
        <w:pStyle w:val="WW-gloss-term"/>
        <w:rPr/>
      </w:pPr>
      <w:r>
        <w:rPr/>
        <w:t>3</w:t>
      </w:r>
    </w:p>
    <w:p>
      <w:pPr>
        <w:pStyle w:val="FootnoteText"/>
        <w:rPr/>
      </w:pPr>
      <w:r>
        <w:rPr/>
        <w:t xml:space="preserve">For example </w:t>
      </w:r>
      <w:r>
        <w:rPr>
          <w:rStyle w:val="wwc-sesame-zot-reference"/>
        </w:rPr>
        <w:t>Ñāṇananda 2016</w:t>
      </w:r>
      <w:r>
        <w:rPr/>
        <w:t xml:space="preserve"> p.71: “What the Arahants have done is to bring consciousness to such a state where it gets no footing on name-and-form. In other words, it is the state of unestablished consciousness (</w:t>
      </w:r>
      <w:r>
        <w:rPr>
          <w:rStyle w:val="wwc-pali"/>
        </w:rPr>
        <w:t>appatiṭṭhita viññaṇa</w:t>
      </w:r>
      <w:r>
        <w:rPr/>
        <w:t>).”</w:t>
      </w:r>
    </w:p>
    <w:p>
      <w:pPr>
        <w:pStyle w:val="WW-gloss-term"/>
        <w:rPr/>
      </w:pPr>
      <w:r>
        <w:rPr/>
        <w:t>4</w:t>
      </w:r>
    </w:p>
    <w:p>
      <w:pPr>
        <w:pStyle w:val="FootnoteText"/>
        <w:rPr/>
      </w:pPr>
      <w:r>
        <w:rPr/>
        <w:t xml:space="preserve">For example </w:t>
      </w:r>
      <w:r>
        <w:rPr>
          <w:rStyle w:val="wwc-sesame-zot-reference"/>
        </w:rPr>
        <w:t>Harvey 1995</w:t>
      </w:r>
      <w:r>
        <w:rPr/>
        <w:t xml:space="preserve"> p.202, </w:t>
      </w:r>
      <w:r>
        <w:rPr>
          <w:rStyle w:val="wwc-sesame-zot-reference"/>
        </w:rPr>
        <w:t>Ṭhānissaro 2008a</w:t>
      </w:r>
      <w:r>
        <w:rPr/>
        <w:t xml:space="preserve"> p.118, </w:t>
      </w:r>
      <w:r>
        <w:rPr>
          <w:rStyle w:val="wwc-sesame-zot-reference"/>
        </w:rPr>
        <w:t>Pasanno</w:t>
      </w:r>
      <w:r>
        <w:rPr/>
        <w:t xml:space="preserve"> p.155, </w:t>
      </w:r>
      <w:r>
        <w:rPr>
          <w:rStyle w:val="wwc-sesame-zot-reference"/>
        </w:rPr>
        <w:t>Cintita</w:t>
      </w:r>
      <w:r>
        <w:rPr/>
        <w:t xml:space="preserve"> p.179</w:t>
      </w:r>
    </w:p>
    <w:p>
      <w:pPr>
        <w:pStyle w:val="WW-gloss-term"/>
        <w:rPr/>
      </w:pPr>
      <w:r>
        <w:rPr/>
        <w:t>5</w:t>
      </w:r>
    </w:p>
    <w:p>
      <w:pPr>
        <w:pStyle w:val="FootnoteText"/>
        <w:rPr/>
      </w:pPr>
      <w:r>
        <w:rPr/>
        <w:t xml:space="preserve">See </w:t>
      </w:r>
      <w:r>
        <w:rPr>
          <w:rStyle w:val="wwc-sesame"/>
        </w:rPr>
        <w:t>Bodhi 2000 p.840</w:t>
      </w:r>
      <w:r>
        <w:rPr/>
        <w:t xml:space="preserve"> “The five aggregates are so called because they each unite under one label a multiplicity of phenomena that share the same defining characteristic.”</w:t>
      </w:r>
    </w:p>
    <w:p>
      <w:pPr>
        <w:pStyle w:val="WW-gloss-term"/>
        <w:rPr/>
      </w:pPr>
      <w:r>
        <w:rPr/>
        <w:t>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22.82:6.1–6.7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109:8.1–8.7</w:t>
      </w:r>
      <w:r>
        <w:rPr>
          <w:rStyle w:val="Hyperlink"/>
        </w:rPr>
        <w:fldChar w:fldCharType="end"/>
      </w:r>
      <w:r>
        <w:rPr/>
        <w:t xml:space="preserve"> </w:t>
      </w:r>
      <w:r>
        <w:rPr>
          <w:rStyle w:val="wwc-PTS-reference"/>
        </w:rPr>
        <w:t>M III 17</w:t>
      </w:r>
    </w:p>
    <w:p>
      <w:pPr>
        <w:pStyle w:val="WW-gloss-term"/>
        <w:rPr/>
      </w:pPr>
      <w:r>
        <w:rPr/>
        <w:t>7</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22.59:10.1</w:t>
      </w:r>
      <w:r>
        <w:rPr>
          <w:rStyle w:val="Hyperlink"/>
        </w:rPr>
        <w:fldChar w:fldCharType="end"/>
      </w:r>
    </w:p>
    <w:p>
      <w:pPr>
        <w:pStyle w:val="WW-gloss-term"/>
        <w:rPr/>
      </w:pPr>
      <w:r>
        <w:rPr/>
        <w:t>8</w:t>
      </w:r>
    </w:p>
    <w:p>
      <w:pPr>
        <w:pStyle w:val="FootnoteText"/>
        <w:rPr/>
      </w:pPr>
      <w:r>
        <w:rPr/>
        <w:t xml:space="preserve">As </w:t>
      </w:r>
      <w:r>
        <w:rPr>
          <w:rStyle w:val="wwc-sesame-zot-reference"/>
        </w:rPr>
        <w:t>Ṭhānissaro 2018</w:t>
      </w:r>
      <w:r>
        <w:rPr/>
        <w:t xml:space="preserve"> p.6</w:t>
      </w:r>
    </w:p>
    <w:p>
      <w:pPr>
        <w:pStyle w:val="WW-gloss-term"/>
        <w:rPr/>
      </w:pPr>
      <w:r>
        <w:rPr/>
        <w:t>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49:25.1</w:t>
      </w:r>
      <w:r>
        <w:rPr>
          <w:rStyle w:val="Hyperlink"/>
        </w:rPr>
        <w:fldChar w:fldCharType="end"/>
      </w:r>
      <w:r>
        <w:rPr/>
        <w:t xml:space="preserve"> </w:t>
      </w:r>
      <w:r>
        <w:rPr>
          <w:rStyle w:val="wwc-PTS-reference"/>
        </w:rPr>
        <w:t>M I 330</w:t>
      </w:r>
      <w:r>
        <w:rPr/>
        <w:t xml:space="preserve">. For a discussion see </w:t>
      </w:r>
      <w:r>
        <w:rPr>
          <w:rStyle w:val="wwc-sesame-zot-reference"/>
        </w:rPr>
        <w:t>Sunyo 2021</w:t>
      </w:r>
    </w:p>
    <w:p>
      <w:pPr>
        <w:pStyle w:val="WW-gloss-term"/>
        <w:rPr/>
      </w:pPr>
      <w:r>
        <w:rPr/>
        <w:t>10</w:t>
      </w:r>
    </w:p>
    <w:p>
      <w:pPr>
        <w:pStyle w:val="FootnoteText"/>
        <w:rPr/>
      </w:pP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 22.56:13.1–14.2</w:t>
      </w:r>
      <w:r>
        <w:rPr>
          <w:rStyle w:val="Hyperlink"/>
        </w:rPr>
        <w:fldChar w:fldCharType="end"/>
      </w:r>
      <w:r>
        <w:rPr/>
        <w:t>, where in context of the five aggregates, the aggregate of consciousness is also defined as that of the six senses.</w:t>
      </w:r>
    </w:p>
    <w:p>
      <w:pPr>
        <w:pStyle w:val="WW-gloss-term"/>
        <w:rPr/>
      </w:pPr>
      <w:r>
        <w:rPr/>
        <w:t>11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12.2:12.1–12.4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12.33:9.9</w:t>
      </w:r>
      <w:r>
        <w:rPr>
          <w:rStyle w:val="Hyperlink"/>
        </w:rPr>
        <w:fldChar w:fldCharType="end"/>
      </w:r>
    </w:p>
    <w:p>
      <w:pPr>
        <w:pStyle w:val="WW-gloss-term"/>
        <w:rPr/>
      </w:pPr>
      <w:r>
        <w:rPr/>
        <w:t>12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56.28</w:t>
      </w:r>
      <w:r>
        <w:rPr>
          <w:rStyle w:val="Hyperlink"/>
        </w:rPr>
        <w:fldChar w:fldCharType="end"/>
      </w:r>
      <w:r>
        <w:rPr/>
        <w:t xml:space="preserve"> explains: “They are called ‘noble one’s truths’ (</w:t>
      </w:r>
      <w:r>
        <w:rPr>
          <w:rStyle w:val="wwc-pali"/>
        </w:rPr>
        <w:t>ariya-sacca</w:t>
      </w:r>
      <w:r>
        <w:rPr/>
        <w:t>), because in this world […] the Truth</w:t>
        <w:softHyphen/>
        <w:t>finder (</w:t>
      </w:r>
      <w:r>
        <w:rPr>
          <w:rStyle w:val="wwc-pali"/>
        </w:rPr>
        <w:t>tathāgata</w:t>
      </w:r>
      <w:r>
        <w:rPr/>
        <w:t>) is the noble one (</w:t>
      </w:r>
      <w:r>
        <w:rPr>
          <w:rStyle w:val="wwc-pali"/>
        </w:rPr>
        <w:t>ariya</w:t>
      </w:r>
      <w:r>
        <w:rPr/>
        <w:t xml:space="preserve">).” </w:t>
      </w:r>
      <w:r>
        <w:rPr>
          <w:rStyle w:val="wwc-sesame-zot-reference"/>
        </w:rPr>
        <w:t>Norman 1997</w:t>
      </w:r>
      <w:r>
        <w:rPr/>
        <w:t xml:space="preserve"> p.16 wrote: “My own feeling is that it is very likely that ‘the truth of the noble one (the Buddha)’ is the correct translation.” See also </w:t>
      </w:r>
      <w:r>
        <w:rPr>
          <w:rStyle w:val="wwc-sesame-zot-reference"/>
        </w:rPr>
        <w:t>Norman 2008</w:t>
      </w:r>
      <w:r>
        <w:rPr/>
        <w:t xml:space="preserve"> and </w:t>
      </w:r>
      <w:r>
        <w:rPr>
          <w:rStyle w:val="wwc-sesame-zot-reference"/>
        </w:rPr>
        <w:t>Harvey 2009</w:t>
      </w:r>
    </w:p>
    <w:p>
      <w:pPr>
        <w:pStyle w:val="WW-gloss-term"/>
        <w:rPr/>
      </w:pPr>
      <w:r>
        <w:rPr/>
        <w:t>13</w:t>
      </w:r>
    </w:p>
    <w:p>
      <w:pPr>
        <w:pStyle w:val="FootnoteText"/>
        <w:rPr/>
      </w:pPr>
      <w:r>
        <w:rPr>
          <w:rStyle w:val="wwc-pali"/>
        </w:rPr>
        <w:t>Tatra tatra</w:t>
      </w:r>
      <w:r>
        <w:rPr/>
        <w:t xml:space="preserve">, ‘in various realms’.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use </w:t>
      </w:r>
      <w:r>
        <w:rPr>
          <w:rStyle w:val="wwc-pali"/>
        </w:rPr>
        <w:t>tatra tatra</w:t>
      </w:r>
      <w:r>
        <w:rPr/>
        <w:t xml:space="preserve"> (more literally ‘in various places’) explicitly for rebirth in different realms. That this is also the intended meaning in the second truth is indicated by it being about the craving that leads to a next life. </w:t>
      </w:r>
      <w:r>
        <w:rPr>
          <w:rStyle w:val="wwc-sesame-zot-reference"/>
        </w:rPr>
        <w:t>Sujato 2023</w:t>
      </w:r>
      <w:r>
        <w:rPr/>
        <w:t xml:space="preserve"> translates “in various different realms”.</w:t>
      </w:r>
    </w:p>
    <w:p>
      <w:pPr>
        <w:pStyle w:val="WW-gloss-term"/>
        <w:rPr/>
      </w:pPr>
      <w:r>
        <w:rPr/>
        <w:t>14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56.13:3.1–3.4</w:t>
      </w:r>
      <w:r>
        <w:rPr>
          <w:rStyle w:val="Hyperlink"/>
        </w:rPr>
        <w:fldChar w:fldCharType="end"/>
      </w:r>
    </w:p>
    <w:p>
      <w:pPr>
        <w:pStyle w:val="WW-gloss-term"/>
        <w:rPr/>
      </w:pPr>
      <w:r>
        <w:rPr/>
        <w:t>15</w:t>
      </w:r>
    </w:p>
    <w:p>
      <w:pPr>
        <w:pStyle w:val="FootnoteText"/>
        <w:rPr/>
      </w:pPr>
      <w:r>
        <w:rPr/>
        <w:t xml:space="preserve">See also </w:t>
      </w:r>
      <w:r>
        <w:rPr>
          <w:rStyle w:val="wwc-sesame-zot-reference"/>
        </w:rPr>
        <w:t>Piyadassi</w:t>
      </w:r>
      <w:r>
        <w:rPr/>
        <w:t xml:space="preserve"> p.5, </w:t>
      </w:r>
      <w:r>
        <w:rPr>
          <w:rStyle w:val="wwc-sesame-zot-reference"/>
        </w:rPr>
        <w:t>Bodhi 1984</w:t>
      </w:r>
      <w:r>
        <w:rPr/>
        <w:t xml:space="preserve"> p.5 n.2, </w:t>
      </w:r>
      <w:r>
        <w:rPr>
          <w:rStyle w:val="wwc-sesame-zot-reference"/>
        </w:rPr>
        <w:t>Bodhi 2015</w:t>
      </w:r>
      <w:r>
        <w:rPr/>
        <w:t xml:space="preserve"> p.19</w:t>
      </w:r>
    </w:p>
    <w:p>
      <w:pPr>
        <w:pStyle w:val="WW-gloss-term"/>
        <w:rPr/>
      </w:pPr>
      <w:r>
        <w:rPr/>
        <w:t>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3.61:15.1–15.14</w:t>
      </w:r>
      <w:r>
        <w:rPr>
          <w:rStyle w:val="Hyperlink"/>
        </w:rPr>
        <w:fldChar w:fldCharType="end"/>
      </w:r>
    </w:p>
    <w:p>
      <w:pPr>
        <w:pStyle w:val="WW-gloss-term"/>
        <w:rPr/>
      </w:pPr>
      <w:r>
        <w:rPr/>
        <w:t>17</w:t>
      </w:r>
    </w:p>
    <w:p>
      <w:pPr>
        <w:pStyle w:val="FootnoteText"/>
        <w:rPr/>
      </w:pPr>
      <w:r>
        <w:rPr>
          <w:rStyle w:val="wwc-pali"/>
        </w:rPr>
        <w:t>Paṭiccasamuppādaṁ</w:t>
      </w:r>
      <w:r>
        <w:rPr/>
        <w:t>, ‘the dependent arising of things’. By this I mean the actual principles existing in nature, rather than the Buddha’s teachings on these principles, which I call ‘Dependent Arising’.</w:t>
      </w:r>
    </w:p>
    <w:p>
      <w:pPr>
        <w:pStyle w:val="FootnoteText"/>
        <w:rPr/>
      </w:pPr>
      <w:r>
        <w:rPr/>
      </w:r>
    </w:p>
    <w:p>
      <w:pPr>
        <w:pStyle w:val="FootnoteText"/>
        <w:rPr/>
      </w:pPr>
      <w:r>
        <w:rPr/>
        <w:t xml:space="preserve">The term is sometimes translated as ‘dependent co-arising’, but the prefix </w:t>
      </w:r>
      <w:r>
        <w:rPr>
          <w:rStyle w:val="wwc-pali"/>
        </w:rPr>
        <w:t>saṁ</w:t>
      </w:r>
      <w:r>
        <w:rPr/>
        <w:t xml:space="preserve">- in </w:t>
      </w:r>
      <w:r>
        <w:rPr>
          <w:rStyle w:val="wwc-pali"/>
        </w:rPr>
        <w:t>samuppāda</w:t>
      </w:r>
      <w:r>
        <w:rPr/>
        <w:t xml:space="preserve"> is simply a redundancy for the following prefix up- (=</w:t>
      </w:r>
      <w:r>
        <w:rPr>
          <w:rStyle w:val="wwc-pali"/>
        </w:rPr>
        <w:t>ud</w:t>
      </w:r>
      <w:r>
        <w:rPr/>
        <w:t xml:space="preserve">-). As </w:t>
      </w:r>
      <w:r>
        <w:rPr>
          <w:rStyle w:val="wwc-sesame-zot-reference"/>
        </w:rPr>
        <w:t>PED</w:t>
      </w:r>
      <w:r>
        <w:rPr/>
        <w:t xml:space="preserve"> says under </w:t>
      </w:r>
      <w:r>
        <w:rPr>
          <w:rStyle w:val="wwc-pali"/>
        </w:rPr>
        <w:t>saṁ</w:t>
      </w:r>
      <w:r>
        <w:rPr/>
        <w:t xml:space="preserve">-: “very often merely pleonastic, esp. in comb[inatio]n with other prefixes.” Therefore, under </w:t>
      </w:r>
      <w:r>
        <w:rPr>
          <w:rStyle w:val="wwc-pali"/>
        </w:rPr>
        <w:t>samuppajjati</w:t>
      </w:r>
      <w:r>
        <w:rPr/>
        <w:t xml:space="preserve"> it simply has, “to arise, to be produced”. No other dictionary suggests ‘co-arising’ either. To give some examples of the word </w:t>
      </w:r>
      <w:r>
        <w:rPr>
          <w:rStyle w:val="wwc-pali"/>
        </w:rPr>
        <w:t>samuppāda</w:t>
      </w:r>
      <w:r>
        <w:rPr/>
        <w:t xml:space="preserve"> in a daily-life context: </w:t>
      </w:r>
      <w:r>
        <w:fldChar w:fldCharType="begin"/>
      </w:r>
      <w:r>
        <w:rPr>
          <w:rStyle w:val="Hyperlink"/>
        </w:rPr>
        <w:instrText xml:space="preserve"> HYPERLINK "https://suttacentral.net/XXX/en/sujato" \l "YYY"</w:instrText>
      </w:r>
      <w:r>
        <w:rPr>
          <w:rStyle w:val="Hyperlink"/>
        </w:rPr>
        <w:fldChar w:fldCharType="separate"/>
      </w:r>
      <w:r>
        <w:rPr>
          <w:rStyle w:val="Hyperlink"/>
        </w:rPr>
        <w:t>SN 3.25:2.14</w:t>
      </w:r>
      <w:r>
        <w:rPr>
          <w:rStyle w:val="Hyperlink"/>
        </w:rPr>
        <w:fldChar w:fldCharType="end"/>
      </w:r>
      <w:r>
        <w:rPr/>
        <w:t xml:space="preserve"> mentions the arising (</w:t>
      </w:r>
      <w:r>
        <w:rPr>
          <w:rStyle w:val="wwc-pali"/>
        </w:rPr>
        <w:t>samuppanne</w:t>
      </w:r>
      <w:r>
        <w:rPr/>
        <w:t xml:space="preserve">) of a great peril, namely a mountain that crushes everything; </w:t>
      </w:r>
      <w:r>
        <w:fldChar w:fldCharType="begin"/>
      </w:r>
      <w:r>
        <w:rPr>
          <w:rStyle w:val="Hyperlink"/>
        </w:rPr>
        <w:instrText xml:space="preserve"> HYPERLINK "https://suttacentral.net/XXX/en/sujato" \l "YYY"</w:instrText>
      </w:r>
      <w:r>
        <w:rPr>
          <w:rStyle w:val="Hyperlink"/>
        </w:rPr>
        <w:fldChar w:fldCharType="separate"/>
      </w:r>
      <w:r>
        <w:rPr>
          <w:rStyle w:val="Hyperlink"/>
        </w:rPr>
        <w:t>AN 8.54:6.1, 6.7, 7.1, 7.7</w:t>
      </w:r>
      <w:r>
        <w:rPr>
          <w:rStyle w:val="Hyperlink"/>
        </w:rPr>
        <w:fldChar w:fldCharType="end"/>
      </w:r>
      <w:r>
        <w:rPr/>
        <w:t xml:space="preserve"> mentions wealth that has arisen (</w:t>
      </w:r>
      <w:r>
        <w:rPr>
          <w:rStyle w:val="wwc-pali"/>
        </w:rPr>
        <w:t>samuppannānaṁ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Kp 8:1.3</w:t>
      </w:r>
      <w:r>
        <w:rPr>
          <w:rStyle w:val="Hyperlink"/>
        </w:rPr>
        <w:fldChar w:fldCharType="end"/>
      </w:r>
      <w:r>
        <w:rPr/>
        <w:t xml:space="preserve"> mentions the arising (</w:t>
      </w:r>
      <w:r>
        <w:rPr>
          <w:rStyle w:val="wwc-pali"/>
        </w:rPr>
        <w:t>samuppanne</w:t>
      </w:r>
      <w:r>
        <w:rPr/>
        <w:t xml:space="preserve">) of a need to use stored up wealth; </w:t>
      </w:r>
      <w:r>
        <w:fldChar w:fldCharType="begin"/>
      </w:r>
      <w:r>
        <w:rPr>
          <w:rStyle w:val="Hyperlink"/>
        </w:rPr>
        <w:instrText xml:space="preserve"> HYPERLINK "https://suttacentral.net/XXX/en/sujato" \l "YYY"</w:instrText>
      </w:r>
      <w:r>
        <w:rPr>
          <w:rStyle w:val="Hyperlink"/>
        </w:rPr>
        <w:fldChar w:fldCharType="separate"/>
      </w:r>
      <w:r>
        <w:rPr>
          <w:rStyle w:val="Hyperlink"/>
        </w:rPr>
        <w:t>Thag 1.30:1.3</w:t>
      </w:r>
      <w:r>
        <w:rPr>
          <w:rStyle w:val="Hyperlink"/>
        </w:rPr>
        <w:fldChar w:fldCharType="end"/>
      </w:r>
      <w:r>
        <w:rPr/>
        <w:t xml:space="preserve"> mentions the arising (</w:t>
      </w:r>
      <w:r>
        <w:rPr>
          <w:rStyle w:val="wwc-pali"/>
        </w:rPr>
        <w:t>samuppanno</w:t>
      </w:r>
      <w:r>
        <w:rPr/>
        <w:t xml:space="preserve">) of sickness; and </w:t>
      </w:r>
      <w:r>
        <w:fldChar w:fldCharType="begin"/>
      </w:r>
      <w:r>
        <w:rPr>
          <w:rStyle w:val="Hyperlink"/>
        </w:rPr>
        <w:instrText xml:space="preserve"> HYPERLINK "https://suttacentral.net/XXX/en/sujato" \l "YYY"</w:instrText>
      </w:r>
      <w:r>
        <w:rPr>
          <w:rStyle w:val="Hyperlink"/>
        </w:rPr>
        <w:fldChar w:fldCharType="separate"/>
      </w:r>
      <w:r>
        <w:rPr>
          <w:rStyle w:val="Hyperlink"/>
        </w:rPr>
        <w:t>Iti 43:3.1</w:t>
      </w:r>
      <w:r>
        <w:rPr>
          <w:rStyle w:val="Hyperlink"/>
        </w:rPr>
        <w:fldChar w:fldCharType="end"/>
      </w:r>
      <w:r>
        <w:rPr/>
        <w:t xml:space="preserve"> uses ‘arisen’ (</w:t>
      </w:r>
      <w:r>
        <w:rPr>
          <w:rStyle w:val="wwc-pali"/>
        </w:rPr>
        <w:t>samuppannaṁ</w:t>
      </w:r>
      <w:r>
        <w:rPr/>
        <w:t>) as a synonym for ‘born’ (</w:t>
      </w:r>
      <w:r>
        <w:rPr>
          <w:rStyle w:val="wwc-pali"/>
        </w:rPr>
        <w:t>jātaṁ</w:t>
      </w:r>
      <w:r>
        <w:rPr/>
        <w:t>) and ‘came to be’ (</w:t>
      </w:r>
      <w:r>
        <w:rPr>
          <w:rStyle w:val="wwc-pali"/>
        </w:rPr>
        <w:t>bhūtaṁ</w:t>
      </w:r>
      <w:r>
        <w:rPr/>
        <w:t xml:space="preserve">). We do not speak of a co-arising of sickness or wealth, nor does there seem to be a good justification, certainly not on a linguistic basis, to speak of a co-arising of death, for instance. </w:t>
      </w:r>
      <w:r>
        <w:rPr>
          <w:rStyle w:val="wwc-pali"/>
        </w:rPr>
        <w:t>Samupajjati</w:t>
      </w:r>
      <w:r>
        <w:rPr/>
        <w:t xml:space="preserve"> is simply a synonym for </w:t>
      </w:r>
      <w:r>
        <w:rPr>
          <w:rStyle w:val="wwc-pali"/>
        </w:rPr>
        <w:t>upajjati</w:t>
      </w:r>
      <w:r>
        <w:rPr/>
        <w:t>, including in the context of Dependent Arising. There is also no such thing as “</w:t>
      </w:r>
      <w:r>
        <w:rPr>
          <w:rStyle w:val="wwc-pali"/>
        </w:rPr>
        <w:t>saṁ-nirodha</w:t>
      </w:r>
      <w:r>
        <w:rPr/>
        <w:t xml:space="preserve">” (“co-cessation”) but only </w:t>
      </w:r>
      <w:r>
        <w:rPr>
          <w:rStyle w:val="wwc-pali"/>
        </w:rPr>
        <w:t>nirodha</w:t>
      </w:r>
      <w:r>
        <w:rPr/>
        <w:t xml:space="preserve"> (cessation), which indicates “co-” is not intended in </w:t>
      </w:r>
      <w:r>
        <w:rPr>
          <w:rStyle w:val="wwc-pali"/>
        </w:rPr>
        <w:t>samuppāda</w:t>
      </w:r>
      <w:r>
        <w:rPr/>
        <w:t xml:space="preserve"> either. See also </w:t>
      </w:r>
      <w:r>
        <w:rPr>
          <w:rStyle w:val="wwc-sesame-zot-reference"/>
        </w:rPr>
        <w:t>Jones 2021</w:t>
      </w:r>
      <w:r>
        <w:rPr/>
        <w:t xml:space="preserve"> p.234: “When translating the expression </w:t>
      </w:r>
      <w:r>
        <w:rPr>
          <w:rStyle w:val="wwc-pali"/>
        </w:rPr>
        <w:t xml:space="preserve">paṭicca-samuppāda </w:t>
      </w:r>
      <w:r>
        <w:rPr/>
        <w:t xml:space="preserve">in the Pāli Canon, it therefore seems inappropriate to use words like ‘co-arising’ or ‘co-production’.” </w:t>
      </w:r>
      <w:r>
        <w:rPr>
          <w:rStyle w:val="wwc-sesame-zot-reference"/>
        </w:rPr>
        <w:t>Schmithausen 1997</w:t>
      </w:r>
      <w:r>
        <w:rPr/>
        <w:t xml:space="preserve"> n.73 similarly concluded: “It is not probable that the prefix </w:t>
      </w:r>
      <w:r>
        <w:rPr>
          <w:rStyle w:val="wwc-pali"/>
        </w:rPr>
        <w:t>saṁ</w:t>
      </w:r>
      <w:r>
        <w:rPr/>
        <w:t>- was, from the outset, intended to convey such a heavy meaning.”</w:t>
      </w:r>
    </w:p>
    <w:p>
      <w:pPr>
        <w:pStyle w:val="FootnoteText"/>
        <w:rPr/>
      </w:pPr>
      <w:r>
        <w:rPr/>
      </w:r>
    </w:p>
    <w:p>
      <w:pPr>
        <w:pStyle w:val="WW-gloss-term"/>
        <w:rPr/>
      </w:pPr>
      <w:r>
        <w:rPr/>
        <w:t>18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28:28.5–28.9</w:t>
      </w:r>
      <w:r>
        <w:rPr>
          <w:rStyle w:val="Hyperlink"/>
        </w:rPr>
        <w:fldChar w:fldCharType="end"/>
      </w:r>
      <w:r>
        <w:rPr/>
        <w:t xml:space="preserve"> </w:t>
      </w:r>
      <w:r>
        <w:rPr>
          <w:rStyle w:val="wwc-PTS-reference"/>
        </w:rPr>
        <w:t>M I 191</w:t>
      </w:r>
    </w:p>
    <w:p>
      <w:pPr>
        <w:pStyle w:val="WW-gloss-term"/>
        <w:rPr/>
      </w:pPr>
      <w:r>
        <w:rPr/>
        <w:t>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22.5:2.1–4.10</w:t>
      </w:r>
      <w:r>
        <w:rPr>
          <w:rStyle w:val="Hyperlink"/>
        </w:rPr>
        <w:fldChar w:fldCharType="end"/>
      </w:r>
    </w:p>
    <w:p>
      <w:pPr>
        <w:pStyle w:val="WW-gloss-term"/>
        <w:rPr/>
      </w:pPr>
      <w:r>
        <w:rPr/>
        <w:t>20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22.30</w:t>
      </w:r>
      <w:r>
        <w:rPr>
          <w:rStyle w:val="Hyperlink"/>
        </w:rPr>
        <w:fldChar w:fldCharType="end"/>
      </w:r>
    </w:p>
    <w:p>
      <w:pPr>
        <w:pStyle w:val="WW-gloss-term"/>
        <w:rPr/>
      </w:pPr>
      <w:r>
        <w:rPr/>
        <w:t>21</w:t>
      </w:r>
    </w:p>
    <w:p>
      <w:pPr>
        <w:pStyle w:val="FootnoteText"/>
        <w:rPr/>
      </w:pPr>
      <w:r>
        <w:rPr/>
        <w:t xml:space="preserve">As glossed by </w:t>
      </w:r>
      <w:r>
        <w:rPr>
          <w:rStyle w:val="wwc-sesame-zot-reference"/>
        </w:rPr>
        <w:t>PED</w:t>
      </w:r>
      <w:r>
        <w:rPr/>
        <w:t xml:space="preserve">, </w:t>
      </w:r>
      <w:r>
        <w:rPr>
          <w:rStyle w:val="wwc-sesame-zot-reference"/>
        </w:rPr>
        <w:t>CPD</w:t>
      </w:r>
      <w:r>
        <w:rPr/>
        <w:t xml:space="preserve">, </w:t>
      </w:r>
      <w:r>
        <w:rPr>
          <w:rStyle w:val="wwc-sesame-zot-reference"/>
        </w:rPr>
        <w:t>CPED</w:t>
      </w:r>
      <w:r>
        <w:rPr/>
        <w:t xml:space="preserve">, </w:t>
      </w:r>
      <w:r>
        <w:rPr>
          <w:rStyle w:val="wwc-sesame-zot-reference"/>
        </w:rPr>
        <w:t>DOP</w:t>
      </w:r>
      <w:r>
        <w:rPr/>
        <w:t xml:space="preserve">, </w:t>
      </w:r>
      <w:r>
        <w:rPr>
          <w:rStyle w:val="wwc-sesame-zot-reference"/>
        </w:rPr>
        <w:t>DPD</w:t>
      </w:r>
      <w:r>
        <w:rPr/>
        <w:t>. I translate it as ‘production’ primarily to illustrate the simile of the painter, which uses the same word for producing a painting. See also note 166</w:t>
      </w:r>
    </w:p>
    <w:p>
      <w:pPr>
        <w:pStyle w:val="WW-gloss-term"/>
        <w:rPr/>
      </w:pPr>
      <w:r>
        <w:rPr/>
        <w:t>22</w:t>
      </w:r>
    </w:p>
    <w:p>
      <w:pPr>
        <w:pStyle w:val="FootnoteText"/>
        <w:rPr/>
      </w:pPr>
      <w:r>
        <w:rPr/>
        <w:t xml:space="preserve">For example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10.65</w:t>
      </w:r>
      <w:r>
        <w:rPr>
          <w:rStyle w:val="Hyperlink"/>
        </w:rPr>
        <w:fldChar w:fldCharType="end"/>
      </w:r>
    </w:p>
    <w:p>
      <w:pPr>
        <w:pStyle w:val="WW-gloss-term"/>
        <w:rPr/>
      </w:pPr>
      <w:r>
        <w:rPr/>
        <w:t>23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Ud 8.9:5.1–5.4</w:t>
      </w:r>
      <w:r>
        <w:rPr>
          <w:rStyle w:val="Hyperlink"/>
        </w:rPr>
        <w:fldChar w:fldCharType="end"/>
      </w:r>
    </w:p>
    <w:p>
      <w:pPr>
        <w:pStyle w:val="WW-gloss-term"/>
        <w:rPr/>
      </w:pPr>
      <w:r>
        <w:rPr/>
        <w:t>24</w:t>
      </w:r>
    </w:p>
    <w:p>
      <w:pPr>
        <w:pStyle w:val="FootnoteText"/>
        <w:rPr/>
      </w:pPr>
      <w:r>
        <w:rPr/>
        <w:t xml:space="preserve">For the meaning of ‘fuel’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44.9:6.5–6.6</w:t>
      </w:r>
      <w:r>
        <w:rPr>
          <w:rStyle w:val="Hyperlink"/>
        </w:rPr>
        <w:fldChar w:fldCharType="end"/>
      </w:r>
      <w:r>
        <w:rPr/>
        <w:t xml:space="preserve">: “When a being laid down their body and is not yet reborn in another body, I say craving is their fuel (upādāna), because craving is what fuels them at that time.” For the meaning of ‘taking up’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75:24.6–24.8</w:t>
      </w:r>
      <w:r>
        <w:rPr>
          <w:rStyle w:val="Hyperlink"/>
        </w:rPr>
        <w:fldChar w:fldCharType="end"/>
      </w:r>
      <w:r>
        <w:rPr/>
        <w:t xml:space="preserve"> </w:t>
      </w:r>
      <w:r>
        <w:rPr>
          <w:rStyle w:val="wwc-PTS-reference"/>
        </w:rPr>
        <w:t>M I 512</w:t>
      </w:r>
      <w:r>
        <w:rPr/>
        <w:t>: “I have long been tricked, cheated, and deceived by this mind. For what I have been taking up was just form, sensation, perception, will, and consciousness. And dependent on that taking up (upādāna) of mine, there was existence.”</w:t>
      </w:r>
    </w:p>
    <w:p>
      <w:pPr>
        <w:pStyle w:val="WW-gloss-term"/>
        <w:rPr/>
      </w:pPr>
      <w:r>
        <w:rPr/>
        <w:t>25</w:t>
      </w:r>
    </w:p>
    <w:p>
      <w:pPr>
        <w:pStyle w:val="FootnoteText"/>
        <w:rPr/>
      </w:pPr>
      <w:r>
        <w:rPr/>
        <w:t xml:space="preserve">For the ten powers and four reasons to be self-confident see </w:t>
      </w:r>
      <w:r>
        <w:fldChar w:fldCharType="begin"/>
      </w:r>
      <w:r>
        <w:rPr>
          <w:rStyle w:val="Hyperlink"/>
        </w:rPr>
        <w:instrText xml:space="preserve"> HYPERLINK "https://suttacentral.net/XXX/en/sujato" \l "YYY"</w:instrText>
      </w:r>
      <w:r>
        <w:rPr>
          <w:rStyle w:val="Hyperlink"/>
        </w:rPr>
        <w:fldChar w:fldCharType="separate"/>
      </w:r>
      <w:r>
        <w:rPr>
          <w:rStyle w:val="Hyperlink"/>
        </w:rPr>
        <w:t>MN 12:9.1–27.1</w:t>
      </w:r>
      <w:r>
        <w:rPr>
          <w:rStyle w:val="Hyperlink"/>
        </w:rPr>
        <w:fldChar w:fldCharType="end"/>
      </w:r>
      <w:r>
        <w:rPr/>
        <w:t xml:space="preserve"> </w:t>
      </w:r>
      <w:r>
        <w:rPr>
          <w:rStyle w:val="wwc-PTS-reference"/>
        </w:rPr>
        <w:t>M I 69</w:t>
      </w:r>
    </w:p>
    <w:p>
      <w:pPr>
        <w:pStyle w:val="WW-gloss-term"/>
        <w:rPr/>
      </w:pPr>
      <w:r>
        <w:rPr/>
        <w:t>26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w:t>
      </w:r>
      <w:r>
        <w:rPr>
          <w:rStyle w:val="Hyperlink"/>
        </w:rPr>
        <w:fldChar w:fldCharType="end"/>
      </w:r>
    </w:p>
    <w:p>
      <w:pPr>
        <w:pStyle w:val="WW-gloss-term"/>
        <w:rPr/>
      </w:pPr>
      <w:r>
        <w:rPr/>
        <w:t>27</w:t>
      </w:r>
    </w:p>
    <w:p>
      <w:pPr>
        <w:pStyle w:val="FootnoteText"/>
        <w:rPr/>
      </w:pPr>
      <w:r>
        <w:rPr>
          <w:rStyle w:val="wwc-pali"/>
        </w:rPr>
        <w:t>Imasmiṁ sati idaṁ hoti</w:t>
      </w:r>
      <w:r>
        <w:rPr/>
        <w:t>, ‘There will be this (</w:t>
      </w:r>
      <w:r>
        <w:rPr>
          <w:rStyle w:val="wwc-pali"/>
        </w:rPr>
        <w:t>idaṁ hoti</w:t>
      </w:r>
      <w:r>
        <w:rPr/>
        <w:t>), only if there is that (</w:t>
      </w:r>
      <w:r>
        <w:rPr>
          <w:rStyle w:val="wwc-pali"/>
        </w:rPr>
        <w:t>imasmiṁ sati</w:t>
      </w:r>
      <w:r>
        <w:rPr/>
        <w:t xml:space="preserve">)’. The clause </w:t>
      </w:r>
      <w:r>
        <w:rPr>
          <w:rStyle w:val="wwc-pali"/>
        </w:rPr>
        <w:t>imasmiṁ sati</w:t>
      </w:r>
      <w:r>
        <w:rPr/>
        <w:t xml:space="preserve"> forms a locative absolute. There have been discussions whether this implies that the factors of Dependent Arising happen simultaneously or whether it allows for a separation in time (e.g. </w:t>
      </w:r>
      <w:r>
        <w:rPr>
          <w:rStyle w:val="wwc-sesame-zot-reference"/>
        </w:rPr>
        <w:t>Brahmavamso 2002</w:t>
      </w:r>
      <w:r>
        <w:rPr/>
        <w:t xml:space="preserve">). But this misses the fact that the locative absolute, although it can have temporal connotations, can also form a conditional. </w:t>
      </w:r>
      <w:r>
        <w:rPr>
          <w:rStyle w:val="wwc-sesame-zot-reference"/>
        </w:rPr>
        <w:t>Wijesekera 1993</w:t>
      </w:r>
      <w:r>
        <w:rPr/>
        <w:t xml:space="preserve"> §184 states: “the temporal notion is not the only idea expressed by the loc[ative] absolute. […] It may also signify a condition that exists or should exist for the fulfilment of the main action, which may be rendered by such expressions as ‘if, on condition, provided that’ etc.” See also </w:t>
      </w:r>
      <w:r>
        <w:rPr>
          <w:rStyle w:val="wwc-sesame-zot-reference"/>
        </w:rPr>
        <w:t>Duroiselle</w:t>
      </w:r>
      <w:r>
        <w:rPr/>
        <w:t xml:space="preserve"> §603 iii: “</w:t>
      </w:r>
      <w:r>
        <w:rPr>
          <w:rStyle w:val="wwc-pali"/>
        </w:rPr>
        <w:t>Sati</w:t>
      </w:r>
      <w:r>
        <w:rPr/>
        <w:t xml:space="preserve">, the locative singular of </w:t>
      </w:r>
      <w:r>
        <w:rPr>
          <w:rStyle w:val="wwc-pali"/>
        </w:rPr>
        <w:t>santo</w:t>
      </w:r>
      <w:r>
        <w:rPr/>
        <w:t xml:space="preserve"> […] may also often be translated by ‘if, such being the case’.” This conditional meaning applies here. The clause </w:t>
      </w:r>
      <w:r>
        <w:rPr>
          <w:rStyle w:val="wwc-pali"/>
        </w:rPr>
        <w:t>imasmiṁ sati</w:t>
      </w:r>
      <w:r>
        <w:rPr/>
        <w:t xml:space="preserve"> describes a general principle of dependency without any temporal implications.</w:t>
      </w:r>
    </w:p>
    <w:p>
      <w:pPr>
        <w:pStyle w:val="FootnoteText"/>
        <w:rPr/>
      </w:pPr>
      <w:r>
        <w:rPr/>
      </w:r>
    </w:p>
    <w:p>
      <w:pPr>
        <w:pStyle w:val="FootnoteText"/>
        <w:rPr/>
      </w:pPr>
      <w:r>
        <w:rPr/>
        <w:t xml:space="preserve">By “a condition that exists or should exist” Wijesekera means the locative absolute can denote either a sufficient or a necessary condition. A necessary condition can be indicated with ‘provided that’, as Wijesekera suggests, but also with ‘only if’, as I have done. It is a subtle difference, but I think </w:t>
      </w:r>
      <w:r>
        <w:rPr>
          <w:rStyle w:val="wwc-pali"/>
        </w:rPr>
        <w:t>imasmiṁ sati idaṁ hoti</w:t>
      </w:r>
      <w:r>
        <w:rPr/>
        <w:t xml:space="preserve"> should not be translated as “there will be this if there is that” (omitting ‘only’), because this forms a sufficient condition, and sufficiency does not apply to all the links—yet this statement is individually applied to all links, as in §11.</w:t>
      </w:r>
    </w:p>
    <w:p>
      <w:pPr>
        <w:pStyle w:val="FootnoteText"/>
        <w:rPr/>
      </w:pPr>
      <w:r>
        <w:rPr/>
      </w:r>
    </w:p>
    <w:p>
      <w:pPr>
        <w:pStyle w:val="FootnoteText"/>
        <w:rPr/>
      </w:pPr>
      <w:r>
        <w:rPr/>
        <w:t>To give a general example first, “there will be rain if there are clouds” would mean it always rains whenever there are clouds. Clouds are sufficient for rain. However, “there will be rain only if there are clouds”, just means it cannot rain without clouds. Clouds are necessary for rain. In the context of Dependent Arising “there will be craving if there are sensations” would mean there will be craving whenever there are sensations. Sensations would be sufficient for craving. This is incorrect, because enlightened beings still experience sensations yet don’t have craving, and even when you’re not enlightened, you can experience sensations without craving, like in deep meditation. However, the translation “there will be craving only if there are sensations” instead means sensations are just a necessary condition for craving. Likewise, birth is not a sufficient condition for old age, since beings can die young. So there will be old age only if there is birth, not if there is birth. Or, if in §83 we were to translate the mutual dependency between consciousness and the immaterial aspects and body as “there will be the immaterial aspects and body if there is consciousness [and] there will be consciousness if there are the immaterial aspects and body”, we would technically say that the two factors keep each other in existence, since there are two statements of sufficiency. However, “there will the immaterial aspects and body only if there is consciousness [and] there will be consciousness only if there are the immaterial aspects and body” leaves room for ignorance and wilful actions to also be required. This mutual dependency is of course exactly what the simile of the bundles of reeds portrays (§95). The idea is that one bundle can stand only if the other stands; not that if one stands, the other also stands automatically.</w:t>
      </w:r>
    </w:p>
    <w:p>
      <w:pPr>
        <w:pStyle w:val="FootnoteText"/>
        <w:rPr/>
      </w:pPr>
      <w:r>
        <w:rPr/>
      </w:r>
    </w:p>
    <w:p>
      <w:pPr>
        <w:pStyle w:val="FootnoteText"/>
        <w:rPr/>
      </w:pPr>
      <w:r>
        <w:rPr/>
        <w:t>Furthermore, if the links in Dependent Arising were translated as sufficient conditions (that is, using ‘if’ instead of ‘only if’) technically there could also be other sufficient conditions that lead to the same results. For example, wilful actions could then logically have been the result of something other than ignorance—knowledge, let’s say. For it would then be possible to say: “There will be wilful actions if there is ignorance, and there will be wilful actions if there is knowledge.” With ‘only if’ this does not work (as it shouldn’t): “There will be wilful actions only if there is ignorance, and there will be wilful actions only if there is knowledge.” The two statements conflict, because they are necessary conditions with opposing requirements. The whole point of the sequence of dependent arising is that all links are necessary conditions. Otherwise suffering could technically have been brought about through something other than ignorance.</w:t>
      </w:r>
    </w:p>
    <w:p>
      <w:pPr>
        <w:pStyle w:val="FootnoteText"/>
        <w:rPr/>
      </w:pPr>
      <w:r>
        <w:rPr/>
      </w:r>
    </w:p>
    <w:p>
      <w:pPr>
        <w:pStyle w:val="FootnoteText"/>
        <w:rPr/>
      </w:pPr>
      <w:r>
        <w:rPr/>
        <w:t xml:space="preserve">The underlying issue is, this difference between ‘if’ and ‘only if’ does not exist in Pāli. The locative absolute can be translated as either, depending on the context. However, the context of Dependent Arising demands the latter. It demands necessary conditions. See also </w:t>
      </w:r>
      <w:r>
        <w:rPr>
          <w:rStyle w:val="wwc-sesame-zot-reference"/>
        </w:rPr>
        <w:t>Jayatilleke</w:t>
      </w:r>
      <w:r>
        <w:rPr/>
        <w:t xml:space="preserve"> p.449 on this phrase: “B does not occur unless A is present and occurs </w:t>
      </w:r>
      <w:r>
        <w:rPr>
          <w:i/>
          <w:iCs/>
        </w:rPr>
        <w:t>only</w:t>
      </w:r>
      <w:r>
        <w:rPr/>
        <w:t xml:space="preserve"> when A is present.” (emphasis added)</w:t>
      </w:r>
    </w:p>
    <w:p>
      <w:pPr>
        <w:pStyle w:val="FootnoteText"/>
        <w:rPr/>
      </w:pPr>
      <w:r>
        <w:rPr/>
      </w:r>
    </w:p>
    <w:p>
      <w:pPr>
        <w:pStyle w:val="WW-gloss-term"/>
        <w:rPr/>
      </w:pPr>
      <w:r>
        <w:rPr/>
        <w:t>28</w:t>
      </w:r>
    </w:p>
    <w:p>
      <w:pPr>
        <w:pStyle w:val="FootnoteText"/>
        <w:rPr/>
      </w:pPr>
      <w:r>
        <w:rPr/>
        <w:t xml:space="preserve">See also </w:t>
      </w:r>
      <w:r>
        <w:rPr>
          <w:rStyle w:val="wwc-sesame-zot-reference"/>
        </w:rPr>
        <w:t>Shulman</w:t>
      </w:r>
      <w:r>
        <w:rPr/>
        <w:t xml:space="preserve"> p.299</w:t>
      </w:r>
    </w:p>
    <w:p>
      <w:pPr>
        <w:pStyle w:val="WW-gloss-term"/>
        <w:rPr/>
      </w:pPr>
      <w:r>
        <w:rPr/>
        <w:t>29</w:t>
      </w:r>
    </w:p>
    <w:p>
      <w:pPr>
        <w:pStyle w:val="FootnoteText"/>
        <w:rPr/>
      </w:pPr>
      <w:r>
        <w:rPr/>
        <w:t>More literally, ‘dependency (</w:t>
      </w:r>
      <w:r>
        <w:rPr>
          <w:rStyle w:val="wwc-pali"/>
        </w:rPr>
        <w:t>paccayatā</w:t>
      </w:r>
      <w:r>
        <w:rPr/>
        <w:t>) on something (</w:t>
      </w:r>
      <w:r>
        <w:rPr>
          <w:rStyle w:val="wwc-pali"/>
        </w:rPr>
        <w:t>idap</w:t>
      </w:r>
      <w:r>
        <w:rPr/>
        <w:t xml:space="preserve">)’. The term </w:t>
      </w:r>
      <w:r>
        <w:rPr>
          <w:rStyle w:val="wwc-pali"/>
        </w:rPr>
        <w:t>idappaccayatā</w:t>
      </w:r>
      <w:r>
        <w:rPr/>
        <w:t xml:space="preserve"> is sometimes translated as ‘causality’, which may work too. However, to many people ‘to cause’ means “to actively produce as a result” (Wiktionary.com s.v. ‘cause’)—think of billiard balls bouncing against one another—and in context of Dependent Arising this kind of causality does not always apply. Birth does not actively produce death, for example. It is heart attacks and car crashes that do so, arguably. Neither do sensations actively produce craving: it is ignorance that does. Also, consciousness and </w:t>
      </w:r>
      <w:r>
        <w:rPr>
          <w:rStyle w:val="wwc-pali"/>
        </w:rPr>
        <w:t>nāmarūpa</w:t>
      </w:r>
      <w:r>
        <w:rPr/>
        <w:t xml:space="preserve">, which are mutually dependent, do not cause one another in an active way. They just rely on one another, as the simile of the reeds at §95 illustrates, both being in a sense “actively produced” by wilful actions. </w:t>
      </w:r>
      <w:r>
        <w:rPr>
          <w:rStyle w:val="wwc-sesame-zot-reference"/>
        </w:rPr>
        <w:t>Jones 2022</w:t>
      </w:r>
      <w:r>
        <w:rPr/>
        <w:t xml:space="preserve"> p.135 agreed: “To understand them as a causal sequence, whereby ignorance is the cause of the inherited conditioning factors (</w:t>
      </w:r>
      <w:r>
        <w:rPr>
          <w:rStyle w:val="wwc-pali"/>
        </w:rPr>
        <w:t>saṅkhārā</w:t>
      </w:r>
      <w:r>
        <w:rPr/>
        <w:t>), feeling (</w:t>
      </w:r>
      <w:r>
        <w:rPr>
          <w:rStyle w:val="wwc-pali"/>
        </w:rPr>
        <w:t>vedanā</w:t>
      </w:r>
      <w:r>
        <w:rPr/>
        <w:t>) is the cause of craving, birth is the cause of ageing and death, and so on, leads to obscurity and contradiction. But to understand each of these conditionally-arisen phenomena as necessary and sometimes sufficient conditions for the arising of the next in the sequence allows for interpretations that are truer to the teachings.”</w:t>
      </w:r>
    </w:p>
    <w:p>
      <w:pPr>
        <w:pStyle w:val="FootnoteText"/>
        <w:rPr/>
      </w:pPr>
      <w:r>
        <w:rPr/>
      </w:r>
    </w:p>
    <w:p>
      <w:pPr>
        <w:pStyle w:val="FootnoteText"/>
        <w:rPr/>
      </w:pPr>
      <w:r>
        <w:rPr/>
        <w:t xml:space="preserve">In everyday contexts the words </w:t>
      </w:r>
      <w:r>
        <w:rPr>
          <w:rStyle w:val="wwc-pali"/>
        </w:rPr>
        <w:t>paṭicca</w:t>
      </w:r>
      <w:r>
        <w:rPr/>
        <w:t xml:space="preserve"> and </w:t>
      </w:r>
      <w:r>
        <w:rPr>
          <w:rStyle w:val="wwc-pali"/>
        </w:rPr>
        <w:t>paccaya</w:t>
      </w:r>
      <w:r>
        <w:rPr/>
        <w:t xml:space="preserve"> also do not indicate what we normally call ‘causes’. It is said that the body depends on (</w:t>
      </w:r>
      <w:r>
        <w:rPr>
          <w:rStyle w:val="wwc-pali"/>
        </w:rPr>
        <w:t>paṭicca</w:t>
      </w:r>
      <w:r>
        <w:rPr/>
        <w:t>) food, and will die without it.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46.2:1.2</w:t>
      </w:r>
      <w:r>
        <w:rPr>
          <w:rStyle w:val="Hyperlink"/>
        </w:rPr>
        <w:fldChar w:fldCharType="end"/>
      </w:r>
      <w:r>
        <w:rPr/>
        <w:t xml:space="preserve">) Food is not the cause of the body: it is just one condition necessary for its continuance. In context of Dependent Arising itself, the </w:t>
      </w:r>
      <w:r>
        <w:rPr>
          <w:rStyle w:val="wwc-sesame"/>
        </w:rPr>
        <w:t>Longer Discourse on the Ending of Craving</w:t>
      </w:r>
      <w:r>
        <w:rPr/>
        <w:t xml:space="preserve"> mentions that fire depends on (</w:t>
      </w:r>
      <w:r>
        <w:rPr>
          <w:rStyle w:val="wwc-pali"/>
        </w:rPr>
        <w:t>paṭicca</w:t>
      </w:r>
      <w:r>
        <w:rPr/>
        <w:t xml:space="preserve">) fuel. (§102) Fuel by itself does not really cause fire either. As to </w:t>
      </w:r>
      <w:r>
        <w:rPr>
          <w:rStyle w:val="wwc-pali"/>
        </w:rPr>
        <w:t>paccaya</w:t>
      </w:r>
      <w:r>
        <w:rPr/>
        <w:t>, a noble disciple is said to be ‘not dependent on others’ (</w:t>
      </w:r>
      <w:r>
        <w:rPr>
          <w:rStyle w:val="wwc-pali"/>
        </w:rPr>
        <w:t>aparappaccaya</w:t>
      </w:r>
      <w:r>
        <w:rPr/>
        <w:t>). These and other everyday uses of the words also indicate that Dependent Arising is about dependencies, not causalities, at least not in the way the word ‘cause’ is sometimes understood.</w:t>
      </w:r>
    </w:p>
    <w:p>
      <w:pPr>
        <w:pStyle w:val="FootnoteText"/>
        <w:rPr/>
      </w:pPr>
      <w:r>
        <w:rPr/>
      </w:r>
    </w:p>
    <w:p>
      <w:pPr>
        <w:pStyle w:val="FootnoteText"/>
        <w:rPr/>
      </w:pPr>
      <w:r>
        <w:rPr/>
        <w:t xml:space="preserve">The word </w:t>
      </w:r>
      <w:r>
        <w:rPr>
          <w:rStyle w:val="wwc-pali"/>
        </w:rPr>
        <w:t>nidāna</w:t>
      </w:r>
      <w:r>
        <w:rPr/>
        <w:t xml:space="preserve"> is sometimes also translated as ‘cause’, particularly in the title of the </w:t>
      </w:r>
      <w:r>
        <w:rPr>
          <w:rStyle w:val="wwc-sesame"/>
        </w:rPr>
        <w:t>Mahānidāna Sutta</w:t>
      </w:r>
      <w:r>
        <w:rPr/>
        <w:t xml:space="preserve">, then called ‘The Great Discourse on Causality’. But a common translation for the word itself is ‘source’, which I think is more accurate. See for example </w:t>
      </w:r>
      <w:r>
        <w:rPr>
          <w:rStyle w:val="wwc-sesame-zot-referenc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rPr>
          <w:rStyle w:val="wwc-sesame"/>
        </w:rPr>
        <w:t>Nidāna Sutta</w:t>
      </w:r>
      <w:r>
        <w:rPr/>
        <w:t xml:space="preserve">, titled ‘Sources’. As another example, discourses stemming from Sāvatthi are called </w:t>
      </w:r>
      <w:r>
        <w:rPr>
          <w:rStyle w:val="wwc-pali"/>
        </w:rPr>
        <w:t>Sāvatthi-nidānaṁ</w:t>
      </w:r>
      <w:r>
        <w:rPr/>
        <w:t xml:space="preserve">. In this light, the </w:t>
      </w:r>
      <w:r>
        <w:rPr>
          <w:rStyle w:val="wwc-sesame"/>
        </w:rPr>
        <w:t>Mahānidāna Sutta</w:t>
      </w:r>
      <w:r>
        <w:rPr/>
        <w:t xml:space="preserve"> should be called something like ‘The Great Discourse on the Sources [of things]’, although that definitely doesn’t sound as good. </w:t>
      </w:r>
      <w:r>
        <w:rPr>
          <w:rStyle w:val="wwc-sesame-zot-reference"/>
        </w:rPr>
        <w:t>Schmithausen 2000</w:t>
      </w:r>
      <w:r>
        <w:rPr/>
        <w:t xml:space="preserve"> calls it the Great Discourse on the Underlying Factors (</w:t>
      </w:r>
      <w:r>
        <w:rPr>
          <w:i/>
          <w:iCs/>
        </w:rPr>
        <w:t>Großen Lehrrede von den zugrundeliegenden Factoren</w:t>
      </w:r>
      <w:r>
        <w:rPr/>
        <w:t>). In this book I just refer to the discourse by its Pāli name.</w:t>
      </w:r>
    </w:p>
    <w:p>
      <w:pPr>
        <w:pStyle w:val="FootnoteText"/>
        <w:rPr/>
      </w:pPr>
      <w:r>
        <w:rPr/>
      </w:r>
    </w:p>
    <w:p>
      <w:pPr>
        <w:pStyle w:val="FootnoteText"/>
        <w:rPr/>
      </w:pPr>
      <w:r>
        <w:rPr/>
        <w:t xml:space="preserve">All that said, ‘causality’ is not wrong per se. There are various ways to define the term, some of which do not differ much from dependency, if at all. Pragmatically the difference between the two may have limited relevance as well, because whether we say death depends on birth or death is caused by birth, the fundamental problem remains the same. Many of the links are also causal no matter how we interpret it. I also use the word ‘cause’ in the main text, although in the translations I stuck to ‘condition’ for </w:t>
      </w:r>
      <w:r>
        <w:rPr>
          <w:rStyle w:val="wwc-pali"/>
        </w:rPr>
        <w:t>hetu</w:t>
      </w:r>
      <w:r>
        <w:rPr/>
        <w:t xml:space="preserve"> and ‘requirement’ for </w:t>
      </w:r>
      <w:r>
        <w:rPr>
          <w:rStyle w:val="wwc-pali"/>
        </w:rPr>
        <w:t>paccaya</w:t>
      </w:r>
      <w:r>
        <w:rPr/>
        <w:t>. The words have a range of meaning that does not match a single English word, so these translations are not applicable throughout the canon, but they do work in the present context.</w:t>
      </w:r>
    </w:p>
    <w:p>
      <w:pPr>
        <w:pStyle w:val="FootnoteText"/>
        <w:rPr/>
      </w:pPr>
      <w:r>
        <w:rPr/>
      </w:r>
    </w:p>
    <w:p>
      <w:pPr>
        <w:pStyle w:val="WW-gloss-term"/>
        <w:rPr/>
      </w:pPr>
      <w:r>
        <w:rPr/>
        <w:t>30</w:t>
      </w:r>
    </w:p>
    <w:p>
      <w:pPr>
        <w:pStyle w:val="FootnoteText"/>
        <w:rPr/>
      </w:pPr>
      <w:r>
        <w:rPr/>
        <w:t xml:space="preserve">See also </w:t>
      </w:r>
      <w:r>
        <w:rPr>
          <w:rStyle w:val="wwc-sesame-zot-reference"/>
        </w:rPr>
        <w:t>Brahmavamso 2002</w:t>
      </w:r>
    </w:p>
    <w:p>
      <w:pPr>
        <w:pStyle w:val="WW-gloss-term"/>
        <w:rPr/>
      </w:pPr>
      <w:r>
        <w:rPr/>
        <w:t>31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15:1.8</w:t>
      </w:r>
      <w:r>
        <w:rPr>
          <w:rStyle w:val="Hyperlink"/>
        </w:rPr>
        <w:fldChar w:fldCharType="end"/>
      </w:r>
      <w:r>
        <w:rPr/>
        <w:t xml:space="preserve"> </w:t>
      </w:r>
      <w:r>
        <w:rPr>
          <w:rStyle w:val="wwc-PTS-reference"/>
        </w:rPr>
        <w:t>D II 55</w:t>
      </w:r>
    </w:p>
    <w:p>
      <w:pPr>
        <w:pStyle w:val="WW-gloss-term"/>
        <w:rPr/>
      </w:pPr>
      <w:r>
        <w:rPr/>
        <w:t>32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p>
      <w:pPr>
        <w:pStyle w:val="WW-gloss-term"/>
        <w:rPr/>
      </w:pPr>
      <w:r>
        <w:rPr/>
        <w:t>33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12.23:4.3–4.5</w:t>
      </w:r>
      <w:r>
        <w:rPr>
          <w:rStyle w:val="Hyperlink"/>
        </w:rPr>
        <w:fldChar w:fldCharType="end"/>
      </w:r>
    </w:p>
    <w:p>
      <w:pPr>
        <w:pStyle w:val="WW-gloss-term"/>
        <w:rPr/>
      </w:pPr>
      <w:r>
        <w:rPr/>
        <w:t>34</w:t>
      </w:r>
    </w:p>
    <w:p>
      <w:pPr>
        <w:pStyle w:val="FootnoteText"/>
        <w:rPr/>
      </w:pPr>
      <w:r>
        <w:rPr/>
        <w:t xml:space="preserve">See </w:t>
      </w:r>
      <w:r>
        <w:rPr>
          <w:rStyle w:val="wwc-sesame-zot-reference"/>
        </w:rPr>
        <w:t>Collins</w:t>
      </w:r>
      <w:r>
        <w:rPr/>
        <w:t xml:space="preserve"> p.109</w:t>
      </w:r>
    </w:p>
    <w:p>
      <w:pPr>
        <w:pStyle w:val="WW-gloss-term"/>
        <w:rPr/>
      </w:pPr>
      <w:r>
        <w:rPr/>
        <w:t>35</w:t>
      </w:r>
    </w:p>
    <w:p>
      <w:pPr>
        <w:pStyle w:val="FootnoteText"/>
        <w:rPr/>
      </w:pPr>
      <w:hyperlink r:id="rId2">
        <w:r>
          <w:rPr>
            <w:rStyle w:val="Hyperlink"/>
          </w:rPr>
          <w:t>Wikipedia s.v. ‘presentism’</w:t>
        </w:r>
      </w:hyperlink>
      <w:r>
        <w:rPr/>
        <w:t>.</w:t>
      </w:r>
    </w:p>
    <w:p>
      <w:pPr>
        <w:pStyle w:val="WW-gloss-term"/>
        <w:rPr/>
      </w:pPr>
      <w:r>
        <w:rPr/>
        <w:t>36</w:t>
      </w:r>
    </w:p>
    <w:p>
      <w:pPr>
        <w:pStyle w:val="FootnoteText"/>
        <w:rPr/>
      </w:pPr>
      <w:r>
        <w:rPr>
          <w:rStyle w:val="wwc-sesame-zot-reference"/>
        </w:rPr>
        <w:t>Norman 1997</w:t>
      </w:r>
      <w:r>
        <w:rPr/>
        <w:t xml:space="preserve"> p.21</w:t>
      </w:r>
    </w:p>
    <w:p>
      <w:pPr>
        <w:pStyle w:val="WW-gloss-term"/>
        <w:rPr/>
      </w:pPr>
      <w:r>
        <w:rPr/>
        <w:t>37</w:t>
      </w:r>
    </w:p>
    <w:p>
      <w:pPr>
        <w:pStyle w:val="FootnoteText"/>
        <w:rPr/>
      </w:pPr>
      <w:r>
        <w:rPr/>
        <w:t xml:space="preserve">For traditional interpretations see for example </w:t>
      </w:r>
      <w:r>
        <w:rPr>
          <w:rStyle w:val="wwc-sesame-zot-reference"/>
        </w:rPr>
        <w:t>Wayman 1971</w:t>
      </w:r>
    </w:p>
    <w:p>
      <w:pPr>
        <w:pStyle w:val="WW-gloss-term"/>
        <w:rPr/>
      </w:pPr>
      <w:r>
        <w:rPr/>
        <w:t>38</w:t>
      </w:r>
    </w:p>
    <w:p>
      <w:pPr>
        <w:pStyle w:val="FootnoteText"/>
        <w:rPr/>
      </w:pPr>
      <w:r>
        <w:rPr>
          <w:rStyle w:val="wwc-sesame"/>
        </w:rPr>
        <w:t>Vism</w:t>
      </w:r>
      <w:r>
        <w:rPr/>
        <w:t xml:space="preserve"> 523. See also </w:t>
      </w:r>
      <w:r>
        <w:rPr>
          <w:rStyle w:val="wwc-sesame-zot-reference"/>
        </w:rPr>
        <w:t>Nyanatiloka</w:t>
      </w:r>
      <w:r>
        <w:rPr/>
        <w:t xml:space="preserve"> p.7</w:t>
      </w:r>
    </w:p>
    <w:p>
      <w:pPr>
        <w:pStyle w:val="WW-gloss-term"/>
        <w:rPr/>
      </w:pPr>
      <w:r>
        <w:rPr/>
        <w:t>39</w:t>
      </w:r>
    </w:p>
    <w:p>
      <w:pPr>
        <w:pStyle w:val="FootnoteText"/>
        <w:rPr/>
      </w:pPr>
      <w:r>
        <w:rPr/>
        <w:t xml:space="preserve">For example </w:t>
      </w:r>
      <w:r>
        <w:rPr>
          <w:rStyle w:val="wwc-sesame-zot-reference"/>
        </w:rPr>
        <w:t>Frauwallner 1953/1973</w:t>
      </w:r>
      <w:r>
        <w:rPr/>
        <w:t xml:space="preserve"> p.156 &amp; 167, </w:t>
      </w:r>
      <w:r>
        <w:rPr>
          <w:rStyle w:val="wwc-sesame-zot-reference"/>
        </w:rPr>
        <w:t>Bernhard</w:t>
      </w:r>
      <w:r>
        <w:rPr/>
        <w:t xml:space="preserve"> p.56, </w:t>
      </w:r>
      <w:r>
        <w:rPr>
          <w:rStyle w:val="wwc-sesame-zot-reference"/>
        </w:rPr>
        <w:t>Wayman 1971</w:t>
      </w:r>
      <w:r>
        <w:rPr/>
        <w:t xml:space="preserve"> p.186, </w:t>
      </w:r>
      <w:r>
        <w:rPr>
          <w:rStyle w:val="wwc-sesame-zot-reference"/>
        </w:rPr>
        <w:t>Collins</w:t>
      </w:r>
      <w:r>
        <w:rPr/>
        <w:t xml:space="preserve"> p.108, </w:t>
      </w:r>
      <w:r>
        <w:rPr>
          <w:rStyle w:val="wwc-sesame-zot-reference"/>
        </w:rPr>
        <w:t>Vetter 1988</w:t>
      </w:r>
      <w:r>
        <w:rPr/>
        <w:t xml:space="preserve"> p.46, </w:t>
      </w:r>
      <w:r>
        <w:rPr>
          <w:rStyle w:val="wwc-sesame-zot-reference"/>
        </w:rPr>
        <w:t>Vetter 1994</w:t>
      </w:r>
      <w:r>
        <w:rPr/>
        <w:t xml:space="preserve">, </w:t>
      </w:r>
      <w:r>
        <w:rPr>
          <w:rStyle w:val="wwc-sesame-zot-reference"/>
        </w:rPr>
        <w:t>Mejor</w:t>
      </w:r>
      <w:r>
        <w:rPr/>
        <w:t xml:space="preserve"> p.123, </w:t>
      </w:r>
      <w:r>
        <w:rPr>
          <w:rStyle w:val="wwc-sesame-zot-reference"/>
        </w:rPr>
        <w:t>Schmithausen 2000</w:t>
      </w:r>
      <w:r>
        <w:rPr/>
        <w:t xml:space="preserve"> p.45, </w:t>
      </w:r>
      <w:r>
        <w:rPr>
          <w:rStyle w:val="wwc-sesame-zot-reference"/>
        </w:rPr>
        <w:t>Jurewicz</w:t>
      </w:r>
      <w:r>
        <w:rPr/>
        <w:t xml:space="preserve"> p.177, </w:t>
      </w:r>
      <w:r>
        <w:rPr>
          <w:rStyle w:val="wwc-sesame-zot-reference"/>
        </w:rPr>
        <w:t>Ronkin</w:t>
      </w:r>
      <w:r>
        <w:rPr/>
        <w:t xml:space="preserve"> n.43 p.238, </w:t>
      </w:r>
      <w:r>
        <w:rPr>
          <w:rStyle w:val="wwc-sesame-zot-reference"/>
        </w:rPr>
        <w:t>Shulman</w:t>
      </w:r>
      <w:r>
        <w:rPr/>
        <w:t xml:space="preserve"> p.89 n.71, </w:t>
      </w:r>
      <w:r>
        <w:rPr>
          <w:rStyle w:val="wwc-sesame-zot-reference"/>
        </w:rPr>
        <w:t>Gombrich 2009</w:t>
      </w:r>
      <w:r>
        <w:rPr/>
        <w:t xml:space="preserve"> p.138</w:t>
      </w:r>
    </w:p>
    <w:p>
      <w:pPr>
        <w:pStyle w:val="WW-gloss-term"/>
        <w:rPr/>
      </w:pPr>
      <w:r>
        <w:rPr/>
        <w:t>40</w:t>
      </w:r>
    </w:p>
    <w:p>
      <w:pPr>
        <w:pStyle w:val="FootnoteText"/>
        <w:rPr/>
      </w:pPr>
      <w:r>
        <w:rPr>
          <w:rStyle w:val="wwc-sesame-zot-reference"/>
        </w:rPr>
        <w:t>Vetter 1988</w:t>
      </w:r>
      <w:r>
        <w:rPr/>
        <w:t xml:space="preserve"> p.46</w:t>
      </w:r>
    </w:p>
    <w:p>
      <w:pPr>
        <w:pStyle w:val="WW-gloss-term"/>
        <w:rPr/>
      </w:pPr>
      <w:r>
        <w:rPr/>
        <w:t>41</w:t>
      </w:r>
    </w:p>
    <w:p>
      <w:pPr>
        <w:pStyle w:val="FootnoteText"/>
        <w:rPr/>
      </w:pPr>
      <w:r>
        <w:rPr>
          <w:rStyle w:val="wwc-sesame-zot-reference"/>
        </w:rPr>
        <w:t>Bernhard</w:t>
      </w:r>
      <w:r>
        <w:rPr/>
        <w:t xml:space="preserve"> p.56, translation mine</w:t>
      </w:r>
    </w:p>
    <w:p>
      <w:pPr>
        <w:pStyle w:val="WW-gloss-term"/>
        <w:rPr/>
      </w:pPr>
      <w:r>
        <w:rPr/>
        <w:t>42</w:t>
      </w:r>
    </w:p>
    <w:p>
      <w:pPr>
        <w:pStyle w:val="FootnoteText"/>
        <w:rPr/>
      </w:pPr>
      <w:hyperlink r:id="rId3">
        <w:r>
          <w:rPr>
            <w:rStyle w:val="Hyperlink"/>
          </w:rPr>
          <w:t>MĀ 97</w:t>
        </w:r>
      </w:hyperlink>
      <w:r>
        <w:rPr/>
        <w:t xml:space="preserve">, </w:t>
      </w:r>
      <w:hyperlink r:id="rId4">
        <w:r>
          <w:rPr>
            <w:rStyle w:val="Hyperlink"/>
          </w:rPr>
          <w:t>T 14</w:t>
        </w:r>
      </w:hyperlink>
      <w:r>
        <w:rPr/>
        <w:t xml:space="preserve">, and </w:t>
      </w:r>
      <w:hyperlink r:id="rId5">
        <w:r>
          <w:rPr>
            <w:rStyle w:val="Hyperlink"/>
          </w:rPr>
          <w:t>T 52</w:t>
        </w:r>
      </w:hyperlink>
      <w:r>
        <w:rPr/>
        <w:t xml:space="preserve">. As also observed by </w:t>
      </w:r>
      <w:r>
        <w:rPr>
          <w:rStyle w:val="wwc-sesame-zot-reference"/>
        </w:rPr>
        <w:t>Vetter 1994</w:t>
      </w:r>
    </w:p>
    <w:p>
      <w:pPr>
        <w:pStyle w:val="WW-gloss-term"/>
        <w:rPr/>
      </w:pPr>
      <w:r>
        <w:rPr/>
        <w:t>43</w:t>
      </w:r>
    </w:p>
    <w:p>
      <w:pPr>
        <w:pStyle w:val="FootnoteText"/>
        <w:rPr/>
      </w:pPr>
      <w:hyperlink r:id="rId6">
        <w:r>
          <w:rPr>
            <w:rStyle w:val="Hyperlink"/>
          </w:rPr>
          <w:t>DĀ 13</w:t>
        </w:r>
      </w:hyperlink>
    </w:p>
    <w:p>
      <w:pPr>
        <w:pStyle w:val="WW-gloss-term"/>
        <w:rPr/>
      </w:pPr>
      <w:r>
        <w:rPr/>
        <w:t>44</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12.43</w:t>
      </w:r>
      <w:r>
        <w:rPr>
          <w:rStyle w:val="Hyperlink"/>
        </w:rPr>
        <w:fldChar w:fldCharType="end"/>
      </w:r>
    </w:p>
    <w:p>
      <w:pPr>
        <w:pStyle w:val="WW-gloss-term"/>
        <w:rPr/>
      </w:pPr>
      <w:r>
        <w:rPr/>
        <w:t>45</w:t>
      </w:r>
    </w:p>
    <w:p>
      <w:pPr>
        <w:pStyle w:val="FootnoteText"/>
        <w:rPr/>
      </w:pPr>
      <w:r>
        <w:rPr/>
        <w:t xml:space="preserve">Arguing for a late construction of the twelvefold sequence are for example </w:t>
      </w:r>
      <w:r>
        <w:rPr>
          <w:rStyle w:val="wwc-sesame-zot-reference"/>
        </w:rPr>
        <w:t>Vetter 1994</w:t>
      </w:r>
      <w:r>
        <w:rPr/>
        <w:t xml:space="preserve"> and </w:t>
      </w:r>
      <w:r>
        <w:rPr>
          <w:rStyle w:val="wwc-sesame-zot-reference"/>
        </w:rPr>
        <w:t>Bucknell</w:t>
      </w:r>
      <w:r>
        <w:rPr/>
        <w:t xml:space="preserve">. On the other hand, </w:t>
      </w:r>
      <w:r>
        <w:rPr>
          <w:rStyle w:val="wwc-sesame-zot-reference"/>
        </w:rPr>
        <w:t>Frauwallner 1953/1973</w:t>
      </w:r>
      <w:r>
        <w:rPr/>
        <w:t xml:space="preserve"> p.156, although he suggests two separate sequences were later joined together, believes it was the Buddha who did so. </w:t>
      </w:r>
      <w:r>
        <w:rPr>
          <w:rStyle w:val="wwc-sesame-zot-reference"/>
        </w:rPr>
        <w:t>Wayman 1971</w:t>
      </w:r>
      <w:r>
        <w:rPr/>
        <w:t xml:space="preserve"> p.185 is also of this opinion.</w:t>
      </w:r>
    </w:p>
    <w:p>
      <w:pPr>
        <w:pStyle w:val="WW-gloss-term"/>
        <w:rPr/>
      </w:pPr>
      <w:r>
        <w:rPr/>
        <w:t>46</w:t>
      </w:r>
    </w:p>
    <w:p>
      <w:pPr>
        <w:pStyle w:val="FootnoteText"/>
        <w:rPr/>
      </w:pPr>
      <w:r>
        <w:rPr/>
        <w:t xml:space="preserve">See </w:t>
      </w:r>
      <w:r>
        <w:rPr>
          <w:rStyle w:val="wwc-sesame-zot-reference"/>
        </w:rPr>
        <w:t>Bernhard</w:t>
      </w:r>
    </w:p>
    <w:p>
      <w:pPr>
        <w:pStyle w:val="WW-gloss-term"/>
        <w:rPr/>
      </w:pPr>
      <w:r>
        <w:rPr/>
        <w:t>47</w:t>
      </w:r>
    </w:p>
    <w:p>
      <w:pPr>
        <w:pStyle w:val="FootnoteText"/>
        <w:rPr/>
      </w:pPr>
      <w:r>
        <w:rPr>
          <w:rStyle w:val="wwc-sesame"/>
        </w:rPr>
        <w:t>Vism</w:t>
      </w:r>
      <w:r>
        <w:rPr/>
        <w:t xml:space="preserve"> 525</w:t>
      </w:r>
    </w:p>
    <w:p>
      <w:pPr>
        <w:pStyle w:val="WW-gloss-term"/>
        <w:rPr/>
      </w:pPr>
      <w:r>
        <w:rPr/>
        <w:t>48</w:t>
      </w:r>
    </w:p>
    <w:p>
      <w:pPr>
        <w:pStyle w:val="FootnoteText"/>
        <w:rPr/>
      </w:pPr>
      <w:r>
        <w:rPr/>
        <w:t xml:space="preserve">See also </w:t>
      </w:r>
      <w:r>
        <w:rPr>
          <w:rStyle w:val="wwc-sesame-zot-reference"/>
        </w:rPr>
        <w:t>Ronkin</w:t>
      </w:r>
      <w:r>
        <w:rPr/>
        <w:t xml:space="preserve"> n.43 p.238</w:t>
      </w:r>
    </w:p>
    <w:p>
      <w:pPr>
        <w:pStyle w:val="WW-gloss-term"/>
        <w:rPr/>
      </w:pPr>
      <w:r>
        <w:rPr/>
        <w:t>49</w:t>
      </w:r>
    </w:p>
    <w:p>
      <w:pPr>
        <w:pStyle w:val="FootnoteText"/>
        <w:rPr/>
      </w:pPr>
      <w:r>
        <w:rPr/>
        <w:t xml:space="preserve">See for example </w:t>
      </w:r>
      <w:r>
        <w:rPr>
          <w:rStyle w:val="wwc-sesame"/>
        </w:rPr>
        <w:t>SN 15</w:t>
      </w:r>
      <w:r>
        <w:rPr/>
        <w:t xml:space="preserve"> on transmigration having no discernable beginning. For the synonymity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3.66:11.1–13.1</w:t>
      </w:r>
      <w:r>
        <w:rPr>
          <w:rStyle w:val="Hyperlink"/>
        </w:rPr>
        <w:fldChar w:fldCharType="end"/>
      </w:r>
      <w:r>
        <w:rPr/>
        <w:t>: “‘Salha, is there delusion?’—‘Yes, venerable sir.’—‘That is what I mean by ignorance.’”</w:t>
      </w:r>
    </w:p>
    <w:p>
      <w:pPr>
        <w:pStyle w:val="WW-gloss-term"/>
        <w:rPr/>
      </w:pPr>
      <w:r>
        <w:rPr/>
        <w:t>50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3.12:12.1–13.4</w:t>
      </w:r>
      <w:r>
        <w:rPr>
          <w:rStyle w:val="Hyperlink"/>
        </w:rPr>
        <w:fldChar w:fldCharType="end"/>
      </w:r>
    </w:p>
    <w:p>
      <w:pPr>
        <w:pStyle w:val="WW-gloss-term"/>
        <w:rPr/>
      </w:pPr>
      <w:r>
        <w:rPr/>
        <w:t>51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14</w:t>
      </w:r>
      <w:r>
        <w:rPr>
          <w:rStyle w:val="Hyperlink"/>
        </w:rPr>
        <w:fldChar w:fldCharType="end"/>
      </w:r>
    </w:p>
    <w:p>
      <w:pPr>
        <w:pStyle w:val="WW-gloss-term"/>
        <w:rPr/>
      </w:pPr>
      <w:r>
        <w:rPr/>
        <w:t>52</w:t>
      </w:r>
    </w:p>
    <w:p>
      <w:pPr>
        <w:pStyle w:val="FootnoteText"/>
        <w:rPr/>
      </w:pPr>
      <w:r>
        <w:rPr/>
        <w:t xml:space="preserve">The meaning of ‘craving as a spouse’ is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SN 35.63</w:t>
      </w:r>
      <w:r>
        <w:rPr>
          <w:rStyle w:val="Hyperlink"/>
        </w:rPr>
        <w:fldChar w:fldCharType="end"/>
      </w:r>
      <w:r>
        <w:rPr/>
        <w:t>: like the mendicant wanderers should be solitary, without a spouse, they should dwell free from craving.</w:t>
      </w:r>
    </w:p>
    <w:p>
      <w:pPr>
        <w:pStyle w:val="WW-gloss-term"/>
        <w:rPr/>
      </w:pPr>
      <w:r>
        <w:rPr/>
        <w:t>53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15</w:t>
      </w:r>
      <w:r>
        <w:rPr>
          <w:rStyle w:val="Hyperlink"/>
        </w:rPr>
        <w:fldChar w:fldCharType="end"/>
      </w:r>
    </w:p>
    <w:p>
      <w:pPr>
        <w:pStyle w:val="WW-gloss-term"/>
        <w:rPr/>
      </w:pPr>
      <w:r>
        <w:rPr/>
        <w:t>54</w:t>
      </w:r>
    </w:p>
    <w:p>
      <w:pPr>
        <w:pStyle w:val="FootnoteText"/>
        <w:rPr/>
      </w:pPr>
      <w:r>
        <w:rPr>
          <w:rStyle w:val="wwc-pali"/>
        </w:rPr>
        <w:t>Avijjānīvaraṇānaṁ sattānaṁ taṇhāsaṁyojanānaṁ sandhāvataṁ saṁsarataṁ</w:t>
      </w:r>
      <w:r>
        <w:rPr/>
        <w:t xml:space="preserve">, more literally ‘the transmigration and roaming around of beings who are obstructed by ignorance and chained by craving’, for in example §33, </w:t>
      </w:r>
      <w:r>
        <w:fldChar w:fldCharType="begin"/>
      </w:r>
      <w:r>
        <w:rPr>
          <w:rStyle w:val="Hyperlink"/>
        </w:rPr>
        <w:instrText xml:space="preserve"> HYPERLINK "https://suttacentral.net/XXX/en/sujato" \l "YYY"</w:instrText>
      </w:r>
      <w:r>
        <w:rPr>
          <w:rStyle w:val="Hyperlink"/>
        </w:rPr>
        <w:fldChar w:fldCharType="separate"/>
      </w:r>
      <w:r>
        <w:rPr>
          <w:rStyle w:val="Hyperlink"/>
        </w:rPr>
        <w:t>SN 15.1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15.20</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56.33</w:t>
      </w:r>
      <w:r>
        <w:rPr>
          <w:rStyle w:val="Hyperlink"/>
        </w:rPr>
        <w:fldChar w:fldCharType="end"/>
      </w:r>
    </w:p>
    <w:p>
      <w:pPr>
        <w:pStyle w:val="WW-gloss-term"/>
        <w:rPr/>
      </w:pPr>
      <w:r>
        <w:rPr/>
        <w:t>55</w:t>
      </w:r>
    </w:p>
    <w:p>
      <w:pPr>
        <w:pStyle w:val="FootnoteText"/>
        <w:rPr/>
      </w:pPr>
      <w:r>
        <w:rPr/>
        <w:t>§24; §108</w:t>
      </w:r>
    </w:p>
    <w:p>
      <w:pPr>
        <w:pStyle w:val="WW-gloss-term"/>
        <w:rPr/>
      </w:pPr>
      <w:r>
        <w:rPr/>
        <w:t>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33:1.9.5</w:t>
      </w:r>
      <w:r>
        <w:rPr>
          <w:rStyle w:val="Hyperlink"/>
        </w:rPr>
        <w:fldChar w:fldCharType="end"/>
      </w:r>
      <w:r>
        <w:rPr/>
        <w:t xml:space="preserve"> </w:t>
      </w:r>
      <w:r>
        <w:rPr>
          <w:rStyle w:val="wwc-PTS-reference"/>
        </w:rPr>
        <w:t>D III 212</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45.159:2.7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4.254:3.2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149:11.6</w:t>
      </w:r>
      <w:r>
        <w:rPr>
          <w:rStyle w:val="Hyperlink"/>
        </w:rPr>
        <w:fldChar w:fldCharType="end"/>
      </w:r>
      <w:r>
        <w:rPr/>
        <w:t xml:space="preserve"> </w:t>
      </w:r>
      <w:r>
        <w:rPr>
          <w:rStyle w:val="wwc-PTS-reference"/>
        </w:rPr>
        <w:t>M III 289</w:t>
      </w:r>
    </w:p>
    <w:p>
      <w:pPr>
        <w:pStyle w:val="WW-gloss-term"/>
        <w:rPr/>
      </w:pPr>
      <w:r>
        <w:rPr/>
        <w:t>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4.50:9.1–12.4</w:t>
      </w:r>
      <w:r>
        <w:rPr>
          <w:rStyle w:val="Hyperlink"/>
        </w:rPr>
        <w:fldChar w:fldCharType="end"/>
      </w:r>
    </w:p>
    <w:p>
      <w:pPr>
        <w:pStyle w:val="WW-gloss-term"/>
        <w:rPr/>
      </w:pPr>
      <w:r>
        <w:rPr/>
        <w:t>58</w:t>
      </w:r>
    </w:p>
    <w:p>
      <w:pPr>
        <w:pStyle w:val="FootnoteText"/>
        <w:rPr/>
      </w:pPr>
      <w:r>
        <w:rPr/>
        <w:t xml:space="preserve">The four knots are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DN 33:1.11.169–1.11.170</w:t>
      </w:r>
      <w:r>
        <w:rPr>
          <w:rStyle w:val="Hyperlink"/>
        </w:rPr>
        <w:fldChar w:fldCharType="end"/>
      </w:r>
      <w:r>
        <w:rPr/>
        <w:t xml:space="preserve"> as longing, ill will, attachment to precepts and observances, and dogmatism.</w:t>
      </w:r>
    </w:p>
    <w:p>
      <w:pPr>
        <w:pStyle w:val="WW-gloss-term"/>
        <w:rPr/>
      </w:pPr>
      <w:r>
        <w:rPr/>
        <w:t>59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10.5:5.1–10.4</w:t>
      </w:r>
      <w:r>
        <w:rPr>
          <w:rStyle w:val="Hyperlink"/>
        </w:rPr>
        <w:fldChar w:fldCharType="end"/>
      </w:r>
    </w:p>
    <w:p>
      <w:pPr>
        <w:pStyle w:val="WW-gloss-term"/>
        <w:rPr/>
      </w:pPr>
      <w:r>
        <w:rPr/>
        <w:t>60</w:t>
      </w:r>
    </w:p>
    <w:p>
      <w:pPr>
        <w:pStyle w:val="FootnoteText"/>
        <w:rPr/>
      </w:pPr>
      <w:r>
        <w:rPr/>
        <w:t xml:space="preserve">For example §62, </w:t>
      </w:r>
      <w:r>
        <w:fldChar w:fldCharType="begin"/>
      </w:r>
      <w:r>
        <w:rPr>
          <w:rStyle w:val="Hyperlink"/>
        </w:rPr>
        <w:instrText xml:space="preserve"> HYPERLINK "https://suttacentral.net/XXX/en/sujato" \l "YYY"</w:instrText>
      </w:r>
      <w:r>
        <w:rPr>
          <w:rStyle w:val="Hyperlink"/>
        </w:rPr>
        <w:fldChar w:fldCharType="separate"/>
      </w:r>
      <w:r>
        <w:rPr>
          <w:rStyle w:val="Hyperlink"/>
        </w:rPr>
        <w:t>Dhp 337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338</w:t>
      </w:r>
      <w:r>
        <w:rPr>
          <w:rStyle w:val="Hyperlink"/>
        </w:rPr>
        <w:fldChar w:fldCharType="end"/>
      </w:r>
    </w:p>
    <w:p>
      <w:pPr>
        <w:pStyle w:val="WW-gloss-term"/>
        <w:rPr/>
      </w:pPr>
      <w:r>
        <w:rPr/>
        <w:t>61</w:t>
      </w:r>
    </w:p>
    <w:p>
      <w:pPr>
        <w:pStyle w:val="FootnoteText"/>
        <w:rPr/>
      </w:pPr>
      <w:r>
        <w:rPr/>
        <w:t xml:space="preserve">§26, §79.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12.11</w:t>
      </w:r>
      <w:r>
        <w:rPr>
          <w:rStyle w:val="Hyperlink"/>
        </w:rPr>
        <w:fldChar w:fldCharType="end"/>
      </w:r>
      <w:r>
        <w:rPr/>
        <w:t>, which first goes through the ignorance sequence in reverse order, from sensations back to ignorance, but then through the whole twelvefold sequence in forward order, from ignorance down to old age and death.</w:t>
      </w:r>
    </w:p>
    <w:p>
      <w:pPr>
        <w:pStyle w:val="WW-gloss-term"/>
        <w:rPr/>
      </w:pPr>
      <w:r>
        <w:rPr/>
        <w:t>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10.62:1.1–2.3</w:t>
      </w:r>
      <w:r>
        <w:rPr>
          <w:rStyle w:val="Hyperlink"/>
        </w:rPr>
        <w:fldChar w:fldCharType="end"/>
      </w:r>
    </w:p>
    <w:p>
      <w:pPr>
        <w:pStyle w:val="WW-gloss-term"/>
        <w:rPr/>
      </w:pPr>
      <w:r>
        <w:rPr/>
        <w:t>63</w:t>
      </w:r>
    </w:p>
    <w:p>
      <w:pPr>
        <w:pStyle w:val="FootnoteText"/>
        <w:rPr/>
      </w:pP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SN 15.1–SN 15.20</w:t>
      </w:r>
      <w:r>
        <w:rPr>
          <w:rStyle w:val="Hyperlink"/>
        </w:rPr>
        <w:fldChar w:fldCharType="end"/>
      </w:r>
    </w:p>
    <w:p>
      <w:pPr>
        <w:pStyle w:val="WW-gloss-term"/>
        <w:rPr/>
      </w:pPr>
      <w:r>
        <w:rPr/>
        <w:t>64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7.18:5.1–5.4</w:t>
      </w:r>
      <w:r>
        <w:rPr>
          <w:rStyle w:val="Hyperlink"/>
        </w:rPr>
        <w:fldChar w:fldCharType="end"/>
      </w:r>
    </w:p>
    <w:p>
      <w:pPr>
        <w:pStyle w:val="WW-gloss-term"/>
        <w:rPr/>
      </w:pPr>
      <w:r>
        <w:rPr/>
        <w:t>65</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12.24:4.1</w:t>
      </w:r>
      <w:r>
        <w:rPr>
          <w:rStyle w:val="Hyperlink"/>
        </w:rPr>
        <w:fldChar w:fldCharType="end"/>
      </w:r>
      <w:r>
        <w:rPr/>
        <w:t xml:space="preserve">: “The Buddha said suffering arises dependently. Dependent on what? Dependent on sense impressions.” Or </w:t>
      </w:r>
      <w:r>
        <w:fldChar w:fldCharType="begin"/>
      </w:r>
      <w:r>
        <w:rPr>
          <w:rStyle w:val="Hyperlink"/>
        </w:rPr>
        <w:instrText xml:space="preserve"> HYPERLINK "https://suttacentral.net/XXX/en/sujato" \l "YYY"</w:instrText>
      </w:r>
      <w:r>
        <w:rPr>
          <w:rStyle w:val="Hyperlink"/>
        </w:rPr>
        <w:fldChar w:fldCharType="separate"/>
      </w:r>
      <w:r>
        <w:rPr>
          <w:rStyle w:val="Hyperlink"/>
        </w:rPr>
        <w:t>Snp 3.12:21.3</w:t>
      </w:r>
      <w:r>
        <w:rPr>
          <w:rStyle w:val="Hyperlink"/>
        </w:rPr>
        <w:fldChar w:fldCharType="end"/>
      </w:r>
      <w:r>
        <w:rPr/>
        <w:t>: “Whatever suffering there may be, all comes to be dependent on sense impression.”</w:t>
      </w:r>
    </w:p>
    <w:p>
      <w:pPr>
        <w:pStyle w:val="WW-gloss-term"/>
        <w:rPr/>
      </w:pPr>
      <w:r>
        <w:rPr/>
        <w:t>66</w:t>
      </w:r>
    </w:p>
    <w:p>
      <w:pPr>
        <w:pStyle w:val="FootnoteText"/>
        <w:rPr/>
      </w:pPr>
      <w:r>
        <w:rPr>
          <w:rStyle w:val="wwc-sesame-zot-reference"/>
        </w:rPr>
        <w:t>Bodhi 2000</w:t>
      </w:r>
      <w:r>
        <w:rPr/>
        <w:t xml:space="preserve"> p.520</w:t>
      </w:r>
    </w:p>
    <w:p>
      <w:pPr>
        <w:pStyle w:val="WW-gloss-term"/>
        <w:rPr/>
      </w:pPr>
      <w:r>
        <w:rPr/>
        <w:t>67</w:t>
      </w:r>
    </w:p>
    <w:p>
      <w:pPr>
        <w:pStyle w:val="FootnoteText"/>
        <w:rPr/>
      </w:pPr>
      <w:r>
        <w:rPr/>
        <w:t xml:space="preserve">As e.g. </w:t>
      </w:r>
      <w:r>
        <w:rPr>
          <w:rStyle w:val="wwc-sesame-zot-reference"/>
        </w:rPr>
        <w:t>Ñāṇavīra</w:t>
      </w:r>
      <w:r>
        <w:rPr/>
        <w:t xml:space="preserve"> p.19, </w:t>
      </w:r>
      <w:r>
        <w:rPr>
          <w:rStyle w:val="wwc-sesame-zot-reference"/>
        </w:rPr>
        <w:t>Ñāṇananda 2015</w:t>
      </w:r>
      <w:r>
        <w:rPr/>
        <w:t xml:space="preserve"> p.56, </w:t>
      </w:r>
      <w:r>
        <w:rPr>
          <w:rStyle w:val="wwc-sesame-zot-reference"/>
        </w:rPr>
        <w:t>Brasington</w:t>
      </w:r>
      <w:r>
        <w:rPr/>
        <w:t xml:space="preserve"> p.67, Jones 2009 p.244. See </w:t>
      </w:r>
      <w:r>
        <w:rPr>
          <w:rStyle w:val="wwc-sesame-zot-reference"/>
        </w:rPr>
        <w:t>Bodhi 1998</w:t>
      </w:r>
      <w:r>
        <w:rPr/>
        <w:t xml:space="preserve"> p.172 for a further response to such ideas.</w:t>
      </w:r>
    </w:p>
    <w:p>
      <w:pPr>
        <w:pStyle w:val="WW-gloss-term"/>
        <w:rPr/>
      </w:pPr>
      <w:r>
        <w:rPr/>
        <w:t>68</w:t>
      </w:r>
    </w:p>
    <w:p>
      <w:pPr>
        <w:pStyle w:val="FootnoteText"/>
        <w:rPr/>
      </w:pPr>
      <w:r>
        <w:rPr/>
        <w:t xml:space="preserve">For example </w:t>
      </w:r>
      <w:r>
        <w:rPr>
          <w:rStyle w:val="wwc-sesame-zot-reference"/>
        </w:rPr>
        <w:t>Harvey 2013</w:t>
      </w:r>
      <w:r>
        <w:rPr/>
        <w:t xml:space="preserve"> p.71, </w:t>
      </w:r>
      <w:r>
        <w:rPr>
          <w:rStyle w:val="wwc-sesame-zot-reference"/>
        </w:rPr>
        <w:t>Jones 2011</w:t>
      </w:r>
      <w:r>
        <w:rPr/>
        <w:t xml:space="preserve"> p.73, </w:t>
      </w:r>
      <w:r>
        <w:rPr>
          <w:rStyle w:val="wwc-sesame-zot-reference"/>
        </w:rPr>
        <w:t>Amaro</w:t>
      </w:r>
      <w:r>
        <w:rPr/>
        <w:t xml:space="preserve"> p.44</w:t>
      </w:r>
    </w:p>
    <w:p>
      <w:pPr>
        <w:pStyle w:val="WW-gloss-term"/>
        <w:rPr/>
      </w:pPr>
      <w:r>
        <w:rPr/>
        <w:t>69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141:11.1–11.3</w:t>
      </w:r>
      <w:r>
        <w:rPr>
          <w:rStyle w:val="Hyperlink"/>
        </w:rPr>
        <w:fldChar w:fldCharType="end"/>
      </w:r>
      <w:r>
        <w:rPr/>
        <w:t xml:space="preserve"> </w:t>
      </w:r>
      <w:r>
        <w:rPr>
          <w:rStyle w:val="wwc-PTS-reference"/>
        </w:rPr>
        <w:t>M III 249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9:24-26.2–24-26.9</w:t>
      </w:r>
      <w:r>
        <w:rPr>
          <w:rStyle w:val="Hyperlink"/>
        </w:rPr>
        <w:fldChar w:fldCharType="end"/>
      </w:r>
      <w:r>
        <w:rPr/>
        <w:t xml:space="preserve"> </w:t>
      </w:r>
      <w:r>
        <w:rPr>
          <w:rStyle w:val="wwc-PTS-reference"/>
        </w:rPr>
        <w:t>M I 50</w:t>
      </w:r>
      <w:r>
        <w:rPr/>
        <w:t xml:space="preserve">. Also in the </w:t>
      </w:r>
      <w:r>
        <w:rPr>
          <w:rStyle w:val="wwc-sesame"/>
        </w:rPr>
        <w:t>Mahā</w:t>
        <w:softHyphen/>
        <w:t>sati</w:t>
        <w:softHyphen/>
        <w:t>paṭ</w:t>
        <w:softHyphen/>
        <w:t>ṭhā</w:t>
        <w:softHyphen/>
        <w:t>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22:18.3–18.5</w:t>
      </w:r>
      <w:r>
        <w:rPr>
          <w:rStyle w:val="Hyperlink"/>
        </w:rPr>
        <w:fldChar w:fldCharType="end"/>
      </w:r>
      <w:r>
        <w:rPr/>
        <w:t xml:space="preserve"> </w:t>
      </w:r>
      <w:r>
        <w:rPr>
          <w:rStyle w:val="wwc-PTS-reference"/>
        </w:rPr>
        <w:t>D II 305</w:t>
      </w:r>
    </w:p>
    <w:p>
      <w:pPr>
        <w:pStyle w:val="WW-gloss-term"/>
        <w:rPr/>
      </w:pPr>
      <w:r>
        <w:rPr/>
        <w:t>70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12.2:3.1–4.3</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12.27:2.1–3.1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12.33:3.1–4.2, 9.1</w:t>
      </w:r>
      <w:r>
        <w:rPr>
          <w:rStyle w:val="Hyperlink"/>
        </w:rPr>
        <w:fldChar w:fldCharType="end"/>
      </w:r>
    </w:p>
    <w:p>
      <w:pPr>
        <w:pStyle w:val="WW-gloss-term"/>
        <w:rPr/>
      </w:pPr>
      <w:r>
        <w:rPr/>
        <w:t>71</w:t>
      </w:r>
    </w:p>
    <w:p>
      <w:pPr>
        <w:pStyle w:val="FootnoteText"/>
        <w:rPr/>
      </w:pPr>
      <w:r>
        <w:rPr/>
        <w:t>For the translation of the discourse title see note 29</w:t>
      </w:r>
    </w:p>
    <w:p>
      <w:pPr>
        <w:pStyle w:val="WW-gloss-term"/>
        <w:rPr/>
      </w:pPr>
      <w:r>
        <w:rPr/>
        <w:t>72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r>
        <w:rPr/>
        <w:t xml:space="preserve"> </w:t>
      </w:r>
      <w:r>
        <w:rPr>
          <w:rStyle w:val="wwc-PTS-reference"/>
        </w:rPr>
        <w:t>D II 57</w:t>
      </w:r>
    </w:p>
    <w:p>
      <w:pPr>
        <w:pStyle w:val="WW-gloss-term"/>
        <w:rPr/>
      </w:pPr>
      <w:r>
        <w:rPr/>
        <w:t>73</w:t>
      </w:r>
    </w:p>
    <w:p>
      <w:pPr>
        <w:pStyle w:val="FootnoteText"/>
        <w:rPr/>
      </w:pPr>
      <w:r>
        <w:rPr/>
        <w:t xml:space="preserve">See </w:t>
      </w:r>
      <w:r>
        <w:rPr>
          <w:rStyle w:val="wwc-sesame-zot-reference"/>
        </w:rPr>
        <w:t>Dhammika 2022</w:t>
      </w:r>
      <w:r>
        <w:rPr/>
        <w:t xml:space="preserve"> p.58</w:t>
      </w:r>
    </w:p>
    <w:p>
      <w:pPr>
        <w:pStyle w:val="WW-gloss-term"/>
        <w:rPr/>
      </w:pPr>
      <w:r>
        <w:rPr/>
        <w:t>74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14:2.18.2–2.18.3</w:t>
      </w:r>
      <w:r>
        <w:rPr>
          <w:rStyle w:val="Hyperlink"/>
        </w:rPr>
        <w:fldChar w:fldCharType="end"/>
      </w:r>
      <w:r>
        <w:rPr/>
        <w:t xml:space="preserve"> </w:t>
      </w:r>
      <w:r>
        <w:rPr>
          <w:rStyle w:val="wwc-PTS-reference"/>
        </w:rPr>
        <w:t>D II 26</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12.4</w:t>
      </w:r>
      <w:r>
        <w:rPr>
          <w:rStyle w:val="Hyperlink"/>
        </w:rPr>
        <w:fldChar w:fldCharType="end"/>
      </w:r>
      <w:r>
        <w:rPr/>
        <w:t xml:space="preserve">. The other Buddhas have the same reflections at </w:t>
      </w:r>
      <w:r>
        <w:fldChar w:fldCharType="begin"/>
      </w:r>
      <w:r>
        <w:rPr>
          <w:rStyle w:val="Hyperlink"/>
        </w:rPr>
        <w:instrText xml:space="preserve"> HYPERLINK "https://suttacentral.net/XXX/en/sujato" \l "YYY"</w:instrText>
      </w:r>
      <w:r>
        <w:rPr>
          <w:rStyle w:val="Hyperlink"/>
        </w:rPr>
        <w:fldChar w:fldCharType="separate"/>
      </w:r>
      <w:r>
        <w:rPr>
          <w:rStyle w:val="Hyperlink"/>
        </w:rPr>
        <w:t>SN 12.5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p>
      <w:pPr>
        <w:pStyle w:val="WW-gloss-term"/>
        <w:rPr/>
      </w:pPr>
      <w:r>
        <w:rPr/>
        <w:t>75</w:t>
      </w:r>
    </w:p>
    <w:p>
      <w:pPr>
        <w:pStyle w:val="FootnoteText"/>
        <w:rPr/>
      </w:pPr>
      <w:r>
        <w:rPr/>
        <w:t xml:space="preserve">The dual explanation of </w:t>
      </w:r>
      <w:r>
        <w:rPr>
          <w:rStyle w:val="wwc-pali"/>
        </w:rPr>
        <w:t>bhava</w:t>
      </w:r>
      <w:r>
        <w:rPr/>
        <w:t xml:space="preserve"> is found e.g. at </w:t>
      </w:r>
      <w:r>
        <w:rPr>
          <w:rStyle w:val="wwc-sesame"/>
        </w:rPr>
        <w:t>Vism</w:t>
      </w:r>
      <w:r>
        <w:rPr/>
        <w:t xml:space="preserve"> 571. In contrast, </w:t>
      </w:r>
      <w:r>
        <w:rPr>
          <w:rStyle w:val="wwc-sesame"/>
        </w:rPr>
        <w:t>Vism</w:t>
      </w:r>
      <w:r>
        <w:rPr/>
        <w:t xml:space="preserve"> 414 explains ‘birth’ as the continuity of the </w:t>
      </w:r>
      <w:r>
        <w:rPr>
          <w:rStyle w:val="wwc-pali"/>
        </w:rPr>
        <w:t>khandhas</w:t>
      </w:r>
      <w:r>
        <w:rPr/>
        <w:t xml:space="preserve"> in a single existence (</w:t>
      </w:r>
      <w:r>
        <w:rPr>
          <w:rStyle w:val="wwc-pali"/>
        </w:rPr>
        <w:t>ekabhava</w:t>
      </w:r>
      <w:r>
        <w:rPr/>
        <w:t xml:space="preserve">) ending with death, where </w:t>
      </w:r>
      <w:r>
        <w:rPr>
          <w:rStyle w:val="wwc-pali"/>
        </w:rPr>
        <w:t>bhava</w:t>
      </w:r>
      <w:r>
        <w:rPr/>
        <w:t xml:space="preserve"> doesn’t include karma. See also </w:t>
      </w:r>
      <w:r>
        <w:rPr>
          <w:rStyle w:val="wwc-sesame"/>
        </w:rPr>
        <w:t>Bodhi 2000 n.4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w:t>
      </w:r>
    </w:p>
    <w:p>
      <w:pPr>
        <w:pStyle w:val="WW-gloss-term"/>
        <w:rPr/>
      </w:pPr>
      <w:r>
        <w:rPr/>
        <w:t>76</w:t>
      </w:r>
    </w:p>
    <w:p>
      <w:pPr>
        <w:pStyle w:val="FootnoteText"/>
        <w:rPr/>
      </w:pPr>
      <w:r>
        <w:rPr>
          <w:rStyle w:val="wwc-sesame-zot-reference"/>
        </w:rPr>
        <w:t>Shulman</w:t>
      </w:r>
      <w:r>
        <w:rPr/>
        <w:t xml:space="preserve"> n.18. One of the earliest scholars to equate </w:t>
      </w:r>
      <w:r>
        <w:rPr>
          <w:rStyle w:val="wwc-pali"/>
        </w:rPr>
        <w:t>bhava</w:t>
      </w:r>
      <w:r>
        <w:rPr/>
        <w:t xml:space="preserve"> to existence in English scholarship was </w:t>
      </w:r>
      <w:r>
        <w:rPr>
          <w:rStyle w:val="wwc-sesame-zot-reference"/>
        </w:rPr>
        <w:t>Thomas 1933/1953</w:t>
      </w:r>
      <w:r>
        <w:rPr/>
        <w:t xml:space="preserve"> p.61: “It is this grasping after the things (</w:t>
      </w:r>
      <w:r>
        <w:rPr>
          <w:rStyle w:val="wwc-pali"/>
        </w:rPr>
        <w:t>upādāna</w:t>
      </w:r>
      <w:r>
        <w:rPr/>
        <w:t>) [which results in] passing into a new existence (</w:t>
      </w:r>
      <w:r>
        <w:rPr>
          <w:rStyle w:val="wwc-pali"/>
        </w:rPr>
        <w:t>bhava</w:t>
      </w:r>
      <w:r>
        <w:rPr/>
        <w:t>).”</w:t>
      </w:r>
    </w:p>
    <w:p>
      <w:pPr>
        <w:pStyle w:val="WW-gloss-term"/>
        <w:rPr/>
      </w:pPr>
      <w:r>
        <w:rPr/>
        <w:t>77</w:t>
      </w:r>
    </w:p>
    <w:p>
      <w:pPr>
        <w:pStyle w:val="FootnoteText"/>
        <w:rPr/>
      </w:pPr>
      <w:r>
        <w:rPr>
          <w:rStyle w:val="wwc-sesame-zot-reference"/>
        </w:rPr>
        <w:t>Schmithausen 2000</w:t>
      </w:r>
      <w:r>
        <w:rPr/>
        <w:t xml:space="preserve"> p.52</w:t>
      </w:r>
    </w:p>
    <w:p>
      <w:pPr>
        <w:pStyle w:val="WW-gloss-term"/>
        <w:rPr/>
      </w:pPr>
      <w:r>
        <w:rPr/>
        <w:t>78</w:t>
      </w:r>
    </w:p>
    <w:p>
      <w:pPr>
        <w:pStyle w:val="FootnoteText"/>
        <w:rPr/>
      </w:pPr>
      <w:r>
        <w:rPr>
          <w:rStyle w:val="wwc-sesame"/>
        </w:rPr>
        <w:t>Bodhi 2012 n.503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See also </w:t>
      </w:r>
      <w:r>
        <w:rPr>
          <w:rStyle w:val="wwc-sesame-zot-reference"/>
        </w:rPr>
        <w:t>Rhys Davids</w:t>
      </w:r>
      <w:r>
        <w:rPr/>
        <w:t xml:space="preserve"> p.53, referring to the same text: “</w:t>
      </w:r>
      <w:r>
        <w:rPr>
          <w:rStyle w:val="wwc-pali"/>
        </w:rPr>
        <w:t>Bhava</w:t>
      </w:r>
      <w:r>
        <w:rPr/>
        <w:t xml:space="preserve"> [here] is meant to convey the more special concrete sense both of a particular span of life and of a particular world or mode of existence wherein that span is lived.”</w:t>
      </w:r>
    </w:p>
    <w:p>
      <w:pPr>
        <w:pStyle w:val="WW-gloss-term"/>
        <w:rPr/>
      </w:pPr>
      <w:r>
        <w:rPr/>
        <w:t>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12.33:9.2</w:t>
      </w:r>
      <w:r>
        <w:rPr>
          <w:rStyle w:val="Hyperlink"/>
        </w:rPr>
        <w:fldChar w:fldCharType="end"/>
      </w:r>
    </w:p>
    <w:p>
      <w:pPr>
        <w:pStyle w:val="WW-gloss-term"/>
        <w:rPr/>
      </w:pPr>
      <w:r>
        <w:rPr/>
        <w:t>80</w:t>
      </w:r>
    </w:p>
    <w:p>
      <w:pPr>
        <w:pStyle w:val="FootnoteText"/>
        <w:rPr/>
      </w:pPr>
      <w:hyperlink r:id="rId7">
        <w:r>
          <w:rPr>
            <w:rStyle w:val="Hyperlink"/>
          </w:rPr>
          <w:t>Arv 5</w:t>
        </w:r>
      </w:hyperlink>
    </w:p>
    <w:p>
      <w:pPr>
        <w:pStyle w:val="WW-gloss-term"/>
        <w:rPr/>
      </w:pPr>
      <w:r>
        <w:rPr/>
        <w:t>81</w:t>
      </w:r>
    </w:p>
    <w:p>
      <w:pPr>
        <w:pStyle w:val="FootnoteText"/>
        <w:rPr/>
      </w:pPr>
      <w:hyperlink r:id="rId8">
        <w:r>
          <w:rPr>
            <w:rStyle w:val="Hyperlink"/>
          </w:rPr>
          <w:t>MĀ 97</w:t>
        </w:r>
      </w:hyperlink>
      <w:r>
        <w:rPr/>
        <w:t xml:space="preserve">, similar at </w:t>
      </w:r>
      <w:hyperlink r:id="rId9">
        <w:r>
          <w:rPr>
            <w:rStyle w:val="Hyperlink"/>
          </w:rPr>
          <w:t>T 14</w:t>
        </w:r>
      </w:hyperlink>
    </w:p>
    <w:p>
      <w:pPr>
        <w:pStyle w:val="WW-gloss-term"/>
        <w:rPr/>
      </w:pPr>
      <w:r>
        <w:rPr/>
        <w:t>82</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4.131:3.1</w:t>
      </w:r>
      <w:r>
        <w:rPr>
          <w:rStyle w:val="Hyperlink"/>
        </w:rPr>
        <w:fldChar w:fldCharType="end"/>
      </w:r>
    </w:p>
    <w:p>
      <w:pPr>
        <w:pStyle w:val="WW-gloss-term"/>
        <w:rPr/>
      </w:pPr>
      <w:r>
        <w:rPr/>
        <w:t>83</w:t>
      </w:r>
    </w:p>
    <w:p>
      <w:pPr>
        <w:pStyle w:val="FootnoteText"/>
        <w:rPr/>
      </w:pPr>
      <w:r>
        <w:rPr/>
        <w:t xml:space="preserve">See </w:t>
      </w:r>
      <w:r>
        <w:rPr>
          <w:rStyle w:val="wwc-sesame-zot-reference"/>
        </w:rPr>
        <w:t>Somaratne</w:t>
      </w:r>
      <w:r>
        <w:rPr/>
        <w:t xml:space="preserve"> p.142 and </w:t>
      </w:r>
      <w:r>
        <w:rPr>
          <w:rStyle w:val="internal-reference"/>
        </w:rPr>
        <w:t>note 479</w:t>
      </w:r>
    </w:p>
    <w:p>
      <w:pPr>
        <w:pStyle w:val="WW-gloss-term"/>
        <w:rPr/>
      </w:pPr>
      <w:r>
        <w:rPr/>
        <w:t>84</w:t>
      </w:r>
    </w:p>
    <w:p>
      <w:pPr>
        <w:pStyle w:val="FootnoteText"/>
        <w:rPr/>
      </w:pPr>
      <w:r>
        <w:rPr>
          <w:rStyle w:val="wwc-sesame"/>
        </w:rPr>
        <w:t>MMK</w:t>
      </w:r>
      <w:r>
        <w:rPr/>
        <w:t xml:space="preserve"> 26.8, using the Sanskrit form </w:t>
      </w:r>
      <w:r>
        <w:rPr>
          <w:rStyle w:val="wwc-sanskrit"/>
        </w:rPr>
        <w:t>skandha</w:t>
      </w:r>
      <w:r>
        <w:rPr/>
        <w:t xml:space="preserve"> instead.</w:t>
      </w:r>
    </w:p>
    <w:p>
      <w:pPr>
        <w:pStyle w:val="WW-gloss-term"/>
        <w:rPr/>
      </w:pPr>
      <w:r>
        <w:rPr/>
        <w:t>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2.1:1.1–1.4</w:t>
      </w:r>
      <w:r>
        <w:rPr>
          <w:rStyle w:val="Hyperlink"/>
        </w:rPr>
        <w:fldChar w:fldCharType="end"/>
      </w:r>
    </w:p>
    <w:p>
      <w:pPr>
        <w:pStyle w:val="WW-gloss-term"/>
        <w:rPr/>
      </w:pPr>
      <w:r>
        <w:rPr/>
        <w:t>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127:9.1–9.11</w:t>
      </w:r>
      <w:r>
        <w:rPr>
          <w:rStyle w:val="Hyperlink"/>
        </w:rPr>
        <w:fldChar w:fldCharType="end"/>
      </w:r>
      <w:r>
        <w:rPr/>
        <w:t xml:space="preserve"> </w:t>
      </w:r>
      <w:r>
        <w:rPr>
          <w:rStyle w:val="wwc-PTS-reference"/>
        </w:rPr>
        <w:t>M III 147</w:t>
      </w:r>
    </w:p>
    <w:p>
      <w:pPr>
        <w:pStyle w:val="WW-gloss-term"/>
        <w:rPr/>
      </w:pPr>
      <w:r>
        <w:rPr/>
        <w:t>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Kp 6:9.1–9.4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2.1:9.1–9.4</w:t>
      </w:r>
      <w:r>
        <w:rPr>
          <w:rStyle w:val="Hyperlink"/>
        </w:rPr>
        <w:fldChar w:fldCharType="end"/>
      </w:r>
    </w:p>
    <w:p>
      <w:pPr>
        <w:pStyle w:val="WW-gloss-term"/>
        <w:rPr/>
      </w:pPr>
      <w:r>
        <w:rPr/>
        <w:t>88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44:5.5–5.6</w:t>
      </w:r>
      <w:r>
        <w:rPr>
          <w:rStyle w:val="Hyperlink"/>
        </w:rPr>
        <w:fldChar w:fldCharType="end"/>
      </w:r>
    </w:p>
    <w:p>
      <w:pPr>
        <w:pStyle w:val="WW-gloss-term"/>
        <w:rPr/>
      </w:pPr>
      <w:r>
        <w:rPr/>
        <w:t>89</w:t>
      </w:r>
    </w:p>
    <w:p>
      <w:pPr>
        <w:pStyle w:val="FootnoteText"/>
        <w:rPr/>
      </w:pPr>
      <w:r>
        <w:rPr/>
        <w:t xml:space="preserve">See </w:t>
      </w:r>
      <w:r>
        <w:rPr>
          <w:rStyle w:val="wwc-sesame-zot-reference"/>
        </w:rPr>
        <w:t>Sunyo 2022</w:t>
      </w:r>
    </w:p>
    <w:p>
      <w:pPr>
        <w:pStyle w:val="WW-gloss-term"/>
        <w:rPr/>
      </w:pPr>
      <w:r>
        <w:rPr/>
        <w:t>90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p>
      <w:pPr>
        <w:pStyle w:val="WW-gloss-term"/>
        <w:rPr/>
      </w:pPr>
      <w:r>
        <w:rPr/>
        <w:t>91</w:t>
      </w:r>
    </w:p>
    <w:p>
      <w:pPr>
        <w:pStyle w:val="FootnoteText"/>
        <w:rPr/>
      </w:pPr>
      <w:r>
        <w:rPr/>
        <w:t xml:space="preserve">See also </w:t>
      </w:r>
      <w:r>
        <w:rPr>
          <w:rStyle w:val="wwc-sesame-zot-reference"/>
        </w:rPr>
        <w:t>Langer</w:t>
      </w:r>
      <w:r>
        <w:rPr/>
        <w:t xml:space="preserve"> p.5 (translation mine): “Before the quoted extract [of the </w:t>
      </w:r>
      <w:r>
        <w:rPr>
          <w:rStyle w:val="wwc-sesame"/>
        </w:rPr>
        <w:t>If There is Desire Discourse</w:t>
      </w:r>
      <w:r>
        <w:rPr/>
        <w:t>] there is a passage on […] the four nutriments. These same four nutriments are also mentioned in other passages, where it is stated that they […] are the cause for the rebirth of the being which is to be reborn (</w:t>
      </w:r>
      <w:r>
        <w:rPr>
          <w:rStyle w:val="wwc-pali"/>
        </w:rPr>
        <w:t>saṁbhāvesīnaṁ</w:t>
      </w:r>
      <w:r>
        <w:rPr/>
        <w:t>).”</w:t>
      </w:r>
    </w:p>
    <w:p>
      <w:pPr>
        <w:pStyle w:val="WW-gloss-term"/>
        <w:rPr/>
      </w:pPr>
      <w:r>
        <w:rPr/>
        <w:t>92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8.11:10.2–10.7</w:t>
      </w:r>
      <w:r>
        <w:rPr>
          <w:rStyle w:val="Hyperlink"/>
        </w:rPr>
        <w:fldChar w:fldCharType="end"/>
      </w:r>
    </w:p>
    <w:p>
      <w:pPr>
        <w:pStyle w:val="WW-gloss-term"/>
        <w:rPr/>
      </w:pPr>
      <w:r>
        <w:rPr/>
        <w:t>93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43:16.2–16.3</w:t>
      </w:r>
      <w:r>
        <w:rPr>
          <w:rStyle w:val="Hyperlink"/>
        </w:rPr>
        <w:fldChar w:fldCharType="end"/>
      </w:r>
      <w:r>
        <w:rPr/>
        <w:t xml:space="preserve"> </w:t>
      </w:r>
      <w:r>
        <w:rPr>
          <w:rStyle w:val="wwc-PTS-reference"/>
        </w:rPr>
        <w:t>M I 294</w:t>
      </w:r>
    </w:p>
    <w:p>
      <w:pPr>
        <w:pStyle w:val="WW-gloss-term"/>
        <w:rPr/>
      </w:pPr>
      <w:r>
        <w:rPr/>
        <w:t>94</w:t>
      </w:r>
    </w:p>
    <w:p>
      <w:pPr>
        <w:pStyle w:val="FootnoteText"/>
        <w:rPr/>
      </w:pPr>
      <w:r>
        <w:rPr/>
        <w:t>I deliberately avoided using the arrow symbol (as in A →‍ B) for it is used in logical notation to indicate A is a sufficient condition for B, which isn’t what is meant. I use the symbol › merely to indicate the order in which the terms occur in the discourse.</w:t>
      </w:r>
    </w:p>
    <w:p>
      <w:pPr>
        <w:pStyle w:val="WW-gloss-term"/>
        <w:rPr/>
      </w:pPr>
      <w:r>
        <w:rPr/>
        <w:t>95</w:t>
      </w:r>
    </w:p>
    <w:p>
      <w:pPr>
        <w:pStyle w:val="FootnoteText"/>
        <w:rPr/>
      </w:pPr>
      <w:r>
        <w:rPr>
          <w:rStyle w:val="wwc-sesame"/>
        </w:rPr>
        <w:t>Bodhi 2000 p.48</w:t>
      </w:r>
    </w:p>
    <w:p>
      <w:pPr>
        <w:pStyle w:val="WW-gloss-term"/>
        <w:rPr/>
      </w:pPr>
      <w:r>
        <w:rPr/>
        <w:t>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28:5.3–5.6</w:t>
      </w:r>
      <w:r>
        <w:rPr>
          <w:rStyle w:val="Hyperlink"/>
        </w:rPr>
        <w:fldChar w:fldCharType="end"/>
      </w:r>
      <w:r>
        <w:rPr/>
        <w:t xml:space="preserve"> </w:t>
      </w:r>
      <w:r>
        <w:rPr>
          <w:rStyle w:val="wwc-PTS-reference"/>
        </w:rPr>
        <w:t>D III 102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16.4:22.3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15.1:37.4, 39.3–39.4</w:t>
      </w:r>
      <w:r>
        <w:rPr>
          <w:rStyle w:val="Hyperlink"/>
        </w:rPr>
        <w:fldChar w:fldCharType="end"/>
      </w:r>
    </w:p>
    <w:p>
      <w:pPr>
        <w:pStyle w:val="WW-gloss-term"/>
        <w:rPr/>
      </w:pPr>
      <w:r>
        <w:rPr/>
        <w:t>97</w:t>
      </w:r>
    </w:p>
    <w:p>
      <w:pPr>
        <w:pStyle w:val="FootnoteText"/>
        <w:rPr/>
      </w:pPr>
      <w:r>
        <w:rPr/>
        <w:t xml:space="preserve">See also </w:t>
      </w:r>
      <w:r>
        <w:rPr>
          <w:rStyle w:val="wwc-sesame-zot-reference"/>
        </w:rPr>
        <w:t>Langer</w:t>
      </w:r>
      <w:r>
        <w:rPr/>
        <w:t xml:space="preserve"> (translation mine): “</w:t>
      </w:r>
      <w:r>
        <w:rPr>
          <w:rStyle w:val="wwc-pali"/>
        </w:rPr>
        <w:t>Okkanti</w:t>
      </w:r>
      <w:r>
        <w:rPr/>
        <w:t xml:space="preserve"> [an alternative spelling of </w:t>
      </w:r>
      <w:r>
        <w:rPr>
          <w:rStyle w:val="wwc-pali"/>
        </w:rPr>
        <w:t>avakkanti</w:t>
      </w:r>
      <w:r>
        <w:rPr/>
        <w:t>] is a synonym for birth (</w:t>
      </w:r>
      <w:r>
        <w:rPr>
          <w:rStyle w:val="wwc-pali"/>
        </w:rPr>
        <w:t>jāti</w:t>
      </w:r>
      <w:r>
        <w:rPr/>
        <w:t xml:space="preserve">).” </w:t>
      </w:r>
      <w:r>
        <w:rPr>
          <w:rStyle w:val="wwc-sesame-zot-reference"/>
        </w:rPr>
        <w:t>DOP</w:t>
      </w:r>
      <w:r>
        <w:rPr/>
        <w:t xml:space="preserve">, </w:t>
      </w:r>
      <w:r>
        <w:rPr>
          <w:rStyle w:val="wwc-sesame-zot-reference"/>
        </w:rPr>
        <w:t>DPD</w:t>
      </w:r>
      <w:r>
        <w:rPr/>
        <w:t xml:space="preserve">, </w:t>
      </w:r>
      <w:r>
        <w:rPr>
          <w:rStyle w:val="wwc-sesame-zot-reference"/>
        </w:rPr>
        <w:t>PED</w:t>
      </w:r>
      <w:r>
        <w:rPr/>
        <w:t xml:space="preserve">, and </w:t>
      </w:r>
      <w:r>
        <w:rPr>
          <w:rStyle w:val="wwc-sesame-zot-reference"/>
        </w:rPr>
        <w:t>CPD</w:t>
      </w:r>
      <w:r>
        <w:rPr/>
        <w:t xml:space="preserve"> all attest this. In unrelated contexts the word can mean more literally ‘entering’.</w:t>
      </w:r>
    </w:p>
    <w:p>
      <w:pPr>
        <w:pStyle w:val="WW-gloss-term"/>
        <w:rPr/>
      </w:pPr>
      <w:r>
        <w:rPr/>
        <w:t>98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3.61:13.4–13.6</w:t>
      </w:r>
      <w:r>
        <w:rPr>
          <w:rStyle w:val="Hyperlink"/>
        </w:rPr>
        <w:fldChar w:fldCharType="end"/>
      </w:r>
    </w:p>
    <w:p>
      <w:pPr>
        <w:pStyle w:val="WW-gloss-term"/>
        <w:rPr/>
      </w:pPr>
      <w:r>
        <w:rPr/>
        <w:t>99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38:26.1–30.16</w:t>
      </w:r>
      <w:r>
        <w:rPr>
          <w:rStyle w:val="Hyperlink"/>
        </w:rPr>
        <w:fldChar w:fldCharType="end"/>
      </w:r>
      <w:r>
        <w:rPr/>
        <w:t xml:space="preserve"> </w:t>
      </w:r>
      <w:r>
        <w:rPr>
          <w:rStyle w:val="wwc-PTS-reference"/>
        </w:rPr>
        <w:t>M I 266</w:t>
      </w:r>
    </w:p>
    <w:p>
      <w:pPr>
        <w:pStyle w:val="WW-gloss-term"/>
        <w:rPr/>
      </w:pPr>
      <w:r>
        <w:rPr/>
        <w:t>100</w:t>
      </w:r>
    </w:p>
    <w:p>
      <w:pPr>
        <w:pStyle w:val="FootnoteText"/>
        <w:rPr/>
      </w:pPr>
      <w:r>
        <w:rPr/>
        <w:t xml:space="preserve">See e.g </w:t>
      </w:r>
      <w:r>
        <w:rPr>
          <w:rStyle w:val="wwc-sesame-zot-reference"/>
        </w:rPr>
        <w:t>Langer</w:t>
      </w:r>
      <w:r>
        <w:rPr/>
        <w:t xml:space="preserve"> p.12, </w:t>
      </w:r>
      <w:r>
        <w:rPr>
          <w:rStyle w:val="wwc-sesame-zot-reference"/>
        </w:rPr>
        <w:t>Sujato 2008</w:t>
      </w:r>
      <w:r>
        <w:rPr/>
        <w:t xml:space="preserve"> p.7</w:t>
      </w:r>
    </w:p>
    <w:p>
      <w:pPr>
        <w:pStyle w:val="WW-gloss-term"/>
        <w:rPr/>
      </w:pPr>
      <w:r>
        <w:rPr/>
        <w:t>101</w:t>
      </w:r>
    </w:p>
    <w:p>
      <w:pPr>
        <w:pStyle w:val="FootnoteText"/>
        <w:rPr/>
      </w:pPr>
      <w:hyperlink r:id="rId10">
        <w:r>
          <w:rPr>
            <w:rStyle w:val="Hyperlink"/>
          </w:rPr>
          <w:t>EĀ 21.3</w:t>
        </w:r>
      </w:hyperlink>
    </w:p>
    <w:p>
      <w:pPr>
        <w:pStyle w:val="WW-gloss-term"/>
        <w:rPr/>
      </w:pPr>
      <w:r>
        <w:rPr/>
        <w:t>102</w:t>
      </w:r>
    </w:p>
    <w:p>
      <w:pPr>
        <w:pStyle w:val="FootnoteText"/>
        <w:rPr/>
      </w:pPr>
      <w:r>
        <w:rPr>
          <w:rStyle w:val="wwc-sesame-zot-reference"/>
        </w:rPr>
        <w:t>Anālayo 2010</w:t>
      </w:r>
      <w:r>
        <w:rPr/>
        <w:t xml:space="preserve"> p.254, n.243. See further </w:t>
      </w:r>
      <w:r>
        <w:rPr>
          <w:rStyle w:val="wwc-sesame-zot-reference"/>
        </w:rPr>
        <w:t>Anālayo 2008</w:t>
      </w:r>
    </w:p>
    <w:p>
      <w:pPr>
        <w:pStyle w:val="WW-gloss-term"/>
        <w:rPr/>
      </w:pPr>
      <w:r>
        <w:rPr/>
        <w:t>103</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MN 93:18.62–18.63</w:t>
      </w:r>
      <w:r>
        <w:rPr>
          <w:rStyle w:val="Hyperlink"/>
        </w:rPr>
        <w:fldChar w:fldCharType="end"/>
      </w:r>
      <w:r>
        <w:rPr/>
        <w:t xml:space="preserve"> </w:t>
      </w:r>
      <w:r>
        <w:rPr>
          <w:rStyle w:val="wwc-PTS-reference"/>
        </w:rPr>
        <w:t>M II 157</w:t>
      </w:r>
    </w:p>
    <w:p>
      <w:pPr>
        <w:pStyle w:val="WW-gloss-term"/>
        <w:rPr/>
      </w:pPr>
      <w:r>
        <w:rPr/>
        <w:t>104</w:t>
      </w:r>
    </w:p>
    <w:p>
      <w:pPr>
        <w:pStyle w:val="FootnoteText"/>
        <w:rPr/>
      </w:pPr>
      <w:hyperlink r:id="rId11">
        <w:r>
          <w:rPr>
            <w:rStyle w:val="Hyperlink"/>
          </w:rPr>
          <w:t>MĀ 151</w:t>
        </w:r>
      </w:hyperlink>
      <w:r>
        <w:rPr/>
        <w:t xml:space="preserve">, translation </w:t>
      </w:r>
      <w:r>
        <w:rPr>
          <w:rStyle w:val="wwc-sesame-zot-reference"/>
        </w:rPr>
        <w:t>Anālayo 2022(a)</w:t>
      </w:r>
    </w:p>
    <w:p>
      <w:pPr>
        <w:pStyle w:val="WW-gloss-term"/>
        <w:rPr/>
      </w:pPr>
      <w:r>
        <w:rPr/>
        <w:t>105</w:t>
      </w:r>
    </w:p>
    <w:p>
      <w:pPr>
        <w:pStyle w:val="FootnoteText"/>
        <w:rPr/>
      </w:pPr>
      <w:r>
        <w:rPr>
          <w:rStyle w:val="wwc-sesame-zot-reference"/>
        </w:rPr>
        <w:t>Wijesekera 1994</w:t>
      </w:r>
      <w:r>
        <w:rPr/>
        <w:t xml:space="preserve"> p.175</w:t>
      </w:r>
    </w:p>
    <w:p>
      <w:pPr>
        <w:pStyle w:val="WW-gloss-term"/>
        <w:rPr/>
      </w:pPr>
      <w:r>
        <w:rPr/>
        <w:t>106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38:16.9–16.10</w:t>
      </w:r>
      <w:r>
        <w:rPr>
          <w:rStyle w:val="Hyperlink"/>
        </w:rPr>
        <w:fldChar w:fldCharType="end"/>
      </w:r>
      <w:r>
        <w:rPr/>
        <w:t xml:space="preserve"> </w:t>
      </w:r>
      <w:r>
        <w:rPr>
          <w:rStyle w:val="wwc-PTS-reference"/>
        </w:rPr>
        <w:t>M I 260</w:t>
      </w:r>
    </w:p>
    <w:p>
      <w:pPr>
        <w:pStyle w:val="WW-gloss-term"/>
        <w:rPr/>
      </w:pPr>
      <w:r>
        <w:rPr/>
        <w:t>107</w:t>
      </w:r>
    </w:p>
    <w:p>
      <w:pPr>
        <w:pStyle w:val="FootnoteText"/>
        <w:rPr/>
      </w:pPr>
      <w:r>
        <w:rPr>
          <w:rStyle w:val="wwc-sesame-zot-reference"/>
        </w:rPr>
        <w:t>Vetter 1988</w:t>
      </w:r>
      <w:r>
        <w:rPr/>
        <w:t xml:space="preserve"> p.48. See also </w:t>
      </w:r>
      <w:r>
        <w:rPr>
          <w:rStyle w:val="wwc-sesame-zot-reference"/>
        </w:rPr>
        <w:t>Kalupahana 1976</w:t>
      </w:r>
      <w:r>
        <w:rPr/>
        <w:t xml:space="preserve"> p.32</w:t>
      </w:r>
    </w:p>
    <w:p>
      <w:pPr>
        <w:pStyle w:val="WW-gloss-term"/>
        <w:rPr/>
      </w:pPr>
      <w:r>
        <w:rPr/>
        <w:t>108</w:t>
      </w:r>
    </w:p>
    <w:p>
      <w:pPr>
        <w:pStyle w:val="FootnoteText"/>
        <w:rPr/>
      </w:pPr>
      <w:r>
        <w:rPr/>
        <w:t xml:space="preserve">As also argued by </w:t>
      </w:r>
      <w:r>
        <w:rPr>
          <w:rStyle w:val="wwc-sesame-zot-reference"/>
        </w:rPr>
        <w:t>Harvey 1995</w:t>
      </w:r>
      <w:r>
        <w:rPr/>
        <w:t xml:space="preserve"> p.263 n.5</w:t>
      </w:r>
    </w:p>
    <w:p>
      <w:pPr>
        <w:pStyle w:val="WW-gloss-term"/>
        <w:rPr/>
      </w:pPr>
      <w:r>
        <w:rPr/>
        <w:t>109</w:t>
      </w:r>
    </w:p>
    <w:p>
      <w:pPr>
        <w:pStyle w:val="FootnoteText"/>
        <w:rPr/>
      </w:pPr>
      <w:r>
        <w:rPr>
          <w:rStyle w:val="wwc-sesame"/>
        </w:rPr>
        <w:t>Bodhi 2000 p.518</w:t>
      </w:r>
    </w:p>
    <w:p>
      <w:pPr>
        <w:pStyle w:val="WW-gloss-term"/>
        <w:rPr/>
      </w:pPr>
      <w:r>
        <w:rPr/>
        <w:t>110</w:t>
      </w:r>
    </w:p>
    <w:p>
      <w:pPr>
        <w:pStyle w:val="FootnoteText"/>
        <w:rPr/>
      </w:pPr>
      <w:r>
        <w:rPr/>
        <w:t xml:space="preserve">§77. See also </w:t>
      </w:r>
      <w:r>
        <w:rPr>
          <w:rStyle w:val="wwc-sesame"/>
        </w:rPr>
        <w:t>‘Remembering Past Lives’ in Brahmavamso 2006 Chapter 13</w:t>
      </w:r>
      <w:r>
        <w:rPr/>
        <w:t>.</w:t>
      </w:r>
    </w:p>
    <w:p>
      <w:pPr>
        <w:pStyle w:val="WW-gloss-term"/>
        <w:rPr/>
      </w:pPr>
      <w:r>
        <w:rPr/>
        <w:t>111</w:t>
      </w:r>
    </w:p>
    <w:p>
      <w:pPr>
        <w:pStyle w:val="FootnoteText"/>
        <w:rPr/>
      </w:pPr>
      <w:r>
        <w:rPr>
          <w:rStyle w:val="wwc-sesame-zot-reference"/>
        </w:rPr>
        <w:t>Frauwallner 1953/1973</w:t>
      </w:r>
      <w:r>
        <w:rPr/>
        <w:t xml:space="preserve"> p.163</w:t>
      </w:r>
    </w:p>
    <w:p>
      <w:pPr>
        <w:pStyle w:val="WW-gloss-term"/>
        <w:rPr/>
      </w:pPr>
      <w:r>
        <w:rPr/>
        <w:t>112</w:t>
      </w:r>
    </w:p>
    <w:p>
      <w:pPr>
        <w:pStyle w:val="FootnoteText"/>
        <w:rPr/>
      </w:pPr>
      <w:r>
        <w:rPr>
          <w:rStyle w:val="wwc-sesame-zot-reference"/>
        </w:rPr>
        <w:t>Reat</w:t>
      </w:r>
      <w:r>
        <w:rPr/>
        <w:t xml:space="preserve"> p.15. Reat’s specific conclusions about </w:t>
      </w:r>
      <w:r>
        <w:rPr>
          <w:rStyle w:val="wwc-pali"/>
        </w:rPr>
        <w:t>nāmarūpa</w:t>
      </w:r>
      <w:r>
        <w:rPr/>
        <w:t xml:space="preserve"> I disagree with, though.</w:t>
      </w:r>
    </w:p>
    <w:p>
      <w:pPr>
        <w:pStyle w:val="WW-gloss-term"/>
        <w:rPr/>
      </w:pPr>
      <w:r>
        <w:rPr/>
        <w:t>113</w:t>
      </w:r>
    </w:p>
    <w:p>
      <w:pPr>
        <w:pStyle w:val="FootnoteText"/>
        <w:rPr/>
      </w:pPr>
      <w:r>
        <w:rPr>
          <w:rStyle w:val="wwc-sesame-zot-reference"/>
        </w:rPr>
        <w:t>Olalde 2014</w:t>
      </w:r>
      <w:r>
        <w:rPr/>
        <w:t xml:space="preserve"> p.40 (translation mine): “As a substantive </w:t>
      </w:r>
      <w:r>
        <w:rPr>
          <w:rStyle w:val="wwc-pali"/>
        </w:rPr>
        <w:t>bahubbīhi</w:t>
      </w:r>
      <w:r>
        <w:rPr/>
        <w:t xml:space="preserve"> [compound] it means ‘that which has a name and form’.” </w:t>
      </w:r>
      <w:r>
        <w:rPr>
          <w:rStyle w:val="wwc-pali"/>
        </w:rPr>
        <w:t>Bahubbīhi</w:t>
      </w:r>
      <w:r>
        <w:rPr/>
        <w:t xml:space="preserve"> compounds are fundamentally adjectives, but like all adjectives in Pāli, they can be adopted as nouns (substantives), see </w:t>
      </w:r>
      <w:r>
        <w:rPr>
          <w:rStyle w:val="wwc-sesame-zot-reference"/>
        </w:rPr>
        <w:t>Warder 2010</w:t>
      </w:r>
      <w:r>
        <w:rPr/>
        <w:t xml:space="preserve"> p.62</w:t>
      </w:r>
    </w:p>
    <w:p>
      <w:pPr>
        <w:pStyle w:val="WW-gloss-term"/>
        <w:rPr/>
      </w:pPr>
      <w:r>
        <w:rPr/>
        <w:t>114</w:t>
      </w:r>
    </w:p>
    <w:p>
      <w:pPr>
        <w:pStyle w:val="FootnoteText"/>
        <w:rPr/>
      </w:pPr>
      <w:r>
        <w:rPr/>
        <w:t xml:space="preserve">See </w:t>
      </w:r>
      <w:r>
        <w:rPr>
          <w:rStyle w:val="wwc-sesame-zot-reference"/>
        </w:rPr>
        <w:t>Hamilton</w:t>
      </w:r>
    </w:p>
    <w:p>
      <w:pPr>
        <w:pStyle w:val="WW-gloss-term"/>
        <w:rPr/>
      </w:pPr>
      <w:r>
        <w:rPr/>
        <w:t>115</w:t>
      </w:r>
    </w:p>
    <w:p>
      <w:pPr>
        <w:pStyle w:val="FootnoteText"/>
        <w:rPr/>
      </w:pPr>
      <w:r>
        <w:rPr/>
        <w:t xml:space="preserve">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12.2:11.4–11.5</w:t>
      </w:r>
      <w:r>
        <w:rPr>
          <w:rStyle w:val="Hyperlink"/>
        </w:rPr>
        <w:fldChar w:fldCharType="end"/>
      </w:r>
      <w:r>
        <w:rPr/>
        <w:t xml:space="preserve"> where </w:t>
      </w:r>
      <w:r>
        <w:rPr>
          <w:rStyle w:val="wwc-pali"/>
        </w:rPr>
        <w:t>rūpa</w:t>
      </w:r>
      <w:r>
        <w:rPr/>
        <w:t xml:space="preserve"> is explained as: “The four elements and the form derived from the four elements: that is what’s called </w:t>
      </w:r>
      <w:r>
        <w:rPr>
          <w:rStyle w:val="wwc-pali"/>
        </w:rPr>
        <w:t>rūpa</w:t>
      </w:r>
      <w:r>
        <w:rPr/>
        <w:t>.”</w:t>
      </w:r>
    </w:p>
    <w:p>
      <w:pPr>
        <w:pStyle w:val="WW-gloss-term"/>
        <w:rPr/>
      </w:pPr>
      <w:r>
        <w:rPr/>
        <w:t>116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1.76:3.1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22.95:11.1–11.4</w:t>
      </w:r>
      <w:r>
        <w:rPr>
          <w:rStyle w:val="Hyperlink"/>
        </w:rPr>
        <w:fldChar w:fldCharType="end"/>
      </w:r>
    </w:p>
    <w:p>
      <w:pPr>
        <w:pStyle w:val="WW-gloss-term"/>
        <w:rPr/>
      </w:pPr>
      <w:r>
        <w:rPr/>
        <w:t>117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28:26.2</w:t>
      </w:r>
      <w:r>
        <w:rPr>
          <w:rStyle w:val="Hyperlink"/>
        </w:rPr>
        <w:fldChar w:fldCharType="end"/>
      </w:r>
      <w:r>
        <w:rPr/>
        <w:t xml:space="preserve"> </w:t>
      </w:r>
      <w:r>
        <w:rPr>
          <w:rStyle w:val="wwc-PTS-reference"/>
        </w:rPr>
        <w:t>M I 190</w:t>
      </w:r>
    </w:p>
    <w:p>
      <w:pPr>
        <w:pStyle w:val="WW-gloss-term"/>
        <w:rPr/>
      </w:pPr>
      <w:r>
        <w:rPr/>
        <w:t>118</w:t>
      </w:r>
    </w:p>
    <w:p>
      <w:pPr>
        <w:pStyle w:val="FootnoteText"/>
        <w:rPr/>
      </w:pPr>
      <w:r>
        <w:rPr/>
        <w:t xml:space="preserve">JU 3.20.8, see also </w:t>
      </w:r>
      <w:r>
        <w:rPr>
          <w:rStyle w:val="wwc-sesame-zot-reference"/>
        </w:rPr>
        <w:t>Olalde 2015</w:t>
      </w:r>
      <w:r>
        <w:rPr/>
        <w:t xml:space="preserve"> p.10</w:t>
      </w:r>
    </w:p>
    <w:p>
      <w:pPr>
        <w:pStyle w:val="WW-gloss-term"/>
        <w:rPr/>
      </w:pPr>
      <w:r>
        <w:rPr/>
        <w:t>119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12.2:11.2–11.3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p>
      <w:pPr>
        <w:pStyle w:val="WW-gloss-term"/>
        <w:rPr/>
      </w:pPr>
      <w:r>
        <w:rPr/>
        <w:t>120</w:t>
      </w:r>
    </w:p>
    <w:p>
      <w:pPr>
        <w:pStyle w:val="FootnoteText"/>
        <w:rPr/>
      </w:pPr>
      <w:r>
        <w:rPr/>
        <w:t xml:space="preserve">In the current age this translation is more pragmatic than ‘name’. Other possible translations are ‘mind’ and ‘mentality’, agreeing with the commentaries that </w:t>
      </w:r>
      <w:r>
        <w:rPr>
          <w:rStyle w:val="wwc-pali"/>
        </w:rPr>
        <w:t>nāma</w:t>
      </w:r>
      <w:r>
        <w:rPr/>
        <w:t xml:space="preserve"> is purely mental (</w:t>
      </w:r>
      <w:r>
        <w:rPr>
          <w:rStyle w:val="wwc-pali"/>
        </w:rPr>
        <w:t>cetasika</w:t>
      </w:r>
      <w:r>
        <w:rPr/>
        <w:t xml:space="preserve">). But in my view, sensations, perceptions, and sense impressions exist for all six senses, not just the mind. However, compare </w:t>
      </w:r>
      <w:r>
        <w:fldChar w:fldCharType="begin"/>
      </w:r>
      <w:r>
        <w:rPr>
          <w:rStyle w:val="Hyperlink"/>
        </w:rPr>
        <w:instrText xml:space="preserve"> HYPERLINK "https://suttacentral.net/XXX/en/sujato" \l "YYY"</w:instrText>
      </w:r>
      <w:r>
        <w:rPr>
          <w:rStyle w:val="Hyperlink"/>
        </w:rPr>
        <w:fldChar w:fldCharType="separate"/>
      </w:r>
      <w:r>
        <w:rPr>
          <w:rStyle w:val="Hyperlink"/>
        </w:rPr>
        <w:t>SN 1.61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1.62</w:t>
      </w:r>
      <w:r>
        <w:rPr>
          <w:rStyle w:val="Hyperlink"/>
        </w:rPr>
        <w:fldChar w:fldCharType="end"/>
      </w:r>
      <w:r>
        <w:rPr/>
        <w:t xml:space="preserve">, where </w:t>
      </w:r>
      <w:r>
        <w:rPr>
          <w:rStyle w:val="wwc-pali"/>
        </w:rPr>
        <w:t>nāma</w:t>
      </w:r>
      <w:r>
        <w:rPr/>
        <w:t xml:space="preserve"> and </w:t>
      </w:r>
      <w:r>
        <w:rPr>
          <w:rStyle w:val="wwc-pali"/>
        </w:rPr>
        <w:t>citta</w:t>
      </w:r>
      <w:r>
        <w:rPr/>
        <w:t xml:space="preserve"> appear to be used synonymously.</w:t>
      </w:r>
    </w:p>
    <w:p>
      <w:pPr>
        <w:pStyle w:val="WW-gloss-term"/>
        <w:rPr/>
      </w:pPr>
      <w:r>
        <w:rPr/>
        <w:t>121</w:t>
      </w:r>
    </w:p>
    <w:p>
      <w:pPr>
        <w:pStyle w:val="FootnoteText"/>
        <w:rPr/>
      </w:pPr>
      <w:r>
        <w:rPr/>
        <w:t>RV 10.169; RV 7.103</w:t>
      </w:r>
    </w:p>
    <w:p>
      <w:pPr>
        <w:pStyle w:val="WW-gloss-term"/>
        <w:rPr/>
      </w:pPr>
      <w:r>
        <w:rPr/>
        <w:t>122</w:t>
      </w:r>
    </w:p>
    <w:p>
      <w:pPr>
        <w:pStyle w:val="FootnoteText"/>
        <w:rPr/>
      </w:pPr>
      <w:r>
        <w:rPr/>
        <w:t xml:space="preserve">See also </w:t>
      </w:r>
      <w:r>
        <w:rPr>
          <w:rStyle w:val="wwc-sesame-zot-reference"/>
        </w:rPr>
        <w:t>Olalde 2015</w:t>
      </w:r>
      <w:r>
        <w:rPr/>
        <w:t xml:space="preserve"> p.21</w:t>
      </w:r>
    </w:p>
    <w:p>
      <w:pPr>
        <w:pStyle w:val="WW-gloss-term"/>
        <w:rPr/>
      </w:pPr>
      <w:r>
        <w:rPr/>
        <w:t>123</w:t>
      </w:r>
    </w:p>
    <w:p>
      <w:pPr>
        <w:pStyle w:val="FootnoteText"/>
        <w:rPr/>
      </w:pPr>
      <w:r>
        <w:rPr/>
        <w:t xml:space="preserve">BU 1.4.7, translation </w:t>
      </w:r>
      <w:r>
        <w:rPr>
          <w:rStyle w:val="wwc-sesame-zot-reference"/>
        </w:rPr>
        <w:t>Olivelle</w:t>
      </w:r>
    </w:p>
    <w:p>
      <w:pPr>
        <w:pStyle w:val="WW-gloss-term"/>
        <w:rPr/>
      </w:pPr>
      <w:r>
        <w:rPr/>
        <w:t>124</w:t>
      </w:r>
    </w:p>
    <w:p>
      <w:pPr>
        <w:pStyle w:val="FootnoteText"/>
        <w:rPr/>
      </w:pPr>
      <w:r>
        <w:rPr/>
        <w:t xml:space="preserve">TB 3.12.7, see also </w:t>
      </w:r>
      <w:r>
        <w:rPr>
          <w:rStyle w:val="wwc-sesame-zot-reference"/>
        </w:rPr>
        <w:t>Frauwallner 1953/1973</w:t>
      </w:r>
      <w:r>
        <w:rPr/>
        <w:t xml:space="preserve"> p.163</w:t>
      </w:r>
    </w:p>
    <w:p>
      <w:pPr>
        <w:pStyle w:val="WW-gloss-term"/>
        <w:rPr/>
      </w:pPr>
      <w:r>
        <w:rPr/>
        <w:t>125</w:t>
      </w:r>
    </w:p>
    <w:p>
      <w:pPr>
        <w:pStyle w:val="FootnoteText"/>
        <w:rPr/>
      </w:pPr>
      <w:r>
        <w:rPr/>
        <w:t xml:space="preserve">Atharvaveda 10.2.12 and 12.5.6, see also </w:t>
      </w:r>
      <w:r>
        <w:rPr>
          <w:rStyle w:val="wwc-sesame-zot-reference"/>
        </w:rPr>
        <w:t>Olalde 2014</w:t>
      </w:r>
      <w:r>
        <w:rPr/>
        <w:t xml:space="preserve"> p.12</w:t>
      </w:r>
    </w:p>
    <w:p>
      <w:pPr>
        <w:pStyle w:val="WW-gloss-term"/>
        <w:rPr/>
      </w:pPr>
      <w:r>
        <w:rPr/>
        <w:t>126</w:t>
      </w:r>
    </w:p>
    <w:p>
      <w:pPr>
        <w:pStyle w:val="FootnoteText"/>
        <w:rPr/>
      </w:pPr>
      <w:r>
        <w:rPr>
          <w:rStyle w:val="wwc-sesame-zot-reference"/>
        </w:rPr>
        <w:t>Olalde 2015</w:t>
      </w:r>
      <w:r>
        <w:rPr/>
        <w:t xml:space="preserve"> p.8</w:t>
      </w:r>
    </w:p>
    <w:p>
      <w:pPr>
        <w:pStyle w:val="WW-gloss-term"/>
        <w:rPr/>
      </w:pPr>
      <w:r>
        <w:rPr/>
        <w:t>127</w:t>
      </w:r>
    </w:p>
    <w:p>
      <w:pPr>
        <w:pStyle w:val="FootnoteText"/>
        <w:rPr/>
      </w:pPr>
      <w:r>
        <w:rPr>
          <w:rStyle w:val="wwc-sesame-zot-reference"/>
        </w:rPr>
        <w:t>Gonda</w:t>
      </w:r>
      <w:r>
        <w:rPr/>
        <w:t xml:space="preserve"> p.7</w:t>
      </w:r>
    </w:p>
    <w:p>
      <w:pPr>
        <w:pStyle w:val="WW-gloss-term"/>
        <w:rPr/>
      </w:pPr>
      <w:r>
        <w:rPr/>
        <w:t>128</w:t>
      </w:r>
    </w:p>
    <w:p>
      <w:pPr>
        <w:pStyle w:val="FootnoteText"/>
        <w:rPr/>
      </w:pPr>
      <w:r>
        <w:rPr>
          <w:rStyle w:val="wwc-sesame-zot-reference"/>
        </w:rPr>
        <w:t>Werner</w:t>
      </w:r>
      <w:r>
        <w:rPr/>
        <w:t xml:space="preserve"> p.28</w:t>
      </w:r>
    </w:p>
    <w:p>
      <w:pPr>
        <w:pStyle w:val="WW-gloss-term"/>
        <w:rPr/>
      </w:pPr>
      <w:r>
        <w:rPr/>
        <w:t>129</w:t>
      </w:r>
    </w:p>
    <w:p>
      <w:pPr>
        <w:pStyle w:val="FootnoteText"/>
        <w:rPr/>
      </w:pPr>
      <w:r>
        <w:rPr/>
        <w:t>BU 3.2.12</w:t>
      </w:r>
    </w:p>
    <w:p>
      <w:pPr>
        <w:pStyle w:val="WW-gloss-term"/>
        <w:rPr/>
      </w:pPr>
      <w:r>
        <w:rPr/>
        <w:t>130</w:t>
      </w:r>
    </w:p>
    <w:p>
      <w:pPr>
        <w:pStyle w:val="FootnoteText"/>
        <w:rPr/>
      </w:pPr>
      <w:r>
        <w:rPr>
          <w:rStyle w:val="wwc-sesame-zot-reference"/>
        </w:rPr>
        <w:t>Frazer</w:t>
      </w:r>
    </w:p>
    <w:p>
      <w:pPr>
        <w:pStyle w:val="WW-gloss-term"/>
        <w:rPr/>
      </w:pPr>
      <w:r>
        <w:rPr/>
        <w:t>131</w:t>
      </w:r>
    </w:p>
    <w:p>
      <w:pPr>
        <w:pStyle w:val="FootnoteText"/>
        <w:rPr/>
      </w:pPr>
      <w:r>
        <w:rPr>
          <w:rStyle w:val="wwc-sesame-zot-reference"/>
        </w:rPr>
        <w:t>Jurewicz</w:t>
      </w:r>
      <w:r>
        <w:rPr/>
        <w:t xml:space="preserve"> p.89</w:t>
      </w:r>
    </w:p>
    <w:p>
      <w:pPr>
        <w:pStyle w:val="WW-gloss-term"/>
        <w:rPr/>
      </w:pPr>
      <w:r>
        <w:rPr/>
        <w:t>132</w:t>
      </w:r>
    </w:p>
    <w:p>
      <w:pPr>
        <w:pStyle w:val="FootnoteText"/>
        <w:rPr/>
      </w:pPr>
      <w:r>
        <w:rPr/>
        <w:t xml:space="preserve">BU 6.4.21, translation </w:t>
      </w:r>
      <w:r>
        <w:rPr>
          <w:rStyle w:val="wwc-sesame-zot-reference"/>
        </w:rPr>
        <w:t>Olivelle</w:t>
      </w:r>
    </w:p>
    <w:p>
      <w:pPr>
        <w:pStyle w:val="WW-gloss-term"/>
        <w:rPr/>
      </w:pPr>
      <w:r>
        <w:rPr/>
        <w:t>133</w:t>
      </w:r>
    </w:p>
    <w:p>
      <w:pPr>
        <w:pStyle w:val="FootnoteText"/>
        <w:rPr/>
      </w:pPr>
      <w:r>
        <w:rPr>
          <w:rStyle w:val="wwc-sesame-zot-reference"/>
        </w:rPr>
        <w:t>Jurewicz</w:t>
      </w:r>
      <w:r>
        <w:rPr/>
        <w:t xml:space="preserve"> p.90</w:t>
      </w:r>
    </w:p>
    <w:p>
      <w:pPr>
        <w:pStyle w:val="WW-gloss-term"/>
        <w:rPr/>
      </w:pPr>
      <w:r>
        <w:rPr/>
        <w:t>134</w:t>
      </w:r>
    </w:p>
    <w:p>
      <w:pPr>
        <w:pStyle w:val="FootnoteText"/>
        <w:rPr/>
      </w:pPr>
      <w:r>
        <w:rPr>
          <w:rStyle w:val="wwc-sesame-zot-reference"/>
        </w:rPr>
        <w:t>Frauwallner 1953/1973</w:t>
      </w:r>
      <w:r>
        <w:rPr/>
        <w:t xml:space="preserve"> p.164</w:t>
      </w:r>
    </w:p>
    <w:p>
      <w:pPr>
        <w:pStyle w:val="WW-gloss-term"/>
        <w:rPr/>
      </w:pPr>
      <w:r>
        <w:rPr/>
        <w:t>135</w:t>
      </w:r>
    </w:p>
    <w:p>
      <w:pPr>
        <w:pStyle w:val="FootnoteText"/>
        <w:rPr/>
      </w:pPr>
      <w:r>
        <w:rPr>
          <w:rStyle w:val="wwc-sesame-zot-reference"/>
        </w:rPr>
        <w:t>Hamilton</w:t>
      </w:r>
      <w:r>
        <w:rPr/>
        <w:t xml:space="preserve"> p.127</w:t>
      </w:r>
    </w:p>
    <w:p>
      <w:pPr>
        <w:pStyle w:val="WW-gloss-term"/>
        <w:rPr/>
      </w:pPr>
      <w:r>
        <w:rPr/>
        <w:t>136</w:t>
      </w:r>
    </w:p>
    <w:p>
      <w:pPr>
        <w:pStyle w:val="FootnoteText"/>
        <w:rPr/>
      </w:pPr>
      <w:r>
        <w:rPr>
          <w:rStyle w:val="wwc-sesame-zot-reference"/>
        </w:rPr>
        <w:t>Olalde 2014</w:t>
      </w:r>
      <w:r>
        <w:rPr/>
        <w:t xml:space="preserve"> p.156</w:t>
      </w:r>
    </w:p>
    <w:p>
      <w:pPr>
        <w:pStyle w:val="WW-gloss-term"/>
        <w:rPr/>
      </w:pPr>
      <w:r>
        <w:rPr/>
        <w:t>137</w:t>
      </w:r>
    </w:p>
    <w:p>
      <w:pPr>
        <w:pStyle w:val="FootnoteText"/>
        <w:rPr/>
      </w:pPr>
      <w:r>
        <w:rPr/>
        <w:t xml:space="preserve">See </w:t>
      </w:r>
      <w:r>
        <w:rPr>
          <w:rStyle w:val="wwc-sesame-zot-reference"/>
        </w:rPr>
        <w:t>Wayman 1997</w:t>
      </w:r>
      <w:r>
        <w:rPr/>
        <w:t xml:space="preserve"> p.507</w:t>
      </w:r>
    </w:p>
    <w:p>
      <w:pPr>
        <w:pStyle w:val="WW-gloss-term"/>
        <w:rPr/>
      </w:pPr>
      <w:r>
        <w:rPr/>
        <w:t>138</w:t>
      </w:r>
    </w:p>
    <w:p>
      <w:pPr>
        <w:pStyle w:val="FootnoteText"/>
        <w:rPr/>
      </w:pPr>
      <w:r>
        <w:rPr/>
        <w:t xml:space="preserve">T1548.28.689a20, translation </w:t>
      </w:r>
      <w:r>
        <w:rPr>
          <w:rStyle w:val="wwc-sesame-zot-reference"/>
        </w:rPr>
        <w:t>Patton</w:t>
      </w:r>
      <w:r>
        <w:rPr/>
        <w:t xml:space="preserve"> “If it recognizes, designates, and makes names, then this is called name.” See also </w:t>
      </w:r>
      <w:r>
        <w:rPr>
          <w:rStyle w:val="wwc-sesame"/>
        </w:rPr>
        <w:t>Bodhi 2000 p.48</w:t>
      </w:r>
    </w:p>
    <w:p>
      <w:pPr>
        <w:pStyle w:val="WW-gloss-term"/>
        <w:rPr/>
      </w:pPr>
      <w:r>
        <w:rPr/>
        <w:t>139</w:t>
      </w:r>
    </w:p>
    <w:p>
      <w:pPr>
        <w:pStyle w:val="FootnoteText"/>
        <w:rPr/>
      </w:pPr>
      <w:r>
        <w:rPr/>
        <w:t xml:space="preserve">See </w:t>
      </w:r>
      <w:r>
        <w:rPr>
          <w:rStyle w:val="wwc-sesame-zot-reference"/>
        </w:rPr>
        <w:t>Olalde 2015</w:t>
      </w:r>
      <w:r>
        <w:rPr/>
        <w:t xml:space="preserve"> p.2, referring to certain views: “They understand ‘name’ as ‘designation’ and neglect the fact that it </w:t>
      </w:r>
      <w:r>
        <w:rPr>
          <w:rStyle w:val="Emphasis"/>
        </w:rPr>
        <w:t>also</w:t>
      </w:r>
      <w:r>
        <w:rPr/>
        <w:t xml:space="preserve"> (or may I say </w:t>
      </w:r>
      <w:r>
        <w:rPr>
          <w:rStyle w:val="Emphasis"/>
        </w:rPr>
        <w:t>actually</w:t>
      </w:r>
      <w:r>
        <w:rPr/>
        <w:t>) means ‘proper name;’ in this manner they understand name as ‘naming’ and assume that it always encompasses conceptualisation.”</w:t>
      </w:r>
    </w:p>
    <w:p>
      <w:pPr>
        <w:pStyle w:val="WW-gloss-term"/>
        <w:rPr/>
      </w:pPr>
      <w:r>
        <w:rPr/>
        <w:t>140</w:t>
      </w:r>
    </w:p>
    <w:p>
      <w:pPr>
        <w:pStyle w:val="FootnoteText"/>
        <w:rPr/>
      </w:pPr>
      <w:r>
        <w:rPr/>
        <w:t xml:space="preserve">See also </w:t>
      </w:r>
      <w:r>
        <w:rPr>
          <w:rStyle w:val="wwc-sesame-zot-reference"/>
        </w:rPr>
        <w:t>Bodhi 1984</w:t>
      </w:r>
      <w:r>
        <w:rPr/>
        <w:t xml:space="preserve"> p.25: “It [i.e. consciousness] also depends on the mental body [i.e. immaterial aspects], as there can be no cognition of an object without the more specialized functions performed by contact, sensation, perception, volition, attention, and the rest.”</w:t>
      </w:r>
    </w:p>
    <w:p>
      <w:pPr>
        <w:pStyle w:val="WW-gloss-term"/>
        <w:rPr/>
      </w:pPr>
      <w:r>
        <w:rPr/>
        <w:t>141</w:t>
      </w:r>
    </w:p>
    <w:p>
      <w:pPr>
        <w:pStyle w:val="FootnoteText"/>
        <w:rPr/>
      </w:pPr>
      <w:r>
        <w:rPr/>
        <w:t>See for example §101, §99, §35</w:t>
      </w:r>
    </w:p>
    <w:p>
      <w:pPr>
        <w:pStyle w:val="WW-gloss-term"/>
        <w:rPr/>
      </w:pPr>
      <w:r>
        <w:rPr/>
        <w:t>142</w:t>
      </w:r>
    </w:p>
    <w:p>
      <w:pPr>
        <w:pStyle w:val="FootnoteText"/>
        <w:rPr/>
      </w:pPr>
      <w:r>
        <w:rPr/>
        <w:t xml:space="preserve">For example </w:t>
      </w:r>
      <w:hyperlink r:id="rId12">
        <w:r>
          <w:rPr>
            <w:rStyle w:val="Hyperlink"/>
          </w:rPr>
          <w:t>Ds 2.3.3</w:t>
        </w:r>
      </w:hyperlink>
      <w:r>
        <w:rPr/>
        <w:t>.</w:t>
      </w:r>
    </w:p>
    <w:p>
      <w:pPr>
        <w:pStyle w:val="WW-gloss-term"/>
        <w:rPr/>
      </w:pPr>
      <w:r>
        <w:rPr/>
        <w:t>143</w:t>
      </w:r>
    </w:p>
    <w:p>
      <w:pPr>
        <w:pStyle w:val="FootnoteText"/>
        <w:rPr/>
      </w:pPr>
      <w:r>
        <w:rPr>
          <w:rStyle w:val="wwc-sesame-zot-reference"/>
        </w:rPr>
        <w:t>Gombrich 2009</w:t>
      </w:r>
      <w:r>
        <w:rPr/>
        <w:t xml:space="preserve"> p.136</w:t>
      </w:r>
    </w:p>
    <w:p>
      <w:pPr>
        <w:pStyle w:val="WW-gloss-term"/>
        <w:rPr/>
      </w:pPr>
      <w:r>
        <w:rPr/>
        <w:t>144</w:t>
      </w:r>
    </w:p>
    <w:p>
      <w:pPr>
        <w:pStyle w:val="FootnoteText"/>
        <w:rPr/>
      </w:pPr>
      <w:r>
        <w:rPr/>
        <w:t xml:space="preserve">For example </w:t>
      </w:r>
      <w:hyperlink r:id="rId13">
        <w:r>
          <w:rPr>
            <w:rStyle w:val="Hyperlink"/>
          </w:rPr>
          <w:t>SĀ 298</w:t>
        </w:r>
      </w:hyperlink>
      <w:r>
        <w:rPr/>
        <w:t xml:space="preserve">. For a further discussion see </w:t>
      </w:r>
      <w:r>
        <w:rPr>
          <w:rStyle w:val="wwc-sesame-zot-reference"/>
        </w:rPr>
        <w:t>Choong</w:t>
      </w:r>
      <w:r>
        <w:rPr/>
        <w:t xml:space="preserve"> p.163</w:t>
      </w:r>
    </w:p>
    <w:p>
      <w:pPr>
        <w:pStyle w:val="WW-gloss-term"/>
        <w:rPr/>
      </w:pPr>
      <w:r>
        <w:rPr/>
        <w:t>145</w:t>
      </w:r>
    </w:p>
    <w:p>
      <w:pPr>
        <w:pStyle w:val="FootnoteText"/>
        <w:rPr/>
      </w:pPr>
      <w:r>
        <w:fldChar w:fldCharType="begin"/>
      </w:r>
      <w:r>
        <w:rPr>
          <w:rStyle w:val="Hyperlink"/>
        </w:rPr>
        <w:instrText xml:space="preserve"> HYPERLINK "https://suttacentral.net/vb6/pli/ms" \l "9.4"</w:instrText>
      </w:r>
      <w:r>
        <w:rPr>
          <w:rStyle w:val="Hyperlink"/>
        </w:rPr>
        <w:fldChar w:fldCharType="separate"/>
      </w:r>
      <w:r>
        <w:rPr>
          <w:rStyle w:val="Hyperlink"/>
        </w:rPr>
        <w:t>Vb 6:9.4</w:t>
      </w:r>
      <w:r>
        <w:rPr>
          <w:rStyle w:val="Hyperlink"/>
        </w:rPr>
        <w:fldChar w:fldCharType="end"/>
      </w:r>
    </w:p>
    <w:p>
      <w:pPr>
        <w:pStyle w:val="WW-gloss-term"/>
        <w:rPr/>
      </w:pPr>
      <w:r>
        <w:rPr/>
        <w:t>146</w:t>
      </w:r>
    </w:p>
    <w:p>
      <w:pPr>
        <w:pStyle w:val="FootnoteText"/>
        <w:rPr/>
      </w:pPr>
      <w:r>
        <w:rPr/>
        <w:t xml:space="preserve">MN-A 1.221: </w:t>
      </w:r>
      <w:r>
        <w:rPr>
          <w:rStyle w:val="wwc-pali"/>
        </w:rPr>
        <w:t>‘Vedanā’ti vedanākkhandho. ‘Saññā’ti saññākkhandho. ‘Cetanā phasso manasikāro’ti saṅkhārakkhandho veditabbo</w:t>
      </w:r>
      <w:r>
        <w:rPr/>
        <w:t xml:space="preserve">, “‘Sensation’ is the aggregate of sensation. ‘Perception’ is the aggregate of perception. ‘Intention, sense impression, and attention’ should be understood as the aggregate of </w:t>
      </w:r>
      <w:r>
        <w:rPr>
          <w:rStyle w:val="wwc-pali"/>
        </w:rPr>
        <w:t>saṅkhāra</w:t>
      </w:r>
      <w:r>
        <w:rPr/>
        <w:t>.</w:t>
      </w:r>
    </w:p>
    <w:p>
      <w:pPr>
        <w:pStyle w:val="WW-gloss-term"/>
        <w:rPr/>
      </w:pPr>
      <w:r>
        <w:rPr/>
        <w:t>147</w:t>
      </w:r>
    </w:p>
    <w:p>
      <w:pPr>
        <w:pStyle w:val="FootnoteText"/>
        <w:rPr/>
      </w:pPr>
      <w:r>
        <w:rPr/>
        <w:t xml:space="preserve">T1548.28.689a20; </w:t>
      </w:r>
      <w:r>
        <w:rPr>
          <w:rStyle w:val="wwc-sesame-zot-reference"/>
        </w:rPr>
        <w:t>Frauwallner 1995</w:t>
      </w:r>
      <w:r>
        <w:rPr/>
        <w:t xml:space="preserve"> p.108; </w:t>
      </w:r>
      <w:hyperlink r:id="rId14">
        <w:r>
          <w:rPr>
            <w:rStyle w:val="Hyperlink"/>
          </w:rPr>
          <w:t>EĀ 49.5</w:t>
        </w:r>
      </w:hyperlink>
      <w:r>
        <w:rPr/>
        <w:t xml:space="preserve">, </w:t>
      </w:r>
      <w:hyperlink r:id="rId15">
        <w:r>
          <w:rPr>
            <w:rStyle w:val="Hyperlink"/>
          </w:rPr>
          <w:t>EĀ 46.8</w:t>
        </w:r>
      </w:hyperlink>
    </w:p>
    <w:p>
      <w:pPr>
        <w:pStyle w:val="WW-gloss-term"/>
        <w:rPr/>
      </w:pPr>
      <w:r>
        <w:rPr/>
        <w:t>148</w:t>
      </w:r>
    </w:p>
    <w:p>
      <w:pPr>
        <w:pStyle w:val="FootnoteText"/>
        <w:rPr/>
      </w:pPr>
      <w:r>
        <w:rPr/>
        <w:t>Pṭs 1.183</w:t>
      </w:r>
    </w:p>
    <w:p>
      <w:pPr>
        <w:pStyle w:val="WW-gloss-term"/>
        <w:rPr/>
      </w:pPr>
      <w:r>
        <w:rPr/>
        <w:t>149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12.2:11.4–11.5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p>
      <w:pPr>
        <w:pStyle w:val="WW-gloss-term"/>
        <w:rPr/>
      </w:pPr>
      <w:r>
        <w:rPr/>
        <w:t>150</w:t>
      </w:r>
    </w:p>
    <w:p>
      <w:pPr>
        <w:pStyle w:val="FootnoteText"/>
        <w:rPr/>
      </w:pPr>
      <w:r>
        <w:rPr/>
        <w:t xml:space="preserve">See also </w:t>
      </w:r>
      <w:r>
        <w:rPr>
          <w:rStyle w:val="wwc-sesame"/>
        </w:rPr>
        <w:t>Bodhi 2000 n.81</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22.56:3.2</w:t>
      </w:r>
      <w:r>
        <w:rPr>
          <w:rStyle w:val="Hyperlink"/>
        </w:rPr>
        <w:fldChar w:fldCharType="end"/>
      </w:r>
      <w:r>
        <w:rPr/>
        <w:t xml:space="preserve">, and </w:t>
      </w:r>
      <w:r>
        <w:rPr>
          <w:rStyle w:val="wwc-sesame-zot-reference"/>
        </w:rPr>
        <w:t>Hamilton</w:t>
      </w:r>
      <w:r>
        <w:rPr/>
        <w:t xml:space="preserve"> p.6</w:t>
      </w:r>
    </w:p>
    <w:p>
      <w:pPr>
        <w:pStyle w:val="WW-gloss-term"/>
        <w:rPr/>
      </w:pPr>
      <w:r>
        <w:rPr/>
        <w:t>151</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109:16.12</w:t>
      </w:r>
      <w:r>
        <w:rPr>
          <w:rStyle w:val="Hyperlink"/>
        </w:rPr>
        <w:fldChar w:fldCharType="end"/>
      </w:r>
      <w:r>
        <w:rPr/>
        <w:t xml:space="preserve"> </w:t>
      </w:r>
      <w:r>
        <w:rPr>
          <w:rStyle w:val="wwc-PTS-reference"/>
        </w:rPr>
        <w:t>M III 17</w:t>
      </w:r>
    </w:p>
    <w:p>
      <w:pPr>
        <w:pStyle w:val="WW-gloss-term"/>
        <w:rPr/>
      </w:pPr>
      <w:r>
        <w:rPr/>
        <w:t>152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28:17.1–17.3</w:t>
      </w:r>
      <w:r>
        <w:rPr>
          <w:rStyle w:val="Hyperlink"/>
        </w:rPr>
        <w:fldChar w:fldCharType="end"/>
      </w:r>
      <w:r>
        <w:rPr/>
        <w:t xml:space="preserve"> </w:t>
      </w:r>
      <w:r>
        <w:rPr>
          <w:rStyle w:val="wwc-PTS-reference"/>
        </w:rPr>
        <w:t>M I 185</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62:8.1–12.9</w:t>
      </w:r>
      <w:r>
        <w:rPr>
          <w:rStyle w:val="Hyperlink"/>
        </w:rPr>
        <w:fldChar w:fldCharType="end"/>
      </w:r>
      <w:r>
        <w:rPr/>
        <w:t xml:space="preserve"> </w:t>
      </w:r>
      <w:r>
        <w:rPr>
          <w:rStyle w:val="wwc-PTS-reference"/>
        </w:rPr>
        <w:t>M I 422</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140:14.1–18.9</w:t>
      </w:r>
      <w:r>
        <w:rPr>
          <w:rStyle w:val="Hyperlink"/>
        </w:rPr>
        <w:fldChar w:fldCharType="end"/>
      </w:r>
      <w:r>
        <w:rPr/>
        <w:t xml:space="preserve"> </w:t>
      </w:r>
      <w:r>
        <w:rPr>
          <w:rStyle w:val="wwc-PTS-reference"/>
        </w:rPr>
        <w:t>M III 240</w:t>
      </w:r>
    </w:p>
    <w:p>
      <w:pPr>
        <w:pStyle w:val="WW-gloss-term"/>
        <w:rPr/>
      </w:pPr>
      <w:r>
        <w:rPr/>
        <w:t>153</w:t>
      </w:r>
    </w:p>
    <w:p>
      <w:pPr>
        <w:pStyle w:val="FootnoteText"/>
        <w:rPr/>
      </w:pPr>
      <w:r>
        <w:rPr/>
        <w:t xml:space="preserve">Rather than the standard translation ‘the eye’ I translate </w:t>
      </w:r>
      <w:r>
        <w:rPr>
          <w:rStyle w:val="wwc-pali"/>
        </w:rPr>
        <w:t>cakkhu</w:t>
      </w:r>
      <w:r>
        <w:rPr/>
        <w:t xml:space="preserve"> as ‘the sense of sight’, and likewise for the other senses. </w:t>
      </w:r>
      <w:r>
        <w:rPr>
          <w:rStyle w:val="wwc-sesame-zot-reference"/>
        </w:rPr>
        <w:t>Olivelle</w:t>
      </w:r>
      <w:r>
        <w:rPr/>
        <w:t xml:space="preserve"> p.22 notes on the </w:t>
      </w:r>
      <w:r>
        <w:rPr>
          <w:rStyle w:val="wwc-sesame"/>
        </w:rPr>
        <w:t>Upaniṣads</w:t>
      </w:r>
      <w:r>
        <w:rPr/>
        <w:t>: “In dealing with sight and hearing, and to some extent also in the case of the other faculties, these documents clearly distinguish the power or the act of seeing and hearing from the respective external organs, the eyes and the ears. Indeed, they consistently use different Sanskrit terms for the two—</w:t>
      </w:r>
      <w:r>
        <w:rPr>
          <w:rStyle w:val="wwc-sanskrit"/>
        </w:rPr>
        <w:t>cakṣus</w:t>
      </w:r>
      <w:r>
        <w:rPr/>
        <w:t xml:space="preserve"> and </w:t>
      </w:r>
      <w:r>
        <w:rPr>
          <w:rStyle w:val="wwc-sanskrit"/>
        </w:rPr>
        <w:t>śrotra</w:t>
      </w:r>
      <w:r>
        <w:rPr/>
        <w:t xml:space="preserve"> for sight and hearing, and </w:t>
      </w:r>
      <w:r>
        <w:rPr>
          <w:rStyle w:val="wwc-sanskrit"/>
        </w:rPr>
        <w:t>akṣan</w:t>
      </w:r>
      <w:r>
        <w:rPr/>
        <w:t xml:space="preserve"> and </w:t>
      </w:r>
      <w:r>
        <w:rPr>
          <w:rStyle w:val="wwc-sanskrit"/>
        </w:rPr>
        <w:t>karṇa</w:t>
      </w:r>
      <w:r>
        <w:rPr/>
        <w:t xml:space="preserve"> for eye and ear, respectively.” I think this distinction is to some extent also present in the Pāli suttas, with the respective terms being </w:t>
      </w:r>
      <w:r>
        <w:rPr>
          <w:rStyle w:val="wwc-pali"/>
        </w:rPr>
        <w:t>cakkhu</w:t>
      </w:r>
      <w:r>
        <w:rPr/>
        <w:t xml:space="preserve"> and </w:t>
      </w:r>
      <w:r>
        <w:rPr>
          <w:rStyle w:val="wwc-pali"/>
        </w:rPr>
        <w:t>sota</w:t>
      </w:r>
      <w:r>
        <w:rPr/>
        <w:t xml:space="preserve">, and </w:t>
      </w:r>
      <w:r>
        <w:rPr>
          <w:rStyle w:val="wwc-pali"/>
        </w:rPr>
        <w:t>akkhi</w:t>
      </w:r>
      <w:r>
        <w:rPr/>
        <w:t xml:space="preserve"> and </w:t>
      </w:r>
      <w:r>
        <w:rPr>
          <w:rStyle w:val="wwc-pali"/>
        </w:rPr>
        <w:t>kaṇṇa</w:t>
      </w:r>
      <w:r>
        <w:rPr/>
        <w:t xml:space="preserve">. </w:t>
      </w:r>
      <w:r>
        <w:rPr>
          <w:rStyle w:val="wwc-sesame-zot-reference"/>
        </w:rPr>
        <w:t>Hamilton</w:t>
      </w:r>
      <w:r>
        <w:rPr/>
        <w:t xml:space="preserve"> p.18 similarly states: “One might suggest that what is referred to [in the Pāli suttas] by the terms </w:t>
      </w:r>
      <w:r>
        <w:rPr>
          <w:rStyle w:val="wwc-pali"/>
        </w:rPr>
        <w:t>cakkhu, sota, ghāna</w:t>
      </w:r>
      <w:r>
        <w:rPr/>
        <w:t xml:space="preserve"> and so on is not primarily the sense organs eye, ear, nose, etc., but that the terms are to be interpreted figuratively as the faculties of vision, hearing, smell and so on.”</w:t>
      </w:r>
    </w:p>
    <w:p>
      <w:pPr>
        <w:pStyle w:val="WW-gloss-term"/>
        <w:rPr/>
      </w:pPr>
      <w:r>
        <w:rPr/>
        <w:t>154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137:4.1–5.5</w:t>
      </w:r>
      <w:r>
        <w:rPr>
          <w:rStyle w:val="Hyperlink"/>
        </w:rPr>
        <w:fldChar w:fldCharType="end"/>
      </w:r>
      <w:r>
        <w:rPr/>
        <w:t xml:space="preserve"> </w:t>
      </w:r>
      <w:r>
        <w:rPr>
          <w:rStyle w:val="wwc-PTS-reference"/>
        </w:rPr>
        <w:t>M III 261</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33:2.2.4–2.2.7</w:t>
      </w:r>
      <w:r>
        <w:rPr>
          <w:rStyle w:val="Hyperlink"/>
        </w:rPr>
        <w:fldChar w:fldCharType="end"/>
      </w:r>
      <w:r>
        <w:rPr/>
        <w:t xml:space="preserve"> </w:t>
      </w:r>
      <w:r>
        <w:rPr>
          <w:rStyle w:val="wwc-PTS-reference"/>
        </w:rPr>
        <w:t>D III 243</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148:4.1–5.6</w:t>
      </w:r>
      <w:r>
        <w:rPr>
          <w:rStyle w:val="Hyperlink"/>
        </w:rPr>
        <w:fldChar w:fldCharType="end"/>
      </w:r>
      <w:r>
        <w:rPr/>
        <w:t xml:space="preserve"> </w:t>
      </w:r>
      <w:r>
        <w:rPr>
          <w:rStyle w:val="wwc-PTS-reference"/>
        </w:rPr>
        <w:t>M III 280</w:t>
      </w:r>
    </w:p>
    <w:p>
      <w:pPr>
        <w:pStyle w:val="WW-gloss-term"/>
        <w:rPr/>
      </w:pPr>
      <w:r>
        <w:rPr/>
        <w:t>155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12.2:10.1–10.3</w:t>
      </w:r>
      <w:r>
        <w:rPr>
          <w:rStyle w:val="Hyperlink"/>
        </w:rPr>
        <w:fldChar w:fldCharType="end"/>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12.27:3.7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12.33:9.7</w:t>
      </w:r>
      <w:r>
        <w:rPr>
          <w:rStyle w:val="Hyperlink"/>
        </w:rPr>
        <w:fldChar w:fldCharType="end"/>
      </w:r>
    </w:p>
    <w:p>
      <w:pPr>
        <w:pStyle w:val="WW-gloss-term"/>
        <w:rPr/>
      </w:pPr>
      <w:r>
        <w:rPr/>
        <w:t>156</w:t>
      </w:r>
    </w:p>
    <w:p>
      <w:pPr>
        <w:pStyle w:val="FootnoteText"/>
        <w:rPr/>
      </w:pPr>
      <w:r>
        <w:rPr/>
        <w:t xml:space="preserve">See also </w:t>
      </w:r>
      <w:r>
        <w:rPr>
          <w:rStyle w:val="wwc-sesame-zot-reference"/>
        </w:rPr>
        <w:t>Frauwallner 1953/1973</w:t>
      </w:r>
      <w:r>
        <w:rPr/>
        <w:t xml:space="preserve"> p.158: “By [</w:t>
      </w:r>
      <w:r>
        <w:rPr>
          <w:rStyle w:val="wwc-pali"/>
        </w:rPr>
        <w:t>saḷāyatana</w:t>
      </w:r>
      <w:r>
        <w:rPr/>
        <w:t xml:space="preserve"> in Dependent Arising] are meant the six inner spheres, i.e., the six sense organs.” Also </w:t>
      </w:r>
      <w:r>
        <w:rPr>
          <w:rStyle w:val="wwc-sesame-zot-reference"/>
        </w:rPr>
        <w:t>Hamilton</w:t>
      </w:r>
      <w:r>
        <w:rPr/>
        <w:t xml:space="preserve"> p.16: “In the </w:t>
      </w:r>
      <w:r>
        <w:rPr>
          <w:rStyle w:val="wwc-sesame"/>
        </w:rPr>
        <w:t>Saḷāyatana Vagga</w:t>
      </w:r>
      <w:r>
        <w:rPr/>
        <w:t xml:space="preserve"> of the </w:t>
      </w:r>
      <w:r>
        <w:rPr>
          <w:rStyle w:val="wwc-sesame"/>
        </w:rPr>
        <w:t>Saṁyutta Nikāya</w:t>
      </w:r>
      <w:r>
        <w:rPr/>
        <w:t xml:space="preserve">, the six senses are defined as being </w:t>
      </w:r>
      <w:r>
        <w:rPr>
          <w:rStyle w:val="wwc-pali"/>
        </w:rPr>
        <w:t>ajjhattaṁ</w:t>
      </w:r>
      <w:r>
        <w:rPr/>
        <w:t xml:space="preserve">, personal or internal, and the six corresponding objects are defined as being </w:t>
      </w:r>
      <w:r>
        <w:rPr>
          <w:rStyle w:val="wwc-pali"/>
        </w:rPr>
        <w:t>bāhiraṁ</w:t>
      </w:r>
      <w:r>
        <w:rPr/>
        <w:t xml:space="preserve">, external, thus giving two ‘sets’ of six </w:t>
      </w:r>
      <w:r>
        <w:rPr>
          <w:rStyle w:val="wwc-pali"/>
        </w:rPr>
        <w:t>āyatanas</w:t>
      </w:r>
      <w:r>
        <w:rPr/>
        <w:t xml:space="preserve">. In the </w:t>
      </w:r>
      <w:r>
        <w:rPr>
          <w:rStyle w:val="wwc-sesame"/>
        </w:rPr>
        <w:t>Nidāna Saṁyutta</w:t>
      </w:r>
      <w:r>
        <w:rPr/>
        <w:t xml:space="preserve">, however, which is concerned with explaining </w:t>
      </w:r>
      <w:r>
        <w:rPr>
          <w:rStyle w:val="wwc-pali"/>
        </w:rPr>
        <w:t>paṭiccasamuppāda</w:t>
      </w:r>
      <w:r>
        <w:rPr/>
        <w:t xml:space="preserve">, only the personal </w:t>
      </w:r>
      <w:r>
        <w:rPr>
          <w:rStyle w:val="wwc-pali"/>
        </w:rPr>
        <w:t>āyatanas</w:t>
      </w:r>
      <w:r>
        <w:rPr/>
        <w:t xml:space="preserve"> [i.e. the sense ‘organs’] are referred to by the term </w:t>
      </w:r>
      <w:r>
        <w:rPr>
          <w:rStyle w:val="wwc-pali"/>
        </w:rPr>
        <w:t>āyatana</w:t>
      </w:r>
      <w:r>
        <w:rPr/>
        <w:t>.”</w:t>
      </w:r>
    </w:p>
    <w:p>
      <w:pPr>
        <w:pStyle w:val="WW-gloss-term"/>
        <w:rPr/>
      </w:pPr>
      <w:r>
        <w:rPr/>
        <w:t>157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2:83.3</w:t>
      </w:r>
      <w:r>
        <w:rPr>
          <w:rStyle w:val="Hyperlink"/>
        </w:rPr>
        <w:fldChar w:fldCharType="end"/>
      </w:r>
      <w:r>
        <w:rPr/>
        <w:t xml:space="preserve"> </w:t>
      </w:r>
      <w:r>
        <w:rPr>
          <w:rStyle w:val="wwc-PTS-reference"/>
        </w:rPr>
        <w:t>D I 76</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10:2.21.3</w:t>
      </w:r>
      <w:r>
        <w:rPr>
          <w:rStyle w:val="Hyperlink"/>
        </w:rPr>
        <w:fldChar w:fldCharType="end"/>
      </w:r>
      <w:r>
        <w:rPr/>
        <w:t xml:space="preserve"> </w:t>
      </w:r>
      <w:r>
        <w:rPr>
          <w:rStyle w:val="wwc-PTS-reference"/>
        </w:rPr>
        <w:t>D I 208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23:4.1</w:t>
      </w:r>
      <w:r>
        <w:rPr>
          <w:rStyle w:val="Hyperlink"/>
        </w:rPr>
        <w:fldChar w:fldCharType="end"/>
      </w:r>
      <w:r>
        <w:rPr/>
        <w:t xml:space="preserve"> </w:t>
      </w:r>
      <w:r>
        <w:rPr>
          <w:rStyle w:val="wwc-PTS-reference"/>
        </w:rPr>
        <w:t>M I 143</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74:9.1</w:t>
      </w:r>
      <w:r>
        <w:rPr>
          <w:rStyle w:val="Hyperlink"/>
        </w:rPr>
        <w:fldChar w:fldCharType="end"/>
      </w:r>
      <w:r>
        <w:rPr/>
        <w:t xml:space="preserve"> </w:t>
      </w:r>
      <w:r>
        <w:rPr>
          <w:rStyle w:val="wwc-PTS-reference"/>
        </w:rPr>
        <w:t>M I 499</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77:29.2</w:t>
      </w:r>
      <w:r>
        <w:rPr>
          <w:rStyle w:val="Hyperlink"/>
        </w:rPr>
        <w:fldChar w:fldCharType="end"/>
      </w:r>
      <w:r>
        <w:rPr/>
        <w:t xml:space="preserve"> </w:t>
      </w:r>
      <w:r>
        <w:rPr>
          <w:rStyle w:val="wwc-PTS-reference"/>
        </w:rPr>
        <w:t>M II 17</w:t>
      </w:r>
    </w:p>
    <w:p>
      <w:pPr>
        <w:pStyle w:val="WW-gloss-term"/>
        <w:rPr/>
      </w:pPr>
      <w:r>
        <w:rPr/>
        <w:t>158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22:6.3</w:t>
      </w:r>
      <w:r>
        <w:rPr>
          <w:rStyle w:val="Hyperlink"/>
        </w:rPr>
        <w:fldChar w:fldCharType="end"/>
      </w:r>
      <w:r>
        <w:rPr/>
        <w:t xml:space="preserve"> </w:t>
      </w:r>
      <w:r>
        <w:rPr>
          <w:rStyle w:val="wwc-PTS-reference"/>
        </w:rPr>
        <w:t>D II 294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10:12.3</w:t>
      </w:r>
      <w:r>
        <w:rPr>
          <w:rStyle w:val="Hyperlink"/>
        </w:rPr>
        <w:fldChar w:fldCharType="end"/>
      </w:r>
      <w:r>
        <w:rPr/>
        <w:t xml:space="preserve"> </w:t>
      </w:r>
      <w:r>
        <w:rPr>
          <w:rStyle w:val="wwc-PTS-reference"/>
        </w:rPr>
        <w:t>M I 58</w:t>
      </w:r>
    </w:p>
    <w:p>
      <w:pPr>
        <w:pStyle w:val="WW-gloss-term"/>
        <w:rPr/>
      </w:pPr>
      <w:r>
        <w:rPr/>
        <w:t>159</w:t>
      </w:r>
    </w:p>
    <w:p>
      <w:pPr>
        <w:pStyle w:val="FootnoteText"/>
        <w:rPr/>
      </w:pPr>
      <w:r>
        <w:rPr>
          <w:rStyle w:val="wwc-sesame-zot-reference"/>
        </w:rPr>
        <w:t>Hamilton</w:t>
      </w:r>
      <w:r>
        <w:rPr/>
        <w:t xml:space="preserve"> p.104</w:t>
      </w:r>
    </w:p>
    <w:p>
      <w:pPr>
        <w:pStyle w:val="WW-gloss-term"/>
        <w:rPr/>
      </w:pPr>
      <w:r>
        <w:rPr/>
        <w:t>160</w:t>
      </w:r>
    </w:p>
    <w:p>
      <w:pPr>
        <w:pStyle w:val="FootnoteText"/>
        <w:rPr/>
      </w:pPr>
      <w:r>
        <w:rPr>
          <w:rStyle w:val="wwc-sesame-zot-reference"/>
        </w:rPr>
        <w:t>Olalde 2014</w:t>
      </w:r>
      <w:r>
        <w:rPr/>
        <w:t xml:space="preserve"> p.114 (translation mine): “But first I would like to recall that </w:t>
      </w:r>
      <w:r>
        <w:rPr>
          <w:rStyle w:val="wwc-pali"/>
        </w:rPr>
        <w:t>nāmarūpa</w:t>
      </w:r>
      <w:r>
        <w:rPr/>
        <w:t xml:space="preserve"> in the Vedic texts and </w:t>
      </w:r>
      <w:r>
        <w:rPr>
          <w:rStyle w:val="wwc-sesame"/>
        </w:rPr>
        <w:t>Upaniṣads</w:t>
      </w:r>
      <w:r>
        <w:rPr/>
        <w:t xml:space="preserve"> can refer to both an individual, i.e. a person, as well as [things in] the entire world, with its application to individuals being actually older.”</w:t>
      </w:r>
    </w:p>
    <w:p>
      <w:pPr>
        <w:pStyle w:val="WW-gloss-term"/>
        <w:rPr/>
      </w:pPr>
      <w:r>
        <w:rPr/>
        <w:t>161</w:t>
      </w:r>
    </w:p>
    <w:p>
      <w:pPr>
        <w:pStyle w:val="FootnoteText"/>
        <w:rPr/>
      </w:pPr>
      <w:r>
        <w:rPr>
          <w:rStyle w:val="wwc-sesame-zot-reference"/>
        </w:rPr>
        <w:t>Olivelle</w:t>
      </w:r>
      <w:r>
        <w:rPr/>
        <w:t xml:space="preserve"> p.47</w:t>
      </w:r>
    </w:p>
    <w:p>
      <w:pPr>
        <w:pStyle w:val="WW-gloss-term"/>
        <w:rPr/>
      </w:pPr>
      <w:r>
        <w:rPr/>
        <w:t>162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12.64:4.1–5.8</w:t>
      </w:r>
      <w:r>
        <w:rPr>
          <w:rStyle w:val="Hyperlink"/>
        </w:rPr>
        <w:fldChar w:fldCharType="end"/>
      </w:r>
    </w:p>
    <w:p>
      <w:pPr>
        <w:pStyle w:val="WW-gloss-term"/>
        <w:rPr/>
      </w:pPr>
      <w:r>
        <w:rPr/>
        <w:t>163</w:t>
      </w:r>
    </w:p>
    <w:p>
      <w:pPr>
        <w:pStyle w:val="FootnoteText"/>
        <w:rPr/>
      </w:pPr>
      <w:r>
        <w:rPr/>
        <w:t xml:space="preserve">See </w:t>
      </w:r>
      <w:r>
        <w:rPr>
          <w:rStyle w:val="wwc-sesame-zot-reference"/>
        </w:rPr>
        <w:t>Hecker</w:t>
      </w:r>
      <w:r>
        <w:rPr/>
        <w:t xml:space="preserve"> p.53 and the commentary, translated by </w:t>
      </w:r>
      <w:r>
        <w:rPr>
          <w:rStyle w:val="wwc-sesame"/>
        </w:rPr>
        <w:t>Bodhi 2000 n.173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p>
      <w:pPr>
        <w:pStyle w:val="WW-gloss-term"/>
        <w:rPr/>
      </w:pPr>
      <w:r>
        <w:rPr/>
        <w:t>164</w:t>
      </w:r>
    </w:p>
    <w:p>
      <w:pPr>
        <w:pStyle w:val="FootnoteText"/>
        <w:rPr/>
      </w:pPr>
      <w:r>
        <w:rPr/>
        <w:t>§84</w:t>
      </w:r>
    </w:p>
    <w:p>
      <w:pPr>
        <w:pStyle w:val="WW-gloss-term"/>
        <w:rPr/>
      </w:pPr>
      <w:r>
        <w:rPr/>
        <w:t>165</w:t>
      </w:r>
    </w:p>
    <w:p>
      <w:pPr>
        <w:pStyle w:val="FootnoteText"/>
        <w:rPr/>
      </w:pPr>
      <w:r>
        <w:rPr/>
        <w:t xml:space="preserve">For example </w:t>
      </w:r>
      <w:r>
        <w:rPr>
          <w:rStyle w:val="wwc-sesame-zot-reference"/>
        </w:rPr>
        <w:t>Ñāṇananda 2015</w:t>
      </w:r>
      <w:r>
        <w:rPr/>
        <w:t xml:space="preserve"> p.120, </w:t>
      </w:r>
      <w:r>
        <w:rPr>
          <w:rStyle w:val="wwc-sesame-zot-reference"/>
        </w:rPr>
        <w:t>Cintita</w:t>
      </w:r>
      <w:r>
        <w:rPr/>
        <w:t xml:space="preserve"> p.61</w:t>
      </w:r>
    </w:p>
    <w:p>
      <w:pPr>
        <w:pStyle w:val="WW-gloss-term"/>
        <w:rPr/>
      </w:pPr>
      <w:r>
        <w:rPr/>
        <w:t>166</w:t>
      </w:r>
    </w:p>
    <w:p>
      <w:pPr>
        <w:pStyle w:val="FootnoteText"/>
        <w:rPr/>
      </w:pPr>
      <w:r>
        <w:rPr>
          <w:rStyle w:val="wwc-pali"/>
        </w:rPr>
        <w:t>Abhinibbattento abhinibbatteti</w:t>
      </w:r>
      <w:r>
        <w:rPr/>
        <w:t xml:space="preserve">, ‘when [they] produce a next life, they produce’. The word </w:t>
      </w:r>
      <w:r>
        <w:rPr>
          <w:rStyle w:val="wwc-pali"/>
        </w:rPr>
        <w:t>abhinibbatteti</w:t>
      </w:r>
      <w:r>
        <w:rPr/>
        <w:t xml:space="preserve"> has a strong connection with rebirth. For example see </w:t>
      </w: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r>
        <w:rPr/>
        <w:t>, “being reborn (</w:t>
      </w:r>
      <w:r>
        <w:rPr>
          <w:rStyle w:val="wwc-pali"/>
        </w:rPr>
        <w:t>abhinibbatti</w:t>
      </w:r>
      <w:r>
        <w:rPr/>
        <w:t xml:space="preserve">) is painful”, or the definition of birth in §20, which includes </w:t>
      </w:r>
      <w:r>
        <w:rPr>
          <w:rStyle w:val="wwc-pali"/>
        </w:rPr>
        <w:t>abhinibbatti</w:t>
      </w:r>
      <w:r>
        <w:rPr/>
        <w:t xml:space="preserve">. To capture this meaning, which is surely implied given the context of transmigration, I translate it here as ‘they produce a next life’, following the example of </w:t>
      </w:r>
      <w:r>
        <w:rPr>
          <w:rStyle w:val="wwc-sesame-zot-reference"/>
        </w:rPr>
        <w:t>Sujato 2023</w:t>
      </w:r>
    </w:p>
    <w:p>
      <w:pPr>
        <w:pStyle w:val="WW-gloss-term"/>
        <w:rPr/>
      </w:pPr>
      <w:r>
        <w:rPr/>
        <w:t>167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p>
      <w:pPr>
        <w:pStyle w:val="WW-gloss-term"/>
        <w:rPr/>
      </w:pPr>
      <w:r>
        <w:rPr/>
        <w:t>168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22.99:2.9</w:t>
      </w:r>
      <w:r>
        <w:rPr>
          <w:rStyle w:val="Hyperlink"/>
        </w:rPr>
        <w:fldChar w:fldCharType="end"/>
      </w:r>
    </w:p>
    <w:p>
      <w:pPr>
        <w:pStyle w:val="WW-gloss-term"/>
        <w:rPr/>
      </w:pPr>
      <w:r>
        <w:rPr/>
        <w:t>169</w:t>
      </w:r>
    </w:p>
    <w:p>
      <w:pPr>
        <w:pStyle w:val="FootnoteText"/>
        <w:rPr/>
      </w:pPr>
      <w:r>
        <w:rPr>
          <w:rStyle w:val="wwc-sesame"/>
        </w:rPr>
        <w:t>Bodhi 2000 n.206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p>
      <w:pPr>
        <w:pStyle w:val="WW-gloss-term"/>
        <w:rPr/>
      </w:pPr>
      <w:r>
        <w:rPr/>
        <w:t>170</w:t>
      </w:r>
    </w:p>
    <w:p>
      <w:pPr>
        <w:pStyle w:val="FootnoteText"/>
        <w:rPr/>
      </w:pPr>
      <w:r>
        <w:rPr/>
        <w:t xml:space="preserve">See also </w:t>
      </w:r>
      <w:r>
        <w:rPr>
          <w:rStyle w:val="wwc-sesame-zot-reference"/>
        </w:rPr>
        <w:t>Piyadassi</w:t>
      </w:r>
      <w:r>
        <w:rPr/>
        <w:t xml:space="preserve"> p.6 </w:t>
      </w:r>
      <w:r>
        <w:rPr>
          <w:rStyle w:val="Emphasis"/>
        </w:rPr>
        <w:t>(ed. p.15 in PDF)</w:t>
      </w:r>
      <w:r>
        <w:rPr/>
        <w:t xml:space="preserve">, </w:t>
      </w:r>
      <w:r>
        <w:rPr>
          <w:rStyle w:val="wwc-sesame-zot-reference"/>
        </w:rPr>
        <w:t>Bodhi 1984</w:t>
      </w:r>
      <w:r>
        <w:rPr/>
        <w:t xml:space="preserve"> p.5, </w:t>
      </w:r>
      <w:r>
        <w:rPr>
          <w:rStyle w:val="wwc-sesame-zot-reference"/>
        </w:rPr>
        <w:t>Nyanatiloka</w:t>
      </w:r>
      <w:r>
        <w:rPr/>
        <w:t xml:space="preserve"> p.13</w:t>
      </w:r>
    </w:p>
    <w:p>
      <w:pPr>
        <w:pStyle w:val="WW-gloss-term"/>
        <w:rPr/>
      </w:pPr>
      <w:r>
        <w:rPr/>
        <w:t>171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98:13.1–13.8</w:t>
      </w:r>
      <w:r>
        <w:rPr>
          <w:rStyle w:val="Hyperlink"/>
        </w:rPr>
        <w:fldChar w:fldCharType="end"/>
      </w:r>
      <w:r>
        <w:rPr/>
        <w:t xml:space="preserve"> </w:t>
      </w:r>
      <w:r>
        <w:rPr>
          <w:rStyle w:val="wwc-PTS-reference"/>
        </w:rPr>
        <w:t>M II 123</w:t>
      </w:r>
    </w:p>
    <w:p>
      <w:pPr>
        <w:pStyle w:val="WW-gloss-term"/>
        <w:rPr/>
      </w:pPr>
      <w:r>
        <w:rPr/>
        <w:t>172</w:t>
      </w:r>
    </w:p>
    <w:p>
      <w:pPr>
        <w:pStyle w:val="FootnoteText"/>
        <w:rPr/>
      </w:pPr>
      <w:r>
        <w:rPr/>
        <w:t>For example §49 and §62</w:t>
      </w:r>
    </w:p>
    <w:p>
      <w:pPr>
        <w:pStyle w:val="WW-gloss-term"/>
        <w:rPr/>
      </w:pPr>
      <w:r>
        <w:rPr/>
        <w:t>173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22.56:10.1–10.4</w:t>
      </w:r>
      <w:r>
        <w:rPr>
          <w:rStyle w:val="Hyperlink"/>
        </w:rPr>
        <w:fldChar w:fldCharType="end"/>
      </w:r>
    </w:p>
    <w:p>
      <w:pPr>
        <w:pStyle w:val="WW-gloss-term"/>
        <w:rPr/>
      </w:pPr>
      <w:r>
        <w:rPr/>
        <w:t>174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136:2.13–2.14, 6.10–6.12</w:t>
      </w:r>
      <w:r>
        <w:rPr>
          <w:rStyle w:val="Hyperlink"/>
        </w:rPr>
        <w:fldChar w:fldCharType="end"/>
      </w:r>
      <w:r>
        <w:rPr/>
        <w:t xml:space="preserve"> </w:t>
      </w:r>
      <w:r>
        <w:rPr>
          <w:rStyle w:val="wwc-PTS-reference"/>
        </w:rPr>
        <w:t>M III 207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AN 10.219</w:t>
      </w:r>
      <w:r>
        <w:rPr>
          <w:rStyle w:val="Hyperlink"/>
        </w:rPr>
        <w:fldChar w:fldCharType="end"/>
      </w:r>
      <w:r>
        <w:rPr/>
        <w:t xml:space="preserve"> also speak of intentional deeds (</w:t>
      </w:r>
      <w:r>
        <w:rPr>
          <w:rStyle w:val="wwc-pali"/>
        </w:rPr>
        <w:t>sañcetanika kamma</w:t>
      </w:r>
      <w:r>
        <w:rPr/>
        <w:t>).</w:t>
      </w:r>
    </w:p>
    <w:p>
      <w:pPr>
        <w:pStyle w:val="WW-gloss-term"/>
        <w:rPr/>
      </w:pPr>
      <w:r>
        <w:rPr/>
        <w:t>175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p>
      <w:pPr>
        <w:pStyle w:val="WW-gloss-term"/>
        <w:rPr/>
      </w:pPr>
      <w:r>
        <w:rPr/>
        <w:t>176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4.237:2.1–3.2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4.238:1.2–2.2</w:t>
      </w:r>
      <w:r>
        <w:rPr>
          <w:rStyle w:val="Hyperlink"/>
        </w:rPr>
        <w:fldChar w:fldCharType="end"/>
      </w:r>
    </w:p>
    <w:p>
      <w:pPr>
        <w:pStyle w:val="WW-gloss-term"/>
        <w:rPr/>
      </w:pPr>
      <w:r>
        <w:rPr/>
        <w:t>177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3.146</w:t>
      </w:r>
      <w:r>
        <w:rPr>
          <w:rStyle w:val="Hyperlink"/>
        </w:rPr>
        <w:fldChar w:fldCharType="end"/>
      </w:r>
    </w:p>
    <w:p>
      <w:pPr>
        <w:pStyle w:val="WW-gloss-term"/>
        <w:rPr/>
      </w:pPr>
      <w:r>
        <w:rPr/>
        <w:t>178</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1.43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AN 1.44</w:t>
      </w:r>
      <w:r>
        <w:rPr>
          <w:rStyle w:val="Hyperlink"/>
        </w:rPr>
        <w:fldChar w:fldCharType="end"/>
      </w:r>
      <w:r>
        <w:rPr/>
        <w:t>, where “end up in heaven as if carried up there” follows “if a person dies”.</w:t>
      </w:r>
    </w:p>
    <w:p>
      <w:pPr>
        <w:pStyle w:val="WW-gloss-term"/>
        <w:rPr/>
      </w:pPr>
      <w:r>
        <w:rPr/>
        <w:t>179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2.17:2.1–2.8</w:t>
      </w:r>
      <w:r>
        <w:rPr>
          <w:rStyle w:val="Hyperlink"/>
        </w:rPr>
        <w:fldChar w:fldCharType="end"/>
      </w:r>
    </w:p>
    <w:p>
      <w:pPr>
        <w:pStyle w:val="WW-gloss-term"/>
        <w:rPr/>
      </w:pPr>
      <w:r>
        <w:rPr/>
        <w:t>180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57:8.1–9.10</w:t>
      </w:r>
      <w:r>
        <w:rPr>
          <w:rStyle w:val="Hyperlink"/>
        </w:rPr>
        <w:fldChar w:fldCharType="end"/>
      </w:r>
      <w:r>
        <w:rPr/>
        <w:t xml:space="preserve"> </w:t>
      </w:r>
      <w:r>
        <w:rPr>
          <w:rStyle w:val="wwc-PTS-reference"/>
        </w:rPr>
        <w:t>M I 389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AN 4.233:2.1–3.6</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AN 4.234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4.240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3.8</w:t>
      </w:r>
      <w:r>
        <w:rPr>
          <w:rStyle w:val="Hyperlink"/>
        </w:rPr>
        <w:fldChar w:fldCharType="end"/>
      </w:r>
    </w:p>
    <w:p>
      <w:pPr>
        <w:pStyle w:val="WW-gloss-term"/>
        <w:rPr/>
      </w:pPr>
      <w:r>
        <w:rPr/>
        <w:t>181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3.23</w:t>
      </w:r>
      <w:r>
        <w:rPr>
          <w:rStyle w:val="Hyperlink"/>
        </w:rPr>
        <w:fldChar w:fldCharType="end"/>
      </w:r>
    </w:p>
    <w:p>
      <w:pPr>
        <w:pStyle w:val="WW-gloss-term"/>
        <w:rPr/>
      </w:pPr>
      <w:r>
        <w:rPr/>
        <w:t>182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44:13.2–13.3</w:t>
      </w:r>
      <w:r>
        <w:rPr>
          <w:rStyle w:val="Hyperlink"/>
        </w:rPr>
        <w:fldChar w:fldCharType="end"/>
      </w:r>
      <w:r>
        <w:rPr/>
        <w:t xml:space="preserve"> </w:t>
      </w:r>
      <w:r>
        <w:rPr>
          <w:rStyle w:val="wwc-PTS-reference"/>
        </w:rPr>
        <w:t>M I 301</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41.6:1.3–1.5</w:t>
      </w:r>
      <w:r>
        <w:rPr>
          <w:rStyle w:val="Hyperlink"/>
        </w:rPr>
        <w:fldChar w:fldCharType="end"/>
      </w:r>
    </w:p>
    <w:p>
      <w:pPr>
        <w:pStyle w:val="WW-gloss-term"/>
        <w:rPr/>
      </w:pPr>
      <w:r>
        <w:rPr/>
        <w:t>183</w:t>
      </w:r>
    </w:p>
    <w:p>
      <w:pPr>
        <w:pStyle w:val="FootnoteText"/>
        <w:rPr/>
      </w:pPr>
      <w:r>
        <w:rPr/>
        <w:t xml:space="preserve">For similar arguments see </w:t>
      </w:r>
      <w:r>
        <w:rPr>
          <w:rStyle w:val="wwc-sesame-zot-reference"/>
        </w:rPr>
        <w:t>Bodhi 1998</w:t>
      </w:r>
      <w:r>
        <w:rPr/>
        <w:t xml:space="preserve"> p.57, contra e.g. </w:t>
      </w:r>
      <w:r>
        <w:rPr>
          <w:rStyle w:val="wwc-sesame-zot-reference"/>
        </w:rPr>
        <w:t>Ñāṇavīra</w:t>
      </w:r>
      <w:r>
        <w:rPr/>
        <w:t xml:space="preserve"> p.16, </w:t>
      </w:r>
      <w:r>
        <w:rPr>
          <w:rStyle w:val="wwc-sesame-zot-reference"/>
        </w:rPr>
        <w:t>Ñāṇananda 2015</w:t>
      </w:r>
      <w:r>
        <w:rPr/>
        <w:t xml:space="preserve"> p.125, </w:t>
      </w:r>
      <w:r>
        <w:rPr>
          <w:rStyle w:val="wwc-sesame-zot-reference"/>
        </w:rPr>
        <w:t>Ṭhānissaro 2008b</w:t>
      </w:r>
      <w:r>
        <w:rPr/>
        <w:t xml:space="preserve"> p.3 </w:t>
      </w:r>
      <w:r>
        <w:rPr>
          <w:rStyle w:val="Emphasis"/>
        </w:rPr>
        <w:t>(ed: p.8 in PDF)</w:t>
      </w:r>
      <w:r>
        <w:rPr/>
        <w:t xml:space="preserve">. Bodhi also argues: “In analyzing the teaching of </w:t>
      </w:r>
      <w:r>
        <w:rPr>
          <w:rStyle w:val="wwc-pali"/>
        </w:rPr>
        <w:t>paṭiccasamuppāda</w:t>
      </w:r>
      <w:r>
        <w:rPr/>
        <w:t xml:space="preserve">, the texts use the two terms </w:t>
      </w:r>
      <w:r>
        <w:rPr>
          <w:rStyle w:val="wwc-pali"/>
        </w:rPr>
        <w:t>cittasaṅkhārā</w:t>
      </w:r>
      <w:r>
        <w:rPr/>
        <w:t xml:space="preserve"> and </w:t>
      </w:r>
      <w:r>
        <w:rPr>
          <w:rStyle w:val="wwc-pali"/>
        </w:rPr>
        <w:t>manosaṅkhārā</w:t>
      </w:r>
      <w:r>
        <w:rPr/>
        <w:t xml:space="preserve"> as though they were interchangeable.” Sanskrit parallels to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indeed use </w:t>
      </w:r>
      <w:r>
        <w:rPr>
          <w:rStyle w:val="wwc-sanskrit"/>
        </w:rPr>
        <w:t>manaḥsaṁskāra</w:t>
      </w:r>
      <w:r>
        <w:rPr/>
        <w:t xml:space="preserve"> instead of </w:t>
      </w:r>
      <w:r>
        <w:rPr>
          <w:rStyle w:val="wwc-sanskrit"/>
        </w:rPr>
        <w:t>cittasaṅkhāra</w:t>
      </w:r>
      <w:r>
        <w:rPr/>
        <w:t xml:space="preserve"> (</w:t>
      </w:r>
      <w:hyperlink r:id="rId16">
        <w:r>
          <w:rPr>
            <w:rStyle w:val="Hyperlink"/>
          </w:rPr>
          <w:t>SF 165</w:t>
        </w:r>
      </w:hyperlink>
      <w:r>
        <w:rPr/>
        <w:t xml:space="preserve">, </w:t>
      </w:r>
      <w:hyperlink r:id="rId17">
        <w:r>
          <w:rPr>
            <w:rStyle w:val="Hyperlink"/>
          </w:rPr>
          <w:t>SF 238</w:t>
        </w:r>
      </w:hyperlink>
      <w:r>
        <w:rPr/>
        <w:t>).</w:t>
      </w:r>
    </w:p>
    <w:p>
      <w:pPr>
        <w:pStyle w:val="WW-gloss-term"/>
        <w:rPr/>
      </w:pPr>
      <w:r>
        <w:rPr/>
        <w:t>184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p>
      <w:pPr>
        <w:pStyle w:val="WW-gloss-term"/>
        <w:rPr/>
      </w:pPr>
      <w:r>
        <w:rPr/>
        <w:t>185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3.146:2.1–2.4</w:t>
      </w:r>
      <w:r>
        <w:rPr>
          <w:rStyle w:val="Hyperlink"/>
        </w:rPr>
        <w:fldChar w:fldCharType="end"/>
      </w:r>
    </w:p>
    <w:p>
      <w:pPr>
        <w:pStyle w:val="WW-gloss-term"/>
        <w:rPr/>
      </w:pPr>
      <w:r>
        <w:rPr/>
        <w:t>186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10.221:2.1–2.4</w:t>
      </w:r>
      <w:r>
        <w:rPr>
          <w:rStyle w:val="Hyperlink"/>
        </w:rPr>
        <w:fldChar w:fldCharType="end"/>
      </w:r>
    </w:p>
    <w:p>
      <w:pPr>
        <w:pStyle w:val="WW-gloss-term"/>
        <w:rPr/>
      </w:pPr>
      <w:r>
        <w:rPr/>
        <w:t>187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41:7.1</w:t>
      </w:r>
      <w:r>
        <w:rPr>
          <w:rStyle w:val="Hyperlink"/>
        </w:rPr>
        <w:fldChar w:fldCharType="end"/>
      </w:r>
      <w:r>
        <w:rPr/>
        <w:t xml:space="preserve"> </w:t>
      </w:r>
      <w:r>
        <w:rPr>
          <w:rStyle w:val="wwc-PTS-reference"/>
        </w:rPr>
        <w:t>M I 287</w:t>
      </w:r>
      <w:r>
        <w:rPr/>
        <w:t xml:space="preserve">, idem at </w:t>
      </w:r>
      <w:r>
        <w:fldChar w:fldCharType="begin"/>
      </w:r>
      <w:r>
        <w:rPr>
          <w:rStyle w:val="Hyperlink"/>
        </w:rPr>
        <w:instrText xml:space="preserve"> HYPERLINK "https://suttacentral.net/XXX/en/sujato" \l "YYY"</w:instrText>
      </w:r>
      <w:r>
        <w:rPr>
          <w:rStyle w:val="Hyperlink"/>
        </w:rPr>
        <w:fldChar w:fldCharType="separate"/>
      </w:r>
      <w:r>
        <w:rPr>
          <w:rStyle w:val="Hyperlink"/>
        </w:rPr>
        <w:t>MN 42</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10.176:24.1–24.3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10.220:8.1–8.3</w:t>
      </w:r>
      <w:r>
        <w:rPr>
          <w:rStyle w:val="Hyperlink"/>
        </w:rPr>
        <w:fldChar w:fldCharType="end"/>
      </w:r>
    </w:p>
    <w:p>
      <w:pPr>
        <w:pStyle w:val="WW-gloss-term"/>
        <w:rPr/>
      </w:pPr>
      <w:r>
        <w:rPr/>
        <w:t>188</w:t>
      </w:r>
    </w:p>
    <w:p>
      <w:pPr>
        <w:pStyle w:val="FootnoteText"/>
        <w:rPr/>
      </w:pPr>
      <w:r>
        <w:rPr/>
        <w:t>§55</w:t>
      </w:r>
    </w:p>
    <w:p>
      <w:pPr>
        <w:pStyle w:val="WW-gloss-term"/>
        <w:rPr/>
      </w:pPr>
      <w:r>
        <w:rPr/>
        <w:t>189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p>
      <w:pPr>
        <w:pStyle w:val="WW-gloss-term"/>
        <w:rPr/>
      </w:pPr>
      <w:r>
        <w:rPr/>
        <w:t>190</w:t>
      </w:r>
    </w:p>
    <w:p>
      <w:pPr>
        <w:pStyle w:val="FootnoteText"/>
        <w:rPr/>
      </w:pPr>
      <w:r>
        <w:rPr/>
        <w:t xml:space="preserve">See also </w:t>
      </w:r>
      <w:r>
        <w:rPr>
          <w:rStyle w:val="wwc-sesame-zot-reference"/>
        </w:rPr>
        <w:t>Vetter 1988</w:t>
      </w:r>
      <w:r>
        <w:rPr/>
        <w:t xml:space="preserve"> p.50: “</w:t>
      </w:r>
      <w:r>
        <w:rPr>
          <w:rStyle w:val="wwc-pali"/>
        </w:rPr>
        <w:t>Saṅkhārā</w:t>
      </w:r>
      <w:r>
        <w:rPr/>
        <w:t xml:space="preserve"> as a condition of ‘perception’ [</w:t>
      </w:r>
      <w:r>
        <w:rPr>
          <w:rStyle w:val="wwc-pali"/>
        </w:rPr>
        <w:t>viññāṇa</w:t>
      </w:r>
      <w:r>
        <w:rPr/>
        <w:t>] which is conceived as the first moment of a new existence must belong to a period before this moment. We can think of actual emotions in the former life preparing the constituent perception for a future existence and of dispositions maintained or strengthened by these emotions which, after death, cause perception to seek a new place for reincarnation. Both aspects might have been meant, but they are not clearly distinguished.”</w:t>
      </w:r>
    </w:p>
    <w:p>
      <w:pPr>
        <w:pStyle w:val="WW-gloss-term"/>
        <w:rPr/>
      </w:pPr>
      <w:r>
        <w:rPr/>
        <w:t>191</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2.18</w:t>
      </w:r>
      <w:r>
        <w:rPr>
          <w:rStyle w:val="Hyperlink"/>
        </w:rPr>
        <w:fldChar w:fldCharType="end"/>
      </w:r>
    </w:p>
    <w:p>
      <w:pPr>
        <w:pStyle w:val="WW-gloss-term"/>
        <w:rPr/>
      </w:pPr>
      <w:r>
        <w:rPr/>
        <w:t>192</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2.23:12.5</w:t>
      </w:r>
      <w:r>
        <w:rPr>
          <w:rStyle w:val="Hyperlink"/>
        </w:rPr>
        <w:fldChar w:fldCharType="end"/>
      </w:r>
      <w:r>
        <w:rPr/>
        <w:t>, which equates deeds of merit (</w:t>
      </w:r>
      <w:r>
        <w:rPr>
          <w:rStyle w:val="wwc-pali"/>
        </w:rPr>
        <w:t>katānaṁ puññānaṁ</w:t>
      </w:r>
      <w:r>
        <w:rPr/>
        <w:t>) to wholesome deeds (</w:t>
      </w:r>
      <w:r>
        <w:rPr>
          <w:rStyle w:val="wwc-pali"/>
        </w:rPr>
        <w:t>katānaṁ kusalānaṁ</w:t>
      </w:r>
      <w:r>
        <w:rPr/>
        <w:t xml:space="preserve">); or </w:t>
      </w:r>
      <w:r>
        <w:fldChar w:fldCharType="begin"/>
      </w:r>
      <w:r>
        <w:rPr>
          <w:rStyle w:val="Hyperlink"/>
        </w:rPr>
        <w:instrText xml:space="preserve"> HYPERLINK "https://suttacentral.net/XXX/en/sujato" \l "YYY"</w:instrText>
      </w:r>
      <w:r>
        <w:rPr>
          <w:rStyle w:val="Hyperlink"/>
        </w:rPr>
        <w:fldChar w:fldCharType="separate"/>
      </w:r>
      <w:r>
        <w:rPr>
          <w:rStyle w:val="Hyperlink"/>
        </w:rPr>
        <w:t>AN 3.9</w:t>
      </w:r>
      <w:r>
        <w:rPr>
          <w:rStyle w:val="Hyperlink"/>
        </w:rPr>
        <w:fldChar w:fldCharType="end"/>
      </w:r>
      <w:r>
        <w:rPr/>
        <w:t>, which says moral physical, verbal, and mental conduct results in merit.</w:t>
      </w:r>
    </w:p>
    <w:p>
      <w:pPr>
        <w:pStyle w:val="WW-gloss-term"/>
        <w:rPr/>
      </w:pPr>
      <w:r>
        <w:rPr/>
        <w:t>193</w:t>
      </w:r>
    </w:p>
    <w:p>
      <w:pPr>
        <w:pStyle w:val="FootnoteText"/>
        <w:rPr/>
      </w:pPr>
      <w:r>
        <w:rPr/>
        <w:t>There seems to be a play on words here, because it could also be rendered, “traveling on to (</w:t>
      </w:r>
      <w:r>
        <w:rPr>
          <w:rStyle w:val="wwc-pali"/>
        </w:rPr>
        <w:t>upaga</w:t>
      </w:r>
      <w:r>
        <w:rPr/>
        <w:t>) the fruits of meritorious and bad acts”, which implies rebirth.</w:t>
      </w:r>
    </w:p>
    <w:p>
      <w:pPr>
        <w:pStyle w:val="WW-gloss-term"/>
        <w:rPr/>
      </w:pPr>
      <w:r>
        <w:rPr/>
        <w:t>194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3.22:4.1–4.6</w:t>
      </w:r>
      <w:r>
        <w:rPr>
          <w:rStyle w:val="Hyperlink"/>
        </w:rPr>
        <w:fldChar w:fldCharType="end"/>
      </w:r>
    </w:p>
    <w:p>
      <w:pPr>
        <w:pStyle w:val="WW-gloss-term"/>
        <w:rPr/>
      </w:pPr>
      <w:r>
        <w:rPr/>
        <w:t>195</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1.314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1.315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4.171</w:t>
      </w:r>
      <w:r>
        <w:rPr>
          <w:rStyle w:val="Hyperlink"/>
        </w:rPr>
        <w:fldChar w:fldCharType="end"/>
      </w:r>
    </w:p>
    <w:p>
      <w:pPr>
        <w:pStyle w:val="WW-gloss-term"/>
        <w:rPr/>
      </w:pPr>
      <w:r>
        <w:rPr/>
        <w:t>196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82:42.35–42.46</w:t>
      </w:r>
      <w:r>
        <w:rPr>
          <w:rStyle w:val="Hyperlink"/>
        </w:rPr>
        <w:fldChar w:fldCharType="end"/>
      </w:r>
      <w:r>
        <w:rPr/>
        <w:t xml:space="preserve"> </w:t>
      </w:r>
      <w:r>
        <w:rPr>
          <w:rStyle w:val="wwc-PTS-reference"/>
        </w:rPr>
        <w:t>M II 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16.4:16.1–18.4</w:t>
      </w:r>
      <w:r>
        <w:rPr>
          <w:rStyle w:val="Hyperlink"/>
        </w:rPr>
        <w:fldChar w:fldCharType="end"/>
      </w:r>
    </w:p>
    <w:p>
      <w:pPr>
        <w:pStyle w:val="WW-gloss-term"/>
        <w:rPr/>
      </w:pPr>
      <w:r>
        <w:rPr/>
        <w:t>197</w:t>
      </w:r>
    </w:p>
    <w:p>
      <w:pPr>
        <w:pStyle w:val="FootnoteText"/>
        <w:rPr/>
      </w:pPr>
      <w:r>
        <w:rPr/>
        <w:t xml:space="preserve">See for example </w:t>
      </w:r>
      <w:r>
        <w:rPr>
          <w:rStyle w:val="wwc-sesame-zot-reference"/>
        </w:rPr>
        <w:t>Gombrich 1980</w:t>
      </w:r>
      <w:r>
        <w:rPr/>
        <w:t xml:space="preserve"> p.50</w:t>
      </w:r>
    </w:p>
    <w:p>
      <w:pPr>
        <w:pStyle w:val="WW-gloss-term"/>
        <w:rPr/>
      </w:pPr>
      <w:r>
        <w:rPr/>
        <w:t>198</w:t>
      </w:r>
    </w:p>
    <w:p>
      <w:pPr>
        <w:pStyle w:val="FootnoteText"/>
        <w:rPr/>
      </w:pPr>
      <w:r>
        <w:rPr/>
        <w:t xml:space="preserve">In Jain context </w:t>
      </w:r>
      <w:r>
        <w:rPr>
          <w:rStyle w:val="wwc-pali"/>
        </w:rPr>
        <w:t>āsava</w:t>
      </w:r>
      <w:r>
        <w:rPr/>
        <w:t>/</w:t>
      </w:r>
      <w:r>
        <w:rPr>
          <w:rStyle w:val="wwc-sanskrit"/>
        </w:rPr>
        <w:t>āsrava</w:t>
      </w:r>
      <w:r>
        <w:rPr/>
        <w:t xml:space="preserve"> refers to the inflow of physical karmic particles, which in the Jain texts is compared to water flowing into a pond. (</w:t>
      </w:r>
      <w:r>
        <w:rPr>
          <w:rStyle w:val="wwc-sesame-zot-reference"/>
        </w:rPr>
        <w:t>Malvania</w:t>
      </w:r>
      <w:r>
        <w:rPr/>
        <w:t xml:space="preserve"> p.47, 83) The Buddha used the same terminology, possibly having adopted it directly from the Jains. For him </w:t>
      </w:r>
      <w:r>
        <w:rPr>
          <w:rStyle w:val="wwc-pali"/>
        </w:rPr>
        <w:t>āsavas</w:t>
      </w:r>
      <w:r>
        <w:rPr/>
        <w:t xml:space="preserve"> are not physical particles but states of mind that defile (</w:t>
      </w:r>
      <w:r>
        <w:rPr>
          <w:rStyle w:val="wwc-pali"/>
        </w:rPr>
        <w:t>saṅkilesikā</w:t>
      </w:r>
      <w:r>
        <w:rPr/>
        <w:t xml:space="preserve">), that lead to rebirth—see </w:t>
      </w:r>
      <w:r>
        <w:fldChar w:fldCharType="begin"/>
      </w:r>
      <w:r>
        <w:rPr>
          <w:rStyle w:val="Hyperlink"/>
        </w:rPr>
        <w:instrText xml:space="preserve"> HYPERLINK "https://suttacentral.net/XXX/en/sujato" \l "YYY"</w:instrText>
      </w:r>
      <w:r>
        <w:rPr>
          <w:rStyle w:val="Hyperlink"/>
        </w:rPr>
        <w:fldChar w:fldCharType="separate"/>
      </w:r>
      <w:r>
        <w:rPr>
          <w:rStyle w:val="Hyperlink"/>
        </w:rPr>
        <w:t>MN 36:47.1–47.7</w:t>
      </w:r>
      <w:r>
        <w:rPr>
          <w:rStyle w:val="Hyperlink"/>
        </w:rPr>
        <w:fldChar w:fldCharType="end"/>
      </w:r>
      <w:r>
        <w:rPr/>
        <w:t xml:space="preserve"> </w:t>
      </w:r>
      <w:r>
        <w:rPr>
          <w:rStyle w:val="wwc-PTS-reference"/>
        </w:rPr>
        <w:t>M I 250</w:t>
      </w:r>
      <w:r>
        <w:rPr/>
        <w:t>.</w:t>
      </w:r>
    </w:p>
    <w:p>
      <w:pPr>
        <w:pStyle w:val="WW-gloss-term"/>
        <w:rPr/>
      </w:pPr>
      <w:r>
        <w:rPr/>
        <w:t>199</w:t>
      </w:r>
    </w:p>
    <w:p>
      <w:pPr>
        <w:pStyle w:val="FootnoteText"/>
        <w:rPr/>
      </w:pPr>
      <w:r>
        <w:rPr/>
        <w:t xml:space="preserve">More literally it says the pain-producing </w:t>
      </w:r>
      <w:r>
        <w:rPr>
          <w:rStyle w:val="wwc-pali"/>
        </w:rPr>
        <w:t>āsavas</w:t>
      </w:r>
      <w:r>
        <w:rPr/>
        <w:t xml:space="preserve"> (lit. ‘inflowings’) flow into (</w:t>
      </w:r>
      <w:r>
        <w:rPr>
          <w:rStyle w:val="wwc-pali"/>
        </w:rPr>
        <w:t>assaveyyuṁ</w:t>
      </w:r>
      <w:r>
        <w:rPr/>
        <w:t>) that person.</w:t>
      </w:r>
    </w:p>
    <w:p>
      <w:pPr>
        <w:pStyle w:val="WW-gloss-term"/>
        <w:rPr/>
      </w:pPr>
      <w:r>
        <w:rPr/>
        <w:t>200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4.195</w:t>
      </w:r>
      <w:r>
        <w:rPr>
          <w:rStyle w:val="Hyperlink"/>
        </w:rPr>
        <w:fldChar w:fldCharType="end"/>
      </w:r>
    </w:p>
    <w:p>
      <w:pPr>
        <w:pStyle w:val="WW-gloss-term"/>
        <w:rPr/>
      </w:pPr>
      <w:r>
        <w:rPr/>
        <w:t>201</w:t>
      </w:r>
    </w:p>
    <w:p>
      <w:pPr>
        <w:pStyle w:val="FootnoteText"/>
        <w:rPr/>
      </w:pPr>
      <w:r>
        <w:rPr/>
        <w:t xml:space="preserve">See </w:t>
      </w:r>
      <w:r>
        <w:rPr>
          <w:rStyle w:val="wwc-sesame"/>
        </w:rPr>
        <w:t>Gombrich 2009</w:t>
      </w:r>
      <w:r>
        <w:rPr/>
        <w:t xml:space="preserve"> p.56: “The Buddha converts a Jain by making play with two words, </w:t>
      </w:r>
      <w:r>
        <w:rPr>
          <w:rStyle w:val="wwc-pali"/>
        </w:rPr>
        <w:t>āsava</w:t>
      </w:r>
      <w:r>
        <w:rPr/>
        <w:t xml:space="preserve"> and </w:t>
      </w:r>
      <w:r>
        <w:rPr>
          <w:rStyle w:val="wwc-pali"/>
        </w:rPr>
        <w:t>samārambha</w:t>
      </w:r>
      <w:r>
        <w:rPr/>
        <w:t>.”</w:t>
      </w:r>
    </w:p>
    <w:p>
      <w:pPr>
        <w:pStyle w:val="WW-gloss-term"/>
        <w:rPr/>
      </w:pPr>
      <w:r>
        <w:rPr/>
        <w:t>202</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35.146:1.3–1.7</w:t>
      </w:r>
      <w:r>
        <w:rPr>
          <w:rStyle w:val="Hyperlink"/>
        </w:rPr>
        <w:fldChar w:fldCharType="end"/>
      </w:r>
    </w:p>
    <w:p>
      <w:pPr>
        <w:pStyle w:val="WW-gloss-term"/>
        <w:rPr/>
      </w:pPr>
      <w:r>
        <w:rPr/>
        <w:t>203</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12.37</w:t>
      </w:r>
      <w:r>
        <w:rPr>
          <w:rStyle w:val="Hyperlink"/>
        </w:rPr>
        <w:fldChar w:fldCharType="end"/>
      </w:r>
    </w:p>
    <w:p>
      <w:pPr>
        <w:pStyle w:val="WW-gloss-term"/>
        <w:rPr/>
      </w:pPr>
      <w:r>
        <w:rPr/>
        <w:t>204</w:t>
      </w:r>
    </w:p>
    <w:p>
      <w:pPr>
        <w:pStyle w:val="FootnoteText"/>
        <w:rPr/>
      </w:pPr>
      <w:r>
        <w:rPr>
          <w:rStyle w:val="wwc-sesam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12.37</w:t>
      </w:r>
      <w:r>
        <w:rPr>
          <w:rStyle w:val="Hyperlink"/>
        </w:rPr>
        <w:fldChar w:fldCharType="end"/>
      </w:r>
      <w:r>
        <w:rPr/>
        <w:t xml:space="preserve">: “It’s old deeds, and should be seen as </w:t>
      </w:r>
      <w:r>
        <w:rPr>
          <w:rStyle w:val="Emphasis"/>
        </w:rPr>
        <w:t>produced by choices</w:t>
      </w:r>
      <w:r>
        <w:rPr/>
        <w:t xml:space="preserve"> and intentions, as something to be felt.”</w:t>
      </w:r>
    </w:p>
    <w:p>
      <w:pPr>
        <w:pStyle w:val="WW-gloss-term"/>
        <w:rPr/>
      </w:pPr>
      <w:r>
        <w:rPr/>
        <w:t>205</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Dhp 278</w:t>
      </w:r>
      <w:r>
        <w:rPr>
          <w:rStyle w:val="Hyperlink"/>
        </w:rPr>
        <w:fldChar w:fldCharType="end"/>
      </w:r>
    </w:p>
    <w:p>
      <w:pPr>
        <w:pStyle w:val="WW-gloss-term"/>
        <w:rPr/>
      </w:pPr>
      <w:r>
        <w:rPr/>
        <w:t>206</w:t>
      </w:r>
    </w:p>
    <w:p>
      <w:pPr>
        <w:pStyle w:val="FootnoteText"/>
        <w:rPr/>
      </w:pPr>
      <w:r>
        <w:rPr/>
        <w:t xml:space="preserve">See also </w:t>
      </w:r>
      <w:r>
        <w:rPr>
          <w:rStyle w:val="wwc-sesame"/>
        </w:rPr>
        <w:t>Piyadassi</w:t>
      </w:r>
      <w:r>
        <w:rPr/>
        <w:t xml:space="preserve"> p.6 </w:t>
      </w:r>
    </w:p>
    <w:p>
      <w:pPr>
        <w:pStyle w:val="WW-gloss-term"/>
        <w:rPr/>
      </w:pPr>
      <w:r>
        <w:rPr/>
        <w:t>207</w:t>
      </w:r>
    </w:p>
    <w:p>
      <w:pPr>
        <w:pStyle w:val="FootnoteText"/>
        <w:rPr/>
      </w:pPr>
      <w:r>
        <w:rPr/>
        <w:t xml:space="preserve">Contextually this refers to the aggregate of </w:t>
      </w:r>
      <w:r>
        <w:rPr>
          <w:rStyle w:val="wwc-pali"/>
        </w:rPr>
        <w:t>saṅkhāra</w:t>
      </w:r>
      <w:r>
        <w:rPr/>
        <w:t>, which I usually translate as ‘will’, but to show the connections with Dependent Arising I translated it here as ‘wilful actions’.</w:t>
      </w:r>
    </w:p>
    <w:p>
      <w:pPr>
        <w:pStyle w:val="WW-gloss-term"/>
        <w:rPr/>
      </w:pPr>
      <w:r>
        <w:rPr/>
        <w:t>208</w:t>
      </w:r>
    </w:p>
    <w:p>
      <w:pPr>
        <w:pStyle w:val="FootnoteText"/>
        <w:rPr/>
      </w:pPr>
      <w:r>
        <w:rPr>
          <w:rStyle w:val="wwc-pali"/>
        </w:rPr>
        <w:t>Saṅkhata</w:t>
      </w:r>
      <w:r>
        <w:rPr/>
        <w:t>, quite literally ‘put (</w:t>
      </w:r>
      <w:r>
        <w:rPr>
          <w:rStyle w:val="wwc-pali"/>
        </w:rPr>
        <w:t>khata</w:t>
      </w:r>
      <w:r>
        <w:rPr/>
        <w:t>) together (</w:t>
      </w:r>
      <w:r>
        <w:rPr>
          <w:rStyle w:val="wwc-pali"/>
        </w:rPr>
        <w:t>saṁ</w:t>
      </w:r>
      <w:r>
        <w:rPr/>
        <w:t>)’, means ‘fabricated’, ‘constructed’, ‘created’, and so forth. In daily speech it is used for a raft that is properly assembled and for a well-made meal (</w:t>
      </w:r>
      <w:r>
        <w:fldChar w:fldCharType="begin"/>
      </w:r>
      <w:r>
        <w:rPr>
          <w:rStyle w:val="Hyperlink"/>
        </w:rPr>
        <w:instrText xml:space="preserve"> HYPERLINK "https://suttacentral.net/XXX/en/sujato" \l "YYY"</w:instrText>
      </w:r>
      <w:r>
        <w:rPr>
          <w:rStyle w:val="Hyperlink"/>
        </w:rPr>
        <w:fldChar w:fldCharType="separate"/>
      </w:r>
      <w:r>
        <w:rPr>
          <w:rStyle w:val="Hyperlink"/>
        </w:rPr>
        <w:t>Snp 1.2:4.1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4.57:3.1</w:t>
      </w:r>
      <w:r>
        <w:rPr>
          <w:rStyle w:val="Hyperlink"/>
        </w:rPr>
        <w:fldChar w:fldCharType="end"/>
      </w:r>
      <w:r>
        <w:rPr/>
        <w:t xml:space="preserve">). The noun </w:t>
      </w:r>
      <w:r>
        <w:rPr>
          <w:rStyle w:val="wwc-pali"/>
        </w:rPr>
        <w:t>saṅkhāra</w:t>
      </w:r>
      <w:r>
        <w:rPr/>
        <w:t xml:space="preserve"> is used for medicine that is prepared (</w:t>
      </w:r>
      <w:hyperlink r:id="rId18">
        <w:r>
          <w:rPr>
            <w:rStyle w:val="Hyperlink"/>
          </w:rPr>
          <w:t>Kd6</w:t>
        </w:r>
      </w:hyperlink>
      <w:r>
        <w:rPr/>
        <w:t xml:space="preserve">). In none of these contexts does the common translation ‘conditioned’ work, and neither is it intended in deeper philosophical contexts such as Dependent Arising. 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Dhp 154</w:t>
      </w:r>
      <w:r>
        <w:rPr>
          <w:rStyle w:val="Hyperlink"/>
        </w:rPr>
        <w:fldChar w:fldCharType="end"/>
      </w:r>
      <w:r>
        <w:rPr/>
        <w:t xml:space="preserve"> </w:t>
      </w:r>
      <w:r>
        <w:rPr>
          <w:rStyle w:val="wwc-pali"/>
        </w:rPr>
        <w:t>vi-saṅkhata</w:t>
      </w:r>
      <w:r>
        <w:rPr/>
        <w:t xml:space="preserve"> describes taking apart a house—with the prefix </w:t>
      </w:r>
      <w:r>
        <w:rPr>
          <w:rStyle w:val="wwc-pali"/>
        </w:rPr>
        <w:t>vi</w:t>
      </w:r>
      <w:r>
        <w:rPr/>
        <w:t xml:space="preserve">- indicating the opposite of putting together—where the house is symbolic for lives in </w:t>
      </w:r>
      <w:r>
        <w:rPr>
          <w:rStyle w:val="wwc-pali"/>
        </w:rPr>
        <w:t>saṁsāra</w:t>
      </w:r>
      <w:r>
        <w:rPr/>
        <w:t>. The point is that lives are created by craving and karma, not merely conditioned by it.</w:t>
      </w:r>
    </w:p>
    <w:p>
      <w:pPr>
        <w:pStyle w:val="WW-gloss-term"/>
        <w:rPr/>
      </w:pPr>
      <w:r>
        <w:rPr/>
        <w:t>209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22.79:5.1–5.5</w:t>
      </w:r>
      <w:r>
        <w:rPr>
          <w:rStyle w:val="Hyperlink"/>
        </w:rPr>
        <w:fldChar w:fldCharType="end"/>
      </w:r>
    </w:p>
    <w:p>
      <w:pPr>
        <w:pStyle w:val="WW-gloss-term"/>
        <w:rPr/>
      </w:pPr>
      <w:r>
        <w:rPr/>
        <w:t>210</w:t>
      </w:r>
    </w:p>
    <w:p>
      <w:pPr>
        <w:pStyle w:val="FootnoteText"/>
        <w:rPr/>
      </w:pPr>
      <w:r>
        <w:rPr/>
        <w:t xml:space="preserve">See </w:t>
      </w:r>
      <w:r>
        <w:rPr>
          <w:rStyle w:val="wwc-sesame"/>
        </w:rPr>
        <w:t>Bodhi 2000 n.110</w:t>
      </w:r>
      <w:r>
        <w:rPr/>
        <w:t xml:space="preserve"> at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22.79</w:t>
      </w:r>
      <w:r>
        <w:rPr>
          <w:rStyle w:val="Hyperlink"/>
        </w:rPr>
        <w:fldChar w:fldCharType="end"/>
      </w:r>
      <w:r>
        <w:rPr/>
        <w:t xml:space="preserve">, </w:t>
      </w:r>
      <w:r>
        <w:rPr>
          <w:rStyle w:val="wwc-sesame-zot-reference"/>
        </w:rPr>
        <w:t>Hamilton</w:t>
      </w:r>
      <w:r>
        <w:rPr/>
        <w:t xml:space="preserve"> p.4</w:t>
      </w:r>
    </w:p>
    <w:p>
      <w:pPr>
        <w:pStyle w:val="WW-gloss-term"/>
        <w:rPr/>
      </w:pPr>
      <w:r>
        <w:rPr/>
        <w:t>211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Thig 16.1:25.1–25.4</w:t>
      </w:r>
      <w:r>
        <w:rPr>
          <w:rStyle w:val="Hyperlink"/>
        </w:rPr>
        <w:fldChar w:fldCharType="end"/>
      </w:r>
      <w:r>
        <w:rPr/>
        <w:t xml:space="preserve">. See also </w:t>
      </w:r>
      <w:r>
        <w:rPr>
          <w:rStyle w:val="wwc-sesame-zot-reference"/>
        </w:rPr>
        <w:t>PED</w:t>
      </w:r>
      <w:r>
        <w:rPr/>
        <w:t xml:space="preserve"> under </w:t>
      </w:r>
      <w:r>
        <w:rPr>
          <w:rStyle w:val="wwc-pali"/>
        </w:rPr>
        <w:t>sankhata</w:t>
      </w:r>
      <w:r>
        <w:rPr/>
        <w:t>: “‘created’, brought about as effect of actions in former births”.</w:t>
      </w:r>
    </w:p>
    <w:p>
      <w:pPr>
        <w:pStyle w:val="WW-gloss-term"/>
        <w:rPr/>
      </w:pPr>
      <w:r>
        <w:rPr/>
        <w:t>212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22.21</w:t>
      </w:r>
      <w:r>
        <w:rPr>
          <w:rStyle w:val="Hyperlink"/>
        </w:rPr>
        <w:fldChar w:fldCharType="end"/>
      </w:r>
    </w:p>
    <w:p>
      <w:pPr>
        <w:pStyle w:val="WW-gloss-term"/>
        <w:rPr/>
      </w:pPr>
      <w:r>
        <w:rPr/>
        <w:t>213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56.42</w:t>
      </w:r>
      <w:r>
        <w:rPr>
          <w:rStyle w:val="Hyperlink"/>
        </w:rPr>
        <w:fldChar w:fldCharType="end"/>
      </w:r>
      <w:r>
        <w:rPr/>
        <w:t xml:space="preserve">, cf. </w:t>
      </w:r>
      <w:r>
        <w:fldChar w:fldCharType="begin"/>
      </w:r>
      <w:r>
        <w:rPr>
          <w:rStyle w:val="Hyperlink"/>
        </w:rPr>
        <w:instrText xml:space="preserve"> HYPERLINK "https://suttacentral.net/XXX/en/sujato" \l "YYY"</w:instrText>
      </w:r>
      <w:r>
        <w:rPr>
          <w:rStyle w:val="Hyperlink"/>
        </w:rPr>
        <w:fldChar w:fldCharType="separate"/>
      </w:r>
      <w:r>
        <w:rPr>
          <w:rStyle w:val="Hyperlink"/>
        </w:rPr>
        <w:t>SN 56.43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56.46</w:t>
      </w:r>
      <w:r>
        <w:rPr>
          <w:rStyle w:val="Hyperlink"/>
        </w:rPr>
        <w:fldChar w:fldCharType="end"/>
      </w:r>
    </w:p>
    <w:p>
      <w:pPr>
        <w:pStyle w:val="WW-gloss-term"/>
        <w:rPr/>
      </w:pPr>
      <w:r>
        <w:rPr/>
        <w:t>214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12.2:14.1–14.3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12.33:10.1–11.2</w:t>
      </w:r>
      <w:r>
        <w:rPr>
          <w:rStyle w:val="Hyperlink"/>
        </w:rPr>
        <w:fldChar w:fldCharType="end"/>
      </w:r>
    </w:p>
    <w:p>
      <w:pPr>
        <w:pStyle w:val="WW-gloss-term"/>
        <w:rPr/>
      </w:pPr>
      <w:r>
        <w:rPr/>
        <w:t>215</w:t>
      </w:r>
    </w:p>
    <w:p>
      <w:pPr>
        <w:pStyle w:val="FootnoteText"/>
        <w:rPr/>
      </w:pPr>
      <w:r>
        <w:rPr>
          <w:rStyle w:val="wwc-pali"/>
        </w:rPr>
        <w:t>Patiṭṭhā viññaṇassa</w:t>
      </w:r>
      <w:r>
        <w:rPr/>
        <w:t xml:space="preserve">, ‘a support for the planting of consciousness’. </w:t>
      </w:r>
      <w:r>
        <w:rPr>
          <w:rStyle w:val="wwc-sesame"/>
        </w:rPr>
        <w:t>Bodhi 2000 n.112</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explains: “‘a support for the establishing of consciousness’ renders </w:t>
      </w:r>
      <w:r>
        <w:rPr>
          <w:rStyle w:val="wwc-pali"/>
        </w:rPr>
        <w:t>patiṭṭhā viññaṇassa</w:t>
      </w:r>
      <w:r>
        <w:rPr/>
        <w:t xml:space="preserve">. I find that ‘established’ works consistently better as a rendering for the participle </w:t>
      </w:r>
      <w:r>
        <w:rPr>
          <w:rStyle w:val="wwc-pali"/>
        </w:rPr>
        <w:t>patiṭṭhita</w:t>
      </w:r>
      <w:r>
        <w:rPr/>
        <w:t xml:space="preserve">, but ‘support’ for the noun </w:t>
      </w:r>
      <w:r>
        <w:rPr>
          <w:rStyle w:val="wwc-pali"/>
        </w:rPr>
        <w:t>patiṭṭhā</w:t>
      </w:r>
      <w:r>
        <w:rPr/>
        <w:t xml:space="preserve">, so to bridge the participle and the noun in the present passage (and at </w:t>
      </w:r>
      <w:r>
        <w:fldChar w:fldCharType="begin"/>
      </w:r>
      <w:r>
        <w:rPr>
          <w:rStyle w:val="Hyperlink"/>
        </w:rPr>
        <w:instrText xml:space="preserve"> HYPERLINK "https://suttacentral.net/XXX/en/sujato" \l "YYY"</w:instrText>
      </w:r>
      <w:r>
        <w:rPr>
          <w:rStyle w:val="Hyperlink"/>
        </w:rPr>
        <w:fldChar w:fldCharType="separate"/>
      </w:r>
      <w:r>
        <w:rPr>
          <w:rStyle w:val="Hyperlink"/>
        </w:rPr>
        <w:t>SN 22.53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r>
        <w:rPr/>
        <w:t>) I have coined this compound expression.” I followed this example, although with ‘planting’ instead of ‘establishing’.</w:t>
      </w:r>
    </w:p>
    <w:p>
      <w:pPr>
        <w:pStyle w:val="WW-gloss-term"/>
        <w:rPr/>
      </w:pPr>
      <w:r>
        <w:rPr/>
        <w:t>216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12.38:1.2–1.6</w:t>
      </w:r>
      <w:r>
        <w:rPr>
          <w:rStyle w:val="Hyperlink"/>
        </w:rPr>
        <w:fldChar w:fldCharType="end"/>
      </w:r>
    </w:p>
    <w:p>
      <w:pPr>
        <w:pStyle w:val="WW-gloss-term"/>
        <w:rPr/>
      </w:pPr>
      <w:r>
        <w:rPr/>
        <w:t>217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4.184:5.1–5.8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129:5.1–5.9</w:t>
      </w:r>
      <w:r>
        <w:rPr>
          <w:rStyle w:val="Hyperlink"/>
        </w:rPr>
        <w:fldChar w:fldCharType="end"/>
      </w:r>
      <w:r>
        <w:rPr/>
        <w:t xml:space="preserve"> </w:t>
      </w:r>
      <w:r>
        <w:rPr>
          <w:rStyle w:val="wwc-PTS-reference"/>
        </w:rPr>
        <w:t>M III 165</w:t>
      </w:r>
    </w:p>
    <w:p>
      <w:pPr>
        <w:pStyle w:val="WW-gloss-term"/>
        <w:rPr/>
      </w:pPr>
      <w:r>
        <w:rPr/>
        <w:t>218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p>
      <w:pPr>
        <w:pStyle w:val="WW-gloss-term"/>
        <w:rPr/>
      </w:pPr>
      <w:r>
        <w:rPr/>
        <w:t>219</w:t>
      </w:r>
    </w:p>
    <w:p>
      <w:pPr>
        <w:pStyle w:val="FootnoteText"/>
        <w:rPr/>
      </w:pPr>
      <w:r>
        <w:rPr/>
        <w:t xml:space="preserve">See also </w:t>
      </w:r>
      <w:r>
        <w:rPr>
          <w:rStyle w:val="wwc-sesame"/>
        </w:rPr>
        <w:t>Bodhi 2000 p.522</w:t>
      </w:r>
    </w:p>
    <w:p>
      <w:pPr>
        <w:pStyle w:val="WW-gloss-term"/>
        <w:rPr/>
      </w:pPr>
      <w:r>
        <w:rPr/>
        <w:t>220</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7.11</w:t>
      </w:r>
      <w:r>
        <w:rPr>
          <w:rStyle w:val="Hyperlink"/>
        </w:rPr>
        <w:fldChar w:fldCharType="end"/>
      </w:r>
    </w:p>
    <w:p>
      <w:pPr>
        <w:pStyle w:val="WW-gloss-term"/>
        <w:rPr/>
      </w:pPr>
      <w:r>
        <w:rPr/>
        <w:t>221</w:t>
      </w:r>
    </w:p>
    <w:p>
      <w:pPr>
        <w:pStyle w:val="FootnoteText"/>
        <w:rPr/>
      </w:pPr>
      <w:r>
        <w:rPr/>
        <w:t>Langer p.30 says the three discourses on intention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“limit themselves […] to descriptions of rebirth” (translation mine). Likewise, although I believe he misunderstands </w:t>
      </w:r>
      <w:r>
        <w:rPr>
          <w:rStyle w:val="wwc-pali"/>
        </w:rPr>
        <w:t>appatiṭṭhita viññāṇa</w:t>
      </w:r>
      <w:r>
        <w:rPr/>
        <w:t xml:space="preserve"> to be a state of mind, </w:t>
      </w:r>
      <w:r>
        <w:rPr>
          <w:rStyle w:val="wwc-sesame-zot-reference"/>
        </w:rPr>
        <w:t>Ñāṇananda 2016</w:t>
      </w:r>
      <w:r>
        <w:rPr/>
        <w:t xml:space="preserve"> p.97 states: “The point at issue [in the </w:t>
      </w:r>
      <w:r>
        <w:rPr>
          <w:rStyle w:val="wwc-sesame"/>
        </w:rPr>
        <w:t>First Discourse on Intention</w:t>
      </w:r>
      <w:r>
        <w:rPr/>
        <w:t xml:space="preserve">] is the question as to how consciousness gets a footing—how consciousness gets established at the moment of death. In fact, it is an attempt to show us the connection between two lives.” See also </w:t>
      </w:r>
      <w:r>
        <w:rPr>
          <w:rStyle w:val="wwc-sesame-zot-reference"/>
        </w:rPr>
        <w:t>Anālayo 2018</w:t>
      </w:r>
      <w:r>
        <w:rPr/>
        <w:t xml:space="preserve"> p.28</w:t>
      </w:r>
    </w:p>
    <w:p>
      <w:pPr>
        <w:pStyle w:val="WW-gloss-term"/>
        <w:rPr/>
      </w:pPr>
      <w:r>
        <w:rPr/>
        <w:t>222</w:t>
      </w:r>
    </w:p>
    <w:p>
      <w:pPr>
        <w:pStyle w:val="FootnoteText"/>
        <w:rPr/>
      </w:pPr>
      <w:r>
        <w:rPr/>
        <w:t xml:space="preserve">See also </w:t>
      </w:r>
      <w:r>
        <w:rPr>
          <w:rStyle w:val="wwc-sesame-zot-reference"/>
        </w:rPr>
        <w:t>Langer</w:t>
      </w:r>
      <w:r>
        <w:rPr/>
        <w:t xml:space="preserve"> p.32 (translation mine): “In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w:t>
      </w:r>
      <w:r>
        <w:rPr>
          <w:rStyle w:val="wwc-pali"/>
        </w:rPr>
        <w:t>viruḷhi</w:t>
      </w:r>
      <w:r>
        <w:rPr/>
        <w:t xml:space="preserve"> [means] ‘a new growth’, like a part taken from the mother plant grows again somewhere else. With that, </w:t>
      </w:r>
      <w:r>
        <w:rPr>
          <w:rStyle w:val="wwc-pali"/>
        </w:rPr>
        <w:t>viruḷhi</w:t>
      </w:r>
      <w:r>
        <w:rPr/>
        <w:t xml:space="preserve"> marks the beginning of a new existence.”</w:t>
      </w:r>
    </w:p>
    <w:p>
      <w:pPr>
        <w:pStyle w:val="WW-gloss-term"/>
        <w:rPr/>
      </w:pPr>
      <w:r>
        <w:rPr/>
        <w:t>223</w:t>
      </w:r>
    </w:p>
    <w:p>
      <w:pPr>
        <w:pStyle w:val="FootnoteText"/>
        <w:rPr/>
      </w:pPr>
      <w:hyperlink r:id="rId19">
        <w:r>
          <w:rPr>
            <w:rStyle w:val="Hyperlink"/>
          </w:rPr>
          <w:t>SĀ 359</w:t>
        </w:r>
      </w:hyperlink>
      <w:r>
        <w:rPr/>
        <w:t xml:space="preserve">, translation mine. Compare </w:t>
      </w:r>
      <w:hyperlink r:id="rId20">
        <w:r>
          <w:rPr>
            <w:rStyle w:val="Hyperlink"/>
          </w:rPr>
          <w:t>SĀ 360</w:t>
        </w:r>
      </w:hyperlink>
      <w:r>
        <w:rPr/>
        <w:t xml:space="preserve"> in </w:t>
      </w:r>
      <w:r>
        <w:rPr>
          <w:rStyle w:val="wwc-sesame-zot-reference"/>
        </w:rPr>
        <w:t>Choong</w:t>
      </w:r>
      <w:r>
        <w:rPr/>
        <w:t xml:space="preserve"> p.170</w:t>
      </w:r>
    </w:p>
    <w:p>
      <w:pPr>
        <w:pStyle w:val="WW-gloss-term"/>
        <w:rPr/>
      </w:pPr>
      <w:r>
        <w:rPr/>
        <w:t>224</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12.39</w:t>
      </w:r>
      <w:r>
        <w:rPr>
          <w:rStyle w:val="Hyperlink"/>
        </w:rPr>
        <w:fldChar w:fldCharType="end"/>
      </w:r>
    </w:p>
    <w:p>
      <w:pPr>
        <w:pStyle w:val="WW-gloss-term"/>
        <w:rPr/>
      </w:pPr>
      <w:r>
        <w:rPr/>
        <w:t>225</w:t>
      </w:r>
    </w:p>
    <w:p>
      <w:pPr>
        <w:pStyle w:val="FootnoteText"/>
        <w:rPr/>
      </w:pPr>
      <w:hyperlink r:id="rId21">
        <w:r>
          <w:rPr>
            <w:rStyle w:val="Hyperlink"/>
          </w:rPr>
          <w:t>SĀ 360</w:t>
        </w:r>
      </w:hyperlink>
      <w:r>
        <w:rPr/>
        <w:t xml:space="preserve">: </w:t>
      </w:r>
      <w:r>
        <w:rPr/>
        <w:t>入名色故</w:t>
      </w:r>
      <w:r>
        <w:rPr/>
        <w:t xml:space="preserve">, </w:t>
      </w:r>
      <w:r>
        <w:rPr/>
        <w:t>有未來世生</w:t>
      </w:r>
      <w:r>
        <w:rPr/>
        <w:t xml:space="preserve">. </w:t>
      </w:r>
      <w:r>
        <w:rPr>
          <w:rStyle w:val="wwc-sesame-zot-reference"/>
        </w:rPr>
        <w:t>Choong</w:t>
      </w:r>
      <w:r>
        <w:rPr/>
        <w:t xml:space="preserve"> p.170 translates: “Because of the entry [i.e. conception] of name-and-material form, there are, in the future, birth, ageing-sickness-and-death […]”</w:t>
      </w:r>
    </w:p>
    <w:p>
      <w:pPr>
        <w:pStyle w:val="WW-gloss-term"/>
        <w:rPr/>
      </w:pPr>
      <w:r>
        <w:rPr/>
        <w:t>226</w:t>
      </w:r>
    </w:p>
    <w:p>
      <w:pPr>
        <w:pStyle w:val="FootnoteText"/>
        <w:rPr/>
      </w:pPr>
      <w:r>
        <w:rPr/>
        <w:t xml:space="preserve">See </w:t>
      </w:r>
      <w:r>
        <w:rPr>
          <w:rStyle w:val="internal-reference"/>
        </w:rPr>
        <w:t>note 192</w:t>
      </w:r>
      <w:r>
        <w:rPr/>
        <w:t xml:space="preserve">. The translation ‘demerit’ for </w:t>
      </w:r>
      <w:r>
        <w:rPr>
          <w:rStyle w:val="wwc-pali"/>
        </w:rPr>
        <w:t>apuñña</w:t>
      </w:r>
      <w:r>
        <w:rPr/>
        <w:t xml:space="preserve"> is perhaps a bit artificial, having connotations with demerit points on a driver’s license, but it keeps consistency with ‘merit’ (</w:t>
      </w:r>
      <w:r>
        <w:rPr>
          <w:rStyle w:val="wwc-pali"/>
        </w:rPr>
        <w:t>puñña</w:t>
      </w:r>
      <w:r>
        <w:rPr/>
        <w:t xml:space="preserve">). I tried various other translations for </w:t>
      </w:r>
      <w:r>
        <w:rPr>
          <w:rStyle w:val="wwc-pali"/>
        </w:rPr>
        <w:t>puñña</w:t>
      </w:r>
      <w:r>
        <w:rPr/>
        <w:t>, but overall ‘merit’ just seems to work best.</w:t>
      </w:r>
    </w:p>
    <w:p>
      <w:pPr>
        <w:pStyle w:val="WW-gloss-term"/>
        <w:rPr/>
      </w:pPr>
      <w:r>
        <w:rPr/>
        <w:t>227</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12.51:9.1–9.3</w:t>
      </w:r>
      <w:r>
        <w:rPr>
          <w:rStyle w:val="Hyperlink"/>
        </w:rPr>
        <w:fldChar w:fldCharType="end"/>
      </w:r>
    </w:p>
    <w:p>
      <w:pPr>
        <w:pStyle w:val="WW-gloss-term"/>
        <w:rPr/>
      </w:pPr>
      <w:r>
        <w:rPr/>
        <w:t>228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6.63:30.2</w:t>
      </w:r>
      <w:r>
        <w:rPr>
          <w:rStyle w:val="Hyperlink"/>
        </w:rPr>
        <w:fldChar w:fldCharType="end"/>
      </w:r>
    </w:p>
    <w:p>
      <w:pPr>
        <w:pStyle w:val="WW-gloss-term"/>
        <w:rPr/>
      </w:pPr>
      <w:r>
        <w:rPr/>
        <w:t>229</w:t>
      </w:r>
    </w:p>
    <w:p>
      <w:pPr>
        <w:pStyle w:val="FootnoteText"/>
        <w:rPr/>
      </w:pPr>
      <w:r>
        <w:rPr/>
        <w:t xml:space="preserve">See </w:t>
      </w:r>
      <w:r>
        <w:rPr>
          <w:rStyle w:val="wwc-sesame-zot-reference"/>
        </w:rPr>
        <w:t>DPD</w:t>
      </w:r>
      <w:r>
        <w:rPr/>
        <w:t xml:space="preserve"> under </w:t>
      </w:r>
      <w:r>
        <w:rPr>
          <w:rStyle w:val="wwc-pali"/>
        </w:rPr>
        <w:t>upaga</w:t>
      </w:r>
      <w:r>
        <w:rPr/>
        <w:t xml:space="preserve">: “passing on to (used of consciousness’s linking at death with a new existence)”. See also </w:t>
      </w:r>
      <w:r>
        <w:rPr>
          <w:rStyle w:val="wwc-sesame-zot-reference"/>
        </w:rPr>
        <w:t>Bodhi 1998</w:t>
      </w:r>
      <w:r>
        <w:rPr/>
        <w:t xml:space="preserve"> p.161</w:t>
      </w:r>
    </w:p>
    <w:p>
      <w:pPr>
        <w:pStyle w:val="WW-gloss-term"/>
        <w:rPr/>
      </w:pPr>
      <w:r>
        <w:rPr/>
        <w:t>230</w:t>
      </w:r>
    </w:p>
    <w:p>
      <w:pPr>
        <w:pStyle w:val="FootnoteText"/>
        <w:rPr/>
      </w:pPr>
      <w:r>
        <w:rPr/>
        <w:t>§108; §77</w:t>
      </w:r>
    </w:p>
    <w:p>
      <w:pPr>
        <w:pStyle w:val="WW-gloss-term"/>
        <w:rPr/>
      </w:pPr>
      <w:r>
        <w:rPr/>
        <w:t>231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106:3.12, 4.7, 5.10, 6.12, 7.5, 8.5, 9.12</w:t>
      </w:r>
      <w:r>
        <w:rPr>
          <w:rStyle w:val="Hyperlink"/>
        </w:rPr>
        <w:fldChar w:fldCharType="end"/>
      </w:r>
      <w:r>
        <w:rPr/>
        <w:t xml:space="preserve"> </w:t>
      </w:r>
      <w:r>
        <w:rPr>
          <w:rStyle w:val="wwc-PTS-reference"/>
        </w:rPr>
        <w:t>M II 262</w:t>
      </w:r>
    </w:p>
    <w:p>
      <w:pPr>
        <w:pStyle w:val="WW-gloss-term"/>
        <w:rPr/>
      </w:pPr>
      <w:r>
        <w:rPr/>
        <w:t>232</w:t>
      </w:r>
    </w:p>
    <w:p>
      <w:pPr>
        <w:pStyle w:val="FootnoteText"/>
        <w:rPr/>
      </w:pPr>
      <w:r>
        <w:rPr/>
        <w:t xml:space="preserve">See also </w:t>
      </w:r>
      <w:r>
        <w:rPr>
          <w:rStyle w:val="wwc-sesame-zot-reference"/>
        </w:rPr>
        <w:t>Langer</w:t>
      </w:r>
      <w:r>
        <w:rPr/>
        <w:t xml:space="preserve"> p.28</w:t>
      </w:r>
    </w:p>
    <w:p>
      <w:pPr>
        <w:pStyle w:val="WW-gloss-term"/>
        <w:rPr/>
      </w:pPr>
      <w:r>
        <w:rPr/>
        <w:t>233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15:33.0–34.10</w:t>
      </w:r>
      <w:r>
        <w:rPr>
          <w:rStyle w:val="Hyperlink"/>
        </w:rPr>
        <w:fldChar w:fldCharType="end"/>
      </w:r>
      <w:r>
        <w:rPr/>
        <w:t xml:space="preserve"> </w:t>
      </w:r>
      <w:r>
        <w:rPr>
          <w:rStyle w:val="wwc-PTS-reference"/>
        </w:rPr>
        <w:t>D II 69</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AN 7.44</w:t>
      </w:r>
      <w:r>
        <w:rPr>
          <w:rStyle w:val="Hyperlink"/>
        </w:rPr>
        <w:fldChar w:fldCharType="end"/>
      </w:r>
    </w:p>
    <w:p>
      <w:pPr>
        <w:pStyle w:val="WW-gloss-term"/>
        <w:rPr/>
      </w:pPr>
      <w:r>
        <w:rPr/>
        <w:t>234</w:t>
      </w:r>
    </w:p>
    <w:p>
      <w:pPr>
        <w:pStyle w:val="FootnoteText"/>
        <w:rPr/>
      </w:pPr>
      <w:r>
        <w:rPr/>
        <w:t xml:space="preserve">See also </w:t>
      </w:r>
      <w:r>
        <w:rPr>
          <w:rStyle w:val="wwc-sesame-zot-reference"/>
        </w:rPr>
        <w:t>Bodhi 2003</w:t>
      </w:r>
      <w:r>
        <w:rPr/>
        <w:t xml:space="preserve"> p.30</w:t>
      </w:r>
    </w:p>
    <w:p>
      <w:pPr>
        <w:pStyle w:val="WW-gloss-term"/>
        <w:rPr/>
      </w:pPr>
      <w:r>
        <w:rPr/>
        <w:t>235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12.63:3.7–3.8</w:t>
      </w:r>
      <w:r>
        <w:rPr>
          <w:rStyle w:val="Hyperlink"/>
        </w:rPr>
        <w:fldChar w:fldCharType="end"/>
      </w:r>
    </w:p>
    <w:p>
      <w:pPr>
        <w:pStyle w:val="WW-gloss-term"/>
        <w:rPr/>
      </w:pPr>
      <w:r>
        <w:rPr/>
        <w:t>236</w:t>
      </w:r>
    </w:p>
    <w:p>
      <w:pPr>
        <w:pStyle w:val="FootnoteText"/>
        <w:rPr/>
      </w:pPr>
      <w:r>
        <w:rPr/>
        <w:t>For example §118, §119</w:t>
      </w:r>
    </w:p>
    <w:p>
      <w:pPr>
        <w:pStyle w:val="WW-gloss-term"/>
        <w:rPr/>
      </w:pPr>
      <w:r>
        <w:rPr/>
        <w:t>237</w:t>
      </w:r>
    </w:p>
    <w:p>
      <w:pPr>
        <w:pStyle w:val="FootnoteText"/>
        <w:rPr/>
      </w:pPr>
      <w:r>
        <w:rPr/>
        <w:t xml:space="preserve">See </w:t>
      </w:r>
      <w:r>
        <w:rPr>
          <w:rStyle w:val="wwc-sesame-zot-reference"/>
        </w:rPr>
        <w:t>Nyanaponika 1981</w:t>
      </w:r>
      <w:r>
        <w:rPr/>
        <w:t xml:space="preserve"> for a translation of the commentary to this sutta. Also see </w:t>
      </w:r>
      <w:r>
        <w:rPr>
          <w:rStyle w:val="wwc-sesame"/>
        </w:rPr>
        <w:t>Bodhi 2000 n.166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12.63</w:t>
      </w:r>
      <w:r>
        <w:rPr>
          <w:rStyle w:val="Hyperlink"/>
        </w:rPr>
        <w:fldChar w:fldCharType="end"/>
      </w:r>
    </w:p>
    <w:p>
      <w:pPr>
        <w:pStyle w:val="WW-gloss-term"/>
        <w:rPr/>
      </w:pPr>
      <w:r>
        <w:rPr/>
        <w:t>238</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56.11:4.4–4.5</w:t>
      </w:r>
      <w:r>
        <w:rPr>
          <w:rStyle w:val="Hyperlink"/>
        </w:rPr>
        <w:fldChar w:fldCharType="end"/>
      </w:r>
    </w:p>
    <w:p>
      <w:pPr>
        <w:pStyle w:val="WW-gloss-term"/>
        <w:rPr/>
      </w:pPr>
      <w:r>
        <w:rPr/>
        <w:t>239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12:37.1–37.11</w:t>
      </w:r>
      <w:r>
        <w:rPr>
          <w:rStyle w:val="Hyperlink"/>
        </w:rPr>
        <w:fldChar w:fldCharType="end"/>
      </w:r>
      <w:r>
        <w:rPr/>
        <w:t xml:space="preserve"> </w:t>
      </w:r>
      <w:r>
        <w:rPr>
          <w:rStyle w:val="wwc-PTS-reference"/>
        </w:rPr>
        <w:t>M I 74</w:t>
      </w:r>
    </w:p>
    <w:p>
      <w:pPr>
        <w:pStyle w:val="WW-gloss-term"/>
        <w:rPr/>
      </w:pPr>
      <w:r>
        <w:rPr/>
        <w:t>240</w:t>
      </w:r>
    </w:p>
    <w:p>
      <w:pPr>
        <w:pStyle w:val="FootnoteText"/>
        <w:rPr/>
      </w:pPr>
      <w:r>
        <w:rPr/>
        <w:t>See for example §17</w:t>
      </w:r>
    </w:p>
    <w:p>
      <w:pPr>
        <w:pStyle w:val="WW-gloss-term"/>
        <w:rPr/>
      </w:pPr>
      <w:r>
        <w:rPr/>
        <w:t>241</w:t>
      </w:r>
    </w:p>
    <w:p>
      <w:pPr>
        <w:pStyle w:val="FootnoteText"/>
        <w:rPr/>
      </w:pP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7.74:8.1–8.2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3.8:7.1–7.4</w:t>
      </w:r>
      <w:r>
        <w:rPr>
          <w:rStyle w:val="Hyperlink"/>
        </w:rPr>
        <w:fldChar w:fldCharType="end"/>
      </w:r>
    </w:p>
    <w:p>
      <w:pPr>
        <w:pStyle w:val="WW-gloss-term"/>
        <w:rPr/>
      </w:pPr>
      <w:r>
        <w:rPr/>
        <w:t>242</w:t>
      </w:r>
    </w:p>
    <w:p>
      <w:pPr>
        <w:pStyle w:val="FootnoteText"/>
        <w:rPr/>
      </w:pPr>
      <w:r>
        <w:rPr>
          <w:rStyle w:val="wwc-pali"/>
        </w:rPr>
        <w:t>Ādicca</w:t>
      </w:r>
      <w:r>
        <w:rPr/>
        <w:t xml:space="preserve"> (‘Sun’) was a name for the clan of the Buddha, possibly an honorific. See </w:t>
      </w:r>
      <w:r>
        <w:fldChar w:fldCharType="begin"/>
      </w:r>
      <w:r>
        <w:rPr>
          <w:rStyle w:val="Hyperlink"/>
        </w:rPr>
        <w:instrText xml:space="preserve"> HYPERLINK "https://suttacentral.net/XXX/en/sujato" \l "YYY"</w:instrText>
      </w:r>
      <w:r>
        <w:rPr>
          <w:rStyle w:val="Hyperlink"/>
        </w:rPr>
        <w:fldChar w:fldCharType="separate"/>
      </w:r>
      <w:r>
        <w:rPr>
          <w:rStyle w:val="Hyperlink"/>
        </w:rPr>
        <w:t>Snp 3.1:19.1–19.2</w:t>
      </w:r>
      <w:r>
        <w:rPr>
          <w:rStyle w:val="Hyperlink"/>
        </w:rPr>
        <w:fldChar w:fldCharType="end"/>
      </w:r>
      <w:r>
        <w:rPr/>
        <w:t xml:space="preserve"> and </w:t>
      </w:r>
      <w:r>
        <w:rPr>
          <w:rStyle w:val="wwc-sesame-zot-reference"/>
        </w:rPr>
        <w:t>DPPN</w:t>
      </w:r>
      <w:r>
        <w:rPr/>
        <w:t xml:space="preserve"> under ‘</w:t>
      </w:r>
      <w:r>
        <w:rPr>
          <w:rStyle w:val="wwc-pali"/>
        </w:rPr>
        <w:t>Ādicca</w:t>
      </w:r>
      <w:r>
        <w:rPr/>
        <w:t>’.</w:t>
      </w:r>
    </w:p>
    <w:p>
      <w:pPr>
        <w:pStyle w:val="WW-gloss-term"/>
        <w:rPr/>
      </w:pPr>
      <w:r>
        <w:rPr/>
        <w:t>243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6.8</w:t>
      </w:r>
      <w:r>
        <w:rPr>
          <w:rStyle w:val="Hyperlink"/>
        </w:rPr>
        <w:fldChar w:fldCharType="end"/>
      </w:r>
    </w:p>
    <w:p>
      <w:pPr>
        <w:pStyle w:val="WW-gloss-term"/>
        <w:rPr/>
      </w:pPr>
      <w:r>
        <w:rPr/>
        <w:t>244</w:t>
      </w:r>
    </w:p>
    <w:p>
      <w:pPr>
        <w:pStyle w:val="FootnoteText"/>
        <w:rPr/>
      </w:pPr>
      <w:r>
        <w:rPr>
          <w:rStyle w:val="wwc-sesame-zot-reference"/>
        </w:rPr>
        <w:t>Hamilton</w:t>
      </w:r>
      <w:r>
        <w:rPr/>
        <w:t xml:space="preserve"> p.98</w:t>
      </w:r>
    </w:p>
    <w:p>
      <w:pPr>
        <w:pStyle w:val="WW-gloss-term"/>
        <w:rPr/>
      </w:pPr>
      <w:r>
        <w:rPr/>
        <w:t>245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56.35</w:t>
      </w:r>
      <w:r>
        <w:rPr>
          <w:rStyle w:val="Hyperlink"/>
        </w:rPr>
        <w:fldChar w:fldCharType="end"/>
      </w:r>
    </w:p>
    <w:p>
      <w:pPr>
        <w:pStyle w:val="WW-gloss-term"/>
        <w:rPr/>
      </w:pPr>
      <w:r>
        <w:rPr/>
        <w:t>246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Thig 16.1:26.1–26.4</w:t>
      </w:r>
      <w:r>
        <w:rPr>
          <w:rStyle w:val="Hyperlink"/>
        </w:rPr>
        <w:fldChar w:fldCharType="end"/>
      </w:r>
    </w:p>
    <w:p>
      <w:pPr>
        <w:pStyle w:val="WW-gloss-term"/>
        <w:rPr/>
      </w:pPr>
      <w:r>
        <w:rPr/>
        <w:t>247</w:t>
      </w:r>
    </w:p>
    <w:p>
      <w:pPr>
        <w:pStyle w:val="FootnoteText"/>
        <w:rPr/>
      </w:pPr>
      <w:r>
        <w:rPr>
          <w:rStyle w:val="wwc-sesame-zot-reference"/>
        </w:rPr>
        <w:t>Hecker</w:t>
      </w:r>
      <w:r>
        <w:rPr/>
        <w:t xml:space="preserve"> p.50</w:t>
      </w:r>
    </w:p>
    <w:p>
      <w:pPr>
        <w:pStyle w:val="WW-gloss-term"/>
        <w:rPr/>
      </w:pPr>
      <w:r>
        <w:rPr/>
        <w:t>248</w:t>
      </w:r>
    </w:p>
    <w:p>
      <w:pPr>
        <w:pStyle w:val="FootnoteText"/>
        <w:rPr/>
      </w:pPr>
      <w:r>
        <w:rPr>
          <w:rStyle w:val="wwc-sesame-zot-reference"/>
        </w:rPr>
        <w:t>Nyanaponika 1981</w:t>
      </w:r>
      <w:r>
        <w:rPr/>
        <w:t xml:space="preserve"> p.9. See also </w:t>
      </w:r>
      <w:r>
        <w:rPr>
          <w:rStyle w:val="wwc-sesame-zot-reference"/>
        </w:rPr>
        <w:t>PED</w:t>
      </w:r>
      <w:r>
        <w:rPr/>
        <w:t xml:space="preserve"> s.v. </w:t>
      </w:r>
      <w:r>
        <w:rPr>
          <w:rStyle w:val="wwc-pali"/>
        </w:rPr>
        <w:t>viññāṇa</w:t>
      </w:r>
      <w:r>
        <w:rPr/>
        <w:t xml:space="preserve">: “As one of the four </w:t>
      </w:r>
      <w:r>
        <w:rPr>
          <w:rStyle w:val="wwc-pali"/>
        </w:rPr>
        <w:t>āhāras viññāṇa</w:t>
      </w:r>
      <w:r>
        <w:rPr/>
        <w:t xml:space="preserve"> is considered as the material, food or cause, through which comes rebirth. As such it is likened to seed in the field of action (</w:t>
      </w:r>
      <w:r>
        <w:rPr>
          <w:rStyle w:val="wwc-pali"/>
        </w:rPr>
        <w:t>kamma</w:t>
      </w:r>
      <w:r>
        <w:rPr/>
        <w:t xml:space="preserve">), and as entering (a body) at rebirth the phrase </w:t>
      </w:r>
      <w:r>
        <w:rPr>
          <w:rStyle w:val="wwc-pali"/>
        </w:rPr>
        <w:t>viññāṇassa avakkanti</w:t>
      </w:r>
      <w:r>
        <w:rPr/>
        <w:t xml:space="preserve"> is used.”</w:t>
      </w:r>
    </w:p>
    <w:p>
      <w:pPr>
        <w:pStyle w:val="WW-gloss-term"/>
        <w:rPr/>
      </w:pPr>
      <w:r>
        <w:rPr/>
        <w:t>249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12.12:2.11</w:t>
      </w:r>
      <w:r>
        <w:rPr>
          <w:rStyle w:val="Hyperlink"/>
        </w:rPr>
        <w:fldChar w:fldCharType="end"/>
      </w:r>
    </w:p>
    <w:p>
      <w:pPr>
        <w:pStyle w:val="WW-gloss-term"/>
        <w:rPr/>
      </w:pPr>
      <w:r>
        <w:rPr/>
        <w:t>250</w:t>
      </w:r>
    </w:p>
    <w:p>
      <w:pPr>
        <w:pStyle w:val="FootnoteText"/>
        <w:rPr/>
      </w:pPr>
      <w:r>
        <w:rPr>
          <w:rStyle w:val="wwc-sesame"/>
        </w:rPr>
        <w:t>Bodhi 2000 n.24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p>
    <w:p>
      <w:pPr>
        <w:pStyle w:val="WW-gloss-term"/>
        <w:rPr/>
      </w:pPr>
      <w:r>
        <w:rPr/>
        <w:t>251</w:t>
      </w:r>
    </w:p>
    <w:p>
      <w:pPr>
        <w:pStyle w:val="FootnoteText"/>
        <w:rPr/>
      </w:pPr>
      <w:r>
        <w:rPr>
          <w:rStyle w:val="wwc-sesame"/>
        </w:rPr>
        <w:t>Bodhi 2000 n.25</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r>
        <w:rPr/>
        <w:t xml:space="preserve">: “The conjunction </w:t>
      </w:r>
      <w:r>
        <w:rPr>
          <w:rStyle w:val="wwc-pali"/>
        </w:rPr>
        <w:t>bhūte sati</w:t>
      </w:r>
      <w:r>
        <w:rPr/>
        <w:t xml:space="preserve"> [‘when the being is born’] is unusual and the redundancy can only be avoided if the past participle </w:t>
      </w:r>
      <w:r>
        <w:rPr>
          <w:rStyle w:val="wwc-pali"/>
        </w:rPr>
        <w:t>bhūte</w:t>
      </w:r>
      <w:r>
        <w:rPr/>
        <w:t xml:space="preserve"> is here understood to function as a noun denoting the being that has come to be.”</w:t>
      </w:r>
    </w:p>
    <w:p>
      <w:pPr>
        <w:pStyle w:val="WW-gloss-term"/>
        <w:rPr/>
      </w:pPr>
      <w:r>
        <w:rPr/>
        <w:t>252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3.61:9.3, 13.4–13.6</w:t>
      </w:r>
      <w:r>
        <w:rPr>
          <w:rStyle w:val="Hyperlink"/>
        </w:rPr>
        <w:fldChar w:fldCharType="end"/>
      </w:r>
    </w:p>
    <w:p>
      <w:pPr>
        <w:pStyle w:val="WW-gloss-term"/>
        <w:rPr/>
      </w:pPr>
      <w:r>
        <w:rPr/>
        <w:t>253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140:8.1–8.6</w:t>
      </w:r>
      <w:r>
        <w:rPr>
          <w:rStyle w:val="Hyperlink"/>
        </w:rPr>
        <w:fldChar w:fldCharType="end"/>
      </w:r>
      <w:r>
        <w:rPr/>
        <w:t xml:space="preserve"> </w:t>
      </w:r>
      <w:r>
        <w:rPr>
          <w:rStyle w:val="wwc-PTS-reference"/>
        </w:rPr>
        <w:t>M III 239</w:t>
      </w:r>
      <w:r>
        <w:rPr/>
        <w:t xml:space="preserve">. See also </w:t>
      </w:r>
      <w:r>
        <w:rPr>
          <w:rStyle w:val="wwc-sesame-zot-reference"/>
        </w:rPr>
        <w:t>Wynne</w:t>
      </w:r>
      <w:r>
        <w:rPr/>
        <w:t xml:space="preserve"> p.31: “There are also a number of lists in which ‘space’ and/or ‘consciousness’ are added to this basic set of four elements […] in most places they occur in teachings where they form the objects of a detailed contemplation of the human person.”</w:t>
      </w:r>
    </w:p>
    <w:p>
      <w:pPr>
        <w:pStyle w:val="WW-gloss-term"/>
        <w:rPr/>
      </w:pPr>
      <w:r>
        <w:rPr/>
        <w:t>254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62:12.1–12.9</w:t>
      </w:r>
      <w:r>
        <w:rPr>
          <w:rStyle w:val="Hyperlink"/>
        </w:rPr>
        <w:fldChar w:fldCharType="end"/>
      </w:r>
      <w:r>
        <w:rPr/>
        <w:t xml:space="preserve"> </w:t>
      </w:r>
      <w:r>
        <w:rPr>
          <w:rStyle w:val="wwc-PTS-reference"/>
        </w:rPr>
        <w:t>M I 423</w:t>
      </w:r>
    </w:p>
    <w:p>
      <w:pPr>
        <w:pStyle w:val="WW-gloss-term"/>
        <w:rPr/>
      </w:pPr>
      <w:r>
        <w:rPr/>
        <w:t>255</w:t>
      </w:r>
    </w:p>
    <w:p>
      <w:pPr>
        <w:pStyle w:val="FootnoteText"/>
        <w:rPr/>
      </w:pPr>
      <w:r>
        <w:rPr/>
        <w:t xml:space="preserve">See </w:t>
      </w:r>
      <w:r>
        <w:rPr>
          <w:rStyle w:val="wwc-sesame-zot-reference"/>
        </w:rPr>
        <w:t>Hamilton</w:t>
      </w:r>
      <w:r>
        <w:rPr/>
        <w:t xml:space="preserve"> p.5 and </w:t>
      </w:r>
      <w:r>
        <w:rPr>
          <w:rStyle w:val="wwc-sesame"/>
        </w:rPr>
        <w:t>Bodhi 2000 n.339</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18.9</w:t>
      </w:r>
      <w:r>
        <w:rPr>
          <w:rStyle w:val="Hyperlink"/>
        </w:rPr>
        <w:fldChar w:fldCharType="end"/>
      </w:r>
      <w:r>
        <w:rPr/>
        <w:t>: “To the four primary elements of the form aggregate the suttas sometimes add the space element.”</w:t>
      </w:r>
    </w:p>
    <w:p>
      <w:pPr>
        <w:pStyle w:val="WW-gloss-term"/>
        <w:rPr/>
      </w:pPr>
      <w:r>
        <w:rPr/>
        <w:t>256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46.2:1.2</w:t>
      </w:r>
      <w:r>
        <w:rPr>
          <w:rStyle w:val="Hyperlink"/>
        </w:rPr>
        <w:fldChar w:fldCharType="end"/>
      </w:r>
    </w:p>
    <w:p>
      <w:pPr>
        <w:pStyle w:val="WW-gloss-term"/>
        <w:rPr/>
      </w:pPr>
      <w:r>
        <w:rPr/>
        <w:t>257</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4.18:4.3–4.4</w:t>
      </w:r>
      <w:r>
        <w:rPr>
          <w:rStyle w:val="Hyperlink"/>
        </w:rPr>
        <w:fldChar w:fldCharType="end"/>
      </w:r>
    </w:p>
    <w:p>
      <w:pPr>
        <w:pStyle w:val="WW-gloss-term"/>
        <w:rPr/>
      </w:pPr>
      <w:r>
        <w:rPr/>
        <w:t>258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22.22:6.1–7.4</w:t>
      </w:r>
      <w:r>
        <w:rPr>
          <w:rStyle w:val="Hyperlink"/>
        </w:rPr>
        <w:fldChar w:fldCharType="end"/>
      </w:r>
    </w:p>
    <w:p>
      <w:pPr>
        <w:pStyle w:val="WW-gloss-term"/>
        <w:rPr/>
      </w:pPr>
      <w:r>
        <w:rPr/>
        <w:t>259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10.27:10.5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Kp 4:1.2</w:t>
      </w:r>
      <w:r>
        <w:rPr>
          <w:rStyle w:val="Hyperlink"/>
        </w:rPr>
        <w:fldChar w:fldCharType="end"/>
      </w:r>
    </w:p>
    <w:p>
      <w:pPr>
        <w:pStyle w:val="WW-gloss-term"/>
        <w:rPr/>
      </w:pPr>
      <w:r>
        <w:rPr/>
        <w:t>260</w:t>
      </w:r>
    </w:p>
    <w:p>
      <w:pPr>
        <w:pStyle w:val="FootnoteText"/>
        <w:rPr/>
      </w:pPr>
      <w:r>
        <w:rPr/>
        <w:t xml:space="preserve">TU 2.2.1, translation </w:t>
      </w:r>
      <w:r>
        <w:rPr>
          <w:rStyle w:val="wwc-sesame-zot-reference"/>
        </w:rPr>
        <w:t>Purohit</w:t>
      </w:r>
    </w:p>
    <w:p>
      <w:pPr>
        <w:pStyle w:val="WW-gloss-term"/>
        <w:rPr/>
      </w:pPr>
      <w:r>
        <w:rPr/>
        <w:t>261</w:t>
      </w:r>
    </w:p>
    <w:p>
      <w:pPr>
        <w:pStyle w:val="FootnoteText"/>
        <w:rPr/>
      </w:pPr>
      <w:r>
        <w:rPr>
          <w:rStyle w:val="wwc-sesame-zot-reference"/>
        </w:rPr>
        <w:t>Lopez</w:t>
      </w:r>
    </w:p>
    <w:p>
      <w:pPr>
        <w:pStyle w:val="WW-gloss-term"/>
        <w:rPr/>
      </w:pPr>
      <w:r>
        <w:rPr/>
        <w:t>262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Kp 7:6.3–13.4</w:t>
      </w:r>
      <w:r>
        <w:rPr>
          <w:rStyle w:val="Hyperlink"/>
        </w:rPr>
        <w:fldChar w:fldCharType="end"/>
      </w:r>
    </w:p>
    <w:p>
      <w:pPr>
        <w:pStyle w:val="WW-gloss-term"/>
        <w:rPr/>
      </w:pPr>
      <w:r>
        <w:rPr/>
        <w:t>263</w:t>
      </w:r>
    </w:p>
    <w:p>
      <w:pPr>
        <w:pStyle w:val="FootnoteText"/>
        <w:rPr/>
      </w:pPr>
      <w:r>
        <w:rPr>
          <w:rStyle w:val="wwc-sesame-zot-reference"/>
        </w:rPr>
        <w:t>Norman 1991</w:t>
      </w:r>
      <w:r>
        <w:rPr/>
        <w:t xml:space="preserve"> p.194</w:t>
      </w:r>
    </w:p>
    <w:p>
      <w:pPr>
        <w:pStyle w:val="WW-gloss-term"/>
        <w:rPr/>
      </w:pPr>
      <w:r>
        <w:rPr/>
        <w:t>264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3.12:38.1–38.4</w:t>
      </w:r>
      <w:r>
        <w:rPr>
          <w:rStyle w:val="Hyperlink"/>
        </w:rPr>
        <w:fldChar w:fldCharType="end"/>
      </w:r>
    </w:p>
    <w:p>
      <w:pPr>
        <w:pStyle w:val="WW-gloss-term"/>
        <w:rPr/>
      </w:pPr>
      <w:r>
        <w:rPr/>
        <w:t>265</w:t>
      </w:r>
    </w:p>
    <w:p>
      <w:pPr>
        <w:pStyle w:val="FootnoteText"/>
        <w:rPr/>
      </w:pPr>
      <w:r>
        <w:rPr/>
        <w:t xml:space="preserve">See for example </w:t>
      </w:r>
      <w:r>
        <w:rPr>
          <w:rStyle w:val="wwc-sesame-zot-reference"/>
        </w:rPr>
        <w:t>Nyanaponika 1981</w:t>
      </w:r>
    </w:p>
    <w:p>
      <w:pPr>
        <w:pStyle w:val="WW-gloss-term"/>
        <w:rPr/>
      </w:pPr>
      <w:r>
        <w:rPr/>
        <w:t>266 HERE!!!!!!!!!!!!!!!!!!!!!!!!!!!!!!!!!!!!!!!!!!!!!!!!!!!!!!!!!!!!!!!!!</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p>
    <w:p>
      <w:pPr>
        <w:pStyle w:val="WW-gloss-term"/>
        <w:rPr/>
      </w:pPr>
      <w:r>
        <w:rPr/>
        <w:t>267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3.92:1.3–1.4</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23:31.3, 31.10</w:t>
      </w:r>
      <w:r>
        <w:rPr>
          <w:rStyle w:val="Hyperlink"/>
        </w:rPr>
        <w:fldChar w:fldCharType="end"/>
      </w:r>
      <w:r>
        <w:rPr/>
        <w:t xml:space="preserve"> </w:t>
      </w:r>
      <w:r>
        <w:rPr>
          <w:rStyle w:val="wwc-PTS-reference"/>
        </w:rPr>
        <w:t>D II 353</w:t>
      </w:r>
    </w:p>
    <w:p>
      <w:pPr>
        <w:pStyle w:val="WW-gloss-term"/>
        <w:rPr/>
      </w:pPr>
      <w:r>
        <w:rPr/>
        <w:t>268</w:t>
      </w:r>
    </w:p>
    <w:p>
      <w:pPr>
        <w:pStyle w:val="FootnoteText"/>
        <w:rPr/>
      </w:pPr>
      <w:r>
        <w:rPr/>
        <w:t xml:space="preserve">This translation fits other contexts of the word too. </w:t>
      </w:r>
      <w:r>
        <w:rPr>
          <w:rStyle w:val="wwc-pali"/>
        </w:rPr>
        <w:t>Patiṭṭhita</w:t>
      </w:r>
      <w:r>
        <w:rPr/>
        <w:t xml:space="preserve"> is used for a cow planting down her feet—see </w:t>
      </w:r>
      <w:r>
        <w:fldChar w:fldCharType="begin"/>
      </w:r>
      <w:r>
        <w:rPr>
          <w:rStyle w:val="Hyperlink"/>
        </w:rPr>
        <w:instrText xml:space="preserve"> HYPERLINK "https://suttacentral.net/XXX/en/sujato" \l "YYY"</w:instrText>
      </w:r>
      <w:r>
        <w:rPr>
          <w:rStyle w:val="Hyperlink"/>
        </w:rPr>
        <w:fldChar w:fldCharType="separate"/>
      </w:r>
      <w:r>
        <w:rPr>
          <w:rStyle w:val="Hyperlink"/>
        </w:rPr>
        <w:t>AN 9.35:1.4, 3.4</w:t>
      </w:r>
      <w:r>
        <w:rPr>
          <w:rStyle w:val="Hyperlink"/>
        </w:rPr>
        <w:fldChar w:fldCharType="end"/>
      </w:r>
      <w:r>
        <w:rPr/>
        <w:t xml:space="preserve">. In English we also say “to plant an arrow”, and </w:t>
      </w:r>
      <w:r>
        <w:rPr>
          <w:rStyle w:val="wwc-pali"/>
        </w:rPr>
        <w:t>patiṭṭhita</w:t>
      </w:r>
      <w:r>
        <w:rPr/>
        <w:t xml:space="preserve"> is also used for planting arrows in a target—see </w:t>
      </w:r>
      <w:r>
        <w:fldChar w:fldCharType="begin"/>
      </w:r>
      <w:r>
        <w:rPr>
          <w:rStyle w:val="Hyperlink"/>
        </w:rPr>
        <w:instrText xml:space="preserve"> HYPERLINK "https://suttacentral.net/XXX/en/sujato" \l "YYY"</w:instrText>
      </w:r>
      <w:r>
        <w:rPr>
          <w:rStyle w:val="Hyperlink"/>
        </w:rPr>
        <w:fldChar w:fldCharType="separate"/>
      </w:r>
      <w:r>
        <w:rPr>
          <w:rStyle w:val="Hyperlink"/>
        </w:rPr>
        <w:t>DN 3:1.23.17–1.23.20</w:t>
      </w:r>
      <w:r>
        <w:rPr>
          <w:rStyle w:val="Hyperlink"/>
        </w:rPr>
        <w:fldChar w:fldCharType="end"/>
      </w:r>
      <w:r>
        <w:rPr/>
        <w:t xml:space="preserve"> </w:t>
      </w:r>
      <w:r>
        <w:rPr>
          <w:rStyle w:val="wwc-PTS-reference"/>
        </w:rPr>
        <w:t>D I 97</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20.6:1.4, 2.1</w:t>
      </w:r>
      <w:r>
        <w:rPr>
          <w:rStyle w:val="Hyperlink"/>
        </w:rPr>
        <w:fldChar w:fldCharType="end"/>
      </w:r>
      <w:r>
        <w:rPr/>
        <w:t>. English also uses ‘plant’ as a synonym for ‘establish’, like in “to plant a religion in a country”.</w:t>
      </w:r>
    </w:p>
    <w:p>
      <w:pPr>
        <w:pStyle w:val="WW-gloss-term"/>
        <w:rPr/>
      </w:pPr>
      <w:r>
        <w:rPr/>
        <w:t>269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45:4.7</w:t>
      </w:r>
      <w:r>
        <w:rPr>
          <w:rStyle w:val="Hyperlink"/>
        </w:rPr>
        <w:fldChar w:fldCharType="end"/>
      </w:r>
      <w:r>
        <w:rPr/>
        <w:t xml:space="preserve"> </w:t>
      </w:r>
      <w:r>
        <w:rPr>
          <w:rStyle w:val="wwc-PTS-reference"/>
        </w:rPr>
        <w:t>M I 307</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3.34:5.1–5.3</w:t>
      </w:r>
      <w:r>
        <w:rPr>
          <w:rStyle w:val="Hyperlink"/>
        </w:rPr>
        <w:fldChar w:fldCharType="end"/>
      </w:r>
      <w:r>
        <w:rPr/>
        <w:t>, which says seeds that are put underground will “develop, sprout, and mature” when rained upon.</w:t>
      </w:r>
    </w:p>
    <w:p>
      <w:pPr>
        <w:pStyle w:val="WW-gloss-term"/>
        <w:rPr/>
      </w:pPr>
      <w:r>
        <w:rPr/>
        <w:t>270</w:t>
      </w:r>
    </w:p>
    <w:p>
      <w:pPr>
        <w:pStyle w:val="FootnoteText"/>
        <w:rPr/>
      </w:pPr>
      <w:hyperlink r:id="rId22">
        <w:r>
          <w:rPr>
            <w:rStyle w:val="Hyperlink"/>
          </w:rPr>
          <w:t>Mil 3.6.9</w:t>
        </w:r>
      </w:hyperlink>
    </w:p>
    <w:p>
      <w:pPr>
        <w:pStyle w:val="WW-gloss-term"/>
        <w:rPr/>
      </w:pPr>
      <w:r>
        <w:rPr/>
        <w:t>271</w:t>
      </w:r>
    </w:p>
    <w:p>
      <w:pPr>
        <w:pStyle w:val="FootnoteText"/>
        <w:rPr/>
      </w:pPr>
      <w:r>
        <w:rPr>
          <w:rStyle w:val="wwc-sesame"/>
        </w:rPr>
        <w:t>Vism</w:t>
      </w:r>
      <w:r>
        <w:rPr/>
        <w:t xml:space="preserve"> 602 and 688</w:t>
      </w:r>
    </w:p>
    <w:p>
      <w:pPr>
        <w:pStyle w:val="WW-gloss-term"/>
        <w:rPr/>
      </w:pPr>
      <w:r>
        <w:rPr/>
        <w:t>272</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5.9:4.1–6.4</w:t>
      </w:r>
      <w:r>
        <w:rPr>
          <w:rStyle w:val="Hyperlink"/>
        </w:rPr>
        <w:fldChar w:fldCharType="end"/>
      </w:r>
    </w:p>
    <w:p>
      <w:pPr>
        <w:pStyle w:val="WW-gloss-term"/>
        <w:rPr/>
      </w:pPr>
      <w:r>
        <w:rPr/>
        <w:t>273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Kp 6:15.1–15.4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p>
    <w:p>
      <w:pPr>
        <w:pStyle w:val="WW-gloss-term"/>
        <w:rPr/>
      </w:pPr>
      <w:r>
        <w:rPr/>
        <w:t>274</w:t>
      </w:r>
    </w:p>
    <w:p>
      <w:pPr>
        <w:pStyle w:val="FootnoteText"/>
        <w:rPr/>
      </w:pPr>
      <w:r>
        <w:rPr/>
        <w:t xml:space="preserve">See </w:t>
      </w:r>
      <w:r>
        <w:rPr>
          <w:rStyle w:val="wwc-sesame"/>
        </w:rPr>
        <w:t>Bodhi 2017 p.523</w:t>
      </w:r>
    </w:p>
    <w:p>
      <w:pPr>
        <w:pStyle w:val="WW-gloss-term"/>
        <w:rPr/>
      </w:pPr>
      <w:r>
        <w:rPr/>
        <w:t>275</w:t>
      </w:r>
    </w:p>
    <w:p>
      <w:pPr>
        <w:pStyle w:val="FootnoteText"/>
        <w:rPr/>
      </w:pPr>
      <w:r>
        <w:rPr>
          <w:rStyle w:val="wwc-pali"/>
        </w:rPr>
        <w:t>Santipada</w:t>
      </w:r>
      <w:r>
        <w:rPr/>
        <w:t xml:space="preserve">, ‘place of peace’. In contexts such as this, </w:t>
      </w:r>
      <w:r>
        <w:rPr>
          <w:rStyle w:val="wwc-pali"/>
        </w:rPr>
        <w:t>pada</w:t>
      </w:r>
      <w:r>
        <w:rPr/>
        <w:t xml:space="preserve"> is commonly translated as ‘state’. But related to the English ‘pedal’, it literally means ‘foot’ or ‘step’ and by extent can mean ‘path’ (where one walks) or ‘place’ (where one stands). For example, </w:t>
      </w:r>
      <w:r>
        <w:rPr>
          <w:rStyle w:val="wwc-pali"/>
        </w:rPr>
        <w:t>janapada</w:t>
      </w:r>
      <w:r>
        <w:rPr/>
        <w:t xml:space="preserve">, ‘country’, is literally ‘people’s place’. </w:t>
      </w:r>
      <w:r>
        <w:rPr>
          <w:rStyle w:val="wwc-sesame-zot-reference"/>
        </w:rPr>
        <w:t>Monier-Williams</w:t>
      </w:r>
      <w:r>
        <w:rPr/>
        <w:t xml:space="preserve"> lists ‘a plot of ground’ as one meaning of the Sanskrit </w:t>
      </w:r>
      <w:r>
        <w:rPr>
          <w:rStyle w:val="wwc-sanskrit"/>
        </w:rPr>
        <w:t>pada</w:t>
      </w:r>
      <w:r>
        <w:rPr/>
        <w:t xml:space="preserve">, and refers to </w:t>
      </w:r>
      <w:r>
        <w:rPr>
          <w:rStyle w:val="wwc-sanskrit"/>
        </w:rPr>
        <w:t>padajñā</w:t>
      </w:r>
      <w:r>
        <w:rPr/>
        <w:t xml:space="preserve"> in RV 1.62.2, which seems to refer to knowing (</w:t>
      </w:r>
      <w:r>
        <w:rPr>
          <w:rStyle w:val="wwc-sanskrit"/>
        </w:rPr>
        <w:t>jñā</w:t>
      </w:r>
      <w:r>
        <w:rPr/>
        <w:t>) the places (</w:t>
      </w:r>
      <w:r>
        <w:rPr>
          <w:rStyle w:val="wwc-sanskrit"/>
        </w:rPr>
        <w:t>pada</w:t>
      </w:r>
      <w:r>
        <w:rPr/>
        <w:t xml:space="preserve">) where to find cattle. I am not aware of any instance in the Nikāyas where </w:t>
      </w:r>
      <w:r>
        <w:rPr>
          <w:rStyle w:val="wwc-pali"/>
        </w:rPr>
        <w:t>pada</w:t>
      </w:r>
      <w:r>
        <w:rPr/>
        <w:t xml:space="preserve"> unambiguously means ‘state’, so, following </w:t>
      </w:r>
      <w:r>
        <w:rPr>
          <w:rStyle w:val="wwc-sesame-zot-reference"/>
        </w:rPr>
        <w:t>Norman 1997</w:t>
      </w:r>
      <w:r>
        <w:rPr/>
        <w:t xml:space="preserve"> p.13, I translate ‘the sorrowless place’, ‘the peaceful place’, and so on.</w:t>
      </w:r>
    </w:p>
    <w:p>
      <w:pPr>
        <w:pStyle w:val="FootnoteText"/>
        <w:rPr/>
      </w:pPr>
      <w:r>
        <w:rPr/>
      </w:r>
    </w:p>
    <w:p>
      <w:pPr>
        <w:pStyle w:val="FootnoteText"/>
        <w:rPr/>
      </w:pPr>
      <w:r>
        <w:rPr/>
        <w:t xml:space="preserve">I take </w:t>
      </w:r>
      <w:r>
        <w:rPr>
          <w:rStyle w:val="wwc-pali"/>
        </w:rPr>
        <w:t>pada</w:t>
      </w:r>
      <w:r>
        <w:rPr/>
        <w:t xml:space="preserve"> to be a metaphor for the end of the eightfold path, not as a description of what that end exactly is. Just like we do not go to a literal island, literal refuge, literal other shore (mentioned in this very verse), and so on, we do not go to a literal </w:t>
      </w:r>
      <w:r>
        <w:rPr>
          <w:rStyle w:val="wwc-pali"/>
        </w:rPr>
        <w:t>pada</w:t>
      </w:r>
      <w:r>
        <w:rPr/>
        <w:t xml:space="preserve">. The fact that </w:t>
      </w:r>
      <w:r>
        <w:rPr>
          <w:rStyle w:val="wwc-pali"/>
        </w:rPr>
        <w:t>pada</w:t>
      </w:r>
      <w:r>
        <w:rPr/>
        <w:t xml:space="preserve"> in this context virtually always occurs in verse, always qualified by psychologically positive adjectives, also leans towards it being an emotionally evocative term rather than an ontological one.</w:t>
      </w:r>
    </w:p>
    <w:p>
      <w:pPr>
        <w:pStyle w:val="FootnoteText"/>
        <w:rPr/>
      </w:pPr>
      <w:r>
        <w:rPr/>
      </w:r>
    </w:p>
    <w:p>
      <w:pPr>
        <w:pStyle w:val="WW-gloss-term"/>
        <w:rPr/>
      </w:pPr>
      <w:r>
        <w:rPr/>
        <w:t>276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1.12:2.1–4.4</w:t>
      </w:r>
      <w:r>
        <w:rPr>
          <w:rStyle w:val="Hyperlink"/>
        </w:rPr>
        <w:fldChar w:fldCharType="end"/>
      </w:r>
    </w:p>
    <w:p>
      <w:pPr>
        <w:pStyle w:val="WW-gloss-term"/>
        <w:rPr/>
      </w:pPr>
      <w:r>
        <w:rPr/>
        <w:t>277</w:t>
      </w:r>
    </w:p>
    <w:p>
      <w:pPr>
        <w:pStyle w:val="FootnoteText"/>
        <w:rPr/>
      </w:pPr>
      <w:r>
        <w:rPr/>
        <w:t xml:space="preserve">I follow the Burmese edition, which mentions two situations: unbroken seeds with earth and water and unbroken seeds without earth and water. The PTS edition mentions three situations: unbroken seeds without water and earth, </w:t>
      </w:r>
      <w:r>
        <w:rPr>
          <w:rStyle w:val="Emphasis"/>
        </w:rPr>
        <w:t>broken</w:t>
      </w:r>
      <w:r>
        <w:rPr/>
        <w:t xml:space="preserve"> seeds with water and earth, and unbroken seeds with water and earth. This seems incorrect, for at no point can consciousness (the seed) be broken while desire (the water) still remains. The Chinese parallel at </w:t>
      </w:r>
      <w:hyperlink r:id="rId23">
        <w:r>
          <w:rPr>
            <w:rStyle w:val="Hyperlink"/>
          </w:rPr>
          <w:t>SĀ 39</w:t>
        </w:r>
      </w:hyperlink>
      <w:r>
        <w:rPr/>
        <w:t xml:space="preserve"> mentions three situations too, but all with unbroken seeds: unbroken seeds with earth but no water, unbroken seeds with water but no earth, and unbroken seeds with both water and earth. This makes more sense contextually, for the point of the sutta is that the continuance of consciousness requires both desire (water) and the other aggregates (earth).</w:t>
      </w:r>
    </w:p>
    <w:p>
      <w:pPr>
        <w:pStyle w:val="WW-gloss-term"/>
        <w:rPr/>
      </w:pPr>
      <w:r>
        <w:rPr/>
        <w:t>278</w:t>
      </w:r>
    </w:p>
    <w:p>
      <w:pPr>
        <w:pStyle w:val="FootnoteText"/>
        <w:rPr/>
      </w:pPr>
      <w:r>
        <w:rPr/>
        <w:t xml:space="preserve">As an exception I have adopted the reading of the Chinese parallel. The Pāli adds consciousness to the aggregates here, though it does not do so in the previous statements. The Chinese mentions only the other four aggregates, which matches the four things that support consciousness. Also favoring the Chinese is that the addition of consciousness in order to complete the five aggregates would have been a more natural mistake or purposeful edit than its omission. Since there is a </w:t>
      </w:r>
      <w:r>
        <w:rPr>
          <w:rStyle w:val="wwc-pali"/>
        </w:rPr>
        <w:t>peyalla</w:t>
      </w:r>
      <w:r>
        <w:rPr/>
        <w:t xml:space="preserve"> (…) here, it may have been repeated once too many times by the reciter, accidentally adding the aggregate of consciousness. The addition of consciousness also does not add much pragmatic value, since sensation, perception, and consciousness are intrinsically connected (§99), so any desire for consciousness will be accompanied by a desire for sensation and perception.</w:t>
      </w:r>
    </w:p>
    <w:p>
      <w:pPr>
        <w:pStyle w:val="WW-gloss-term"/>
        <w:rPr/>
      </w:pPr>
      <w:r>
        <w:rPr/>
        <w:t>279</w:t>
      </w:r>
    </w:p>
    <w:p>
      <w:pPr>
        <w:pStyle w:val="FootnoteText"/>
        <w:rPr/>
      </w:pPr>
      <w:r>
        <w:rPr/>
        <w:t xml:space="preserve">I follow </w:t>
      </w:r>
      <w:r>
        <w:rPr>
          <w:rStyle w:val="wwc-pali"/>
        </w:rPr>
        <w:t>tadappatiṭṭhitaṁ viññāṇaṁ avirūḷhaṁ anabhisaṅkhārañ-ca vimuttaṁ</w:t>
      </w:r>
      <w:r>
        <w:rPr/>
        <w:t xml:space="preserve">, instead of alternative manuscripts which have </w:t>
      </w:r>
      <w:r>
        <w:rPr>
          <w:rStyle w:val="wwc-pali"/>
        </w:rPr>
        <w:t>anabhisaṅkhacca</w:t>
      </w:r>
      <w:r>
        <w:rPr/>
        <w:t xml:space="preserve">. Both </w:t>
      </w:r>
      <w:r>
        <w:rPr>
          <w:rStyle w:val="wwc-pali"/>
        </w:rPr>
        <w:t>anabhisaṅkhāraṁ</w:t>
      </w:r>
      <w:r>
        <w:rPr/>
        <w:t xml:space="preserve"> (not willing) and </w:t>
      </w:r>
      <w:r>
        <w:rPr>
          <w:rStyle w:val="wwc-pali"/>
        </w:rPr>
        <w:t>vimuttaṁ</w:t>
      </w:r>
      <w:r>
        <w:rPr/>
        <w:t xml:space="preserve"> (liberated) could be taken as adjectives of </w:t>
      </w:r>
      <w:r>
        <w:rPr>
          <w:rStyle w:val="wwc-pali"/>
        </w:rPr>
        <w:t>viññāṇaṁ</w:t>
      </w:r>
      <w:r>
        <w:rPr/>
        <w:t>. However:</w:t>
      </w:r>
    </w:p>
    <w:p>
      <w:pPr>
        <w:pStyle w:val="Normal"/>
        <w:rPr/>
      </w:pPr>
      <w:r>
        <w:rPr>
          <w:rStyle w:val="wwc-pali"/>
        </w:rPr>
        <w:t>vimuttaṁ</w:t>
      </w:r>
      <w:r>
        <w:rPr/>
        <w:t xml:space="preserve"> (liberated) could be taken as adjectives of </w:t>
      </w:r>
      <w:r>
        <w:rPr>
          <w:rStyle w:val="wwc-pali"/>
        </w:rPr>
        <w:t>viññāṇaṁ</w:t>
      </w:r>
      <w:r>
        <w:rPr/>
        <w:t>. However:</w:t>
      </w:r>
    </w:p>
    <w:p>
      <w:pPr>
        <w:pStyle w:val="FootnoteText"/>
        <w:rPr/>
      </w:pPr>
      <w:r>
        <w:rPr/>
        <w:t xml:space="preserve">(1) </w:t>
      </w:r>
      <w:r>
        <w:rPr/>
        <w:t xml:space="preserve">Consciousness as one of the </w:t>
      </w:r>
      <w:r>
        <w:rPr>
          <w:rStyle w:val="wwc-pali"/>
        </w:rPr>
        <w:t>khandhas</w:t>
      </w:r>
      <w:r>
        <w:rPr/>
        <w:t xml:space="preserve"> is just aware of things, it does not do things nor stop doing things at enlightenment, so ‘not willing’ would likely not be said of it.</w:t>
      </w:r>
    </w:p>
    <w:p>
      <w:pPr>
        <w:pStyle w:val="FootnoteText"/>
        <w:rPr/>
      </w:pPr>
      <w:r>
        <w:rPr/>
        <w:t xml:space="preserve">(2) </w:t>
      </w:r>
      <w:r>
        <w:rPr/>
        <w:t>The before is about how consciousness comes to cease when “its foundation is destroyed”, not about liberating it.</w:t>
      </w:r>
    </w:p>
    <w:p>
      <w:pPr>
        <w:pStyle w:val="FootnoteText"/>
        <w:rPr/>
      </w:pPr>
      <w:r>
        <w:rPr/>
        <w:t xml:space="preserve">(3) </w:t>
      </w:r>
      <w:r>
        <w:rPr/>
        <w:t xml:space="preserve">Although </w:t>
      </w:r>
      <w:r>
        <w:rPr>
          <w:rStyle w:val="wwc-pali"/>
        </w:rPr>
        <w:t>viññāṇa</w:t>
      </w:r>
      <w:r>
        <w:rPr/>
        <w:t xml:space="preserve"> can be a near synonym for the mind (</w:t>
      </w:r>
      <w:r>
        <w:rPr>
          <w:rStyle w:val="wwc-pali"/>
        </w:rPr>
        <w:t>citta</w:t>
      </w:r>
      <w:r>
        <w:rPr/>
        <w:t xml:space="preserve">), the two words are still used in different senses, and elsewhere in the Nikāyas it is always either the mind or the person that is said to be liberated, never </w:t>
      </w:r>
      <w:r>
        <w:rPr>
          <w:rStyle w:val="wwc-pali"/>
        </w:rPr>
        <w:t>viññāṇa</w:t>
      </w:r>
      <w:r>
        <w:rPr/>
        <w:t>.</w:t>
      </w:r>
    </w:p>
    <w:p>
      <w:pPr>
        <w:pStyle w:val="FootnoteText"/>
        <w:rPr/>
      </w:pPr>
      <w:r>
        <w:rPr/>
        <w:t xml:space="preserve">(4) </w:t>
      </w:r>
      <w:r>
        <w:fldChar w:fldCharType="begin"/>
      </w:r>
      <w:r>
        <w:rPr>
          <w:rStyle w:val="Hyperlink"/>
        </w:rPr>
        <w:instrText xml:space="preserve"> HYPERLINK "https://suttacentral.net/XXX/en/sujato" \l "YYY"</w:instrText>
      </w:r>
      <w:r>
        <w:rPr>
          <w:rStyle w:val="Hyperlink"/>
        </w:rPr>
        <w:fldChar w:fldCharType="separate"/>
      </w:r>
      <w:r>
        <w:rPr>
          <w:rStyle w:val="Hyperlink"/>
        </w:rPr>
        <w:t>SN 22.45</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22.46</w:t>
      </w:r>
      <w:r>
        <w:rPr>
          <w:rStyle w:val="Hyperlink"/>
        </w:rPr>
        <w:fldChar w:fldCharType="end"/>
      </w:r>
      <w:r>
        <w:rPr/>
        <w:t xml:space="preserve"> share their closing paragraph with this sutta, and there it is nmistakably the mind that is liberated.</w:t>
      </w:r>
    </w:p>
    <w:p>
      <w:pPr>
        <w:pStyle w:val="FootnoteText"/>
        <w:rPr/>
      </w:pPr>
      <w:r>
        <w:rPr/>
        <w:t xml:space="preserve">For these reasons I think the mind is intended in this sutta as well. I take </w:t>
      </w:r>
      <w:r>
        <w:rPr>
          <w:rStyle w:val="wwc-pali"/>
        </w:rPr>
        <w:t>ca</w:t>
      </w:r>
      <w:r>
        <w:rPr/>
        <w:t xml:space="preserve"> (and) to indicate there to be two separate sentences: </w:t>
      </w:r>
      <w:r>
        <w:rPr>
          <w:rStyle w:val="wwc-pali"/>
        </w:rPr>
        <w:t>Tadappatiṭṭhitaṁ viññāṇaṁ avirūḷhaṁ. Anabhisaṅkhārañ-ca vimuttaṁ</w:t>
      </w:r>
      <w:r>
        <w:rPr/>
        <w:t xml:space="preserve">. Seeing the first part as a full sentence is supported by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12.40:3.3</w:t>
      </w:r>
      <w:r>
        <w:rPr>
          <w:rStyle w:val="Hyperlink"/>
        </w:rPr>
        <w:fldChar w:fldCharType="end"/>
      </w:r>
      <w:r>
        <w:rPr/>
        <w:t xml:space="preserve">, where </w:t>
      </w:r>
      <w:r>
        <w:rPr>
          <w:rStyle w:val="wwc-pali"/>
        </w:rPr>
        <w:t>tadappatiṭṭhite viññāṇe avirūḷhe</w:t>
      </w:r>
      <w:r>
        <w:rPr/>
        <w:t xml:space="preserve"> is an absolute, hence a separately functioning clause; and seeing the second as a separate sentence makes it match the other two-word sentences that follow. The translation thus becomes: “Not planted, consciousness will not sprout. And not creating, ‘it’ is liberated.” The ‘it’ refers to the mind, like in the common phrase </w:t>
      </w:r>
      <w:r>
        <w:rPr>
          <w:rStyle w:val="wwc-pali"/>
        </w:rPr>
        <w:t>vimuttasmiṁ ‘vimuttam’iti ñāṇaṁ hoti</w:t>
      </w:r>
      <w:r>
        <w:rPr/>
        <w:t xml:space="preserve">, “when liberated, there is the knowledge ‘it [the mind] is liberated’.” Previous translators similarly separated </w:t>
      </w:r>
      <w:r>
        <w:rPr>
          <w:rStyle w:val="wwc-pali"/>
        </w:rPr>
        <w:t>viññāṇaṁ</w:t>
      </w:r>
      <w:r>
        <w:rPr/>
        <w:t xml:space="preserve"> from </w:t>
      </w:r>
      <w:r>
        <w:rPr>
          <w:rStyle w:val="wwc-pali"/>
        </w:rPr>
        <w:t>vimuttaṁ</w:t>
      </w:r>
      <w:r>
        <w:rPr/>
        <w:t xml:space="preserve"> in the </w:t>
      </w:r>
      <w:r>
        <w:rPr>
          <w:rStyle w:val="wwc-sesame"/>
        </w:rPr>
        <w:t>Seeds Discourse</w:t>
      </w:r>
      <w:r>
        <w:rPr/>
        <w:t xml:space="preserve"> (see </w:t>
      </w:r>
      <w:r>
        <w:rPr>
          <w:rStyle w:val="internal-reference"/>
        </w:rPr>
        <w:t>note 504</w:t>
      </w:r>
      <w:r>
        <w:rPr/>
        <w:t xml:space="preserve">). </w:t>
      </w:r>
      <w:r>
        <w:rPr>
          <w:rStyle w:val="wwc-sesame-zot-reference"/>
        </w:rPr>
        <w:t>Nyanaponika 1990</w:t>
      </w:r>
      <w:r>
        <w:rPr/>
        <w:t xml:space="preserve"> has “ist man befreit”, meaning “</w:t>
      </w:r>
      <w:r>
        <w:rPr>
          <w:rStyle w:val="Emphasis"/>
        </w:rPr>
        <w:t>one</w:t>
      </w:r>
      <w:r>
        <w:rPr/>
        <w:t xml:space="preserve"> is liberated”. But </w:t>
      </w:r>
      <w:r>
        <w:rPr>
          <w:rStyle w:val="wwc-pali"/>
        </w:rPr>
        <w:t>vimuttaṁ</w:t>
      </w:r>
      <w:r>
        <w:rPr/>
        <w:t xml:space="preserve"> being neuter, ‘the mind’ is preferable over ‘one’, which would require the masculine.</w:t>
      </w:r>
    </w:p>
    <w:p>
      <w:pPr>
        <w:pStyle w:val="FootnoteText"/>
        <w:rPr/>
      </w:pPr>
      <w:r>
        <w:rPr/>
      </w:r>
    </w:p>
    <w:p>
      <w:pPr>
        <w:pStyle w:val="FootnoteText"/>
        <w:rPr/>
      </w:pPr>
      <w:r>
        <w:rPr/>
        <w:t xml:space="preserve">The Chinese parallel at </w:t>
      </w:r>
      <w:hyperlink r:id="rId24">
        <w:r>
          <w:rPr>
            <w:rStyle w:val="Hyperlink"/>
          </w:rPr>
          <w:t>SĀ 39</w:t>
        </w:r>
      </w:hyperlink>
      <w:r>
        <w:rPr/>
        <w:t xml:space="preserve"> also supports the separation of consciousness and liberation, as it disjoints the two with a set of phrases not found in the Pāli. </w:t>
      </w:r>
      <w:r>
        <w:rPr>
          <w:rStyle w:val="wwc-sesame-zot-reference"/>
        </w:rPr>
        <w:t>Anālayo 2014</w:t>
      </w:r>
      <w:r>
        <w:rPr/>
        <w:t xml:space="preserve"> translated: “The basis being abandoned, that consciousness is not established anywhere and does not grow further and increase. Because of not growing, there is no creating of formations. Not creating formations, one is steady. Being steady, one is contented. Being contented, one is released.” So again the Chinese, as in </w:t>
      </w:r>
      <w:r>
        <w:rPr>
          <w:rStyle w:val="internal-reference"/>
        </w:rPr>
        <w:t>note 277</w:t>
      </w:r>
      <w:r>
        <w:rPr/>
        <w:t xml:space="preserve"> and </w:t>
      </w:r>
      <w:r>
        <w:rPr>
          <w:rStyle w:val="internal-reference"/>
        </w:rPr>
        <w:t>note 278</w:t>
      </w:r>
      <w:r>
        <w:rPr/>
        <w:t>, seems more on point than the Pāli.</w:t>
      </w:r>
    </w:p>
    <w:p>
      <w:pPr>
        <w:pStyle w:val="FootnoteText"/>
        <w:rPr/>
      </w:pPr>
      <w:r>
        <w:rPr/>
      </w:r>
    </w:p>
    <w:p>
      <w:pPr>
        <w:pStyle w:val="WW-gloss-term"/>
        <w:rPr/>
      </w:pPr>
      <w:r>
        <w:rPr/>
        <w:t>280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p>
    <w:p>
      <w:pPr>
        <w:pStyle w:val="WW-gloss-term"/>
        <w:rPr/>
      </w:pPr>
      <w:r>
        <w:rPr/>
        <w:t>281</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3.58:5.1–6.4</w:t>
      </w:r>
      <w:r>
        <w:rPr>
          <w:rStyle w:val="Hyperlink"/>
        </w:rPr>
        <w:fldChar w:fldCharType="end"/>
      </w:r>
    </w:p>
    <w:p>
      <w:pPr>
        <w:pStyle w:val="WW-gloss-term"/>
        <w:rPr/>
      </w:pPr>
      <w:r>
        <w:rPr/>
        <w:t>282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6.10:7.3</w:t>
      </w:r>
      <w:r>
        <w:rPr>
          <w:rStyle w:val="Hyperlink"/>
        </w:rPr>
        <w:fldChar w:fldCharType="end"/>
      </w:r>
    </w:p>
    <w:p>
      <w:pPr>
        <w:pStyle w:val="WW-gloss-term"/>
        <w:rPr/>
      </w:pPr>
      <w:r>
        <w:rPr/>
        <w:t>283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44.9:6.4</w:t>
      </w:r>
      <w:r>
        <w:rPr>
          <w:rStyle w:val="Hyperlink"/>
        </w:rPr>
        <w:fldChar w:fldCharType="end"/>
      </w:r>
    </w:p>
    <w:p>
      <w:pPr>
        <w:pStyle w:val="WW-gloss-term"/>
        <w:rPr/>
      </w:pPr>
      <w:r>
        <w:rPr/>
        <w:t>284</w:t>
      </w:r>
    </w:p>
    <w:p>
      <w:pPr>
        <w:pStyle w:val="FootnoteText"/>
        <w:rPr/>
      </w:pPr>
      <w:r>
        <w:rPr/>
        <w:t xml:space="preserve">Gati, ‘departing’, is usually translated as ‘going’ (with </w:t>
      </w:r>
      <w:r>
        <w:rPr>
          <w:rStyle w:val="wwc-pali"/>
        </w:rPr>
        <w:t>agati</w:t>
      </w:r>
      <w:r>
        <w:rPr/>
        <w:t xml:space="preserve"> as ‘coming’). But it being a euphemism for dying in this context, I prefer ‘departing’, which in English is also a euphemism for death. I translate </w:t>
      </w:r>
      <w:r>
        <w:rPr>
          <w:rStyle w:val="wwc-pali"/>
        </w:rPr>
        <w:t>āgati</w:t>
      </w:r>
      <w:r>
        <w:rPr/>
        <w:t xml:space="preserve"> accordingly as ‘arriving’.</w:t>
      </w:r>
    </w:p>
    <w:p>
      <w:pPr>
        <w:pStyle w:val="WW-gloss-term"/>
        <w:rPr/>
      </w:pPr>
      <w:r>
        <w:rPr/>
        <w:t>285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16.9:26.1–26.4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8:3.6</w:t>
      </w:r>
      <w:r>
        <w:rPr>
          <w:rStyle w:val="Hyperlink"/>
        </w:rPr>
        <w:fldChar w:fldCharType="end"/>
      </w:r>
      <w:r>
        <w:rPr/>
        <w:t xml:space="preserve"> </w:t>
      </w:r>
      <w:r>
        <w:rPr>
          <w:rStyle w:val="wwc-PTS-reference"/>
        </w:rPr>
        <w:t>D I 162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6.1:4.1–4.4</w:t>
      </w:r>
      <w:r>
        <w:rPr>
          <w:rStyle w:val="Hyperlink"/>
        </w:rPr>
        <w:fldChar w:fldCharType="end"/>
      </w:r>
    </w:p>
    <w:p>
      <w:pPr>
        <w:pStyle w:val="WW-gloss-term"/>
        <w:rPr/>
      </w:pPr>
      <w:r>
        <w:rPr/>
        <w:t>286</w:t>
      </w:r>
    </w:p>
    <w:p>
      <w:pPr>
        <w:pStyle w:val="FootnoteText"/>
        <w:rPr/>
      </w:pPr>
      <w:r>
        <w:rPr/>
        <w:t xml:space="preserve">See also </w:t>
      </w:r>
      <w:r>
        <w:rPr>
          <w:rStyle w:val="wwc-sesame-zot-reference"/>
        </w:rPr>
        <w:t>Harvey 1995</w:t>
      </w:r>
      <w:r>
        <w:rPr/>
        <w:t xml:space="preserve"> p.97f</w:t>
      </w:r>
    </w:p>
    <w:p>
      <w:pPr>
        <w:pStyle w:val="WW-gloss-term"/>
        <w:rPr/>
      </w:pPr>
      <w:r>
        <w:rPr/>
        <w:t>287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3.34:5.3</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45.150:1.1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55.25:10.2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6.62:7.8</w:t>
      </w:r>
      <w:r>
        <w:rPr>
          <w:rStyle w:val="Hyperlink"/>
        </w:rPr>
        <w:fldChar w:fldCharType="end"/>
      </w:r>
    </w:p>
    <w:p>
      <w:pPr>
        <w:pStyle w:val="WW-gloss-term"/>
        <w:rPr/>
      </w:pPr>
      <w:r>
        <w:rPr/>
        <w:t>288</w:t>
      </w:r>
    </w:p>
    <w:p>
      <w:pPr>
        <w:pStyle w:val="FootnoteText"/>
        <w:rPr/>
      </w:pPr>
      <w:r>
        <w:rPr>
          <w:rStyle w:val="wwc-pali"/>
        </w:rPr>
        <w:t>Rūpupayaṁ viññāṇaṁ tiṭṭhamānaṁ tiṭṭheyya</w:t>
      </w:r>
      <w:r>
        <w:rPr/>
        <w:t xml:space="preserve">, ‘consciousness would continue to exist if it is attracted to form’. </w:t>
      </w:r>
      <w:r>
        <w:rPr>
          <w:rStyle w:val="wwc-sesame-zot-reference"/>
        </w:rPr>
        <w:t>Bodhi 2000</w:t>
      </w:r>
      <w:r>
        <w:rPr/>
        <w:t xml:space="preserve"> translates: “Consciousness, while standing, might stand engaged with form.” </w:t>
      </w:r>
      <w:r>
        <w:rPr>
          <w:rStyle w:val="wwc-sesame-zot-reference"/>
        </w:rPr>
        <w:t>Ṭhānissaro 2008a</w:t>
      </w:r>
      <w:r>
        <w:rPr/>
        <w:t xml:space="preserve"> p.27 has: “Should consciousness, when standing, stand attached to form […]” Under </w:t>
      </w:r>
      <w:r>
        <w:rPr>
          <w:rStyle w:val="wwc-pali"/>
        </w:rPr>
        <w:t>tiṭṭhati</w:t>
      </w:r>
      <w:r>
        <w:rPr/>
        <w:t xml:space="preserve"> </w:t>
      </w:r>
      <w:r>
        <w:rPr>
          <w:rStyle w:val="wwc-sesame-zot-reference"/>
        </w:rPr>
        <w:t>DOP</w:t>
      </w:r>
      <w:r>
        <w:rPr/>
        <w:t xml:space="preserve"> glosses the literal ‘stands’ but also ‘continues to exist’. The latter is meant here, not ‘stand’, which is too literal. </w:t>
      </w:r>
      <w:r>
        <w:rPr>
          <w:rStyle w:val="wwc-sesame-zot-reference"/>
        </w:rPr>
        <w:t>Choong</w:t>
      </w:r>
      <w:r>
        <w:rPr/>
        <w:t xml:space="preserve"> p.50 more accurately translates ‘may persist’. See also </w:t>
      </w:r>
      <w:r>
        <w:rPr>
          <w:rStyle w:val="wwc-sesame-zot-reference"/>
        </w:rPr>
        <w:t>Hamilton</w:t>
      </w:r>
      <w:r>
        <w:rPr/>
        <w:t xml:space="preserve"> p.97: “This term [</w:t>
      </w:r>
      <w:r>
        <w:rPr>
          <w:rStyle w:val="wwc-pali"/>
        </w:rPr>
        <w:t>ṭhiti</w:t>
      </w:r>
      <w:r>
        <w:rPr/>
        <w:t xml:space="preserve">] itself implies continuity: being ‘stationed’ means that [consciousness] ‘persists’.” </w:t>
      </w:r>
      <w:r>
        <w:rPr>
          <w:rStyle w:val="wwc-sesame-zot-reference"/>
        </w:rPr>
        <w:t>Harvey 1995</w:t>
      </w:r>
      <w:r>
        <w:rPr/>
        <w:t xml:space="preserve"> p.97 also renders this term as ‘maintenance’.</w:t>
      </w:r>
    </w:p>
    <w:p>
      <w:pPr>
        <w:pStyle w:val="FootnoteText"/>
        <w:rPr/>
      </w:pPr>
      <w:r>
        <w:rPr/>
      </w:r>
    </w:p>
    <w:p>
      <w:pPr>
        <w:pStyle w:val="FootnoteText"/>
        <w:rPr/>
      </w:pPr>
      <w:r>
        <w:rPr/>
        <w:t xml:space="preserve">Although </w:t>
      </w:r>
      <w:r>
        <w:rPr>
          <w:rStyle w:val="wwc-pali"/>
        </w:rPr>
        <w:t>viññāṇaṁ tiṭṭhamānaṁ tiṭṭheyya</w:t>
      </w:r>
      <w:r>
        <w:rPr/>
        <w:t xml:space="preserve"> literally is ‘</w:t>
      </w:r>
      <w:r>
        <w:rPr>
          <w:rStyle w:val="Emphasis"/>
        </w:rPr>
        <w:t>existing</w:t>
      </w:r>
      <w:r>
        <w:rPr/>
        <w:t xml:space="preserve"> consciousness would continue’, a present participle followed by a finite form of the same verb is a form of emphasis. For example, </w:t>
      </w:r>
      <w:r>
        <w:rPr>
          <w:rStyle w:val="wwc-pali"/>
        </w:rPr>
        <w:t>cittaṁ bahulaṁ gacchamānaṁ gaccheyya</w:t>
      </w:r>
      <w:r>
        <w:rPr/>
        <w:t>, literally ‘the straying mind may often stray’, simply means the mind may often stray. (</w:t>
      </w:r>
      <w:r>
        <w:fldChar w:fldCharType="begin"/>
      </w:r>
      <w:r>
        <w:rPr>
          <w:rStyle w:val="Hyperlink"/>
        </w:rPr>
        <w:instrText xml:space="preserve"> HYPERLINK "https://suttacentral.net/XXX/en/sujato" \l "YYY"</w:instrText>
      </w:r>
      <w:r>
        <w:rPr>
          <w:rStyle w:val="Hyperlink"/>
        </w:rPr>
        <w:fldChar w:fldCharType="separate"/>
      </w:r>
      <w:r>
        <w:rPr>
          <w:rStyle w:val="Hyperlink"/>
        </w:rPr>
        <w:t>SN 35.117:1.2</w:t>
      </w:r>
      <w:r>
        <w:rPr>
          <w:rStyle w:val="Hyperlink"/>
        </w:rPr>
        <w:fldChar w:fldCharType="end"/>
      </w:r>
      <w:r>
        <w:rPr/>
        <w:t xml:space="preserve">) So I excluded the present participle </w:t>
      </w:r>
      <w:r>
        <w:rPr>
          <w:rStyle w:val="wwc-pali"/>
        </w:rPr>
        <w:t>tiṭṭhamānaṁ</w:t>
      </w:r>
      <w:r>
        <w:rPr/>
        <w:t xml:space="preserve">, like other translators have done in this example case and similar instances, and instead emphasize the verb with ‘continue to exist’. Further, </w:t>
      </w:r>
      <w:r>
        <w:rPr>
          <w:rStyle w:val="wwc-pali"/>
        </w:rPr>
        <w:t>rūpupayaṁ</w:t>
      </w:r>
      <w:r>
        <w:rPr/>
        <w:t xml:space="preserve"> is a </w:t>
      </w:r>
      <w:r>
        <w:rPr>
          <w:rStyle w:val="wwc-pali"/>
        </w:rPr>
        <w:t>bahubbīhi</w:t>
      </w:r>
      <w:r>
        <w:rPr/>
        <w:t xml:space="preserve"> compound, so the sentence literally says, “existing consciousness which has an attraction to form will continue”. Like </w:t>
      </w:r>
      <w:r>
        <w:rPr>
          <w:rStyle w:val="wwc-sesame-zot-reference"/>
        </w:rPr>
        <w:t>Choong</w:t>
      </w:r>
      <w:r>
        <w:rPr/>
        <w:t xml:space="preserve"> I therefore also think it is incorrect to treat </w:t>
      </w:r>
      <w:r>
        <w:rPr>
          <w:rStyle w:val="wwc-pali"/>
        </w:rPr>
        <w:t>rūpa</w:t>
      </w:r>
      <w:r>
        <w:rPr/>
        <w:t xml:space="preserve"> as an object of </w:t>
      </w:r>
      <w:r>
        <w:rPr>
          <w:rStyle w:val="wwc-pali"/>
        </w:rPr>
        <w:t>tiṭṭheyya</w:t>
      </w:r>
      <w:r>
        <w:rPr/>
        <w:t>, as in “stand engaged with form” of other translators.</w:t>
      </w:r>
    </w:p>
    <w:p>
      <w:pPr>
        <w:pStyle w:val="FootnoteText"/>
        <w:rPr/>
      </w:pPr>
      <w:r>
        <w:rPr/>
      </w:r>
    </w:p>
    <w:p>
      <w:pPr>
        <w:pStyle w:val="WW-gloss-term"/>
        <w:rPr/>
      </w:pPr>
      <w:r>
        <w:rPr/>
        <w:t>289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35.235:1.4–1.7</w:t>
      </w:r>
      <w:r>
        <w:rPr>
          <w:rStyle w:val="Hyperlink"/>
        </w:rPr>
        <w:fldChar w:fldCharType="end"/>
      </w:r>
    </w:p>
    <w:p>
      <w:pPr>
        <w:pStyle w:val="WW-gloss-term"/>
        <w:rPr/>
      </w:pPr>
      <w:r>
        <w:rPr/>
        <w:t>290</w:t>
      </w:r>
    </w:p>
    <w:p>
      <w:pPr>
        <w:pStyle w:val="FootnoteText"/>
        <w:rPr/>
      </w:pPr>
      <w:r>
        <w:rPr/>
        <w:t xml:space="preserve">On one-seeders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3.87</w:t>
      </w:r>
      <w:r>
        <w:rPr>
          <w:rStyle w:val="Hyperlink"/>
        </w:rPr>
        <w:fldChar w:fldCharType="end"/>
      </w:r>
      <w:r>
        <w:rPr/>
        <w:t xml:space="preserve">. Other suttas on seeds and rebirth are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3.77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w:t>
      </w:r>
      <w:r>
        <w:rPr>
          <w:rStyle w:val="Hyperlink"/>
        </w:rPr>
        <w:fldChar w:fldCharType="end"/>
      </w:r>
    </w:p>
    <w:p>
      <w:pPr>
        <w:pStyle w:val="WW-gloss-term"/>
        <w:rPr/>
      </w:pPr>
      <w:r>
        <w:rPr/>
        <w:t>291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12.57</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12.56</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12.60</w:t>
      </w:r>
      <w:r>
        <w:rPr>
          <w:rStyle w:val="Hyperlink"/>
        </w:rPr>
        <w:fldChar w:fldCharType="end"/>
      </w:r>
    </w:p>
    <w:p>
      <w:pPr>
        <w:pStyle w:val="WW-gloss-term"/>
        <w:rPr/>
      </w:pPr>
      <w:r>
        <w:rPr/>
        <w:t>292</w:t>
      </w:r>
    </w:p>
    <w:p>
      <w:pPr>
        <w:pStyle w:val="FootnoteText"/>
        <w:rPr/>
      </w:pPr>
      <w:r>
        <w:rPr/>
        <w:t xml:space="preserve">See also </w:t>
      </w:r>
      <w:r>
        <w:rPr>
          <w:rStyle w:val="wwc-sesame-zot-reference"/>
        </w:rPr>
        <w:t>Sunyo 2017</w:t>
      </w:r>
    </w:p>
    <w:p>
      <w:pPr>
        <w:pStyle w:val="WW-gloss-term"/>
        <w:rPr/>
      </w:pPr>
      <w:r>
        <w:rPr/>
        <w:t>293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1.314:1.4</w:t>
      </w:r>
      <w:r>
        <w:rPr>
          <w:rStyle w:val="Hyperlink"/>
        </w:rPr>
        <w:fldChar w:fldCharType="end"/>
      </w:r>
    </w:p>
    <w:p>
      <w:pPr>
        <w:pStyle w:val="WW-gloss-term"/>
        <w:rPr/>
      </w:pPr>
      <w:r>
        <w:rPr/>
        <w:t>294</w:t>
      </w:r>
    </w:p>
    <w:p>
      <w:pPr>
        <w:pStyle w:val="FootnoteText"/>
        <w:rPr/>
      </w:pPr>
      <w:r>
        <w:rPr>
          <w:rStyle w:val="wwc-pali"/>
        </w:rPr>
        <w:t>Saṁyojaniyesu, bhikkhave, dhammesu assādānupassino viharato</w:t>
      </w:r>
      <w:r>
        <w:rPr/>
        <w:t xml:space="preserve">, ‘for those who live focusing on the gratification of things that can chain them’. </w:t>
      </w:r>
      <w:r>
        <w:rPr>
          <w:rStyle w:val="wwc-sesame-zot-reference"/>
        </w:rPr>
        <w:t>Bodhi 2000</w:t>
      </w:r>
      <w:r>
        <w:rPr/>
        <w:t xml:space="preserve"> translates the phrase here as “</w:t>
      </w:r>
      <w:r>
        <w:rPr>
          <w:rStyle w:val="wwc-sesame"/>
          <w:i/>
          <w:iCs/>
        </w:rPr>
        <w:t>when</w:t>
      </w:r>
      <w:r>
        <w:rPr>
          <w:rStyle w:val="wwc-sesame"/>
        </w:rPr>
        <w:t xml:space="preserve"> one dwells contemplating gratification in things that can fetter</w:t>
      </w:r>
      <w:r>
        <w:rPr/>
        <w:t xml:space="preserve">”, but in his later translation of the </w:t>
      </w:r>
      <w:r>
        <w:rPr>
          <w:rStyle w:val="wwc-sesame"/>
        </w:rPr>
        <w:t>Aṅguttara Nikāya</w:t>
      </w:r>
      <w:r>
        <w:rPr/>
        <w:t xml:space="preserve"> he translates -</w:t>
      </w:r>
      <w:r>
        <w:rPr>
          <w:rStyle w:val="wwc-pali"/>
        </w:rPr>
        <w:t>anupassino viharato</w:t>
      </w:r>
      <w:r>
        <w:rPr/>
        <w:t xml:space="preserve"> as “</w:t>
      </w:r>
      <w:r>
        <w:rPr>
          <w:rStyle w:val="Emphasis"/>
        </w:rPr>
        <w:t>for one who</w:t>
      </w:r>
      <w:r>
        <w:rPr/>
        <w:t xml:space="preserve"> dwells contemplating”.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5.30</w:t>
      </w:r>
      <w:r>
        <w:rPr>
          <w:rStyle w:val="Hyperlink"/>
        </w:rPr>
        <w:fldChar w:fldCharType="end"/>
      </w:r>
      <w:r>
        <w:rPr/>
        <w:t xml:space="preserve">) </w:t>
      </w:r>
      <w:r>
        <w:rPr>
          <w:rStyle w:val="wwc-pali"/>
        </w:rPr>
        <w:t>Assādānupassino viharato</w:t>
      </w:r>
      <w:r>
        <w:rPr/>
        <w:t xml:space="preserve"> is a genitive absolute of “whom it concerns” (cf. </w:t>
      </w:r>
      <w:r>
        <w:rPr>
          <w:rStyle w:val="wwc-sesame-zot-reference"/>
        </w:rPr>
        <w:t>Wijesekera 1993</w:t>
      </w:r>
      <w:r>
        <w:rPr/>
        <w:t xml:space="preserve"> §159), so is best translated with “</w:t>
      </w:r>
      <w:r>
        <w:rPr>
          <w:rStyle w:val="Emphasis"/>
        </w:rPr>
        <w:t>for those who</w:t>
      </w:r>
      <w:r>
        <w:rPr/>
        <w:t xml:space="preserve">”, like </w:t>
      </w:r>
      <w:r>
        <w:rPr>
          <w:rStyle w:val="wwc-sesame-zot-reference"/>
        </w:rPr>
        <w:t>Olalde 2014</w:t>
      </w:r>
      <w:r>
        <w:rPr/>
        <w:t xml:space="preserve"> p.84, “für denjenigen”. The point is that for those who live dwelling on these things, there will be rebirth, but for those who do not, there won’t be. There are no temporal implications of “when” here.</w:t>
      </w:r>
    </w:p>
    <w:p>
      <w:pPr>
        <w:pStyle w:val="WW-gloss-term"/>
        <w:rPr/>
      </w:pPr>
      <w:r>
        <w:rPr/>
        <w:t>295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12.58</w:t>
      </w:r>
      <w:r>
        <w:rPr>
          <w:rStyle w:val="Hyperlink"/>
        </w:rPr>
        <w:fldChar w:fldCharType="end"/>
      </w:r>
    </w:p>
    <w:p>
      <w:pPr>
        <w:pStyle w:val="WW-gloss-term"/>
        <w:rPr/>
      </w:pPr>
      <w:r>
        <w:rPr/>
        <w:t>296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12.59</w:t>
      </w:r>
      <w:r>
        <w:rPr>
          <w:rStyle w:val="Hyperlink"/>
        </w:rPr>
        <w:fldChar w:fldCharType="end"/>
      </w:r>
    </w:p>
    <w:p>
      <w:pPr>
        <w:pStyle w:val="WW-gloss-term"/>
        <w:rPr/>
      </w:pPr>
      <w:r>
        <w:rPr/>
        <w:t>297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22.3:4.1–4.9</w:t>
      </w:r>
      <w:r>
        <w:rPr>
          <w:rStyle w:val="Hyperlink"/>
        </w:rPr>
        <w:fldChar w:fldCharType="end"/>
      </w:r>
    </w:p>
    <w:p>
      <w:pPr>
        <w:pStyle w:val="WW-gloss-term"/>
        <w:rPr/>
      </w:pPr>
      <w:r>
        <w:rPr/>
        <w:t>298</w:t>
      </w:r>
    </w:p>
    <w:p>
      <w:pPr>
        <w:pStyle w:val="FootnoteText"/>
        <w:rPr/>
      </w:pPr>
      <w:r>
        <w:rPr/>
        <w:t xml:space="preserve">See also </w:t>
      </w:r>
      <w:r>
        <w:rPr>
          <w:rStyle w:val="wwc-sesame-zot-reference"/>
        </w:rPr>
        <w:t>Wijesekera 1994</w:t>
      </w:r>
      <w:r>
        <w:rPr/>
        <w:t xml:space="preserve"> p.106</w:t>
      </w:r>
    </w:p>
    <w:p>
      <w:pPr>
        <w:pStyle w:val="WW-gloss-term"/>
        <w:rPr/>
      </w:pPr>
      <w:r>
        <w:rPr/>
        <w:t>299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12.65:1.2–3.8</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14:2.19.1–2.19.5</w:t>
      </w:r>
      <w:r>
        <w:rPr>
          <w:rStyle w:val="Hyperlink"/>
        </w:rPr>
        <w:fldChar w:fldCharType="end"/>
      </w:r>
      <w:r>
        <w:rPr/>
        <w:t xml:space="preserve"> </w:t>
      </w:r>
      <w:r>
        <w:rPr>
          <w:rStyle w:val="wwc-PTS-reference"/>
        </w:rPr>
        <w:t>D II 33</w:t>
      </w:r>
    </w:p>
    <w:p>
      <w:pPr>
        <w:pStyle w:val="WW-gloss-term"/>
        <w:rPr/>
      </w:pPr>
      <w:r>
        <w:rPr/>
        <w:t>300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15:2.15–2.18, 21.1–22.6</w:t>
      </w:r>
      <w:r>
        <w:rPr>
          <w:rStyle w:val="Hyperlink"/>
        </w:rPr>
        <w:fldChar w:fldCharType="end"/>
      </w:r>
      <w:r>
        <w:rPr/>
        <w:t xml:space="preserve"> </w:t>
      </w:r>
      <w:r>
        <w:rPr>
          <w:rStyle w:val="wwc-PTS-reference"/>
        </w:rPr>
        <w:t>D II 63</w:t>
      </w:r>
    </w:p>
    <w:p>
      <w:pPr>
        <w:pStyle w:val="WW-gloss-term"/>
        <w:rPr/>
      </w:pPr>
      <w:r>
        <w:rPr/>
        <w:t>301</w:t>
      </w:r>
    </w:p>
    <w:p>
      <w:pPr>
        <w:pStyle w:val="FootnoteText"/>
        <w:rPr/>
      </w:pPr>
      <w:r>
        <w:rPr/>
        <w:t xml:space="preserve">See </w:t>
      </w:r>
      <w:r>
        <w:rPr>
          <w:rStyle w:val="internal-reference"/>
        </w:rPr>
        <w:t>note 435</w:t>
      </w:r>
      <w:r>
        <w:rPr/>
        <w:t xml:space="preserve"> and </w:t>
      </w:r>
      <w:r>
        <w:rPr>
          <w:rStyle w:val="internal-reference"/>
        </w:rPr>
        <w:t>note 436</w:t>
      </w:r>
    </w:p>
    <w:p>
      <w:pPr>
        <w:pStyle w:val="WW-gloss-term"/>
        <w:rPr/>
      </w:pPr>
      <w:r>
        <w:rPr/>
        <w:t>302</w:t>
      </w:r>
    </w:p>
    <w:p>
      <w:pPr>
        <w:pStyle w:val="FootnoteText"/>
        <w:rPr/>
      </w:pPr>
      <w:hyperlink r:id="rId25">
        <w:r>
          <w:rPr>
            <w:rStyle w:val="Hyperlink"/>
          </w:rPr>
          <w:t>MĀ 97</w:t>
        </w:r>
      </w:hyperlink>
      <w:r>
        <w:rPr/>
        <w:t xml:space="preserve">, translation </w:t>
      </w:r>
      <w:r>
        <w:rPr>
          <w:rStyle w:val="wwc-sesame-zot-reference"/>
        </w:rPr>
        <w:t>Anālayo 2020</w:t>
      </w:r>
      <w:r>
        <w:rPr/>
        <w:t>(a), emphasis added</w:t>
      </w:r>
    </w:p>
    <w:p>
      <w:pPr>
        <w:pStyle w:val="WW-gloss-term"/>
        <w:rPr/>
      </w:pPr>
      <w:r>
        <w:rPr/>
        <w:t>303</w:t>
      </w:r>
    </w:p>
    <w:p>
      <w:pPr>
        <w:pStyle w:val="FootnoteText"/>
        <w:rPr/>
      </w:pPr>
      <w:hyperlink r:id="rId26">
        <w:r>
          <w:rPr>
            <w:rStyle w:val="Hyperlink"/>
          </w:rPr>
          <w:t>DĀ 13</w:t>
        </w:r>
      </w:hyperlink>
      <w:r>
        <w:rPr/>
        <w:t xml:space="preserve">, translation </w:t>
      </w:r>
      <w:r>
        <w:rPr>
          <w:rStyle w:val="wwc-sesame-zot-reference"/>
        </w:rPr>
        <w:t>Patton</w:t>
      </w:r>
    </w:p>
    <w:p>
      <w:pPr>
        <w:pStyle w:val="WW-gloss-term"/>
        <w:rPr/>
      </w:pPr>
      <w:r>
        <w:rPr/>
        <w:t>304</w:t>
      </w:r>
    </w:p>
    <w:p>
      <w:pPr>
        <w:pStyle w:val="FootnoteText"/>
        <w:rPr/>
      </w:pPr>
      <w:r>
        <w:rPr/>
        <w:t xml:space="preserve">Contra </w:t>
      </w:r>
      <w:r>
        <w:rPr>
          <w:rStyle w:val="wwc-sesame-zot-reference"/>
        </w:rPr>
        <w:t>Ñāṇananda 2015</w:t>
      </w:r>
      <w:r>
        <w:rPr/>
        <w:t xml:space="preserve"> p.65, p.36. </w:t>
      </w:r>
      <w:r>
        <w:rPr>
          <w:rStyle w:val="wwc-sesame-zot-reference"/>
        </w:rPr>
        <w:t>PED</w:t>
      </w:r>
      <w:r>
        <w:rPr/>
        <w:t xml:space="preserve"> states that translating </w:t>
      </w:r>
      <w:r>
        <w:rPr>
          <w:rStyle w:val="wwc-pali"/>
        </w:rPr>
        <w:t>itthatta</w:t>
      </w:r>
      <w:r>
        <w:rPr/>
        <w:t xml:space="preserve"> as ‘thusness’ is incorrect. The word instead refers to existence, literally ‘a state (-</w:t>
      </w:r>
      <w:r>
        <w:rPr>
          <w:rStyle w:val="wwc-pali"/>
        </w:rPr>
        <w:t>tta</w:t>
      </w:r>
      <w:r>
        <w:rPr/>
        <w:t>) here (</w:t>
      </w:r>
      <w:r>
        <w:rPr>
          <w:rStyle w:val="wwc-pali"/>
        </w:rPr>
        <w:t>ittha</w:t>
      </w:r>
      <w:r>
        <w:rPr/>
        <w:t xml:space="preserve">)’. 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2.36:2.4, 3.5, 4.7</w:t>
      </w:r>
      <w:r>
        <w:rPr>
          <w:rStyle w:val="Hyperlink"/>
        </w:rPr>
        <w:fldChar w:fldCharType="end"/>
      </w:r>
      <w:r>
        <w:rPr/>
        <w:t xml:space="preserve">: </w:t>
      </w:r>
      <w:r>
        <w:rPr>
          <w:rStyle w:val="wwc-pali"/>
        </w:rPr>
        <w:t>so tato cuto […] āgantā itthattaṁ</w:t>
      </w:r>
      <w:r>
        <w:rPr/>
        <w:t>, “passing on from there […] he comes to ‘life here’”.</w:t>
      </w:r>
    </w:p>
    <w:p>
      <w:pPr>
        <w:pStyle w:val="WW-gloss-term"/>
        <w:rPr/>
      </w:pPr>
      <w:r>
        <w:rPr/>
        <w:t>305</w:t>
      </w:r>
    </w:p>
    <w:p>
      <w:pPr>
        <w:pStyle w:val="FootnoteText"/>
        <w:rPr/>
      </w:pP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DN 24:2.17.5</w:t>
      </w:r>
      <w:r>
        <w:rPr>
          <w:rStyle w:val="Hyperlink"/>
        </w:rPr>
        <w:fldChar w:fldCharType="end"/>
      </w:r>
      <w:r>
        <w:rPr/>
        <w:t xml:space="preserve"> </w:t>
      </w:r>
      <w:r>
        <w:rPr>
          <w:rStyle w:val="wwc-PTS-reference"/>
        </w:rPr>
        <w:t>D III 29</w:t>
      </w:r>
      <w:r>
        <w:rPr/>
        <w:t xml:space="preserve"> </w:t>
      </w:r>
      <w:r>
        <w:rPr>
          <w:rStyle w:val="wwc-pali"/>
        </w:rPr>
        <w:t>itthatta</w:t>
      </w:r>
      <w:r>
        <w:rPr/>
        <w:t xml:space="preserve"> refers to a state of existence in the realm of Brahmā. See also </w:t>
      </w:r>
      <w:r>
        <w:rPr>
          <w:rStyle w:val="wwc-sesame-zot-reference"/>
        </w:rPr>
        <w:t>Bodhi 2015</w:t>
      </w:r>
      <w:r>
        <w:rPr/>
        <w:t xml:space="preserve"> p.168</w:t>
      </w:r>
    </w:p>
    <w:p>
      <w:pPr>
        <w:pStyle w:val="WW-gloss-term"/>
        <w:rPr/>
      </w:pPr>
      <w:r>
        <w:rPr/>
        <w:t>306</w:t>
      </w:r>
    </w:p>
    <w:p>
      <w:pPr>
        <w:pStyle w:val="FootnoteText"/>
        <w:rPr/>
      </w:pPr>
      <w:r>
        <w:rPr/>
        <w:t xml:space="preserve">See </w:t>
      </w:r>
      <w:r>
        <w:rPr>
          <w:rStyle w:val="wwc-sesame-zot-reference"/>
        </w:rPr>
        <w:t>Bodhi 1984</w:t>
      </w:r>
      <w:r>
        <w:rPr/>
        <w:t xml:space="preserve"> p.29</w:t>
      </w:r>
    </w:p>
    <w:p>
      <w:pPr>
        <w:pStyle w:val="WW-gloss-term"/>
        <w:rPr/>
      </w:pPr>
      <w:r>
        <w:rPr/>
        <w:t>307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14:2.19.1–2.19.5</w:t>
      </w:r>
      <w:r>
        <w:rPr>
          <w:rStyle w:val="Hyperlink"/>
        </w:rPr>
        <w:fldChar w:fldCharType="end"/>
      </w:r>
      <w:r>
        <w:rPr/>
        <w:t xml:space="preserve"> </w:t>
      </w:r>
      <w:r>
        <w:rPr>
          <w:rStyle w:val="wwc-PTS-reference"/>
        </w:rPr>
        <w:t>D II 33</w:t>
      </w:r>
    </w:p>
    <w:p>
      <w:pPr>
        <w:pStyle w:val="WW-gloss-term"/>
        <w:rPr/>
      </w:pPr>
      <w:r>
        <w:rPr/>
        <w:t>308</w:t>
      </w:r>
    </w:p>
    <w:p>
      <w:pPr>
        <w:pStyle w:val="FootnoteText"/>
        <w:rPr/>
      </w:pPr>
      <w:hyperlink r:id="rId27">
        <w:r>
          <w:rPr>
            <w:rStyle w:val="Hyperlink"/>
          </w:rPr>
          <w:t>DĀ 13</w:t>
        </w:r>
      </w:hyperlink>
    </w:p>
    <w:p>
      <w:pPr>
        <w:pStyle w:val="WW-gloss-term"/>
        <w:rPr/>
      </w:pPr>
      <w:r>
        <w:rPr/>
        <w:t>309</w:t>
      </w:r>
    </w:p>
    <w:p>
      <w:pPr>
        <w:pStyle w:val="FootnoteText"/>
        <w:rPr/>
      </w:pPr>
      <w:r>
        <w:rPr>
          <w:rStyle w:val="wwc-sesame-zot-reference"/>
        </w:rPr>
        <w:t>Vetter 1994</w:t>
      </w:r>
      <w:r>
        <w:rPr/>
        <w:t xml:space="preserve"> p.151</w:t>
      </w:r>
    </w:p>
    <w:p>
      <w:pPr>
        <w:pStyle w:val="WW-gloss-term"/>
        <w:rPr/>
      </w:pPr>
      <w:r>
        <w:rPr/>
        <w:t>310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15:32.11</w:t>
      </w:r>
      <w:r>
        <w:rPr>
          <w:rStyle w:val="Hyperlink"/>
        </w:rPr>
        <w:fldChar w:fldCharType="end"/>
      </w:r>
      <w:r>
        <w:rPr/>
        <w:t xml:space="preserve"> </w:t>
      </w:r>
      <w:r>
        <w:rPr>
          <w:rStyle w:val="wwc-PTS-reference"/>
        </w:rPr>
        <w:t>D II 68</w:t>
      </w:r>
    </w:p>
    <w:p>
      <w:pPr>
        <w:pStyle w:val="WW-gloss-term"/>
        <w:rPr/>
      </w:pPr>
      <w:r>
        <w:rPr/>
        <w:t>311</w:t>
      </w:r>
    </w:p>
    <w:p>
      <w:pPr>
        <w:pStyle w:val="FootnoteText"/>
        <w:rPr/>
      </w:pPr>
      <w:r>
        <w:rPr/>
        <w:t xml:space="preserve">As argued by </w:t>
      </w:r>
      <w:r>
        <w:rPr>
          <w:rStyle w:val="wwc-sesame-zot-reference"/>
        </w:rPr>
        <w:t>Olalde 2014</w:t>
      </w:r>
      <w:r>
        <w:rPr/>
        <w:t xml:space="preserve"> p.102</w:t>
      </w:r>
    </w:p>
    <w:p>
      <w:pPr>
        <w:pStyle w:val="WW-gloss-term"/>
        <w:rPr/>
      </w:pPr>
      <w:r>
        <w:rPr/>
        <w:t>312</w:t>
      </w:r>
    </w:p>
    <w:p>
      <w:pPr>
        <w:pStyle w:val="FootnoteText"/>
        <w:rPr/>
      </w:pPr>
      <w:r>
        <w:rPr>
          <w:rStyle w:val="wwc-sesame"/>
        </w:rPr>
        <w:t>Brahmavamso 2006 p.221</w:t>
      </w:r>
    </w:p>
    <w:p>
      <w:pPr>
        <w:pStyle w:val="WW-gloss-term"/>
        <w:rPr/>
      </w:pPr>
      <w:r>
        <w:rPr/>
        <w:t>313</w:t>
      </w:r>
    </w:p>
    <w:p>
      <w:pPr>
        <w:pStyle w:val="FootnoteText"/>
        <w:rPr/>
      </w:pPr>
      <w:r>
        <w:rPr>
          <w:rStyle w:val="wwc-sesame-zot-reference"/>
        </w:rPr>
        <w:t>Bodhi 1984</w:t>
      </w:r>
      <w:r>
        <w:rPr/>
        <w:t xml:space="preserve"> p.30</w:t>
      </w:r>
    </w:p>
    <w:p>
      <w:pPr>
        <w:pStyle w:val="WW-gloss-term"/>
        <w:rPr/>
      </w:pPr>
      <w:r>
        <w:rPr/>
        <w:t>314</w:t>
      </w:r>
    </w:p>
    <w:p>
      <w:pPr>
        <w:pStyle w:val="FootnoteText"/>
        <w:rPr/>
      </w:pPr>
      <w:hyperlink r:id="rId28">
        <w:r>
          <w:rPr>
            <w:rStyle w:val="Hyperlink"/>
          </w:rPr>
          <w:t>Cnd 5</w:t>
        </w:r>
      </w:hyperlink>
    </w:p>
    <w:p>
      <w:pPr>
        <w:pStyle w:val="WW-gloss-term"/>
        <w:rPr/>
      </w:pPr>
      <w:r>
        <w:rPr/>
        <w:t>315</w:t>
      </w:r>
    </w:p>
    <w:p>
      <w:pPr>
        <w:pStyle w:val="FootnoteText"/>
        <w:rPr/>
      </w:pPr>
      <w:r>
        <w:rPr/>
        <w:t xml:space="preserve">For example </w:t>
      </w:r>
      <w:r>
        <w:rPr>
          <w:rStyle w:val="wwc-sesame-zot-reference"/>
        </w:rPr>
        <w:t>Ñāṇananda 2015</w:t>
      </w:r>
      <w:r>
        <w:rPr/>
        <w:t xml:space="preserve"> p.33: “What is meant by the Buddha’s statement is that name-and-form together with consciousness is the rallying point for all concepts of birth, decay, death and rebirth. All pathways for verbal expression, terminology and designation converge on name-and-form together with consciousness. The range of wisdom extends only up to the relationship between these two. And it is between these two that there is a whirling round so that one may point out a this-ness.”</w:t>
      </w:r>
    </w:p>
    <w:p>
      <w:pPr>
        <w:pStyle w:val="WW-gloss-term"/>
        <w:rPr/>
      </w:pPr>
      <w:r>
        <w:rPr/>
        <w:t>316</w:t>
      </w:r>
    </w:p>
    <w:p>
      <w:pPr>
        <w:pStyle w:val="FootnoteText"/>
        <w:rPr/>
      </w:pPr>
      <w:r>
        <w:rPr/>
        <w:t xml:space="preserve">See also </w:t>
      </w:r>
      <w:r>
        <w:rPr>
          <w:rStyle w:val="wwc-sesame"/>
        </w:rPr>
        <w:t>Sujato 2023 note</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DN 15:22.6</w:t>
      </w:r>
      <w:r>
        <w:rPr>
          <w:rStyle w:val="Hyperlink"/>
        </w:rPr>
        <w:fldChar w:fldCharType="end"/>
      </w:r>
      <w:r>
        <w:rPr/>
        <w:t>: “Any state of being ultimately depends on the codependency of name and form with consciousness. Within this key relationship is the extent not only of language, but also of wisdom, and the secret to the undoing of transmigration itself. One of the many profound implications of this is that there is no such thing as a state of pure consciousness independent of concepts.”</w:t>
      </w:r>
    </w:p>
    <w:p>
      <w:pPr>
        <w:pStyle w:val="WW-gloss-term"/>
        <w:rPr/>
      </w:pPr>
      <w:r>
        <w:rPr/>
        <w:t>317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14:2.18.40–2.18.43</w:t>
      </w:r>
      <w:r>
        <w:rPr>
          <w:rStyle w:val="Hyperlink"/>
        </w:rPr>
        <w:fldChar w:fldCharType="end"/>
      </w:r>
      <w:r>
        <w:rPr/>
        <w:t xml:space="preserve"> </w:t>
      </w:r>
      <w:r>
        <w:rPr>
          <w:rStyle w:val="wwc-PTS-reference"/>
        </w:rPr>
        <w:t>D II 32</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15:22.1–22.2</w:t>
      </w:r>
      <w:r>
        <w:rPr>
          <w:rStyle w:val="Hyperlink"/>
        </w:rPr>
        <w:fldChar w:fldCharType="end"/>
      </w:r>
      <w:r>
        <w:rPr/>
        <w:t xml:space="preserve"> </w:t>
      </w:r>
      <w:r>
        <w:rPr>
          <w:rStyle w:val="wwc-PTS-reference"/>
        </w:rPr>
        <w:t>D II 63</w:t>
      </w:r>
      <w:r>
        <w:rPr/>
        <w:t xml:space="preserve"> (§84),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12.65:2.14–2.16</w:t>
      </w:r>
      <w:r>
        <w:rPr>
          <w:rStyle w:val="Hyperlink"/>
        </w:rPr>
        <w:fldChar w:fldCharType="end"/>
      </w:r>
      <w:r>
        <w:rPr/>
        <w:t xml:space="preserve"> (§83),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12.67:4.2–4.3</w:t>
      </w:r>
      <w:r>
        <w:rPr>
          <w:rStyle w:val="Hyperlink"/>
        </w:rPr>
        <w:fldChar w:fldCharType="end"/>
      </w:r>
      <w:r>
        <w:rPr/>
        <w:t xml:space="preserve"> (§95),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22.57:14.5</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22.82:7.10</w:t>
      </w:r>
      <w:r>
        <w:rPr>
          <w:rStyle w:val="Hyperlink"/>
        </w:rPr>
        <w:fldChar w:fldCharType="end"/>
      </w:r>
    </w:p>
    <w:p>
      <w:pPr>
        <w:pStyle w:val="WW-gloss-term"/>
        <w:rPr/>
      </w:pPr>
      <w:r>
        <w:rPr/>
        <w:t>318</w:t>
      </w:r>
    </w:p>
    <w:p>
      <w:pPr>
        <w:pStyle w:val="FootnoteText"/>
        <w:rPr/>
      </w:pPr>
      <w:r>
        <w:rPr>
          <w:rStyle w:val="wwc-pali"/>
        </w:rPr>
        <w:t>Viññāṇañca hi, Ānanda, nāmarūpe patiṭṭhaṁ na labhissatha</w:t>
      </w:r>
      <w:r>
        <w:rPr/>
        <w:t xml:space="preserve">. For </w:t>
      </w:r>
      <w:r>
        <w:rPr>
          <w:rStyle w:val="wwc-pali"/>
        </w:rPr>
        <w:t>patiṭṭhaṁ</w:t>
      </w:r>
      <w:r>
        <w:rPr/>
        <w:t xml:space="preserve"> as ‘support to be planted’ see note 215. See also </w:t>
      </w:r>
      <w:r>
        <w:rPr>
          <w:rStyle w:val="wwc-sesame"/>
        </w:rPr>
        <w:t>Sujato 2023 note</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DN 15:22.2</w:t>
      </w:r>
      <w:r>
        <w:rPr>
          <w:rStyle w:val="Hyperlink"/>
        </w:rPr>
        <w:fldChar w:fldCharType="end"/>
      </w:r>
      <w:r>
        <w:rPr/>
        <w:t>: “Just as name and form—the organic, sensual, and sense-making body—cannot grow without consciousness, so too consciousness must acquire a landing or grounding place to be ‘planted’ in name and form.” Interestingly, JU 3.20.8 also mentions “my name, my body (</w:t>
      </w:r>
      <w:r>
        <w:rPr>
          <w:rStyle w:val="wwc-sanskrit"/>
        </w:rPr>
        <w:t>śarīra</w:t>
      </w:r>
      <w:r>
        <w:rPr/>
        <w:t>), my support (</w:t>
      </w:r>
      <w:r>
        <w:rPr>
          <w:rStyle w:val="wwc-sanskrit"/>
        </w:rPr>
        <w:t>pratiṣṭhā</w:t>
      </w:r>
      <w:r>
        <w:rPr/>
        <w:t>)”.</w:t>
      </w:r>
    </w:p>
    <w:p>
      <w:pPr>
        <w:pStyle w:val="WW-gloss-term"/>
        <w:rPr/>
      </w:pPr>
      <w:r>
        <w:rPr/>
        <w:t>319</w:t>
      </w:r>
    </w:p>
    <w:p>
      <w:pPr>
        <w:pStyle w:val="FootnoteText"/>
        <w:rPr/>
      </w:pPr>
      <w:r>
        <w:rPr>
          <w:rStyle w:val="wwc-sesame-zot-reference"/>
        </w:rPr>
        <w:t>Hamilton</w:t>
      </w:r>
      <w:r>
        <w:rPr/>
        <w:t xml:space="preserve"> p.129</w:t>
      </w:r>
    </w:p>
    <w:p>
      <w:pPr>
        <w:pStyle w:val="WW-gloss-term"/>
        <w:rPr/>
      </w:pPr>
      <w:r>
        <w:rPr/>
        <w:t>320</w:t>
      </w:r>
    </w:p>
    <w:p>
      <w:pPr>
        <w:pStyle w:val="FootnoteText"/>
        <w:rPr/>
      </w:pPr>
      <w:r>
        <w:rPr>
          <w:rStyle w:val="wwc-sesame-zot-reference"/>
        </w:rPr>
        <w:t>Bodhi 1984</w:t>
      </w:r>
      <w:r>
        <w:rPr/>
        <w:t xml:space="preserve"> p.25</w:t>
      </w:r>
    </w:p>
    <w:p>
      <w:pPr>
        <w:pStyle w:val="WW-gloss-term"/>
        <w:rPr/>
      </w:pPr>
      <w:r>
        <w:rPr/>
        <w:t>321</w:t>
      </w:r>
    </w:p>
    <w:p>
      <w:pPr>
        <w:pStyle w:val="FootnoteText"/>
        <w:rPr/>
      </w:pPr>
      <w:r>
        <w:rPr>
          <w:rStyle w:val="wwc-sesame-zot-reference"/>
        </w:rPr>
        <w:t>Langer</w:t>
      </w:r>
      <w:r>
        <w:rPr/>
        <w:t xml:space="preserve"> p.25, translation mine</w:t>
      </w:r>
    </w:p>
    <w:p>
      <w:pPr>
        <w:pStyle w:val="WW-gloss-term"/>
        <w:rPr/>
      </w:pPr>
      <w:r>
        <w:rPr/>
        <w:t>322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10:2.22.1</w:t>
      </w:r>
      <w:r>
        <w:rPr>
          <w:rStyle w:val="Hyperlink"/>
        </w:rPr>
        <w:fldChar w:fldCharType="end"/>
      </w:r>
      <w:r>
        <w:rPr/>
        <w:t xml:space="preserve"> </w:t>
      </w:r>
      <w:r>
        <w:rPr>
          <w:rStyle w:val="wwc-PTS-reference"/>
        </w:rPr>
        <w:t>D I 209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DN 2:84.1</w:t>
      </w:r>
      <w:r>
        <w:rPr>
          <w:rStyle w:val="Hyperlink"/>
        </w:rPr>
        <w:fldChar w:fldCharType="end"/>
      </w:r>
      <w:r>
        <w:rPr/>
        <w:t xml:space="preserve"> </w:t>
      </w:r>
      <w:r>
        <w:rPr>
          <w:rStyle w:val="wwc-PTS-reference"/>
        </w:rPr>
        <w:t>D I 76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77:29.9</w:t>
      </w:r>
      <w:r>
        <w:rPr>
          <w:rStyle w:val="Hyperlink"/>
        </w:rPr>
        <w:fldChar w:fldCharType="end"/>
      </w:r>
      <w:r>
        <w:rPr/>
        <w:t xml:space="preserve"> </w:t>
      </w:r>
      <w:r>
        <w:rPr>
          <w:rStyle w:val="wwc-PTS-reference"/>
        </w:rPr>
        <w:t>M II 17</w:t>
      </w:r>
    </w:p>
    <w:p>
      <w:pPr>
        <w:pStyle w:val="WW-gloss-term"/>
        <w:rPr/>
      </w:pPr>
      <w:r>
        <w:rPr/>
        <w:t>323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14:1.21.2</w:t>
      </w:r>
      <w:r>
        <w:rPr>
          <w:rStyle w:val="Hyperlink"/>
        </w:rPr>
        <w:fldChar w:fldCharType="end"/>
      </w:r>
      <w:r>
        <w:rPr/>
        <w:t xml:space="preserve"> </w:t>
      </w:r>
      <w:r>
        <w:rPr>
          <w:rStyle w:val="wwc-PTS-reference"/>
        </w:rPr>
        <w:t>D II 14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123:12.3</w:t>
      </w:r>
      <w:r>
        <w:rPr>
          <w:rStyle w:val="Hyperlink"/>
        </w:rPr>
        <w:fldChar w:fldCharType="end"/>
      </w:r>
      <w:r>
        <w:rPr/>
        <w:t xml:space="preserve"> </w:t>
      </w:r>
      <w:r>
        <w:rPr>
          <w:rStyle w:val="wwc-PTS-reference"/>
        </w:rPr>
        <w:t>M III 121</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79:11.1</w:t>
      </w:r>
      <w:r>
        <w:rPr>
          <w:rStyle w:val="Hyperlink"/>
        </w:rPr>
        <w:fldChar w:fldCharType="end"/>
      </w:r>
      <w:r>
        <w:rPr/>
        <w:t xml:space="preserve"> </w:t>
      </w:r>
      <w:r>
        <w:rPr>
          <w:rStyle w:val="wwc-PTS-reference"/>
        </w:rPr>
        <w:t>M II 33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80:4.1</w:t>
      </w:r>
      <w:r>
        <w:rPr>
          <w:rStyle w:val="Hyperlink"/>
        </w:rPr>
        <w:fldChar w:fldCharType="end"/>
      </w:r>
      <w:r>
        <w:rPr/>
        <w:t xml:space="preserve"> </w:t>
      </w:r>
      <w:r>
        <w:rPr>
          <w:rStyle w:val="wwc-PTS-reference"/>
        </w:rPr>
        <w:t>M II 41</w:t>
      </w:r>
    </w:p>
    <w:p>
      <w:pPr>
        <w:pStyle w:val="WW-gloss-term"/>
        <w:rPr/>
      </w:pPr>
      <w:r>
        <w:rPr/>
        <w:t>324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12.65:6.3–6.7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12.67:7.12–7.16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14:2.21.3</w:t>
      </w:r>
      <w:r>
        <w:rPr>
          <w:rStyle w:val="Hyperlink"/>
        </w:rPr>
        <w:fldChar w:fldCharType="end"/>
      </w:r>
      <w:r>
        <w:rPr/>
        <w:t xml:space="preserve"> </w:t>
      </w:r>
      <w:r>
        <w:rPr>
          <w:rStyle w:val="wwc-PTS-reference"/>
        </w:rPr>
        <w:t>D II 35</w:t>
      </w:r>
    </w:p>
    <w:p>
      <w:pPr>
        <w:pStyle w:val="WW-gloss-term"/>
        <w:rPr/>
      </w:pPr>
      <w:r>
        <w:rPr/>
        <w:t>325</w:t>
      </w:r>
    </w:p>
    <w:p>
      <w:pPr>
        <w:pStyle w:val="FootnoteText"/>
        <w:rPr/>
      </w:pPr>
      <w:r>
        <w:rPr/>
        <w:t xml:space="preserve">For example </w:t>
      </w:r>
      <w:r>
        <w:rPr>
          <w:rStyle w:val="wwc-sesame-zot-reference"/>
        </w:rPr>
        <w:t>Falk</w:t>
      </w:r>
      <w:r>
        <w:rPr/>
        <w:t xml:space="preserve"> p.40, </w:t>
      </w:r>
      <w:r>
        <w:rPr>
          <w:rStyle w:val="wwc-sesame-zot-reference"/>
        </w:rPr>
        <w:t>Hamilton</w:t>
      </w:r>
      <w:r>
        <w:rPr/>
        <w:t xml:space="preserve"> p.123, </w:t>
      </w:r>
      <w:r>
        <w:rPr>
          <w:rStyle w:val="wwc-sesame-zot-reference"/>
        </w:rPr>
        <w:t>Gombrich 2009</w:t>
      </w:r>
      <w:r>
        <w:rPr/>
        <w:t xml:space="preserve"> p.120, </w:t>
      </w:r>
      <w:r>
        <w:rPr>
          <w:rStyle w:val="wwc-sesame-zot-reference"/>
        </w:rPr>
        <w:t>Olalde 2014</w:t>
      </w:r>
      <w:r>
        <w:rPr/>
        <w:t xml:space="preserve"> p.38ff.</w:t>
      </w:r>
    </w:p>
    <w:p>
      <w:pPr>
        <w:pStyle w:val="WW-gloss-term"/>
        <w:rPr/>
      </w:pPr>
      <w:r>
        <w:rPr/>
        <w:t>326</w:t>
      </w:r>
    </w:p>
    <w:p>
      <w:pPr>
        <w:pStyle w:val="FootnoteText"/>
        <w:rPr/>
      </w:pPr>
      <w:r>
        <w:rPr>
          <w:rStyle w:val="wwc-sesame-zot-reference"/>
        </w:rPr>
        <w:t>Sujato 2012</w:t>
      </w:r>
      <w:r>
        <w:rPr/>
        <w:t xml:space="preserve"> Section 3.2—Insight 2.3: Im</w:t>
        <w:softHyphen/>
        <w:t>perm</w:t>
        <w:softHyphen/>
        <w:t>anence of the Mind</w:t>
      </w:r>
    </w:p>
    <w:p>
      <w:pPr>
        <w:pStyle w:val="WW-gloss-term"/>
        <w:rPr/>
      </w:pPr>
      <w:r>
        <w:rPr/>
        <w:t>327</w:t>
      </w:r>
    </w:p>
    <w:p>
      <w:pPr>
        <w:pStyle w:val="FootnoteText"/>
        <w:rPr/>
      </w:pPr>
      <w:r>
        <w:rPr>
          <w:rStyle w:val="wwc-sesame-zot-reference"/>
        </w:rPr>
        <w:t>Falk</w:t>
      </w:r>
      <w:r>
        <w:rPr/>
        <w:t xml:space="preserve"> p.40</w:t>
      </w:r>
    </w:p>
    <w:p>
      <w:pPr>
        <w:pStyle w:val="WW-gloss-term"/>
        <w:rPr/>
      </w:pPr>
      <w:r>
        <w:rPr/>
        <w:t>328</w:t>
      </w:r>
    </w:p>
    <w:p>
      <w:pPr>
        <w:pStyle w:val="FootnoteText"/>
        <w:rPr/>
      </w:pPr>
      <w:r>
        <w:rPr/>
        <w:t xml:space="preserve">See for example </w:t>
      </w:r>
      <w:r>
        <w:rPr>
          <w:rStyle w:val="wwc-sesame-zot-reference"/>
        </w:rPr>
        <w:t>Flood</w:t>
      </w:r>
      <w:r>
        <w:rPr/>
        <w:t xml:space="preserve"> p.274: “The Brahmanical tradition was not a monolithic entity.” Or </w:t>
      </w:r>
      <w:r>
        <w:rPr>
          <w:rStyle w:val="wwc-sesame-zot-reference"/>
        </w:rPr>
        <w:t>Bausch 2015</w:t>
      </w:r>
      <w:r>
        <w:rPr/>
        <w:t xml:space="preserve"> p.1: “There was never a unitary Vedic tradition against which Buddhism reacted. Vedic religiosity was a dynamic aggregate, alive with regional variation.” See also </w:t>
      </w:r>
      <w:r>
        <w:rPr>
          <w:rStyle w:val="wwc-sesame-zot-reference"/>
        </w:rPr>
        <w:t>Olivelle</w:t>
      </w:r>
      <w:r>
        <w:rPr/>
        <w:t xml:space="preserve"> pp.8–11. In </w:t>
      </w:r>
      <w:r>
        <w:fldChar w:fldCharType="begin"/>
      </w:r>
      <w:r>
        <w:rPr>
          <w:rStyle w:val="Hyperlink"/>
        </w:rPr>
        <w:instrText xml:space="preserve"> HYPERLINK "https://suttacentral.net/XXX/en/sujato" \l "YYY"</w:instrText>
      </w:r>
      <w:r>
        <w:rPr>
          <w:rStyle w:val="Hyperlink"/>
        </w:rPr>
        <w:fldChar w:fldCharType="separate"/>
      </w:r>
      <w:r>
        <w:rPr>
          <w:rStyle w:val="Hyperlink"/>
        </w:rPr>
        <w:t>DN 13</w:t>
      </w:r>
      <w:r>
        <w:rPr>
          <w:rStyle w:val="Hyperlink"/>
        </w:rPr>
        <w:fldChar w:fldCharType="end"/>
      </w:r>
      <w:r>
        <w:rPr/>
        <w:t xml:space="preserve"> different brahmin traditions are said to teach different paths to Brahma(n).</w:t>
      </w:r>
    </w:p>
    <w:p>
      <w:pPr>
        <w:pStyle w:val="WW-gloss-term"/>
        <w:rPr/>
      </w:pPr>
      <w:r>
        <w:rPr/>
        <w:t>329</w:t>
      </w:r>
    </w:p>
    <w:p>
      <w:pPr>
        <w:pStyle w:val="FootnoteText"/>
        <w:rPr/>
      </w:pPr>
      <w:r>
        <w:rPr/>
        <w:t xml:space="preserve">MuṇU 3.2.8, translation </w:t>
      </w:r>
      <w:r>
        <w:rPr>
          <w:rStyle w:val="wwc-sesame-zot-reference"/>
        </w:rPr>
        <w:t>Olivelle</w:t>
      </w:r>
    </w:p>
    <w:p>
      <w:pPr>
        <w:pStyle w:val="WW-gloss-term"/>
        <w:rPr/>
      </w:pPr>
      <w:r>
        <w:rPr/>
        <w:t>330</w:t>
      </w:r>
    </w:p>
    <w:p>
      <w:pPr>
        <w:pStyle w:val="FootnoteText"/>
        <w:rPr/>
      </w:pPr>
      <w:r>
        <w:rPr/>
        <w:t xml:space="preserve">PrU 6.5, translation </w:t>
      </w:r>
      <w:r>
        <w:rPr>
          <w:rStyle w:val="wwc-sesame-zot-reference"/>
        </w:rPr>
        <w:t>Olivelle</w:t>
      </w:r>
    </w:p>
    <w:p>
      <w:pPr>
        <w:pStyle w:val="WW-gloss-term"/>
        <w:rPr/>
      </w:pPr>
      <w:r>
        <w:rPr/>
        <w:t>331</w:t>
      </w:r>
    </w:p>
    <w:p>
      <w:pPr>
        <w:pStyle w:val="FootnoteText"/>
        <w:rPr/>
      </w:pPr>
      <w:r>
        <w:rPr/>
        <w:t xml:space="preserve">CU 6.10, translation </w:t>
      </w:r>
      <w:r>
        <w:rPr>
          <w:rStyle w:val="wwc-sesame-zot-reference"/>
        </w:rPr>
        <w:t>Olivelle</w:t>
      </w:r>
    </w:p>
    <w:p>
      <w:pPr>
        <w:pStyle w:val="WW-gloss-term"/>
        <w:rPr/>
      </w:pPr>
      <w:r>
        <w:rPr/>
        <w:t>332</w:t>
      </w:r>
    </w:p>
    <w:p>
      <w:pPr>
        <w:pStyle w:val="FootnoteText"/>
        <w:rPr/>
      </w:pPr>
      <w:r>
        <w:rPr/>
        <w:t xml:space="preserve">See also </w:t>
      </w:r>
      <w:r>
        <w:rPr>
          <w:rStyle w:val="wwc-sesame-zot-reference"/>
        </w:rPr>
        <w:t>Olalde 2014</w:t>
      </w:r>
      <w:r>
        <w:rPr/>
        <w:t xml:space="preserve"> p.39 (translation mine): “[On the basis of CU 6.10 (§89)] it seems most likely to me that </w:t>
      </w:r>
      <w:r>
        <w:rPr>
          <w:rStyle w:val="wwc-pali"/>
        </w:rPr>
        <w:t>nāmarūpa</w:t>
      </w:r>
      <w:r>
        <w:rPr/>
        <w:t xml:space="preserve"> in MuṇU 3.2.8 and PrU 6.5 (§87 and §88) refers specifically to a person, who until the depicted point in time existed as an individual with his (proper) name and visible form.” See also </w:t>
      </w:r>
      <w:r>
        <w:rPr>
          <w:rStyle w:val="wwc-sesame-zot-reference"/>
        </w:rPr>
        <w:t>Olalde 2015</w:t>
      </w:r>
      <w:r>
        <w:rPr/>
        <w:t xml:space="preserve"> p.14</w:t>
      </w:r>
    </w:p>
    <w:p>
      <w:pPr>
        <w:pStyle w:val="WW-gloss-term"/>
        <w:rPr/>
      </w:pPr>
      <w:r>
        <w:rPr/>
        <w:t>333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45.92-95</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45.98-102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45.103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45.104-108</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45.109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45.110-114</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45.116-120</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45.121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45.122-126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45.128-132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45.133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45.134-138</w:t>
      </w:r>
      <w:r>
        <w:rPr>
          <w:rStyle w:val="Hyperlink"/>
        </w:rPr>
        <w:fldChar w:fldCharType="end"/>
      </w:r>
    </w:p>
    <w:p>
      <w:pPr>
        <w:pStyle w:val="WW-gloss-term"/>
        <w:rPr/>
      </w:pPr>
      <w:r>
        <w:rPr/>
        <w:t>334</w:t>
      </w:r>
    </w:p>
    <w:p>
      <w:pPr>
        <w:pStyle w:val="FootnoteText"/>
        <w:rPr/>
      </w:pPr>
      <w:r>
        <w:fldChar w:fldCharType="begin"/>
      </w:r>
      <w:r>
        <w:rPr>
          <w:rStyle w:val="Hyperlink"/>
          <w:i/>
          <w:iCs/>
        </w:rPr>
        <w:instrText xml:space="preserve"> HYPERLINK "https://suttacentral.net/XXX/en/sujato" \l "YYY"</w:instrText>
      </w:r>
      <w:r>
        <w:rPr>
          <w:rStyle w:val="Hyperlink"/>
          <w:i/>
          <w:iCs/>
        </w:rPr>
        <w:fldChar w:fldCharType="separate"/>
      </w:r>
      <w:r>
        <w:rPr>
          <w:rStyle w:val="Hyperlink"/>
          <w:i/>
          <w:iCs/>
        </w:rPr>
        <w:t>MN 22:25.5–25.6</w:t>
      </w:r>
      <w:r>
        <w:rPr>
          <w:rStyle w:val="Hyperlink"/>
          <w:i/>
          <w:iCs/>
        </w:rPr>
        <w:fldChar w:fldCharType="end"/>
      </w:r>
      <w:r>
        <w:rPr/>
        <w:t xml:space="preserve"> </w:t>
      </w:r>
      <w:r>
        <w:rPr>
          <w:rStyle w:val="wwc-PTS-reference"/>
        </w:rPr>
        <w:t>M I 138</w:t>
      </w:r>
      <w:r>
        <w:rPr/>
        <w:t xml:space="preserve">. See also </w:t>
      </w:r>
      <w:r>
        <w:rPr>
          <w:rStyle w:val="wwc-sesame-zot-reference"/>
        </w:rPr>
        <w:t>Wijesekera 1994</w:t>
      </w:r>
      <w:r>
        <w:rPr/>
        <w:t xml:space="preserve"> p.261</w:t>
      </w:r>
    </w:p>
    <w:p>
      <w:pPr>
        <w:pStyle w:val="WW-gloss-term"/>
        <w:rPr/>
      </w:pPr>
      <w:r>
        <w:rPr/>
        <w:t>335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1.50:6.1–6.4</w:t>
      </w:r>
      <w:r>
        <w:rPr>
          <w:rStyle w:val="Hyperlink"/>
        </w:rPr>
        <w:fldChar w:fldCharType="end"/>
      </w:r>
    </w:p>
    <w:p>
      <w:pPr>
        <w:pStyle w:val="WW-gloss-term"/>
        <w:rPr/>
      </w:pPr>
      <w:r>
        <w:rPr/>
        <w:t>336</w:t>
      </w:r>
    </w:p>
    <w:p>
      <w:pPr>
        <w:pStyle w:val="FootnoteText"/>
        <w:rPr/>
      </w:pPr>
      <w:r>
        <w:rPr>
          <w:rStyle w:val="wwc-sesame-zot-reference"/>
        </w:rPr>
        <w:t>Bausch 2018</w:t>
      </w:r>
      <w:r>
        <w:rPr/>
        <w:t xml:space="preserve"> p.39</w:t>
      </w:r>
    </w:p>
    <w:p>
      <w:pPr>
        <w:pStyle w:val="WW-gloss-term"/>
        <w:rPr/>
      </w:pPr>
      <w:r>
        <w:rPr/>
        <w:t>337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5.2:5.1–6.6</w:t>
      </w:r>
      <w:r>
        <w:rPr>
          <w:rStyle w:val="Hyperlink"/>
        </w:rPr>
        <w:fldChar w:fldCharType="end"/>
      </w:r>
    </w:p>
    <w:p>
      <w:pPr>
        <w:pStyle w:val="WW-gloss-term"/>
        <w:rPr/>
      </w:pPr>
      <w:r>
        <w:rPr/>
        <w:t>338</w:t>
      </w:r>
    </w:p>
    <w:p>
      <w:pPr>
        <w:pStyle w:val="FootnoteText"/>
        <w:rPr/>
      </w:pPr>
      <w:r>
        <w:rPr>
          <w:rStyle w:val="wwc-sesame-zot-reference"/>
        </w:rPr>
        <w:t>Sunyo 2021</w:t>
      </w:r>
    </w:p>
    <w:p>
      <w:pPr>
        <w:pStyle w:val="WW-gloss-term"/>
        <w:rPr/>
      </w:pPr>
      <w:r>
        <w:rPr/>
        <w:t>339</w:t>
      </w:r>
    </w:p>
    <w:p>
      <w:pPr>
        <w:pStyle w:val="FootnoteText"/>
        <w:rPr/>
      </w:pPr>
      <w:r>
        <w:rPr/>
        <w:t xml:space="preserve">See </w:t>
      </w:r>
      <w:r>
        <w:rPr>
          <w:rStyle w:val="wwc-sesame-zot-reference"/>
        </w:rPr>
        <w:t>Hinüber</w:t>
      </w:r>
      <w:r>
        <w:rPr/>
        <w:t xml:space="preserve"> p.28f</w:t>
      </w:r>
    </w:p>
    <w:p>
      <w:pPr>
        <w:pStyle w:val="WW-gloss-term"/>
        <w:rPr/>
      </w:pPr>
      <w:r>
        <w:rPr/>
        <w:t>340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11:85.18–85.27</w:t>
      </w:r>
      <w:r>
        <w:rPr>
          <w:rStyle w:val="Hyperlink"/>
        </w:rPr>
        <w:fldChar w:fldCharType="end"/>
      </w:r>
      <w:r>
        <w:rPr/>
        <w:t xml:space="preserve"> </w:t>
      </w:r>
      <w:r>
        <w:rPr>
          <w:rStyle w:val="wwc-PTS-reference"/>
        </w:rPr>
        <w:t>D I 223</w:t>
      </w:r>
    </w:p>
    <w:p>
      <w:pPr>
        <w:pStyle w:val="WW-gloss-term"/>
        <w:rPr/>
      </w:pPr>
      <w:r>
        <w:rPr/>
        <w:t>341</w:t>
      </w:r>
    </w:p>
    <w:p>
      <w:pPr>
        <w:pStyle w:val="FootnoteText"/>
        <w:rPr/>
      </w:pPr>
      <w:r>
        <w:rPr/>
        <w:t xml:space="preserve">See for example </w:t>
      </w:r>
      <w:r>
        <w:rPr>
          <w:rStyle w:val="wwc-sesame-zot-reference"/>
        </w:rPr>
        <w:t>Hamilton</w:t>
      </w:r>
      <w:r>
        <w:rPr/>
        <w:t xml:space="preserve"> p.12</w:t>
      </w:r>
    </w:p>
    <w:p>
      <w:pPr>
        <w:pStyle w:val="WW-gloss-term"/>
        <w:rPr/>
      </w:pPr>
      <w:r>
        <w:rPr/>
        <w:t>342</w:t>
      </w:r>
    </w:p>
    <w:p>
      <w:pPr>
        <w:pStyle w:val="FootnoteText"/>
        <w:rPr/>
      </w:pPr>
      <w:r>
        <w:rPr>
          <w:rStyle w:val="wwc-sesame-zot-reference"/>
        </w:rPr>
        <w:t>Gombrich 1980</w:t>
      </w:r>
      <w:r>
        <w:rPr/>
        <w:t xml:space="preserve"> p.45</w:t>
      </w:r>
    </w:p>
    <w:p>
      <w:pPr>
        <w:pStyle w:val="WW-gloss-term"/>
        <w:rPr/>
      </w:pPr>
      <w:r>
        <w:rPr/>
        <w:t>343</w:t>
      </w:r>
    </w:p>
    <w:p>
      <w:pPr>
        <w:pStyle w:val="FootnoteText"/>
        <w:rPr/>
      </w:pPr>
      <w:r>
        <w:rPr/>
        <w:t xml:space="preserve">BU 2.4.12, </w:t>
      </w:r>
      <w:r>
        <w:rPr>
          <w:rStyle w:val="wwc-pali"/>
        </w:rPr>
        <w:t>anantam apāraṁ vijñāna-ghana eva</w:t>
      </w:r>
      <w:r>
        <w:rPr/>
        <w:t xml:space="preserve">; BU 3.8.8, </w:t>
      </w:r>
      <w:r>
        <w:rPr>
          <w:rStyle w:val="wwc-pali"/>
        </w:rPr>
        <w:t>asthūlam anaṇv ahrasvam adīrgham</w:t>
      </w:r>
      <w:r>
        <w:rPr/>
        <w:t>.</w:t>
      </w:r>
    </w:p>
    <w:p>
      <w:pPr>
        <w:pStyle w:val="WW-gloss-term"/>
        <w:rPr/>
      </w:pPr>
      <w:r>
        <w:rPr/>
        <w:t>344</w:t>
      </w:r>
    </w:p>
    <w:p>
      <w:pPr>
        <w:pStyle w:val="FootnoteText"/>
        <w:rPr/>
      </w:pPr>
      <w:r>
        <w:rPr/>
        <w:t xml:space="preserve">BU 3.7.3–7, translation </w:t>
      </w:r>
      <w:r>
        <w:rPr>
          <w:rStyle w:val="wwc-sesame-zot-reference"/>
        </w:rPr>
        <w:t>Olivelle</w:t>
      </w:r>
      <w:r>
        <w:rPr/>
        <w:t>: “This self of yours who is present within but is different from the earth, whom the earth does not know, […] who is present within but is different from the waters […] the fire […] the wind, whom the wind does not know, […] he is the inner controller, the immortal.”</w:t>
      </w:r>
    </w:p>
    <w:p>
      <w:pPr>
        <w:pStyle w:val="WW-gloss-term"/>
        <w:rPr/>
      </w:pPr>
      <w:r>
        <w:rPr/>
        <w:t>345</w:t>
      </w:r>
    </w:p>
    <w:p>
      <w:pPr>
        <w:pStyle w:val="FootnoteText"/>
        <w:rPr/>
      </w:pPr>
      <w:r>
        <w:rPr/>
        <w:t xml:space="preserve">TU 2.8, translation </w:t>
      </w:r>
      <w:r>
        <w:rPr>
          <w:rStyle w:val="wwc-sesame-zot-reference"/>
        </w:rPr>
        <w:t>Olivelle</w:t>
      </w:r>
      <w:r>
        <w:rPr/>
        <w:t>: “For when a man finds within that invisible (</w:t>
      </w:r>
      <w:r>
        <w:rPr>
          <w:rStyle w:val="wwc-sanskrit"/>
        </w:rPr>
        <w:t>nadṛśya</w:t>
      </w:r>
      <w:r>
        <w:rPr/>
        <w:t xml:space="preserve">), incorporeal, indistinct, and supportless essence, the fearless state on which to rest, then he becomes free from fear.” The word has the same verbal root as </w:t>
      </w:r>
      <w:r>
        <w:rPr>
          <w:rStyle w:val="wwc-pali"/>
        </w:rPr>
        <w:t>anidassana</w:t>
      </w:r>
      <w:r>
        <w:rPr/>
        <w:t xml:space="preserve"> of the </w:t>
      </w:r>
      <w:r>
        <w:rPr>
          <w:rStyle w:val="wwc-sesame"/>
        </w:rPr>
        <w:t>Kevaddha Sutta</w:t>
      </w:r>
    </w:p>
    <w:p>
      <w:pPr>
        <w:pStyle w:val="WW-gloss-term"/>
        <w:rPr/>
      </w:pPr>
      <w:r>
        <w:rPr/>
        <w:t>346</w:t>
      </w:r>
    </w:p>
    <w:p>
      <w:pPr>
        <w:pStyle w:val="FootnoteText"/>
        <w:rPr/>
      </w:pPr>
      <w:r>
        <w:rPr/>
        <w:t xml:space="preserve">CU 3.13.7–14.2, translation </w:t>
      </w:r>
      <w:r>
        <w:rPr>
          <w:rStyle w:val="wwc-sesame-zot-reference"/>
        </w:rPr>
        <w:t>Olivelle</w:t>
      </w:r>
      <w:r>
        <w:rPr/>
        <w:t>. See also ‘inner light’ in §94</w:t>
      </w:r>
    </w:p>
    <w:p>
      <w:pPr>
        <w:pStyle w:val="WW-gloss-term"/>
        <w:rPr/>
      </w:pPr>
      <w:r>
        <w:rPr/>
        <w:t>347</w:t>
      </w:r>
    </w:p>
    <w:p>
      <w:pPr>
        <w:pStyle w:val="FootnoteText"/>
        <w:rPr/>
      </w:pPr>
      <w:r>
        <w:rPr/>
        <w:t xml:space="preserve">See </w:t>
      </w:r>
      <w:r>
        <w:rPr>
          <w:rStyle w:val="wwc-sesame-zot-reference"/>
        </w:rPr>
        <w:t>Sunyo 2021</w:t>
      </w:r>
    </w:p>
    <w:p>
      <w:pPr>
        <w:pStyle w:val="WW-gloss-term"/>
        <w:rPr/>
      </w:pPr>
      <w:r>
        <w:rPr/>
        <w:t>348</w:t>
      </w:r>
    </w:p>
    <w:p>
      <w:pPr>
        <w:pStyle w:val="FootnoteText"/>
        <w:rPr/>
      </w:pPr>
      <w:r>
        <w:rPr/>
        <w:t xml:space="preserve">See also </w:t>
      </w:r>
      <w:r>
        <w:rPr>
          <w:rStyle w:val="wwc-sesame-zot-reference"/>
        </w:rPr>
        <w:t>Jayatilleke</w:t>
      </w:r>
      <w:r>
        <w:rPr/>
        <w:t xml:space="preserve"> §42: “There is no reason to believe that Yājñavalkya’s theories are based on any kind of mystical experience.”</w:t>
      </w:r>
    </w:p>
    <w:p>
      <w:pPr>
        <w:pStyle w:val="WW-gloss-term"/>
        <w:rPr/>
      </w:pPr>
      <w:r>
        <w:rPr/>
        <w:t>349</w:t>
      </w:r>
    </w:p>
    <w:p>
      <w:pPr>
        <w:pStyle w:val="FootnoteText"/>
        <w:rPr/>
      </w:pPr>
      <w:r>
        <w:rPr>
          <w:rStyle w:val="wwc-sesame-zot-reference"/>
        </w:rPr>
        <w:t>Werner</w:t>
      </w:r>
      <w:r>
        <w:rPr/>
        <w:t xml:space="preserve"> p.26</w:t>
      </w:r>
    </w:p>
    <w:p>
      <w:pPr>
        <w:pStyle w:val="WW-gloss-term"/>
        <w:rPr/>
      </w:pPr>
      <w:r>
        <w:rPr/>
        <w:t>350</w:t>
      </w:r>
    </w:p>
    <w:p>
      <w:pPr>
        <w:pStyle w:val="FootnoteText"/>
        <w:rPr/>
      </w:pPr>
      <w:r>
        <w:rPr/>
        <w:t>BU 4.4.19</w:t>
      </w:r>
    </w:p>
    <w:p>
      <w:pPr>
        <w:pStyle w:val="WW-gloss-term"/>
        <w:rPr/>
      </w:pPr>
      <w:r>
        <w:rPr/>
        <w:t>351</w:t>
      </w:r>
    </w:p>
    <w:p>
      <w:pPr>
        <w:pStyle w:val="FootnoteText"/>
        <w:rPr/>
      </w:pPr>
      <w:r>
        <w:rPr>
          <w:rStyle w:val="wwc-sesame-zot-reference"/>
        </w:rPr>
        <w:t>Gombrich 1980</w:t>
      </w:r>
      <w:r>
        <w:rPr/>
        <w:t xml:space="preserve"> p.45</w:t>
      </w:r>
    </w:p>
    <w:p>
      <w:pPr>
        <w:pStyle w:val="WW-gloss-term"/>
        <w:rPr/>
      </w:pPr>
      <w:r>
        <w:rPr/>
        <w:t>352</w:t>
      </w:r>
    </w:p>
    <w:p>
      <w:pPr>
        <w:pStyle w:val="FootnoteText"/>
        <w:rPr/>
      </w:pPr>
      <w:r>
        <w:rPr/>
        <w:t xml:space="preserve">For example </w:t>
      </w:r>
      <w:r>
        <w:rPr>
          <w:rStyle w:val="wwc-sesame-zot-reference"/>
        </w:rPr>
        <w:t>Ñāṇananda 2016</w:t>
      </w:r>
      <w:r>
        <w:rPr/>
        <w:t xml:space="preserve"> p.27: “There is a consciousness that is freed from name and form.” Also </w:t>
      </w:r>
      <w:r>
        <w:rPr>
          <w:rStyle w:val="wwc-sesame-zot-reference"/>
        </w:rPr>
        <w:t>Oldenberg</w:t>
      </w:r>
      <w:r>
        <w:rPr/>
        <w:t xml:space="preserve"> p.87, who says the “Brahmanic thinking […] is also basically valid for the Buddhistic”, both resulting in “the blissful merging with infinity” when name and form are abandoned.</w:t>
      </w:r>
    </w:p>
    <w:p>
      <w:pPr>
        <w:pStyle w:val="WW-gloss-term"/>
        <w:rPr/>
      </w:pPr>
      <w:r>
        <w:rPr/>
        <w:t>353</w:t>
      </w:r>
    </w:p>
    <w:p>
      <w:pPr>
        <w:pStyle w:val="FootnoteText"/>
        <w:rPr/>
      </w:pPr>
      <w:r>
        <w:rPr/>
        <w:t xml:space="preserve">As argued for example by </w:t>
      </w:r>
      <w:r>
        <w:rPr>
          <w:rStyle w:val="wwc-sesame-zot-reference"/>
        </w:rPr>
        <w:t>Ñāṇananda 2015</w:t>
      </w:r>
      <w:r>
        <w:rPr/>
        <w:t xml:space="preserve"> p.60: “In some discourses, like the </w:t>
      </w:r>
      <w:r>
        <w:rPr>
          <w:rStyle w:val="wwc-sesame"/>
        </w:rPr>
        <w:t>Mahānidāna Sutta</w:t>
      </w:r>
      <w:r>
        <w:rPr/>
        <w:t xml:space="preserve">, there is a discussion about a descent of consciousness into a mother’s womb. […] The point […] is that the constant interrelation that exists between consciousness and name-and-form is present even during one’s life in the mother’s womb.” Also see </w:t>
      </w:r>
      <w:r>
        <w:rPr>
          <w:rStyle w:val="wwc-sesame-zot-reference"/>
        </w:rPr>
        <w:t>Cintita</w:t>
      </w:r>
      <w:r>
        <w:rPr/>
        <w:t xml:space="preserve"> p.227</w:t>
      </w:r>
    </w:p>
    <w:p>
      <w:pPr>
        <w:pStyle w:val="WW-gloss-term"/>
        <w:rPr/>
      </w:pPr>
      <w:r>
        <w:rPr/>
        <w:t>354</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60:5.1–8.8</w:t>
      </w:r>
      <w:r>
        <w:rPr>
          <w:rStyle w:val="Hyperlink"/>
        </w:rPr>
        <w:fldChar w:fldCharType="end"/>
      </w:r>
      <w:r>
        <w:rPr/>
        <w:t xml:space="preserve"> </w:t>
      </w:r>
      <w:r>
        <w:rPr>
          <w:rStyle w:val="wwc-PTS-reference"/>
        </w:rPr>
        <w:t>M I 401</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76:7.1–7.10</w:t>
      </w:r>
      <w:r>
        <w:rPr>
          <w:rStyle w:val="Hyperlink"/>
        </w:rPr>
        <w:fldChar w:fldCharType="end"/>
      </w:r>
      <w:r>
        <w:rPr/>
        <w:t xml:space="preserve"> </w:t>
      </w:r>
      <w:r>
        <w:rPr>
          <w:rStyle w:val="wwc-PTS-reference"/>
        </w:rPr>
        <w:t>M I 515</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110:11.1–11.4</w:t>
      </w:r>
      <w:r>
        <w:rPr>
          <w:rStyle w:val="Hyperlink"/>
        </w:rPr>
        <w:fldChar w:fldCharType="end"/>
      </w:r>
      <w:r>
        <w:rPr/>
        <w:t xml:space="preserve"> </w:t>
      </w:r>
      <w:r>
        <w:rPr>
          <w:rStyle w:val="wwc-PTS-reference"/>
        </w:rPr>
        <w:t>M III 22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24.5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10.216:5.9</w:t>
      </w:r>
      <w:r>
        <w:rPr>
          <w:rStyle w:val="Hyperlink"/>
        </w:rPr>
        <w:fldChar w:fldCharType="end"/>
      </w:r>
    </w:p>
    <w:p>
      <w:pPr>
        <w:pStyle w:val="WW-gloss-term"/>
        <w:rPr/>
      </w:pPr>
      <w:r>
        <w:rPr/>
        <w:t>355</w:t>
      </w:r>
    </w:p>
    <w:p>
      <w:pPr>
        <w:pStyle w:val="FootnoteText"/>
        <w:rPr/>
      </w:pPr>
      <w:r>
        <w:rPr/>
        <w:t xml:space="preserve">§126, </w:t>
      </w:r>
      <w:r>
        <w:fldChar w:fldCharType="begin"/>
      </w:r>
      <w:r>
        <w:rPr>
          <w:rStyle w:val="Hyperlink"/>
        </w:rPr>
        <w:instrText xml:space="preserve"> HYPERLINK "https://suttacentral.net/XXX/en/sujato" \l "YYY"</w:instrText>
      </w:r>
      <w:r>
        <w:rPr>
          <w:rStyle w:val="Hyperlink"/>
        </w:rPr>
        <w:fldChar w:fldCharType="separate"/>
      </w:r>
      <w:r>
        <w:rPr>
          <w:rStyle w:val="Hyperlink"/>
        </w:rPr>
        <w:t>DN 1:2.13.4</w:t>
      </w:r>
      <w:r>
        <w:rPr>
          <w:rStyle w:val="Hyperlink"/>
        </w:rPr>
        <w:fldChar w:fldCharType="end"/>
      </w:r>
      <w:r>
        <w:rPr/>
        <w:t xml:space="preserve"> </w:t>
      </w:r>
      <w:r>
        <w:rPr>
          <w:rStyle w:val="wwc-PTS-reference"/>
        </w:rPr>
        <w:t>D I 21</w:t>
      </w:r>
    </w:p>
    <w:p>
      <w:pPr>
        <w:pStyle w:val="WW-gloss-term"/>
        <w:rPr/>
      </w:pPr>
      <w:r>
        <w:rPr/>
        <w:t>356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22.7:2.5</w:t>
      </w:r>
      <w:r>
        <w:rPr>
          <w:rStyle w:val="Hyperlink"/>
        </w:rPr>
        <w:fldChar w:fldCharType="end"/>
      </w:r>
    </w:p>
    <w:p>
      <w:pPr>
        <w:pStyle w:val="WW-gloss-term"/>
        <w:rPr/>
      </w:pPr>
      <w:r>
        <w:rPr/>
        <w:t>357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111:6.1</w:t>
      </w:r>
      <w:r>
        <w:rPr>
          <w:rStyle w:val="Hyperlink"/>
        </w:rPr>
        <w:fldChar w:fldCharType="end"/>
      </w:r>
      <w:r>
        <w:rPr/>
        <w:t xml:space="preserve"> </w:t>
      </w:r>
      <w:r>
        <w:rPr>
          <w:rStyle w:val="wwc-PTS-reference"/>
        </w:rPr>
        <w:t>M III 25</w:t>
      </w:r>
      <w:r>
        <w:rPr/>
        <w:t xml:space="preserve">, as noted by </w:t>
      </w:r>
      <w:r>
        <w:rPr>
          <w:rStyle w:val="wwc-sesame-zot-reference"/>
        </w:rPr>
        <w:t>Anālayo 2017</w:t>
      </w:r>
      <w:r>
        <w:rPr/>
        <w:t xml:space="preserve"> p.120</w:t>
      </w:r>
    </w:p>
    <w:p>
      <w:pPr>
        <w:pStyle w:val="WW-gloss-term"/>
        <w:rPr/>
      </w:pPr>
      <w:r>
        <w:rPr/>
        <w:t>358</w:t>
      </w:r>
    </w:p>
    <w:p>
      <w:pPr>
        <w:pStyle w:val="FootnoteText"/>
        <w:rPr/>
      </w:pPr>
      <w:r>
        <w:rPr/>
        <w:t xml:space="preserve">For example at </w:t>
      </w:r>
      <w:hyperlink r:id="rId29">
        <w:r>
          <w:rPr>
            <w:rStyle w:val="Hyperlink"/>
          </w:rPr>
          <w:t>SĀ 284</w:t>
        </w:r>
      </w:hyperlink>
      <w:r>
        <w:rPr/>
        <w:t xml:space="preserve">, as pointed out by </w:t>
      </w:r>
      <w:r>
        <w:rPr>
          <w:rStyle w:val="wwc-sesame-zot-reference"/>
        </w:rPr>
        <w:t>Choong</w:t>
      </w:r>
      <w:r>
        <w:rPr/>
        <w:t xml:space="preserve"> p.174</w:t>
      </w:r>
    </w:p>
    <w:p>
      <w:pPr>
        <w:pStyle w:val="WW-gloss-term"/>
        <w:rPr/>
      </w:pPr>
      <w:r>
        <w:rPr/>
        <w:t>359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47.42</w:t>
      </w:r>
      <w:r>
        <w:rPr>
          <w:rStyle w:val="Hyperlink"/>
        </w:rPr>
        <w:fldChar w:fldCharType="end"/>
      </w:r>
    </w:p>
    <w:p>
      <w:pPr>
        <w:pStyle w:val="WW-gloss-term"/>
        <w:rPr/>
      </w:pPr>
      <w:r>
        <w:rPr/>
        <w:t>360</w:t>
      </w:r>
    </w:p>
    <w:p>
      <w:pPr>
        <w:pStyle w:val="FootnoteText"/>
        <w:rPr/>
      </w:pPr>
      <w:r>
        <w:rPr>
          <w:rStyle w:val="wwc-sesame-zot-reference"/>
        </w:rPr>
        <w:t>Anālayo 2018</w:t>
      </w:r>
      <w:r>
        <w:rPr/>
        <w:t xml:space="preserve"> p.27</w:t>
      </w:r>
    </w:p>
    <w:p>
      <w:pPr>
        <w:pStyle w:val="WW-gloss-term"/>
        <w:rPr/>
      </w:pPr>
      <w:r>
        <w:rPr/>
        <w:t>361</w:t>
      </w:r>
    </w:p>
    <w:p>
      <w:pPr>
        <w:pStyle w:val="FootnoteText"/>
        <w:rPr/>
      </w:pPr>
      <w:r>
        <w:rPr/>
        <w:t>Body with consciousness (</w:t>
      </w:r>
      <w:r>
        <w:rPr>
          <w:rStyle w:val="wwc-pali"/>
        </w:rPr>
        <w:t>saviññāṇaka kāya</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109:13.1,13.7</w:t>
      </w:r>
      <w:r>
        <w:rPr>
          <w:rStyle w:val="Hyperlink"/>
        </w:rPr>
        <w:fldChar w:fldCharType="end"/>
      </w:r>
      <w:r>
        <w:rPr/>
        <w:t xml:space="preserve"> </w:t>
      </w:r>
      <w:r>
        <w:rPr>
          <w:rStyle w:val="wwc-PTS-reference"/>
        </w:rPr>
        <w:t>M III 18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112:11.3,20.4</w:t>
      </w:r>
      <w:r>
        <w:rPr>
          <w:rStyle w:val="Hyperlink"/>
        </w:rPr>
        <w:fldChar w:fldCharType="end"/>
      </w:r>
      <w:r>
        <w:rPr/>
        <w:t xml:space="preserve"> </w:t>
      </w:r>
      <w:r>
        <w:rPr>
          <w:rStyle w:val="wwc-PTS-reference"/>
        </w:rPr>
        <w:t>M III 32</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18.21:1.3,1.9</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22.71:1.3,1.9</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22.72:1.3,1.12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22.82:11.1,11.7</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22.91:1.3,2.7</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22.92:1.3,2.6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22.124:1.3,2.6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22.125:1.3,2.6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3.32:2.1,2.3,4.3</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3.33:2.2,3.1</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7.49:14.3,15.1,16.1</w:t>
      </w:r>
      <w:r>
        <w:rPr>
          <w:rStyle w:val="Hyperlink"/>
        </w:rPr>
        <w:fldChar w:fldCharType="end"/>
      </w:r>
      <w:r>
        <w:rPr/>
        <w:t>;</w:t>
      </w:r>
    </w:p>
    <w:p>
      <w:pPr>
        <w:pStyle w:val="FootnoteText"/>
        <w:rPr/>
      </w:pPr>
      <w:r>
        <w:rPr/>
        <w:t xml:space="preserve">cf. </w:t>
      </w:r>
      <w:r>
        <w:fldChar w:fldCharType="begin"/>
      </w:r>
      <w:r>
        <w:rPr>
          <w:rStyle w:val="Hyperlink"/>
        </w:rPr>
        <w:instrText xml:space="preserve"> HYPERLINK "https://suttacentral.net/XXX/en/sujato" \l "YYY"</w:instrText>
      </w:r>
      <w:r>
        <w:rPr>
          <w:rStyle w:val="Hyperlink"/>
        </w:rPr>
        <w:fldChar w:fldCharType="separate"/>
      </w:r>
      <w:r>
        <w:rPr>
          <w:rStyle w:val="Hyperlink"/>
        </w:rPr>
        <w:t>SN 35.234</w:t>
      </w:r>
      <w:r>
        <w:rPr>
          <w:rStyle w:val="Hyperlink"/>
        </w:rPr>
        <w:fldChar w:fldCharType="end"/>
      </w:r>
      <w:r>
        <w:rPr/>
        <w:t>.</w:t>
      </w:r>
    </w:p>
    <w:p>
      <w:pPr>
        <w:pStyle w:val="FootnoteText"/>
        <w:rPr/>
      </w:pPr>
      <w:r>
        <w:rPr/>
        <w:t>Consciousness bound to the body:</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10:2.21.4</w:t>
      </w:r>
      <w:r>
        <w:rPr>
          <w:rStyle w:val="Hyperlink"/>
        </w:rPr>
        <w:fldChar w:fldCharType="end"/>
      </w:r>
      <w:r>
        <w:rPr/>
        <w:t xml:space="preserve"> </w:t>
      </w:r>
      <w:r>
        <w:rPr>
          <w:rStyle w:val="wwc-PTS-reference"/>
        </w:rPr>
        <w:t>D I 209</w:t>
      </w:r>
      <w:r>
        <w:rPr/>
        <w:t xml:space="preserve"> (§85),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2:83.4 D I 76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77:29.9–29.11</w:t>
      </w:r>
      <w:r>
        <w:rPr>
          <w:rStyle w:val="Hyperlink"/>
        </w:rPr>
        <w:fldChar w:fldCharType="end"/>
      </w:r>
      <w:r>
        <w:rPr/>
        <w:t xml:space="preserve"> </w:t>
      </w:r>
      <w:r>
        <w:rPr>
          <w:rStyle w:val="wwc-PTS-reference"/>
        </w:rPr>
        <w:t>M II 17</w:t>
      </w:r>
      <w:r>
        <w:rPr/>
        <w:t>.</w:t>
      </w:r>
    </w:p>
    <w:p>
      <w:pPr>
        <w:pStyle w:val="FootnoteText"/>
        <w:rPr/>
      </w:pPr>
      <w:r>
        <w:rPr/>
        <w:t>Consciousness leaves the body:</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43:24.2</w:t>
      </w:r>
      <w:r>
        <w:rPr>
          <w:rStyle w:val="Hyperlink"/>
        </w:rPr>
        <w:fldChar w:fldCharType="end"/>
      </w:r>
      <w:r>
        <w:rPr/>
        <w:t xml:space="preserve"> </w:t>
      </w:r>
      <w:r>
        <w:rPr>
          <w:rStyle w:val="wwc-PTS-reference"/>
        </w:rPr>
        <w:t>M I 296</w:t>
      </w:r>
    </w:p>
    <w:p>
      <w:pPr>
        <w:pStyle w:val="WW-gloss-term"/>
        <w:rPr/>
      </w:pPr>
      <w:r>
        <w:rPr/>
        <w:t>362</w:t>
      </w:r>
    </w:p>
    <w:p>
      <w:pPr>
        <w:pStyle w:val="FootnoteText"/>
        <w:rPr/>
      </w:pPr>
      <w:r>
        <w:rPr/>
        <w:t xml:space="preserve">Consciousness transmigrates: </w:t>
      </w:r>
      <w:r>
        <w:fldChar w:fldCharType="begin"/>
      </w:r>
      <w:r>
        <w:rPr>
          <w:rStyle w:val="Hyperlink"/>
        </w:rPr>
        <w:instrText xml:space="preserve"> HYPERLINK "https://suttacentral.net/XXX/en/sujato" \l "YYY"</w:instrText>
      </w:r>
      <w:r>
        <w:rPr>
          <w:rStyle w:val="Hyperlink"/>
        </w:rPr>
        <w:fldChar w:fldCharType="separate"/>
      </w:r>
      <w:r>
        <w:rPr>
          <w:rStyle w:val="Hyperlink"/>
        </w:rPr>
        <w:t>MN 38:2.2</w:t>
      </w:r>
      <w:r>
        <w:rPr>
          <w:rStyle w:val="Hyperlink"/>
        </w:rPr>
        <w:fldChar w:fldCharType="end"/>
      </w:r>
      <w:r>
        <w:rPr/>
        <w:t xml:space="preserve"> </w:t>
      </w:r>
      <w:r>
        <w:rPr>
          <w:rStyle w:val="wwc-PTS-reference"/>
        </w:rPr>
        <w:t>M I 256</w:t>
      </w:r>
      <w:r>
        <w:rPr/>
        <w:t>. Consciousness passes on and gets reborn: §76, §118. Consciousness travels on: §55. Conceived: §84, see also §81</w:t>
      </w:r>
    </w:p>
    <w:p>
      <w:pPr>
        <w:pStyle w:val="WW-gloss-term"/>
        <w:rPr/>
      </w:pPr>
      <w:r>
        <w:rPr/>
        <w:t>363</w:t>
      </w:r>
    </w:p>
    <w:p>
      <w:pPr>
        <w:pStyle w:val="FootnoteText"/>
        <w:rPr/>
      </w:pPr>
      <w:r>
        <w:rPr>
          <w:rStyle w:val="wwc-sesame-zot-reference"/>
        </w:rPr>
        <w:t>PED</w:t>
      </w:r>
      <w:r>
        <w:rPr/>
        <w:t xml:space="preserve"> under </w:t>
      </w:r>
      <w:r>
        <w:rPr>
          <w:rStyle w:val="wwc-pali"/>
        </w:rPr>
        <w:t>viññāṇa</w:t>
      </w:r>
    </w:p>
    <w:p>
      <w:pPr>
        <w:pStyle w:val="WW-gloss-term"/>
        <w:rPr/>
      </w:pPr>
      <w:r>
        <w:rPr/>
        <w:t>364</w:t>
      </w:r>
    </w:p>
    <w:p>
      <w:pPr>
        <w:pStyle w:val="FootnoteText"/>
        <w:rPr/>
      </w:pPr>
      <w:r>
        <w:rPr/>
        <w:t xml:space="preserve">For example </w:t>
      </w:r>
      <w:r>
        <w:rPr>
          <w:rStyle w:val="wwc-sesame-zot-reference"/>
        </w:rPr>
        <w:t>Frauwallner 1953/1973</w:t>
      </w:r>
      <w:r>
        <w:rPr/>
        <w:t xml:space="preserve"> p.162, </w:t>
      </w:r>
      <w:r>
        <w:rPr>
          <w:rStyle w:val="wwc-sesame-zot-reference"/>
        </w:rPr>
        <w:t>Hamilton</w:t>
      </w:r>
      <w:r>
        <w:rPr/>
        <w:t xml:space="preserve"> p.101, </w:t>
      </w:r>
      <w:r>
        <w:rPr>
          <w:rStyle w:val="wwc-sesame-zot-reference"/>
        </w:rPr>
        <w:t>Langer</w:t>
      </w:r>
      <w:r>
        <w:rPr/>
        <w:t xml:space="preserve"> p.9, </w:t>
      </w:r>
      <w:r>
        <w:rPr>
          <w:rStyle w:val="wwc-sesame-zot-reference"/>
        </w:rPr>
        <w:t>Vetter 1988</w:t>
      </w:r>
      <w:r>
        <w:rPr/>
        <w:t xml:space="preserve"> p.49, </w:t>
      </w:r>
      <w:r>
        <w:rPr>
          <w:rStyle w:val="wwc-sesame-zot-reference"/>
        </w:rPr>
        <w:t>Wijesekera 1994</w:t>
      </w:r>
      <w:r>
        <w:rPr/>
        <w:t xml:space="preserve"> p.111</w:t>
      </w:r>
    </w:p>
    <w:p>
      <w:pPr>
        <w:pStyle w:val="WW-gloss-term"/>
        <w:rPr/>
      </w:pPr>
      <w:r>
        <w:rPr/>
        <w:t>365</w:t>
      </w:r>
    </w:p>
    <w:p>
      <w:pPr>
        <w:pStyle w:val="FootnoteText"/>
        <w:rPr/>
      </w:pPr>
      <w:r>
        <w:rPr>
          <w:rStyle w:val="wwc-sesame-zot-reference"/>
        </w:rPr>
        <w:t>Kalupahana 1975</w:t>
      </w:r>
      <w:r>
        <w:rPr/>
        <w:t xml:space="preserve"> p.119</w:t>
      </w:r>
    </w:p>
    <w:p>
      <w:pPr>
        <w:pStyle w:val="WW-gloss-term"/>
        <w:rPr/>
      </w:pPr>
      <w:r>
        <w:rPr/>
        <w:t>366</w:t>
      </w:r>
    </w:p>
    <w:p>
      <w:pPr>
        <w:pStyle w:val="FootnoteText"/>
        <w:rPr/>
      </w:pPr>
      <w:r>
        <w:rPr/>
        <w:t xml:space="preserve">As argued by </w:t>
      </w:r>
      <w:r>
        <w:rPr>
          <w:rStyle w:val="wwc-sesame-zot-reference"/>
        </w:rPr>
        <w:t>Hamilton</w:t>
      </w:r>
      <w:r>
        <w:rPr/>
        <w:t xml:space="preserve"> p.85</w:t>
      </w:r>
    </w:p>
    <w:p>
      <w:pPr>
        <w:pStyle w:val="WW-gloss-term"/>
        <w:rPr/>
      </w:pPr>
      <w:r>
        <w:rPr/>
        <w:t>367</w:t>
      </w:r>
    </w:p>
    <w:p>
      <w:pPr>
        <w:pStyle w:val="FootnoteText"/>
        <w:rPr/>
      </w:pPr>
      <w:r>
        <w:rPr>
          <w:rStyle w:val="wwc-sesame-zot-reference"/>
        </w:rPr>
        <w:t>Gombrich 2009</w:t>
      </w:r>
      <w:r>
        <w:rPr/>
        <w:t xml:space="preserve"> p.60</w:t>
      </w:r>
    </w:p>
    <w:p>
      <w:pPr>
        <w:pStyle w:val="WW-gloss-term"/>
        <w:rPr/>
      </w:pPr>
      <w:r>
        <w:rPr/>
        <w:t>368</w:t>
      </w:r>
    </w:p>
    <w:p>
      <w:pPr>
        <w:pStyle w:val="FootnoteText"/>
        <w:rPr/>
      </w:pPr>
      <w:r>
        <w:rPr>
          <w:rStyle w:val="wwc-sesame-zot-reference"/>
        </w:rPr>
        <w:t>Vetter 1988</w:t>
      </w:r>
      <w:r>
        <w:rPr/>
        <w:t xml:space="preserve"> p.36 notes: “The word ‘consciousness’ which is often employed here, is rather inconvenient when one has to interpret </w:t>
      </w:r>
      <w:r>
        <w:rPr>
          <w:rStyle w:val="wwc-pali"/>
        </w:rPr>
        <w:t>viññāṇa</w:t>
      </w:r>
      <w:r>
        <w:rPr/>
        <w:t xml:space="preserve"> as a link in the twelvefold chain of dependent origination, where it seems to point to the first moment of life in the mother’s womb.” </w:t>
      </w:r>
      <w:r>
        <w:rPr>
          <w:rStyle w:val="wwc-sesame-zot-reference"/>
        </w:rPr>
        <w:t>Rhys Davids</w:t>
      </w:r>
      <w:r>
        <w:rPr/>
        <w:t xml:space="preserve"> p.55 comments upon her translation of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that ‘consciousness’ is not an adequate translation in this context: “I have rendered by ‘man [surviving]’ the word </w:t>
      </w:r>
      <w:r>
        <w:rPr>
          <w:rStyle w:val="wwc-pali"/>
        </w:rPr>
        <w:t>viññāṇa</w:t>
      </w:r>
      <w:r>
        <w:rPr/>
        <w:t xml:space="preserve">, literally ‘awareness’, and rightly so rendered it. [Here] </w:t>
      </w:r>
      <w:r>
        <w:rPr>
          <w:rStyle w:val="wwc-pali"/>
        </w:rPr>
        <w:t>viññāṇa</w:t>
      </w:r>
      <w:r>
        <w:rPr/>
        <w:t xml:space="preserve"> clearly means the man who has survived death.”</w:t>
      </w:r>
    </w:p>
    <w:p>
      <w:pPr>
        <w:pStyle w:val="WW-gloss-term"/>
        <w:rPr/>
      </w:pPr>
      <w:r>
        <w:rPr/>
        <w:t>369</w:t>
      </w:r>
    </w:p>
    <w:p>
      <w:pPr>
        <w:pStyle w:val="FootnoteText"/>
        <w:rPr/>
      </w:pPr>
      <w:r>
        <w:rPr>
          <w:rStyle w:val="wwc-sesame-zot-reference"/>
        </w:rPr>
        <w:t>Schmithausen 2000</w:t>
      </w:r>
      <w:r>
        <w:rPr/>
        <w:t xml:space="preserve"> p.57, translation mine</w:t>
      </w:r>
    </w:p>
    <w:p>
      <w:pPr>
        <w:pStyle w:val="WW-gloss-term"/>
        <w:rPr/>
      </w:pPr>
      <w:r>
        <w:rPr/>
        <w:t>370</w:t>
      </w:r>
    </w:p>
    <w:p>
      <w:pPr>
        <w:pStyle w:val="FootnoteText"/>
        <w:rPr/>
      </w:pPr>
      <w:r>
        <w:rPr>
          <w:rStyle w:val="wwc-sesame-zot-reference"/>
        </w:rPr>
        <w:t>Frauwallner 1953/1973</w:t>
      </w:r>
      <w:r>
        <w:rPr/>
        <w:t xml:space="preserve"> p.162, emphasis added</w:t>
      </w:r>
    </w:p>
    <w:p>
      <w:pPr>
        <w:pStyle w:val="WW-gloss-term"/>
        <w:rPr/>
      </w:pPr>
      <w:r>
        <w:rPr/>
        <w:t>371</w:t>
      </w:r>
    </w:p>
    <w:p>
      <w:pPr>
        <w:pStyle w:val="FootnoteText"/>
        <w:rPr/>
      </w:pPr>
      <w:r>
        <w:rPr>
          <w:rStyle w:val="wwc-sesame-zot-reference"/>
        </w:rPr>
        <w:t>Hamilton</w:t>
      </w:r>
      <w:r>
        <w:rPr/>
        <w:t xml:space="preserve"> p.101</w:t>
      </w:r>
    </w:p>
    <w:p>
      <w:pPr>
        <w:pStyle w:val="WW-gloss-term"/>
        <w:rPr/>
      </w:pPr>
      <w:r>
        <w:rPr/>
        <w:t>372</w:t>
      </w:r>
    </w:p>
    <w:p>
      <w:pPr>
        <w:pStyle w:val="FootnoteText"/>
        <w:rPr/>
      </w:pPr>
      <w:r>
        <w:rPr/>
        <w:t xml:space="preserve">See for example §8, §137, §114, </w:t>
      </w:r>
      <w:r>
        <w:fldChar w:fldCharType="begin"/>
      </w:r>
      <w:r>
        <w:rPr>
          <w:rStyle w:val="Hyperlink"/>
        </w:rPr>
        <w:instrText xml:space="preserve"> HYPERLINK "https://suttacentral.net/XXX/en/sujato" \l "YYY"</w:instrText>
      </w:r>
      <w:r>
        <w:rPr>
          <w:rStyle w:val="Hyperlink"/>
        </w:rPr>
        <w:fldChar w:fldCharType="separate"/>
      </w:r>
      <w:r>
        <w:rPr>
          <w:rStyle w:val="Hyperlink"/>
        </w:rPr>
        <w:t>Thag 1.90</w:t>
      </w:r>
      <w:r>
        <w:rPr>
          <w:rStyle w:val="Hyperlink"/>
        </w:rPr>
        <w:fldChar w:fldCharType="end"/>
      </w:r>
    </w:p>
    <w:p>
      <w:pPr>
        <w:pStyle w:val="WW-gloss-term"/>
        <w:rPr/>
      </w:pPr>
      <w:r>
        <w:rPr/>
        <w:t>373</w:t>
      </w:r>
    </w:p>
    <w:p>
      <w:pPr>
        <w:pStyle w:val="FootnoteText"/>
        <w:rPr/>
      </w:pPr>
      <w:r>
        <w:rPr/>
        <w:t xml:space="preserve">See also </w:t>
      </w:r>
      <w:r>
        <w:rPr>
          <w:rStyle w:val="wwc-sesame-zot-reference"/>
        </w:rPr>
        <w:t>Brahmavamso 2002</w:t>
      </w:r>
    </w:p>
    <w:p>
      <w:pPr>
        <w:pStyle w:val="WW-gloss-term"/>
        <w:rPr/>
      </w:pPr>
      <w:r>
        <w:rPr/>
        <w:t>374</w:t>
      </w:r>
    </w:p>
    <w:p>
      <w:pPr>
        <w:pStyle w:val="FootnoteText"/>
        <w:rPr/>
      </w:pPr>
      <w:r>
        <w:rPr/>
        <w:t xml:space="preserve">For example </w:t>
      </w:r>
      <w:r>
        <w:rPr>
          <w:rStyle w:val="wwc-sesame"/>
        </w:rPr>
        <w:t>Vism</w:t>
      </w:r>
      <w:r>
        <w:rPr/>
        <w:t xml:space="preserve"> 546</w:t>
      </w:r>
    </w:p>
    <w:p>
      <w:pPr>
        <w:pStyle w:val="WW-gloss-term"/>
        <w:rPr/>
      </w:pPr>
      <w:r>
        <w:rPr/>
        <w:t>375</w:t>
      </w:r>
    </w:p>
    <w:p>
      <w:pPr>
        <w:pStyle w:val="FootnoteText"/>
        <w:rPr/>
      </w:pPr>
      <w:r>
        <w:rPr>
          <w:rStyle w:val="wwc-sesame-zot-reference"/>
        </w:rPr>
        <w:t>Wijesekera 1994</w:t>
      </w:r>
      <w:r>
        <w:rPr/>
        <w:t xml:space="preserve"> p.111</w:t>
      </w:r>
    </w:p>
    <w:p>
      <w:pPr>
        <w:pStyle w:val="WW-gloss-term"/>
        <w:rPr/>
      </w:pPr>
      <w:r>
        <w:rPr/>
        <w:t>376</w:t>
      </w:r>
    </w:p>
    <w:p>
      <w:pPr>
        <w:pStyle w:val="FootnoteText"/>
        <w:rPr/>
      </w:pPr>
      <w:r>
        <w:rPr/>
        <w:t xml:space="preserve">BU 4.3.7, translation </w:t>
      </w:r>
      <w:r>
        <w:rPr>
          <w:rStyle w:val="wwc-sesame-zot-reference"/>
        </w:rPr>
        <w:t>Olivelle</w:t>
      </w:r>
    </w:p>
    <w:p>
      <w:pPr>
        <w:pStyle w:val="WW-gloss-term"/>
        <w:rPr/>
      </w:pPr>
      <w:r>
        <w:rPr/>
        <w:t>377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w:t>
      </w:r>
      <w:r>
        <w:rPr>
          <w:rStyle w:val="wwc-PTS-reference"/>
        </w:rPr>
        <w:t>M I 256</w:t>
      </w:r>
      <w:r>
        <w:rPr/>
        <w:t xml:space="preserve">. Compare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w:t>
      </w:r>
      <w:r>
        <w:rPr>
          <w:rStyle w:val="wwc-PTS-reference"/>
        </w:rPr>
        <w:t>M I 8</w:t>
      </w:r>
      <w:r>
        <w:rPr/>
        <w:t>: “It is this self of mine who speaks, who feels, who in various realms experiences the results of good and bad deeds.”</w:t>
      </w:r>
    </w:p>
    <w:p>
      <w:pPr>
        <w:pStyle w:val="WW-gloss-term"/>
        <w:rPr/>
      </w:pPr>
      <w:r>
        <w:rPr/>
        <w:t>378</w:t>
      </w:r>
    </w:p>
    <w:p>
      <w:pPr>
        <w:pStyle w:val="FootnoteText"/>
        <w:rPr/>
      </w:pPr>
      <w:r>
        <w:rPr/>
        <w:t xml:space="preserve">See also </w:t>
      </w:r>
      <w:r>
        <w:rPr>
          <w:rStyle w:val="wwc-sesame-zot-reference"/>
        </w:rPr>
        <w:t>Vetter 1988</w:t>
      </w:r>
      <w:r>
        <w:rPr/>
        <w:t xml:space="preserve"> p.48–50. For similar explanations see </w:t>
      </w:r>
      <w:r>
        <w:rPr>
          <w:rStyle w:val="wwc-sesame-zot-reference"/>
        </w:rPr>
        <w:t>Bodhi 1984</w:t>
      </w:r>
      <w:r>
        <w:rPr/>
        <w:t xml:space="preserve"> p.24, </w:t>
      </w:r>
      <w:r>
        <w:rPr>
          <w:rStyle w:val="wwc-sesame-zot-reference"/>
        </w:rPr>
        <w:t>Wijesekera 1994</w:t>
      </w:r>
      <w:r>
        <w:rPr/>
        <w:t xml:space="preserve"> p.168–172, </w:t>
      </w:r>
      <w:r>
        <w:rPr>
          <w:rStyle w:val="wwc-sesame-zot-reference"/>
        </w:rPr>
        <w:t>Shults</w:t>
      </w:r>
      <w:r>
        <w:rPr/>
        <w:t xml:space="preserve"> p.110</w:t>
      </w:r>
    </w:p>
    <w:p>
      <w:pPr>
        <w:pStyle w:val="WW-gloss-term"/>
        <w:rPr/>
      </w:pPr>
      <w:r>
        <w:rPr/>
        <w:t>379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28:7.13</w:t>
      </w:r>
      <w:r>
        <w:rPr>
          <w:rStyle w:val="Hyperlink"/>
        </w:rPr>
        <w:fldChar w:fldCharType="end"/>
      </w:r>
      <w:r>
        <w:rPr/>
        <w:t xml:space="preserve"> </w:t>
      </w:r>
      <w:r>
        <w:rPr>
          <w:rStyle w:val="wwc-PTS-reference"/>
        </w:rPr>
        <w:t>D III 105</w:t>
      </w:r>
      <w:r>
        <w:rPr/>
        <w:t xml:space="preserve">. See also </w:t>
      </w:r>
      <w:r>
        <w:rPr>
          <w:rStyle w:val="wwc-sesame-zot-reference"/>
        </w:rPr>
        <w:t>Anālayo 2008</w:t>
      </w:r>
      <w:r>
        <w:rPr/>
        <w:t xml:space="preserve"> p.97</w:t>
      </w:r>
    </w:p>
    <w:p>
      <w:pPr>
        <w:pStyle w:val="WW-gloss-term"/>
        <w:rPr/>
      </w:pPr>
      <w:r>
        <w:rPr/>
        <w:t>380</w:t>
      </w:r>
    </w:p>
    <w:p>
      <w:pPr>
        <w:pStyle w:val="FootnoteText"/>
        <w:rPr/>
      </w:pPr>
      <w:r>
        <w:rPr/>
        <w:t xml:space="preserve">See also </w:t>
      </w:r>
      <w:r>
        <w:rPr>
          <w:rStyle w:val="wwc-sesame-zot-reference"/>
        </w:rPr>
        <w:t>Hamilton</w:t>
      </w:r>
      <w:r>
        <w:rPr/>
        <w:t xml:space="preserve"> p.97</w:t>
      </w:r>
    </w:p>
    <w:p>
      <w:pPr>
        <w:pStyle w:val="WW-gloss-term"/>
        <w:rPr/>
      </w:pPr>
      <w:r>
        <w:rPr/>
        <w:t>381</w:t>
      </w:r>
    </w:p>
    <w:p>
      <w:pPr>
        <w:pStyle w:val="FootnoteText"/>
        <w:rPr/>
      </w:pPr>
      <w:r>
        <w:rPr/>
        <w:t>§126</w:t>
      </w:r>
    </w:p>
    <w:p>
      <w:pPr>
        <w:pStyle w:val="WW-gloss-term"/>
        <w:rPr/>
      </w:pPr>
      <w:r>
        <w:rPr/>
        <w:t>382</w:t>
      </w:r>
    </w:p>
    <w:p>
      <w:pPr>
        <w:pStyle w:val="FootnoteText"/>
        <w:rPr/>
      </w:pPr>
      <w:r>
        <w:rPr/>
        <w:t xml:space="preserve">For example </w:t>
      </w:r>
      <w:r>
        <w:rPr>
          <w:rStyle w:val="wwc-sesame-zot-reference"/>
        </w:rPr>
        <w:t>Buddhadāsa</w:t>
      </w:r>
      <w:r>
        <w:rPr/>
        <w:t xml:space="preserve"> p.14, </w:t>
      </w:r>
      <w:r>
        <w:rPr>
          <w:rStyle w:val="wwc-sesame-zot-reference"/>
        </w:rPr>
        <w:t>Reinhard</w:t>
      </w:r>
      <w:r>
        <w:rPr/>
        <w:t xml:space="preserve"> p.9</w:t>
      </w:r>
    </w:p>
    <w:p>
      <w:pPr>
        <w:pStyle w:val="WW-gloss-term"/>
        <w:rPr/>
      </w:pPr>
      <w:r>
        <w:rPr/>
        <w:t>383</w:t>
      </w:r>
    </w:p>
    <w:p>
      <w:pPr>
        <w:pStyle w:val="FootnoteText"/>
        <w:rPr/>
      </w:pPr>
      <w:r>
        <w:rPr/>
        <w:t xml:space="preserve">See also </w:t>
      </w:r>
      <w:r>
        <w:rPr>
          <w:rStyle w:val="wwc-sesame-zot-reference"/>
        </w:rPr>
        <w:t>Harvey 1995</w:t>
      </w:r>
      <w:r>
        <w:rPr/>
        <w:t xml:space="preserve"> p.98</w:t>
      </w:r>
    </w:p>
    <w:p>
      <w:pPr>
        <w:pStyle w:val="WW-gloss-term"/>
        <w:rPr/>
      </w:pPr>
      <w:r>
        <w:rPr/>
        <w:t>384</w:t>
      </w:r>
    </w:p>
    <w:p>
      <w:pPr>
        <w:pStyle w:val="FootnoteText"/>
        <w:rPr/>
      </w:pPr>
      <w:r>
        <w:rPr>
          <w:rStyle w:val="wwc-sesame-zot-reference"/>
        </w:rPr>
        <w:t>PED</w:t>
      </w:r>
      <w:r>
        <w:rPr/>
        <w:t xml:space="preserve"> s.v. </w:t>
      </w:r>
      <w:r>
        <w:rPr>
          <w:rStyle w:val="wwc-pali"/>
        </w:rPr>
        <w:t>viññāṇa</w:t>
      </w:r>
      <w:r>
        <w:rPr/>
        <w:t>, emphasis added.</w:t>
      </w:r>
    </w:p>
    <w:p>
      <w:pPr>
        <w:pStyle w:val="WW-gloss-term"/>
        <w:rPr/>
      </w:pPr>
      <w:r>
        <w:rPr/>
        <w:t>385</w:t>
      </w:r>
    </w:p>
    <w:p>
      <w:pPr>
        <w:pStyle w:val="FootnoteText"/>
        <w:rPr/>
      </w:pPr>
      <w:r>
        <w:rPr>
          <w:rStyle w:val="wwc-sesame-zot-reference"/>
        </w:rPr>
        <w:t>Olalde 2014</w:t>
      </w:r>
      <w:r>
        <w:rPr/>
        <w:t xml:space="preserve"> p.156. See also p.73ff.</w:t>
      </w:r>
    </w:p>
    <w:p>
      <w:pPr>
        <w:pStyle w:val="WW-gloss-term"/>
        <w:rPr/>
      </w:pPr>
      <w:r>
        <w:rPr/>
        <w:t>386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12.67:3.7–7.16</w:t>
      </w:r>
      <w:r>
        <w:rPr>
          <w:rStyle w:val="Hyperlink"/>
        </w:rPr>
        <w:fldChar w:fldCharType="end"/>
      </w:r>
    </w:p>
    <w:p>
      <w:pPr>
        <w:pStyle w:val="WW-gloss-term"/>
        <w:rPr/>
      </w:pPr>
      <w:r>
        <w:rPr/>
        <w:t>387</w:t>
      </w:r>
    </w:p>
    <w:p>
      <w:pPr>
        <w:pStyle w:val="FootnoteText"/>
        <w:rPr/>
      </w:pPr>
      <w:r>
        <w:rPr>
          <w:rStyle w:val="wwc-sesame-zot-reference"/>
        </w:rPr>
        <w:t>DPPN</w:t>
      </w:r>
    </w:p>
    <w:p>
      <w:pPr>
        <w:pStyle w:val="WW-gloss-term"/>
        <w:rPr/>
      </w:pPr>
      <w:r>
        <w:rPr/>
        <w:t>388</w:t>
      </w:r>
    </w:p>
    <w:p>
      <w:pPr>
        <w:pStyle w:val="FootnoteText"/>
        <w:rPr/>
      </w:pP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3.61</w:t>
      </w:r>
      <w:r>
        <w:rPr>
          <w:rStyle w:val="Hyperlink"/>
        </w:rPr>
        <w:fldChar w:fldCharType="end"/>
      </w:r>
    </w:p>
    <w:p>
      <w:pPr>
        <w:pStyle w:val="WW-gloss-term"/>
        <w:rPr/>
      </w:pPr>
      <w:r>
        <w:rPr/>
        <w:t>389</w:t>
      </w:r>
    </w:p>
    <w:p>
      <w:pPr>
        <w:pStyle w:val="FootnoteText"/>
        <w:rPr/>
      </w:pPr>
      <w:r>
        <w:rPr>
          <w:rStyle w:val="wwc-pali"/>
        </w:rPr>
        <w:t>‘</w:t>
      </w:r>
      <w:r>
        <w:rPr>
          <w:rStyle w:val="wwc-pali"/>
        </w:rPr>
        <w:t>Idaṁ saccan’ti maññati</w:t>
      </w:r>
      <w:r>
        <w:rPr/>
        <w:t xml:space="preserve">, ‘imagining they know the truth’. This is a typical example of Pāli using quotation in a more abstract sense than English. The quoted words are not literal thoughts, and therefore do not have to be translated as a literal quote. </w:t>
      </w:r>
      <w:r>
        <w:rPr>
          <w:rStyle w:val="wwc-pali"/>
        </w:rPr>
        <w:t>Idaṁ</w:t>
      </w:r>
      <w:r>
        <w:rPr/>
        <w:t xml:space="preserve"> is a pronoun without explicit referent, meaning it does not refer to any specific noun, including </w:t>
      </w:r>
      <w:r>
        <w:rPr>
          <w:rStyle w:val="wwc-pali"/>
        </w:rPr>
        <w:t>nāmarūpa</w:t>
      </w:r>
      <w:r>
        <w:rPr/>
        <w:t xml:space="preserve"> (contra e.g. </w:t>
      </w:r>
      <w:r>
        <w:rPr>
          <w:rStyle w:val="wwc-sesame-zot-reference"/>
        </w:rPr>
        <w:t>Ñāṇananda 2015</w:t>
      </w:r>
      <w:r>
        <w:rPr/>
        <w:t xml:space="preserve"> p.132). See the prose preceding these verses in the discourse, where </w:t>
      </w:r>
      <w:r>
        <w:rPr>
          <w:rStyle w:val="wwc-pali"/>
        </w:rPr>
        <w:t>idaṁ</w:t>
      </w:r>
      <w:r>
        <w:rPr/>
        <w:t xml:space="preserve"> also does not refer to anything specific: “What the world […] considers to be the truth (‘</w:t>
      </w:r>
      <w:r>
        <w:rPr>
          <w:rStyle w:val="wwc-pali"/>
        </w:rPr>
        <w:t>idaṁ saccan’ti upanijjhāyitaṁ</w:t>
      </w:r>
      <w:r>
        <w:rPr/>
        <w:t>), the noble ones […] understand to be false. […] What the world […] considers to be false (</w:t>
      </w:r>
      <w:r>
        <w:rPr>
          <w:rStyle w:val="wwc-pali"/>
        </w:rPr>
        <w:t>‘idaṁ musā’ti upanijjhāyitaṁ</w:t>
      </w:r>
      <w:r>
        <w:rPr/>
        <w:t xml:space="preserve">), the noble ones […] understand to be the truth.” There is no mention of </w:t>
      </w:r>
      <w:r>
        <w:rPr>
          <w:rStyle w:val="wwc-pali"/>
        </w:rPr>
        <w:t>nāmarūpa</w:t>
      </w:r>
      <w:r>
        <w:rPr/>
        <w:t xml:space="preserve"> at this point. Furthermore, if </w:t>
      </w:r>
      <w:r>
        <w:rPr>
          <w:rStyle w:val="wwc-pali"/>
        </w:rPr>
        <w:t>idaṁ</w:t>
      </w:r>
      <w:r>
        <w:rPr/>
        <w:t xml:space="preserve"> were to refer to </w:t>
      </w:r>
      <w:r>
        <w:rPr>
          <w:rStyle w:val="wwc-pali"/>
        </w:rPr>
        <w:t>nāmarūpa</w:t>
      </w:r>
      <w:r>
        <w:rPr/>
        <w:t xml:space="preserve"> here, then the noble ones also understand it to be true. This does not fit Ñāṇananda’s ideas, who took </w:t>
      </w:r>
      <w:r>
        <w:rPr>
          <w:rStyle w:val="wwc-pali"/>
        </w:rPr>
        <w:t>nāmarūpa</w:t>
      </w:r>
      <w:r>
        <w:rPr/>
        <w:t xml:space="preserve"> to be an intrinsically deluded cognition, “a product of imagination”. Instead, these are more general statements about what is taken to be true and false, not referring to anything specific.</w:t>
      </w:r>
    </w:p>
    <w:p>
      <w:pPr>
        <w:pStyle w:val="FootnoteText"/>
        <w:rPr/>
      </w:pPr>
      <w:r>
        <w:rPr/>
      </w:r>
    </w:p>
    <w:p>
      <w:pPr>
        <w:pStyle w:val="FootnoteText"/>
        <w:rPr/>
      </w:pPr>
      <w:r>
        <w:rPr/>
        <w:t xml:space="preserve">The same idea applies to the common phrase </w:t>
      </w:r>
      <w:r>
        <w:rPr>
          <w:rStyle w:val="wwc-pali"/>
        </w:rPr>
        <w:t>idam’eva saccaṁ</w:t>
      </w:r>
      <w:r>
        <w:rPr/>
        <w:t xml:space="preserve">, for example in </w:t>
      </w:r>
      <w:r>
        <w:rPr>
          <w:rStyle w:val="wwc-pali"/>
        </w:rPr>
        <w:t>sassato loko, idam’eva saccaṁ</w:t>
      </w:r>
      <w:r>
        <w:rPr/>
        <w:t xml:space="preserve">, ‘the world is eternal, just this is the truth’— e.g. </w:t>
      </w:r>
      <w:r>
        <w:fldChar w:fldCharType="begin"/>
      </w:r>
      <w:r>
        <w:rPr>
          <w:rStyle w:val="Hyperlink"/>
        </w:rPr>
        <w:instrText xml:space="preserve"> HYPERLINK "https://suttacentral.net/XXX/en/sujato" \l "YYY"</w:instrText>
      </w:r>
      <w:r>
        <w:rPr>
          <w:rStyle w:val="Hyperlink"/>
        </w:rPr>
        <w:fldChar w:fldCharType="separate"/>
      </w:r>
      <w:r>
        <w:rPr>
          <w:rStyle w:val="Hyperlink"/>
        </w:rPr>
        <w:t>DN 9:25.3</w:t>
      </w:r>
      <w:r>
        <w:rPr>
          <w:rStyle w:val="Hyperlink"/>
        </w:rPr>
        <w:fldChar w:fldCharType="end"/>
      </w:r>
      <w:r>
        <w:rPr/>
        <w:t xml:space="preserve"> </w:t>
      </w:r>
      <w:r>
        <w:rPr>
          <w:rStyle w:val="wwc-PTS-reference"/>
        </w:rPr>
        <w:t>D I 187</w:t>
      </w:r>
      <w:r>
        <w:rPr/>
        <w:t xml:space="preserve">. </w:t>
      </w:r>
      <w:r>
        <w:rPr>
          <w:rStyle w:val="wwc-pali"/>
        </w:rPr>
        <w:t>Idaṁ</w:t>
      </w:r>
      <w:r>
        <w:rPr/>
        <w:t xml:space="preserve"> is neuter, while </w:t>
      </w:r>
      <w:r>
        <w:rPr>
          <w:rStyle w:val="wwc-pali"/>
        </w:rPr>
        <w:t>loko</w:t>
      </w:r>
      <w:r>
        <w:rPr/>
        <w:t xml:space="preserve"> is masculine, so the former does not refer to the latter. Put differently, ‘the world’ is not considered to be ‘the truth’: it is the entire statement ‘the world is eternal’ which is taken as truth. Likewise, in the discourse at hand, </w:t>
      </w:r>
      <w:r>
        <w:rPr>
          <w:rStyle w:val="wwc-pali"/>
        </w:rPr>
        <w:t>nāmarūpa</w:t>
      </w:r>
      <w:r>
        <w:rPr/>
        <w:t xml:space="preserve"> is not the thing that is considered to be the truth. It is its selfhood which is mistakenly taken as truth, as the commentary also notes, not </w:t>
      </w:r>
      <w:r>
        <w:rPr>
          <w:rStyle w:val="wwc-pali"/>
        </w:rPr>
        <w:t>nāmarūpa</w:t>
      </w:r>
      <w:r>
        <w:rPr/>
        <w:t xml:space="preserve"> itself. The world imagining (</w:t>
      </w:r>
      <w:r>
        <w:rPr>
          <w:rStyle w:val="wwc-pali"/>
        </w:rPr>
        <w:t>maññati</w:t>
      </w:r>
      <w:r>
        <w:rPr/>
        <w:t xml:space="preserve">) things to be true refers back to the earlier line on them imagining </w:t>
      </w:r>
      <w:r>
        <w:rPr>
          <w:rStyle w:val="wwc-pali"/>
        </w:rPr>
        <w:t>nāmarūpa</w:t>
      </w:r>
      <w:r>
        <w:rPr/>
        <w:t xml:space="preserve"> to have a self (</w:t>
      </w:r>
      <w:r>
        <w:rPr>
          <w:rStyle w:val="wwc-pali"/>
        </w:rPr>
        <w:t>atta-māniṁ</w:t>
      </w:r>
      <w:r>
        <w:rPr/>
        <w:t xml:space="preserve">). It also corresponds with the next line: “for whatever they imagine it is [i.e. a self], it is different from that [i.e. without a self].” (See also the passage quoted at </w:t>
      </w:r>
      <w:r>
        <w:rPr>
          <w:rStyle w:val="internal-reference"/>
        </w:rPr>
        <w:t>note 422</w:t>
      </w:r>
      <w:r>
        <w:rPr/>
        <w:t xml:space="preserve">: “The Buddha has said to not identify with the attainment of the first </w:t>
      </w:r>
      <w:r>
        <w:rPr>
          <w:rStyle w:val="wwc-pali"/>
        </w:rPr>
        <w:t>jhāna</w:t>
      </w:r>
      <w:r>
        <w:rPr/>
        <w:t>. For whatever you imagine it is, it is different from that.”)</w:t>
      </w:r>
    </w:p>
    <w:p>
      <w:pPr>
        <w:pStyle w:val="FootnoteText"/>
        <w:rPr/>
      </w:pPr>
      <w:r>
        <w:rPr/>
      </w:r>
    </w:p>
    <w:p>
      <w:pPr>
        <w:pStyle w:val="WW-gloss-term"/>
        <w:rPr/>
      </w:pPr>
      <w:r>
        <w:rPr/>
        <w:t>390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3.12:51.1–53.4</w:t>
      </w:r>
      <w:r>
        <w:rPr>
          <w:rStyle w:val="Hyperlink"/>
        </w:rPr>
        <w:fldChar w:fldCharType="end"/>
      </w:r>
    </w:p>
    <w:p>
      <w:pPr>
        <w:pStyle w:val="WW-gloss-term"/>
        <w:rPr/>
      </w:pPr>
      <w:r>
        <w:rPr/>
        <w:t>391</w:t>
      </w:r>
    </w:p>
    <w:p>
      <w:pPr>
        <w:pStyle w:val="FootnoteText"/>
        <w:rPr/>
      </w:pPr>
      <w:r>
        <w:rPr/>
        <w:t xml:space="preserve">The verb </w:t>
      </w:r>
      <w:r>
        <w:rPr>
          <w:rStyle w:val="wwc-pali"/>
        </w:rPr>
        <w:t>niviṭṭha</w:t>
      </w:r>
      <w:r>
        <w:rPr/>
        <w:t xml:space="preserve"> has two meanings. It literally means settling down in some physical place like a campground, but it can also figuratively mean being used to something, similar to English ‘habituate’. In this case it can mean being reborn “in” or being attached to </w:t>
      </w:r>
      <w:r>
        <w:rPr>
          <w:rStyle w:val="wwc-pali"/>
        </w:rPr>
        <w:t>nāmarūpa</w:t>
      </w:r>
      <w:r>
        <w:rPr/>
        <w:t>. ‘Resorting to’ is an attempt to cover both meanings. The commentary only comments on the figurative meaning, but Venerable Ṭhānissaro translated the line as ‘making an abode in name &amp; form’, which given the preceding prose seems well-justified. The following two verses refer to rebirth and its ending as well.</w:t>
      </w:r>
    </w:p>
    <w:p>
      <w:pPr>
        <w:pStyle w:val="WW-gloss-term"/>
        <w:rPr/>
      </w:pPr>
      <w:r>
        <w:rPr/>
        <w:t>392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41</w:t>
      </w:r>
      <w:r>
        <w:rPr>
          <w:rStyle w:val="Hyperlink"/>
        </w:rPr>
        <w:fldChar w:fldCharType="end"/>
      </w:r>
    </w:p>
    <w:p>
      <w:pPr>
        <w:pStyle w:val="WW-gloss-term"/>
        <w:rPr/>
      </w:pPr>
      <w:r>
        <w:rPr/>
        <w:t>393</w:t>
      </w:r>
    </w:p>
    <w:p>
      <w:pPr>
        <w:pStyle w:val="FootnoteText"/>
        <w:rPr/>
      </w:pPr>
      <w:r>
        <w:rPr/>
        <w:t>There is a pun here, which I tried to show in translation. The cutting of the tangle (</w:t>
      </w:r>
      <w:r>
        <w:rPr>
          <w:rStyle w:val="wwc-pali"/>
        </w:rPr>
        <w:t>jaṭā</w:t>
      </w:r>
      <w:r>
        <w:rPr/>
        <w:t>) also refers to the hair of Bhāradvāja Tangled-Hair (</w:t>
      </w:r>
      <w:r>
        <w:rPr>
          <w:rStyle w:val="wwc-pali"/>
        </w:rPr>
        <w:t>jaṭā-bhāradvāja</w:t>
      </w:r>
      <w:r>
        <w:rPr/>
        <w:t>), which was dreadlocked in the style of brahmin renunciants.</w:t>
      </w:r>
    </w:p>
    <w:p>
      <w:pPr>
        <w:pStyle w:val="WW-gloss-term"/>
        <w:rPr/>
      </w:pPr>
      <w:r>
        <w:rPr/>
        <w:t>394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7.6</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1.23</w:t>
      </w:r>
      <w:r>
        <w:rPr>
          <w:rStyle w:val="Hyperlink"/>
        </w:rPr>
        <w:fldChar w:fldCharType="end"/>
      </w:r>
    </w:p>
    <w:p>
      <w:pPr>
        <w:pStyle w:val="WW-gloss-term"/>
        <w:rPr/>
      </w:pPr>
      <w:r>
        <w:rPr/>
        <w:t>395</w:t>
      </w:r>
    </w:p>
    <w:p>
      <w:pPr>
        <w:pStyle w:val="FootnoteText"/>
        <w:rPr/>
      </w:pPr>
      <w:r>
        <w:rPr/>
        <w:t>§146</w:t>
      </w:r>
    </w:p>
    <w:p>
      <w:pPr>
        <w:pStyle w:val="WW-gloss-term"/>
        <w:rPr/>
      </w:pPr>
      <w:r>
        <w:rPr/>
        <w:t>396</w:t>
      </w:r>
    </w:p>
    <w:p>
      <w:pPr>
        <w:pStyle w:val="FootnoteText"/>
        <w:rPr/>
      </w:pPr>
      <w:hyperlink r:id="rId30">
        <w:r>
          <w:rPr>
            <w:rStyle w:val="Hyperlink"/>
          </w:rPr>
          <w:t>SĀ 1187</w:t>
        </w:r>
      </w:hyperlink>
      <w:r>
        <w:rPr/>
        <w:t xml:space="preserve">, </w:t>
      </w:r>
      <w:r>
        <w:rPr/>
        <w:t>諸識永滅</w:t>
      </w:r>
    </w:p>
    <w:p>
      <w:pPr>
        <w:pStyle w:val="WW-gloss-term"/>
        <w:rPr/>
      </w:pPr>
      <w:r>
        <w:rPr/>
        <w:t>397</w:t>
      </w:r>
    </w:p>
    <w:p>
      <w:pPr>
        <w:pStyle w:val="FootnoteText"/>
        <w:rPr/>
      </w:pPr>
      <w:hyperlink r:id="rId31">
        <w:r>
          <w:rPr>
            <w:rStyle w:val="Hyperlink"/>
          </w:rPr>
          <w:t>SĀ</w:t>
        </w:r>
        <w:r>
          <w:rPr>
            <w:rStyle w:val="Hyperlink"/>
            <w:vertAlign w:val="superscript"/>
          </w:rPr>
          <w:t>2</w:t>
        </w:r>
        <w:r>
          <w:rPr>
            <w:rStyle w:val="Hyperlink"/>
          </w:rPr>
          <w:t xml:space="preserve"> 100</w:t>
        </w:r>
      </w:hyperlink>
      <w:r>
        <w:rPr/>
        <w:t xml:space="preserve">, </w:t>
      </w:r>
      <w:r>
        <w:rPr/>
        <w:t>心意盡滅</w:t>
      </w:r>
    </w:p>
    <w:p>
      <w:pPr>
        <w:pStyle w:val="WW-gloss-term"/>
        <w:rPr/>
      </w:pPr>
      <w:r>
        <w:rPr/>
        <w:t>398</w:t>
      </w:r>
    </w:p>
    <w:p>
      <w:pPr>
        <w:pStyle w:val="FootnoteText"/>
        <w:rPr/>
      </w:pPr>
      <w:r>
        <w:rPr/>
        <w:t xml:space="preserve">See also </w:t>
      </w:r>
      <w:r>
        <w:rPr>
          <w:rStyle w:val="wwc-sesame-zot-reference"/>
        </w:rPr>
        <w:t>Bodhi 2000</w:t>
      </w:r>
      <w:r>
        <w:rPr/>
        <w:t xml:space="preserve"> p.48: “Consciousness can operate only in dependence on a physical body (</w:t>
      </w:r>
      <w:r>
        <w:rPr>
          <w:rStyle w:val="wwc-pali"/>
        </w:rPr>
        <w:t>rūpa</w:t>
      </w:r>
      <w:r>
        <w:rPr/>
        <w:t>) and in conjunction with its constellation of concomitants (</w:t>
      </w:r>
      <w:r>
        <w:rPr>
          <w:rStyle w:val="wwc-pali"/>
        </w:rPr>
        <w:t>nāma</w:t>
      </w:r>
      <w:r>
        <w:rPr/>
        <w:t>); conversely, only when consciousness is present can a compound of material elements function as a sentient body and the mental concomitants participate in cognition.”</w:t>
      </w:r>
    </w:p>
    <w:p>
      <w:pPr>
        <w:pStyle w:val="WW-gloss-term"/>
        <w:rPr/>
      </w:pPr>
      <w:r>
        <w:rPr/>
        <w:t>399</w:t>
      </w:r>
    </w:p>
    <w:p>
      <w:pPr>
        <w:pStyle w:val="FootnoteText"/>
        <w:rPr/>
      </w:pPr>
      <w:r>
        <w:rPr>
          <w:rStyle w:val="wwc-sesame-zot-reference"/>
        </w:rPr>
        <w:t>Langer</w:t>
      </w:r>
      <w:r>
        <w:rPr/>
        <w:t xml:space="preserve"> p.27, translation mine</w:t>
      </w:r>
    </w:p>
    <w:p>
      <w:pPr>
        <w:pStyle w:val="WW-gloss-term"/>
        <w:rPr/>
      </w:pPr>
      <w:r>
        <w:rPr/>
        <w:t>400</w:t>
      </w:r>
    </w:p>
    <w:p>
      <w:pPr>
        <w:pStyle w:val="FootnoteText"/>
        <w:rPr/>
      </w:pPr>
      <w:r>
        <w:rPr/>
        <w:t xml:space="preserve">See also </w:t>
      </w:r>
      <w:r>
        <w:rPr>
          <w:rStyle w:val="wwc-sesame-zot-reference"/>
        </w:rPr>
        <w:t>Karunadasa</w:t>
      </w:r>
      <w:r>
        <w:rPr/>
        <w:t xml:space="preserve"> p.33: “It is on the reciprocal interplay between consciousness and mentality-materiality that the whole </w:t>
      </w:r>
      <w:r>
        <w:rPr>
          <w:rStyle w:val="wwc-pali"/>
        </w:rPr>
        <w:t>saṁsāric</w:t>
      </w:r>
      <w:r>
        <w:rPr/>
        <w:t xml:space="preserve"> process of birth and death revolves. In this sense their mutual dependence constitutes the irreducible ground of </w:t>
      </w:r>
      <w:r>
        <w:rPr>
          <w:rStyle w:val="wwc-pali"/>
        </w:rPr>
        <w:t>saṁsāric</w:t>
      </w:r>
      <w:r>
        <w:rPr/>
        <w:t xml:space="preserve"> experience.”</w:t>
      </w:r>
    </w:p>
    <w:p>
      <w:pPr>
        <w:pStyle w:val="WW-gloss-term"/>
        <w:rPr/>
      </w:pPr>
      <w:r>
        <w:rPr/>
        <w:t>401</w:t>
      </w:r>
    </w:p>
    <w:p>
      <w:pPr>
        <w:pStyle w:val="FootnoteText"/>
        <w:rPr/>
      </w:pPr>
      <w:r>
        <w:rPr/>
        <w:t xml:space="preserve">For example </w:t>
      </w:r>
      <w:r>
        <w:rPr>
          <w:rStyle w:val="wwc-sesame-zot-reference"/>
        </w:rPr>
        <w:t>Harvey 1995</w:t>
      </w:r>
      <w:r>
        <w:rPr/>
        <w:t xml:space="preserve"> p.143, </w:t>
      </w:r>
      <w:r>
        <w:rPr>
          <w:rStyle w:val="wwc-sesame-zot-reference"/>
        </w:rPr>
        <w:t>Pasanno</w:t>
      </w:r>
      <w:r>
        <w:rPr/>
        <w:t xml:space="preserve"> p.133, </w:t>
      </w:r>
      <w:r>
        <w:rPr>
          <w:rStyle w:val="wwc-sesame-zot-reference"/>
        </w:rPr>
        <w:t>Cintita</w:t>
      </w:r>
      <w:r>
        <w:rPr/>
        <w:t xml:space="preserve"> p.166</w:t>
      </w:r>
    </w:p>
    <w:p>
      <w:pPr>
        <w:pStyle w:val="WW-gloss-term"/>
        <w:rPr/>
      </w:pPr>
      <w:r>
        <w:rPr/>
        <w:t>402</w:t>
      </w:r>
    </w:p>
    <w:p>
      <w:pPr>
        <w:pStyle w:val="FootnoteText"/>
        <w:rPr/>
      </w:pPr>
      <w:r>
        <w:rPr/>
        <w:t>Sujato 2011a</w:t>
      </w:r>
    </w:p>
    <w:p>
      <w:pPr>
        <w:pStyle w:val="WW-gloss-term"/>
        <w:rPr/>
      </w:pPr>
      <w:r>
        <w:rPr/>
        <w:t>403</w:t>
      </w:r>
    </w:p>
    <w:p>
      <w:pPr>
        <w:pStyle w:val="FootnoteText"/>
        <w:rPr/>
      </w:pPr>
      <w:r>
        <w:rPr/>
        <w:t>Bodhi 2020 p.25. See also Warder 2010 p.5</w:t>
      </w:r>
    </w:p>
    <w:p>
      <w:pPr>
        <w:pStyle w:val="WW-gloss-term"/>
        <w:rPr/>
      </w:pPr>
      <w:r>
        <w:rPr/>
        <w:t>404</w:t>
      </w:r>
    </w:p>
    <w:p>
      <w:pPr>
        <w:pStyle w:val="FootnoteText"/>
        <w:rPr/>
      </w:pPr>
      <w:r>
        <w:rPr/>
        <w:t>See Bodhi 2000 n.114 at SN 22.79: “Usually in the suttas viññaṇa is presented simply as the basic awareness of an object through one of the sense bases, i.e., as bare ‘consciousness of’ rather than as a discriminative capacity.” See also Hamilton p.53, 92</w:t>
      </w:r>
    </w:p>
    <w:p>
      <w:pPr>
        <w:pStyle w:val="WW-gloss-term"/>
        <w:rPr/>
      </w:pPr>
      <w:r>
        <w:rPr/>
        <w:t>405</w:t>
      </w:r>
    </w:p>
    <w:p>
      <w:pPr>
        <w:pStyle w:val="FootnoteText"/>
        <w:rPr/>
      </w:pPr>
      <w:r>
        <w:rPr/>
        <w:t>Ñāṇamoli 1956 n.48 p.606. See also Gombrich 1980 p.43</w:t>
      </w:r>
    </w:p>
    <w:p>
      <w:pPr>
        <w:pStyle w:val="WW-gloss-term"/>
        <w:rPr/>
      </w:pPr>
      <w:r>
        <w:rPr/>
        <w:t>406</w:t>
      </w:r>
    </w:p>
    <w:p>
      <w:pPr>
        <w:pStyle w:val="FootnoteText"/>
        <w:rPr/>
      </w:pPr>
      <w:r>
        <w:rPr/>
        <w:t>Schmithausen 2000 p.74, translation mine, emphasis in the original</w:t>
      </w:r>
    </w:p>
    <w:p>
      <w:pPr>
        <w:pStyle w:val="WW-gloss-term"/>
        <w:rPr/>
      </w:pPr>
      <w:r>
        <w:rPr/>
        <w:t>407</w:t>
      </w:r>
    </w:p>
    <w:p>
      <w:pPr>
        <w:pStyle w:val="FootnoteText"/>
        <w:rPr/>
      </w:pPr>
      <w:r>
        <w:rPr/>
        <w:t>Brahmavamso 1994, which uses the simile with reference to feelings instead of consciousness, but the idea is the same.</w:t>
      </w:r>
    </w:p>
    <w:p>
      <w:pPr>
        <w:pStyle w:val="WW-gloss-term"/>
        <w:rPr/>
      </w:pPr>
      <w:r>
        <w:rPr/>
        <w:t>408</w:t>
      </w:r>
    </w:p>
    <w:p>
      <w:pPr>
        <w:pStyle w:val="FootnoteText"/>
        <w:rPr/>
      </w:pPr>
      <w:r>
        <w:rPr/>
        <w:t>See also Bodhi 1998 p.168: “We might instead hold that the vedanā link should be understood as the result of past kamma only in the more general sense that the capacity for experiencing feeling is a consequence of obtaining a sentient organism through the force of past kamma. […] That is, it is past kamma, accompanied by ignorance and craving, that brought into being the present sentient organism equipped with its six sense bases through which feeling is experienced.”</w:t>
      </w:r>
    </w:p>
    <w:p>
      <w:pPr>
        <w:pStyle w:val="WW-gloss-term"/>
        <w:rPr/>
      </w:pPr>
      <w:r>
        <w:rPr/>
        <w:t>409</w:t>
      </w:r>
    </w:p>
    <w:p>
      <w:pPr>
        <w:pStyle w:val="FootnoteText"/>
        <w:rPr/>
      </w:pPr>
      <w:r>
        <w:rPr/>
        <w:t>MN 43:9.1–9.9 M I 293</w:t>
      </w:r>
    </w:p>
    <w:p>
      <w:pPr>
        <w:pStyle w:val="WW-gloss-term"/>
        <w:rPr/>
      </w:pPr>
      <w:r>
        <w:rPr/>
        <w:t>410</w:t>
      </w:r>
    </w:p>
    <w:p>
      <w:pPr>
        <w:pStyle w:val="FootnoteText"/>
        <w:rPr/>
      </w:pPr>
      <w:r>
        <w:rPr/>
        <w:t>MN 148:8.1–8.11 M III 281</w:t>
      </w:r>
    </w:p>
    <w:p>
      <w:pPr>
        <w:pStyle w:val="WW-gloss-term"/>
        <w:rPr/>
      </w:pPr>
      <w:r>
        <w:rPr/>
        <w:t>411</w:t>
      </w:r>
    </w:p>
    <w:p>
      <w:pPr>
        <w:pStyle w:val="FootnoteText"/>
        <w:rPr/>
      </w:pPr>
      <w:r>
        <w:rPr/>
        <w:t>See Hamilton p.89</w:t>
      </w:r>
    </w:p>
    <w:p>
      <w:pPr>
        <w:pStyle w:val="WW-gloss-term"/>
        <w:rPr/>
      </w:pPr>
      <w:r>
        <w:rPr/>
        <w:t>412</w:t>
      </w:r>
    </w:p>
    <w:p>
      <w:pPr>
        <w:pStyle w:val="FootnoteText"/>
        <w:rPr/>
      </w:pPr>
      <w:r>
        <w:rPr/>
        <w:t>MN 28:27.1 M I 190</w:t>
      </w:r>
    </w:p>
    <w:p>
      <w:pPr>
        <w:pStyle w:val="WW-gloss-term"/>
        <w:rPr/>
      </w:pPr>
      <w:r>
        <w:rPr/>
        <w:t>413</w:t>
      </w:r>
    </w:p>
    <w:p>
      <w:pPr>
        <w:pStyle w:val="FootnoteText"/>
        <w:rPr/>
      </w:pPr>
      <w:r>
        <w:rPr/>
        <w:t>MN 38:8.1–8.21 M I 260. SN 12.62, SN 36.10, and SN 48.39 contain a similar simile which compares sense impression to fire sticks.</w:t>
      </w:r>
    </w:p>
    <w:p>
      <w:pPr>
        <w:pStyle w:val="WW-gloss-term"/>
        <w:rPr/>
      </w:pPr>
      <w:r>
        <w:rPr/>
        <w:t>414</w:t>
      </w:r>
    </w:p>
    <w:p>
      <w:pPr>
        <w:pStyle w:val="FootnoteText"/>
        <w:rPr/>
      </w:pPr>
      <w:r>
        <w:rPr/>
        <w:t>See for example SN 12.52:2.3: “With that nutriment, that fuel, that bonfire would burn for a very long time.”</w:t>
      </w:r>
    </w:p>
    <w:p>
      <w:pPr>
        <w:pStyle w:val="WW-gloss-term"/>
        <w:rPr/>
      </w:pPr>
      <w:r>
        <w:rPr/>
        <w:t>415</w:t>
      </w:r>
    </w:p>
    <w:p>
      <w:pPr>
        <w:pStyle w:val="FootnoteText"/>
        <w:rPr/>
      </w:pPr>
      <w:r>
        <w:rPr/>
        <w:t>MN 28:17.1 M I 188</w:t>
      </w:r>
    </w:p>
    <w:p>
      <w:pPr>
        <w:pStyle w:val="WW-gloss-term"/>
        <w:rPr/>
      </w:pPr>
      <w:r>
        <w:rPr/>
        <w:t>416</w:t>
      </w:r>
    </w:p>
    <w:p>
      <w:pPr>
        <w:pStyle w:val="FootnoteText"/>
        <w:rPr/>
      </w:pPr>
      <w:r>
        <w:rPr/>
        <w:t>On the same passage see also Gombrich 2009 p.120</w:t>
      </w:r>
    </w:p>
    <w:p>
      <w:pPr>
        <w:pStyle w:val="WW-gloss-term"/>
        <w:rPr/>
      </w:pPr>
      <w:r>
        <w:rPr/>
        <w:t>417</w:t>
      </w:r>
    </w:p>
    <w:p>
      <w:pPr>
        <w:pStyle w:val="FootnoteText"/>
        <w:rPr/>
      </w:pPr>
      <w:r>
        <w:rPr/>
        <w:t>MN 146:8.25–9.19 M III 273</w:t>
      </w:r>
    </w:p>
    <w:p>
      <w:pPr>
        <w:pStyle w:val="WW-gloss-term"/>
        <w:rPr/>
      </w:pPr>
      <w:r>
        <w:rPr/>
        <w:t>418</w:t>
      </w:r>
    </w:p>
    <w:p>
      <w:pPr>
        <w:pStyle w:val="FootnoteText"/>
        <w:rPr/>
      </w:pPr>
      <w:r>
        <w:rPr/>
        <w:t>SN 35.92:1.3–1.5</w:t>
      </w:r>
    </w:p>
    <w:p>
      <w:pPr>
        <w:pStyle w:val="WW-gloss-term"/>
        <w:rPr/>
      </w:pPr>
      <w:r>
        <w:rPr/>
        <w:t>419</w:t>
      </w:r>
    </w:p>
    <w:p>
      <w:pPr>
        <w:pStyle w:val="FootnoteText"/>
        <w:rPr/>
      </w:pPr>
      <w:r>
        <w:rPr/>
        <w:t>SN 35.93</w:t>
      </w:r>
    </w:p>
    <w:p>
      <w:pPr>
        <w:pStyle w:val="WW-gloss-term"/>
        <w:rPr/>
      </w:pPr>
      <w:r>
        <w:rPr/>
        <w:t>420</w:t>
      </w:r>
    </w:p>
    <w:p>
      <w:pPr>
        <w:pStyle w:val="FootnoteText"/>
        <w:rPr/>
      </w:pPr>
      <w:r>
        <w:rPr/>
        <w:t>See DN 1:3.21.1–3.26.2 D I 36</w:t>
      </w:r>
    </w:p>
    <w:p>
      <w:pPr>
        <w:pStyle w:val="WW-gloss-term"/>
        <w:rPr/>
      </w:pPr>
      <w:r>
        <w:rPr/>
        <w:t>421</w:t>
      </w:r>
    </w:p>
    <w:p>
      <w:pPr>
        <w:pStyle w:val="FootnoteText"/>
        <w:rPr/>
      </w:pPr>
      <w:r>
        <w:rPr/>
        <w:t>SN 35.84</w:t>
      </w:r>
    </w:p>
    <w:p>
      <w:pPr>
        <w:pStyle w:val="WW-gloss-term"/>
        <w:rPr/>
      </w:pPr>
      <w:r>
        <w:rPr/>
        <w:t>422</w:t>
      </w:r>
    </w:p>
    <w:p>
      <w:pPr>
        <w:pStyle w:val="FootnoteText"/>
        <w:rPr/>
      </w:pPr>
      <w:r>
        <w:rPr/>
        <w:t>MN 113:21.7–21.8 M III 42</w:t>
      </w:r>
    </w:p>
    <w:p>
      <w:pPr>
        <w:pStyle w:val="WW-gloss-term"/>
        <w:rPr/>
      </w:pPr>
      <w:r>
        <w:rPr/>
        <w:t>423</w:t>
      </w:r>
    </w:p>
    <w:p>
      <w:pPr>
        <w:pStyle w:val="FootnoteText"/>
        <w:rPr/>
      </w:pPr>
      <w:r>
        <w:rPr/>
        <w:t>See also Brahmavamso 2006 ‘The Nature of Citta’</w:t>
      </w:r>
    </w:p>
    <w:p>
      <w:pPr>
        <w:pStyle w:val="WW-gloss-term"/>
        <w:rPr/>
      </w:pPr>
      <w:r>
        <w:rPr/>
        <w:t>424</w:t>
      </w:r>
    </w:p>
    <w:p>
      <w:pPr>
        <w:pStyle w:val="FootnoteText"/>
        <w:rPr/>
      </w:pPr>
      <w:r>
        <w:rPr/>
        <w:t>SN 36.6:2.1. See also SN 36.4</w:t>
      </w:r>
    </w:p>
    <w:p>
      <w:pPr>
        <w:pStyle w:val="WW-gloss-term"/>
        <w:rPr/>
      </w:pPr>
      <w:r>
        <w:rPr/>
        <w:t>425</w:t>
      </w:r>
    </w:p>
    <w:p>
      <w:pPr>
        <w:pStyle w:val="FootnoteText"/>
        <w:rPr/>
      </w:pPr>
      <w:r>
        <w:rPr/>
        <w:t>SN 12.19</w:t>
      </w:r>
    </w:p>
    <w:p>
      <w:pPr>
        <w:pStyle w:val="WW-gloss-term"/>
        <w:rPr/>
      </w:pPr>
      <w:r>
        <w:rPr/>
        <w:t>426</w:t>
      </w:r>
    </w:p>
    <w:p>
      <w:pPr>
        <w:pStyle w:val="FootnoteText"/>
        <w:rPr/>
      </w:pPr>
      <w:r>
        <w:rPr/>
        <w:t xml:space="preserve">Savijñānakaḥ kāyo (SF 161) and </w:t>
      </w:r>
      <w:r>
        <w:rPr/>
        <w:t xml:space="preserve">識身 </w:t>
      </w:r>
      <w:r>
        <w:rPr/>
        <w:t>(SĀ 294). See Choong p.185</w:t>
      </w:r>
    </w:p>
    <w:p>
      <w:pPr>
        <w:pStyle w:val="WW-gloss-term"/>
        <w:rPr/>
      </w:pPr>
      <w:r>
        <w:rPr/>
        <w:t>427</w:t>
      </w:r>
    </w:p>
    <w:p>
      <w:pPr>
        <w:pStyle w:val="FootnoteText"/>
        <w:rPr/>
      </w:pPr>
      <w:r>
        <w:rPr/>
        <w:t>See note 361</w:t>
      </w:r>
    </w:p>
    <w:p>
      <w:pPr>
        <w:pStyle w:val="WW-gloss-term"/>
        <w:rPr/>
      </w:pPr>
      <w:r>
        <w:rPr/>
        <w:t>428</w:t>
      </w:r>
    </w:p>
    <w:p>
      <w:pPr>
        <w:pStyle w:val="FootnoteText"/>
        <w:rPr/>
      </w:pPr>
      <w:r>
        <w:rPr/>
        <w:t>DOP under nimitta</w:t>
      </w:r>
    </w:p>
    <w:p>
      <w:pPr>
        <w:pStyle w:val="WW-gloss-term"/>
        <w:rPr/>
      </w:pPr>
      <w:r>
        <w:rPr/>
        <w:t>429</w:t>
      </w:r>
    </w:p>
    <w:p>
      <w:pPr>
        <w:pStyle w:val="FootnoteText"/>
        <w:rPr/>
      </w:pPr>
      <w:r>
        <w:rPr/>
        <w:t>Bodhi 2012 at AN 3.32, AN 3.33 and AN 7.49. Here I regard nāmarūpa as a bahubbīhi-like compound used as a noun; see note 113</w:t>
      </w:r>
    </w:p>
    <w:p>
      <w:pPr>
        <w:pStyle w:val="WW-gloss-term"/>
        <w:rPr/>
      </w:pPr>
      <w:r>
        <w:rPr/>
        <w:t>430</w:t>
      </w:r>
    </w:p>
    <w:p>
      <w:pPr>
        <w:pStyle w:val="FootnoteText"/>
        <w:rPr/>
      </w:pPr>
      <w:r>
        <w:rPr/>
        <w:t>Schmithausen 2000 p.66 n.103, translation mine</w:t>
      </w:r>
    </w:p>
    <w:p>
      <w:pPr>
        <w:pStyle w:val="WW-gloss-term"/>
        <w:rPr/>
      </w:pPr>
      <w:r>
        <w:rPr/>
        <w:t>431</w:t>
      </w:r>
    </w:p>
    <w:p>
      <w:pPr>
        <w:pStyle w:val="FootnoteText"/>
        <w:rPr/>
      </w:pPr>
      <w:r>
        <w:rPr/>
        <w:t>Gonda p.8</w:t>
      </w:r>
    </w:p>
    <w:p>
      <w:pPr>
        <w:pStyle w:val="WW-gloss-term"/>
        <w:rPr/>
      </w:pPr>
      <w:r>
        <w:rPr/>
        <w:t>432</w:t>
      </w:r>
    </w:p>
    <w:p>
      <w:pPr>
        <w:pStyle w:val="FootnoteText"/>
        <w:rPr/>
      </w:pPr>
      <w:r>
        <w:rPr/>
        <w:t>Bodhi 2000 n.48 at SN 12.19</w:t>
      </w:r>
    </w:p>
    <w:p>
      <w:pPr>
        <w:pStyle w:val="WW-gloss-term"/>
        <w:rPr/>
      </w:pPr>
      <w:r>
        <w:rPr/>
        <w:t>433</w:t>
      </w:r>
    </w:p>
    <w:p>
      <w:pPr>
        <w:pStyle w:val="FootnoteText"/>
        <w:rPr/>
      </w:pPr>
      <w:r>
        <w:rPr/>
        <w:t>Hamilton p.127–135</w:t>
      </w:r>
    </w:p>
    <w:p>
      <w:pPr>
        <w:pStyle w:val="WW-gloss-term"/>
        <w:rPr/>
      </w:pPr>
      <w:r>
        <w:rPr/>
        <w:t>434</w:t>
      </w:r>
    </w:p>
    <w:p>
      <w:pPr>
        <w:pStyle w:val="FootnoteText"/>
        <w:rPr/>
      </w:pPr>
      <w:r>
        <w:rPr/>
        <w:t>Falk p.56 n.1</w:t>
      </w:r>
    </w:p>
    <w:p>
      <w:pPr>
        <w:pStyle w:val="WW-gloss-term"/>
        <w:rPr/>
      </w:pPr>
      <w:r>
        <w:rPr/>
        <w:t>435</w:t>
      </w:r>
    </w:p>
    <w:p>
      <w:pPr>
        <w:pStyle w:val="FootnoteText"/>
        <w:rPr/>
      </w:pPr>
      <w:r>
        <w:rPr/>
        <w:t>For example Reat, Bucknell p.324, Anālayo 2018 p.25</w:t>
      </w:r>
    </w:p>
    <w:p>
      <w:pPr>
        <w:pStyle w:val="WW-gloss-term"/>
        <w:rPr/>
      </w:pPr>
      <w:r>
        <w:rPr/>
        <w:t>436</w:t>
      </w:r>
    </w:p>
    <w:p>
      <w:pPr>
        <w:pStyle w:val="FootnoteText"/>
        <w:rPr/>
      </w:pPr>
      <w:r>
        <w:rPr/>
        <w:t>For example Ñāṇananda 1974/2007 p.31, Cintita p.152, Amaro p.116. The first two both quote the Discourse on the Foolish and Wise in support, but only the part on the fools, omitting the statement on the wise also experiencing nāmarūpa.</w:t>
      </w:r>
    </w:p>
    <w:p>
      <w:pPr>
        <w:pStyle w:val="WW-gloss-term"/>
        <w:rPr/>
      </w:pPr>
      <w:r>
        <w:rPr/>
        <w:t>437</w:t>
      </w:r>
    </w:p>
    <w:p>
      <w:pPr>
        <w:pStyle w:val="FootnoteText"/>
        <w:rPr/>
      </w:pPr>
      <w:r>
        <w:rPr/>
        <w:t>See for example §137, Thag 1.90</w:t>
      </w:r>
    </w:p>
    <w:p>
      <w:pPr>
        <w:pStyle w:val="WW-gloss-term"/>
        <w:rPr/>
      </w:pPr>
      <w:r>
        <w:rPr/>
        <w:t>438</w:t>
      </w:r>
    </w:p>
    <w:p>
      <w:pPr>
        <w:pStyle w:val="FootnoteText"/>
        <w:rPr/>
      </w:pPr>
      <w:r>
        <w:rPr/>
        <w:t>See also Hamilton p.135</w:t>
      </w:r>
    </w:p>
    <w:p>
      <w:pPr>
        <w:pStyle w:val="WW-gloss-term"/>
        <w:rPr/>
      </w:pPr>
      <w:r>
        <w:rPr/>
        <w:t>439</w:t>
      </w:r>
    </w:p>
    <w:p>
      <w:pPr>
        <w:pStyle w:val="FootnoteText"/>
        <w:rPr/>
      </w:pPr>
      <w:r>
        <w:rPr/>
        <w:t>§83, §84</w:t>
      </w:r>
    </w:p>
    <w:p>
      <w:pPr>
        <w:pStyle w:val="WW-gloss-term"/>
        <w:rPr/>
      </w:pPr>
      <w:r>
        <w:rPr/>
        <w:t>440</w:t>
      </w:r>
    </w:p>
    <w:p>
      <w:pPr>
        <w:pStyle w:val="FootnoteText"/>
        <w:rPr/>
      </w:pPr>
      <w:r>
        <w:rPr/>
        <w:t>§84, §23, §54, §80</w:t>
      </w:r>
    </w:p>
    <w:p>
      <w:pPr>
        <w:pStyle w:val="WW-gloss-term"/>
        <w:rPr/>
      </w:pPr>
      <w:r>
        <w:rPr/>
        <w:t>441</w:t>
      </w:r>
    </w:p>
    <w:p>
      <w:pPr>
        <w:pStyle w:val="FootnoteText"/>
        <w:rPr/>
      </w:pPr>
      <w:r>
        <w:rPr/>
        <w:t>See also Hamilton p.132 and Olalde 2014 p.103</w:t>
      </w:r>
    </w:p>
    <w:p>
      <w:pPr>
        <w:pStyle w:val="WW-gloss-term"/>
        <w:rPr/>
      </w:pPr>
      <w:r>
        <w:rPr/>
        <w:t>442</w:t>
      </w:r>
    </w:p>
    <w:p>
      <w:pPr>
        <w:pStyle w:val="FootnoteText"/>
        <w:rPr/>
      </w:pPr>
      <w:r>
        <w:rPr/>
        <w:t>Schmithausen 2000 pp.69–74, translation mine</w:t>
      </w:r>
    </w:p>
    <w:p>
      <w:pPr>
        <w:pStyle w:val="WW-gloss-term"/>
        <w:rPr/>
      </w:pPr>
      <w:r>
        <w:rPr/>
        <w:t>443</w:t>
      </w:r>
    </w:p>
    <w:p>
      <w:pPr>
        <w:pStyle w:val="FootnoteText"/>
        <w:rPr/>
      </w:pPr>
      <w:r>
        <w:rPr/>
        <w:t>See note 152</w:t>
      </w:r>
    </w:p>
    <w:p>
      <w:pPr>
        <w:pStyle w:val="WW-gloss-term"/>
        <w:rPr/>
      </w:pPr>
      <w:r>
        <w:rPr/>
        <w:t>444</w:t>
      </w:r>
    </w:p>
    <w:p>
      <w:pPr>
        <w:pStyle w:val="FootnoteText"/>
        <w:rPr/>
      </w:pPr>
      <w:r>
        <w:rPr/>
        <w:t>See for example Bodhi 2000 n.182 at SN 2.26: “The world with which the Buddha’s teaching is principally concerned is ‘the world of experience’, and even the objective world is of interest only to the extent that it serves as the necessary external condition for experience.”</w:t>
      </w:r>
    </w:p>
    <w:p>
      <w:pPr>
        <w:pStyle w:val="WW-gloss-term"/>
        <w:rPr/>
      </w:pPr>
      <w:r>
        <w:rPr/>
        <w:t>445</w:t>
      </w:r>
    </w:p>
    <w:p>
      <w:pPr>
        <w:pStyle w:val="FootnoteText"/>
        <w:rPr/>
      </w:pPr>
      <w:r>
        <w:rPr/>
        <w:t>Olalde 2014 p.69, “äußerst unklar”; Vetter 1994 p.147, “wenig Sinn”. Schmithausen 2000 p.58 also calls it “difficult” (schwieriger).</w:t>
      </w:r>
    </w:p>
    <w:p>
      <w:pPr>
        <w:pStyle w:val="WW-gloss-term"/>
        <w:rPr/>
      </w:pPr>
      <w:r>
        <w:rPr/>
        <w:t>446</w:t>
      </w:r>
    </w:p>
    <w:p>
      <w:pPr>
        <w:pStyle w:val="FootnoteText"/>
        <w:rPr/>
      </w:pPr>
      <w:r>
        <w:rPr/>
        <w:t>Bodhi 1984 p.20</w:t>
      </w:r>
    </w:p>
    <w:p>
      <w:pPr>
        <w:pStyle w:val="WW-gloss-term"/>
        <w:rPr/>
      </w:pPr>
      <w:r>
        <w:rPr/>
        <w:t>447</w:t>
      </w:r>
    </w:p>
    <w:p>
      <w:pPr>
        <w:pStyle w:val="FootnoteText"/>
        <w:rPr/>
      </w:pPr>
      <w:r>
        <w:rPr/>
        <w:t>See Bodhi 1984 p.107</w:t>
      </w:r>
    </w:p>
    <w:p>
      <w:pPr>
        <w:pStyle w:val="WW-gloss-term"/>
        <w:rPr/>
      </w:pPr>
      <w:r>
        <w:rPr/>
        <w:t>448</w:t>
      </w:r>
    </w:p>
    <w:p>
      <w:pPr>
        <w:pStyle w:val="FootnoteText"/>
        <w:rPr/>
      </w:pPr>
      <w:r>
        <w:rPr/>
        <w:t>See also note 139</w:t>
      </w:r>
    </w:p>
    <w:p>
      <w:pPr>
        <w:pStyle w:val="WW-gloss-term"/>
        <w:rPr/>
      </w:pPr>
      <w:r>
        <w:rPr/>
        <w:t>449</w:t>
      </w:r>
    </w:p>
    <w:p>
      <w:pPr>
        <w:pStyle w:val="FootnoteText"/>
        <w:rPr/>
      </w:pPr>
      <w:r>
        <w:rPr/>
        <w:t>DN 15:20.1–20.10 D II 63</w:t>
      </w:r>
    </w:p>
    <w:p>
      <w:pPr>
        <w:pStyle w:val="WW-gloss-term"/>
        <w:rPr/>
      </w:pPr>
      <w:r>
        <w:rPr/>
        <w:t>450</w:t>
      </w:r>
    </w:p>
    <w:p>
      <w:pPr>
        <w:pStyle w:val="FootnoteText"/>
        <w:rPr/>
      </w:pPr>
      <w:r>
        <w:rPr/>
        <w:t>Bodhi 1984 p.21</w:t>
      </w:r>
    </w:p>
    <w:p>
      <w:pPr>
        <w:pStyle w:val="WW-gloss-term"/>
        <w:rPr/>
      </w:pPr>
      <w:r>
        <w:rPr/>
        <w:t>451</w:t>
      </w:r>
    </w:p>
    <w:p>
      <w:pPr>
        <w:pStyle w:val="FootnoteText"/>
        <w:rPr/>
      </w:pPr>
      <w:r>
        <w:rPr/>
        <w:t>MN 43:21.1–21.6 M I 295, SN 48.42</w:t>
      </w:r>
    </w:p>
    <w:p>
      <w:pPr>
        <w:pStyle w:val="WW-gloss-term"/>
        <w:rPr/>
      </w:pPr>
      <w:r>
        <w:rPr/>
        <w:t>452</w:t>
      </w:r>
    </w:p>
    <w:p>
      <w:pPr>
        <w:pStyle w:val="FootnoteText"/>
        <w:rPr/>
      </w:pPr>
      <w:r>
        <w:rPr/>
        <w:t>For example Warder 1970 p.108, Vetter 1994 p.148, Olalde 2014 p.110, Schmithausen 2000 p.58</w:t>
      </w:r>
    </w:p>
    <w:p>
      <w:pPr>
        <w:pStyle w:val="WW-gloss-term"/>
        <w:rPr/>
      </w:pPr>
      <w:r>
        <w:rPr/>
        <w:t>453</w:t>
      </w:r>
    </w:p>
    <w:p>
      <w:pPr>
        <w:pStyle w:val="FootnoteText"/>
        <w:rPr/>
      </w:pPr>
      <w:r>
        <w:rPr/>
        <w:t>Bodhi 1984 p.20</w:t>
      </w:r>
    </w:p>
    <w:p>
      <w:pPr>
        <w:pStyle w:val="WW-gloss-term"/>
        <w:rPr/>
      </w:pPr>
      <w:r>
        <w:rPr/>
        <w:t>454</w:t>
      </w:r>
    </w:p>
    <w:p>
      <w:pPr>
        <w:pStyle w:val="FootnoteText"/>
        <w:rPr/>
      </w:pPr>
      <w:r>
        <w:rPr/>
        <w:t>Snp 5.7:6.4. See also DOP s.v. nāmakāya: ‘the group of non-material aspects (of an individual)’.</w:t>
      </w:r>
    </w:p>
    <w:p>
      <w:pPr>
        <w:pStyle w:val="WW-gloss-term"/>
        <w:rPr/>
      </w:pPr>
      <w:r>
        <w:rPr/>
        <w:t>455</w:t>
      </w:r>
    </w:p>
    <w:p>
      <w:pPr>
        <w:pStyle w:val="FootnoteText"/>
        <w:rPr/>
      </w:pPr>
      <w:r>
        <w:rPr/>
        <w:t>DĀ 13 at 61b02, translation Patton</w:t>
      </w:r>
    </w:p>
    <w:p>
      <w:pPr>
        <w:pStyle w:val="WW-gloss-term"/>
        <w:rPr/>
      </w:pPr>
      <w:r>
        <w:rPr/>
        <w:t>456</w:t>
      </w:r>
    </w:p>
    <w:p>
      <w:pPr>
        <w:pStyle w:val="FootnoteText"/>
        <w:rPr/>
      </w:pPr>
      <w:r>
        <w:rPr/>
        <w:t>Hamilton p.134</w:t>
      </w:r>
    </w:p>
    <w:p>
      <w:pPr>
        <w:pStyle w:val="WW-gloss-term"/>
        <w:rPr/>
      </w:pPr>
      <w:r>
        <w:rPr/>
        <w:t>457</w:t>
      </w:r>
    </w:p>
    <w:p>
      <w:pPr>
        <w:pStyle w:val="FootnoteText"/>
        <w:rPr/>
      </w:pPr>
      <w:r>
        <w:rPr/>
        <w:t>See Olalde 2014 p.114ff</w:t>
      </w:r>
    </w:p>
    <w:p>
      <w:pPr>
        <w:pStyle w:val="WW-gloss-term"/>
        <w:rPr/>
      </w:pPr>
      <w:r>
        <w:rPr/>
        <w:t>458</w:t>
      </w:r>
    </w:p>
    <w:p>
      <w:pPr>
        <w:pStyle w:val="FootnoteText"/>
        <w:rPr/>
      </w:pPr>
      <w:r>
        <w:rPr/>
        <w:t>See also Olalde 2014 p.103 (translation mine): “Authors who interpret the interdependency between nāmarūpa and viññāṇa in the sense of a dependency of cognition and its objects […] base their argumentation mainly on that part of the Mahānidāna Sutta which does not actually explain this relationship, but instead that between nāmarūpa and contact (phassa).”</w:t>
      </w:r>
    </w:p>
    <w:p>
      <w:pPr>
        <w:pStyle w:val="WW-gloss-term"/>
        <w:rPr/>
      </w:pPr>
      <w:r>
        <w:rPr/>
        <w:t>459</w:t>
      </w:r>
    </w:p>
    <w:p>
      <w:pPr>
        <w:pStyle w:val="FootnoteText"/>
        <w:rPr/>
      </w:pPr>
      <w:r>
        <w:rPr/>
        <w:t>DĀ 13 at 61b3, MĀ 97 at 579c7, T 14 at 243b8; T 52</w:t>
      </w:r>
    </w:p>
    <w:p>
      <w:pPr>
        <w:pStyle w:val="WW-gloss-term"/>
        <w:rPr/>
      </w:pPr>
      <w:r>
        <w:rPr/>
        <w:t>460</w:t>
      </w:r>
    </w:p>
    <w:p>
      <w:pPr>
        <w:pStyle w:val="FootnoteText"/>
        <w:rPr/>
      </w:pPr>
      <w:r>
        <w:rPr/>
        <w:t>Vetter 1994 p.147</w:t>
      </w:r>
    </w:p>
    <w:p>
      <w:pPr>
        <w:pStyle w:val="WW-gloss-term"/>
        <w:rPr/>
      </w:pPr>
      <w:r>
        <w:rPr/>
        <w:t>461</w:t>
      </w:r>
    </w:p>
    <w:p>
      <w:pPr>
        <w:pStyle w:val="FootnoteText"/>
        <w:rPr/>
      </w:pPr>
      <w:r>
        <w:rPr/>
        <w:t>T 52, see also table 3</w:t>
      </w:r>
    </w:p>
    <w:p>
      <w:pPr>
        <w:pStyle w:val="WW-gloss-term"/>
        <w:rPr/>
      </w:pPr>
      <w:r>
        <w:rPr/>
        <w:t>462</w:t>
      </w:r>
    </w:p>
    <w:p>
      <w:pPr>
        <w:pStyle w:val="FootnoteText"/>
        <w:rPr/>
      </w:pPr>
      <w:r>
        <w:rPr/>
        <w:t>Snp 4.11:11.1–11.4</w:t>
      </w:r>
    </w:p>
    <w:p>
      <w:pPr>
        <w:pStyle w:val="WW-gloss-term"/>
        <w:rPr/>
      </w:pPr>
      <w:r>
        <w:rPr/>
        <w:t>463</w:t>
      </w:r>
    </w:p>
    <w:p>
      <w:pPr>
        <w:pStyle w:val="FootnoteText"/>
        <w:rPr/>
      </w:pPr>
      <w:r>
        <w:rPr/>
        <w:t>SN 35.23</w:t>
      </w:r>
    </w:p>
    <w:p>
      <w:pPr>
        <w:pStyle w:val="WW-gloss-term"/>
        <w:rPr/>
      </w:pPr>
      <w:r>
        <w:rPr/>
        <w:t>464</w:t>
      </w:r>
    </w:p>
    <w:p>
      <w:pPr>
        <w:pStyle w:val="FootnoteText"/>
        <w:rPr/>
      </w:pPr>
      <w:r>
        <w:rPr/>
        <w:t>See also Kalupahana 1976 p.158: “There is no transcendent reality or Being or ‘self’ that is given as the object of such direct perception.”</w:t>
      </w:r>
    </w:p>
    <w:p>
      <w:pPr>
        <w:pStyle w:val="WW-gloss-term"/>
        <w:rPr/>
      </w:pPr>
      <w:r>
        <w:rPr/>
        <w:t>465</w:t>
      </w:r>
    </w:p>
    <w:p>
      <w:pPr>
        <w:pStyle w:val="FootnoteText"/>
        <w:rPr/>
      </w:pPr>
      <w:r>
        <w:rPr/>
        <w:t>SN 35.92</w:t>
      </w:r>
    </w:p>
    <w:p>
      <w:pPr>
        <w:pStyle w:val="WW-gloss-term"/>
        <w:rPr/>
      </w:pPr>
      <w:r>
        <w:rPr/>
        <w:t>466</w:t>
      </w:r>
    </w:p>
    <w:p>
      <w:pPr>
        <w:pStyle w:val="FootnoteText"/>
        <w:rPr/>
      </w:pPr>
      <w:r>
        <w:rPr/>
        <w:t>See also The Book of the Six Sense Fields in Sujato 2019: “the idea of the ‘all’ […] suggests that the scope of the six senses includes all that is experienced”. Contra e.g. Ṭhānissaro 2008a p.119</w:t>
      </w:r>
    </w:p>
    <w:p>
      <w:pPr>
        <w:pStyle w:val="WW-gloss-term"/>
        <w:rPr/>
      </w:pPr>
      <w:r>
        <w:rPr/>
        <w:t>467</w:t>
      </w:r>
    </w:p>
    <w:p>
      <w:pPr>
        <w:pStyle w:val="FootnoteText"/>
        <w:rPr/>
      </w:pPr>
      <w:r>
        <w:rPr/>
        <w:t>Mā h’evaṁ, literally ‘not so’, in some discourses simply means ‘no’ (e.g. SN 12.17:3.1–4.10), while in others it means ‘don’t say so’. I think both are implied here, but with this translation I follow the commentary.</w:t>
      </w:r>
    </w:p>
    <w:p>
      <w:pPr>
        <w:pStyle w:val="WW-gloss-term"/>
        <w:rPr/>
      </w:pPr>
      <w:r>
        <w:rPr/>
        <w:t>468</w:t>
      </w:r>
    </w:p>
    <w:p>
      <w:pPr>
        <w:pStyle w:val="FootnoteText"/>
        <w:rPr/>
      </w:pPr>
      <w:r>
        <w:rPr/>
        <w:t>Natthaññaṁ kiñci (na atthi aññaṁ kiñci) ‘does something else no longer exists’ was translated by Bodhi 2012 as ‘is there nothing else’. In most other cases na kiñci can be translated as ‘nothing’ without affecting the meaning, but in this context the more literal translation ‘no longer something’ is required. The mistake is more apparent in Bodhi’s translation of the third statement, atthi ca natthi ca aññaṁ kiñci, as ‘is there both something else and nothing else’. The phrase ‘something/nothing else’ occurs twice in the translation, while the Pāli has aññaṁ kiñci only once. The verb phrases atthi and natthi therefore both apply to the same aññaṁ kiñci (‘something else’). They both assume there to be something else beyond the six senses; neither assumes there is nothing beyond them. The assumption that there is nothing beyond the six senses would also effectively state that the six senses are all there is, so it would be inappropriate for Sāriputta to say it elaborates (or proliferates) beyond them, as he does later in the discourse.</w:t>
      </w:r>
    </w:p>
    <w:p>
      <w:pPr>
        <w:pStyle w:val="WW-gloss-term"/>
        <w:rPr/>
      </w:pPr>
      <w:r>
        <w:rPr/>
        <w:t>469</w:t>
      </w:r>
    </w:p>
    <w:p>
      <w:pPr>
        <w:pStyle w:val="FootnoteText"/>
        <w:rPr/>
      </w:pPr>
      <w:r>
        <w:rPr/>
        <w:t>AN 4.173</w:t>
      </w:r>
    </w:p>
    <w:p>
      <w:pPr>
        <w:pStyle w:val="WW-gloss-term"/>
        <w:rPr/>
      </w:pPr>
      <w:r>
        <w:rPr/>
        <w:t>470</w:t>
      </w:r>
    </w:p>
    <w:p>
      <w:pPr>
        <w:pStyle w:val="FootnoteText"/>
        <w:rPr/>
      </w:pPr>
      <w:r>
        <w:rPr/>
        <w:t>SN 35.232:10.1–10.24</w:t>
      </w:r>
    </w:p>
    <w:p>
      <w:pPr>
        <w:pStyle w:val="WW-gloss-term"/>
        <w:rPr/>
      </w:pPr>
      <w:r>
        <w:rPr/>
        <w:t>471</w:t>
      </w:r>
    </w:p>
    <w:p>
      <w:pPr>
        <w:pStyle w:val="FootnoteText"/>
        <w:rPr/>
      </w:pPr>
      <w:r>
        <w:rPr/>
        <w:t>SN 48.53:7.1–7.4</w:t>
      </w:r>
    </w:p>
    <w:p>
      <w:pPr>
        <w:pStyle w:val="WW-gloss-term"/>
        <w:rPr/>
      </w:pPr>
      <w:r>
        <w:rPr/>
        <w:t>472</w:t>
      </w:r>
    </w:p>
    <w:p>
      <w:pPr>
        <w:pStyle w:val="FootnoteText"/>
        <w:rPr/>
      </w:pPr>
      <w:r>
        <w:rPr/>
        <w:t>For example Ṭhānissaro 2008b p.6, Amaro p.25, Anālayo 2021 p.104</w:t>
      </w:r>
    </w:p>
    <w:p>
      <w:pPr>
        <w:pStyle w:val="WW-gloss-term"/>
        <w:rPr/>
      </w:pPr>
      <w:r>
        <w:rPr/>
        <w:t>473</w:t>
      </w:r>
    </w:p>
    <w:p>
      <w:pPr>
        <w:pStyle w:val="FootnoteText"/>
        <w:rPr/>
      </w:pPr>
      <w:r>
        <w:rPr/>
        <w:t>SN 12.40</w:t>
      </w:r>
    </w:p>
    <w:p>
      <w:pPr>
        <w:pStyle w:val="WW-gloss-term"/>
        <w:rPr/>
      </w:pPr>
      <w:r>
        <w:rPr/>
        <w:t>474</w:t>
      </w:r>
    </w:p>
    <w:p>
      <w:pPr>
        <w:pStyle w:val="FootnoteText"/>
        <w:rPr/>
      </w:pPr>
      <w:r>
        <w:rPr/>
        <w:t>SN 12.38, SN 12.39, SN 12.40, at §53, §54, and §115</w:t>
      </w:r>
    </w:p>
    <w:p>
      <w:pPr>
        <w:pStyle w:val="WW-gloss-term"/>
        <w:rPr/>
      </w:pPr>
      <w:r>
        <w:rPr/>
        <w:t>475</w:t>
      </w:r>
    </w:p>
    <w:p>
      <w:pPr>
        <w:pStyle w:val="FootnoteText"/>
        <w:rPr/>
      </w:pPr>
      <w:r>
        <w:rPr/>
        <w:t>SĀ 359, SĀ 360, SĀ 361</w:t>
      </w:r>
    </w:p>
    <w:p>
      <w:pPr>
        <w:pStyle w:val="WW-gloss-term"/>
        <w:rPr/>
      </w:pPr>
      <w:r>
        <w:rPr/>
        <w:t>476</w:t>
      </w:r>
    </w:p>
    <w:p>
      <w:pPr>
        <w:pStyle w:val="FootnoteText"/>
        <w:rPr/>
      </w:pPr>
      <w:r>
        <w:rPr/>
        <w:t>Choong p.172</w:t>
      </w:r>
    </w:p>
    <w:p>
      <w:pPr>
        <w:pStyle w:val="WW-gloss-term"/>
        <w:rPr/>
      </w:pPr>
      <w:r>
        <w:rPr/>
        <w:t>477</w:t>
      </w:r>
    </w:p>
    <w:p>
      <w:pPr>
        <w:pStyle w:val="FootnoteText"/>
        <w:rPr/>
      </w:pPr>
      <w:r>
        <w:rPr/>
        <w:t>MN 144:11.3–11.9 M III 266, SN 35.87:11.3–11.9, Ud 8.4:3.1–3.7</w:t>
      </w:r>
    </w:p>
    <w:p>
      <w:pPr>
        <w:pStyle w:val="WW-gloss-term"/>
        <w:rPr/>
      </w:pPr>
      <w:r>
        <w:rPr/>
        <w:t>478</w:t>
      </w:r>
    </w:p>
    <w:p>
      <w:pPr>
        <w:pStyle w:val="FootnoteText"/>
        <w:rPr/>
      </w:pPr>
      <w:r>
        <w:rPr/>
        <w:t>For example at SN-A 2.372 (on SN 35.87). In discussing Ud 1.10, Anālayo 2023 Chapter I.4 instead thinks ‘here’ (idha) and ‘beyond’ (huraṁ) refer to the senses and their objects, with ‘in between the two’ being “their interaction”, but this is not supported by other texts. §116 clearly talks about rebirth, for example, and §134 uses the same terminology with reference to physical places. PED and CPD accordingly gloss under huraṁ, “another world”.</w:t>
      </w:r>
    </w:p>
    <w:p>
      <w:pPr>
        <w:pStyle w:val="WW-gloss-term"/>
        <w:rPr/>
      </w:pPr>
      <w:r>
        <w:rPr/>
        <w:t>479</w:t>
      </w:r>
    </w:p>
    <w:p>
      <w:pPr>
        <w:pStyle w:val="FootnoteText"/>
        <w:rPr/>
      </w:pPr>
      <w:r>
        <w:rPr/>
        <w:t>See Harvey 1995 p.98, Somaratne p.150, Sujato 2008 p.7, Dhammika 2015 p.20 , Anālayo 2018 p.32</w:t>
      </w:r>
    </w:p>
    <w:p>
      <w:pPr>
        <w:pStyle w:val="WW-gloss-term"/>
        <w:rPr/>
      </w:pPr>
      <w:r>
        <w:rPr/>
        <w:t>480</w:t>
      </w:r>
    </w:p>
    <w:p>
      <w:pPr>
        <w:pStyle w:val="FootnoteText"/>
        <w:rPr/>
      </w:pPr>
      <w:r>
        <w:rPr/>
        <w:t>Bodhi 2000 n.53 at SN 35.87:11.8</w:t>
      </w:r>
    </w:p>
    <w:p>
      <w:pPr>
        <w:pStyle w:val="WW-gloss-term"/>
        <w:rPr/>
      </w:pPr>
      <w:r>
        <w:rPr/>
        <w:t>481</w:t>
      </w:r>
    </w:p>
    <w:p>
      <w:pPr>
        <w:pStyle w:val="FootnoteText"/>
        <w:rPr/>
      </w:pPr>
      <w:r>
        <w:rPr/>
        <w:t>Snp 3.12:45.1–45.4</w:t>
      </w:r>
    </w:p>
    <w:p>
      <w:pPr>
        <w:pStyle w:val="WW-gloss-term"/>
        <w:rPr/>
      </w:pPr>
      <w:r>
        <w:rPr/>
        <w:t>482</w:t>
      </w:r>
    </w:p>
    <w:p>
      <w:pPr>
        <w:pStyle w:val="FootnoteText"/>
        <w:rPr/>
      </w:pPr>
      <w:r>
        <w:rPr/>
        <w:t>SN 22.53</w:t>
      </w:r>
    </w:p>
    <w:p>
      <w:pPr>
        <w:pStyle w:val="WW-gloss-term"/>
        <w:rPr/>
      </w:pPr>
      <w:r>
        <w:rPr/>
        <w:t>483</w:t>
      </w:r>
    </w:p>
    <w:p>
      <w:pPr>
        <w:pStyle w:val="FootnoteText"/>
        <w:rPr/>
      </w:pPr>
      <w:r>
        <w:rPr/>
        <w:t>Anabhisaṅkhāraṁ, ‘not wilfully creating’. I base ‘wilfully’ on aceta</w:t>
        <w:softHyphen/>
        <w:t>yato anabhi</w:t>
        <w:softHyphen/>
        <w:t>saṅkha</w:t>
        <w:softHyphen/>
        <w:t>roto of DN 9:17.7, ‘not intending, not willing’. Similar instances of these synonyms are found in MN 140:22.10, SN 12.51:9.5, and AN 11.16:4.4. This refers to the saṅkhāras of Dependent Arising. Their creative aspect is also implied, hence alternative translations like ‘non-generating’ are also possible. I incorporated both aspects using ‘wilfully creating’.</w:t>
      </w:r>
    </w:p>
    <w:p>
      <w:pPr>
        <w:pStyle w:val="WW-gloss-term"/>
        <w:rPr/>
      </w:pPr>
      <w:r>
        <w:rPr/>
        <w:t>484</w:t>
      </w:r>
    </w:p>
    <w:p>
      <w:pPr>
        <w:pStyle w:val="FootnoteText"/>
        <w:rPr/>
      </w:pPr>
      <w:r>
        <w:rPr/>
        <w:t>SN 22.45:1.15–1.20</w:t>
      </w:r>
    </w:p>
    <w:p>
      <w:pPr>
        <w:pStyle w:val="WW-gloss-term"/>
        <w:rPr/>
      </w:pPr>
      <w:r>
        <w:rPr/>
        <w:t>485</w:t>
      </w:r>
    </w:p>
    <w:p>
      <w:pPr>
        <w:pStyle w:val="FootnoteText"/>
        <w:rPr/>
      </w:pPr>
      <w:r>
        <w:rPr/>
        <w:t>SN 12.51:13.1–23.2</w:t>
      </w:r>
    </w:p>
    <w:p>
      <w:pPr>
        <w:pStyle w:val="WW-gloss-term"/>
        <w:rPr/>
      </w:pPr>
      <w:r>
        <w:rPr/>
        <w:t>486</w:t>
      </w:r>
    </w:p>
    <w:p>
      <w:pPr>
        <w:pStyle w:val="FootnoteText"/>
        <w:rPr/>
      </w:pPr>
      <w:r>
        <w:rPr/>
        <w:t>Kalupahana 1976 p.52. See also Vélez de Cea p.136</w:t>
      </w:r>
    </w:p>
    <w:p>
      <w:pPr>
        <w:pStyle w:val="WW-gloss-term"/>
        <w:rPr/>
      </w:pPr>
      <w:r>
        <w:rPr/>
        <w:t>487</w:t>
      </w:r>
    </w:p>
    <w:p>
      <w:pPr>
        <w:pStyle w:val="FootnoteText"/>
        <w:rPr/>
      </w:pPr>
      <w:r>
        <w:rPr/>
        <w:t>See also AN 3.34 where a man burns the seeds, although here they represent karma instead of consciousness.</w:t>
      </w:r>
    </w:p>
    <w:p>
      <w:pPr>
        <w:pStyle w:val="WW-gloss-term"/>
        <w:rPr/>
      </w:pPr>
      <w:r>
        <w:rPr/>
        <w:t>488</w:t>
      </w:r>
    </w:p>
    <w:p>
      <w:pPr>
        <w:pStyle w:val="FootnoteText"/>
        <w:rPr/>
      </w:pPr>
      <w:r>
        <w:rPr/>
        <w:t>Patiṭṭhita (‘plant down’) may also be translated as ‘landing’ in this passage, but for consistency I translated it as ‘planting’ everywhere, including here.</w:t>
      </w:r>
    </w:p>
    <w:p>
      <w:pPr>
        <w:pStyle w:val="WW-gloss-term"/>
        <w:rPr/>
      </w:pPr>
      <w:r>
        <w:rPr/>
        <w:t>489</w:t>
      </w:r>
    </w:p>
    <w:p>
      <w:pPr>
        <w:pStyle w:val="FootnoteText"/>
        <w:rPr/>
      </w:pPr>
      <w:r>
        <w:rPr/>
        <w:t>SN 12.64:8.1–9.8</w:t>
      </w:r>
    </w:p>
    <w:p>
      <w:pPr>
        <w:pStyle w:val="WW-gloss-term"/>
        <w:rPr/>
      </w:pPr>
      <w:r>
        <w:rPr/>
        <w:t>490</w:t>
      </w:r>
    </w:p>
    <w:p>
      <w:pPr>
        <w:pStyle w:val="FootnoteText"/>
        <w:rPr/>
      </w:pPr>
      <w:r>
        <w:rPr/>
        <w:t>SN 12.39:3.1–3.5</w:t>
      </w:r>
    </w:p>
    <w:p>
      <w:pPr>
        <w:pStyle w:val="WW-gloss-term"/>
        <w:rPr/>
      </w:pPr>
      <w:r>
        <w:rPr/>
        <w:t>491</w:t>
      </w:r>
    </w:p>
    <w:p>
      <w:pPr>
        <w:pStyle w:val="FootnoteText"/>
        <w:rPr/>
      </w:pPr>
      <w:r>
        <w:rPr/>
        <w:t>SN 12.1:3.1–3.12</w:t>
      </w:r>
    </w:p>
    <w:p>
      <w:pPr>
        <w:pStyle w:val="WW-gloss-term"/>
        <w:rPr/>
      </w:pPr>
      <w:r>
        <w:rPr/>
        <w:t>492</w:t>
      </w:r>
    </w:p>
    <w:p>
      <w:pPr>
        <w:pStyle w:val="FootnoteText"/>
        <w:rPr/>
      </w:pPr>
      <w:r>
        <w:rPr/>
        <w:t>Anālayo 2023 Chapter I.10</w:t>
      </w:r>
    </w:p>
    <w:p>
      <w:pPr>
        <w:pStyle w:val="WW-gloss-term"/>
        <w:rPr/>
      </w:pPr>
      <w:r>
        <w:rPr/>
        <w:t>493</w:t>
      </w:r>
    </w:p>
    <w:p>
      <w:pPr>
        <w:pStyle w:val="FootnoteText"/>
        <w:rPr/>
      </w:pPr>
      <w:r>
        <w:rPr/>
        <w:t>Bodhi 2000 n.174 at SN 12.64</w:t>
      </w:r>
    </w:p>
    <w:p>
      <w:pPr>
        <w:pStyle w:val="WW-gloss-term"/>
        <w:rPr/>
      </w:pPr>
      <w:r>
        <w:rPr/>
        <w:t>494</w:t>
      </w:r>
    </w:p>
    <w:p>
      <w:pPr>
        <w:pStyle w:val="FootnoteText"/>
        <w:rPr/>
      </w:pPr>
      <w:r>
        <w:rPr/>
        <w:t>SN 12.38:3.1–3.5</w:t>
      </w:r>
    </w:p>
    <w:p>
      <w:pPr>
        <w:pStyle w:val="WW-gloss-term"/>
        <w:rPr/>
      </w:pPr>
      <w:r>
        <w:rPr/>
        <w:t>495</w:t>
      </w:r>
    </w:p>
    <w:p>
      <w:pPr>
        <w:pStyle w:val="FootnoteText"/>
        <w:rPr/>
      </w:pPr>
      <w:r>
        <w:rPr/>
        <w:t>Hecker p.53</w:t>
      </w:r>
    </w:p>
    <w:p>
      <w:pPr>
        <w:pStyle w:val="WW-gloss-term"/>
        <w:rPr/>
      </w:pPr>
      <w:r>
        <w:rPr/>
        <w:t>496</w:t>
      </w:r>
    </w:p>
    <w:p>
      <w:pPr>
        <w:pStyle w:val="FootnoteText"/>
        <w:rPr/>
      </w:pPr>
      <w:r>
        <w:rPr/>
        <w:t>Anālayo 2023 Chapter I.10 states that the First Discourse on Intention and other discourses in both Pāli and Chinese “confirm that the notion of an unestablished consciousness expresses an arahant’s successful gaining of freedom from the prospect of future rebirth. At times, the same expression serves to describe the actual passing away of an arahant.” Appatiṭṭhita viññāṇa, he concludes, means “consciousness will not become established in another birth”.</w:t>
      </w:r>
    </w:p>
    <w:p>
      <w:pPr>
        <w:pStyle w:val="WW-gloss-term"/>
        <w:rPr/>
      </w:pPr>
      <w:r>
        <w:rPr/>
        <w:t>497</w:t>
      </w:r>
    </w:p>
    <w:p>
      <w:pPr>
        <w:pStyle w:val="FootnoteText"/>
        <w:rPr/>
      </w:pPr>
      <w:r>
        <w:rPr/>
        <w:t>Langer p.35, translation mine, referring to Harvey 1995 p.202</w:t>
      </w:r>
    </w:p>
    <w:p>
      <w:pPr>
        <w:pStyle w:val="WW-gloss-term"/>
        <w:rPr/>
      </w:pPr>
      <w:r>
        <w:rPr/>
        <w:t>498</w:t>
      </w:r>
    </w:p>
    <w:p>
      <w:pPr>
        <w:pStyle w:val="FootnoteText"/>
        <w:rPr/>
      </w:pPr>
      <w:r>
        <w:rPr/>
        <w:t>See also AN 8.70:14.3</w:t>
      </w:r>
    </w:p>
    <w:p>
      <w:pPr>
        <w:pStyle w:val="WW-gloss-term"/>
        <w:rPr/>
      </w:pPr>
      <w:r>
        <w:rPr/>
        <w:t>499</w:t>
      </w:r>
    </w:p>
    <w:p>
      <w:pPr>
        <w:pStyle w:val="FootnoteText"/>
        <w:rPr/>
      </w:pPr>
      <w:r>
        <w:rPr/>
        <w:t>SĀ 377</w:t>
      </w:r>
    </w:p>
    <w:p>
      <w:pPr>
        <w:pStyle w:val="WW-gloss-term"/>
        <w:rPr/>
      </w:pPr>
      <w:r>
        <w:rPr/>
        <w:t>500</w:t>
      </w:r>
    </w:p>
    <w:p>
      <w:pPr>
        <w:pStyle w:val="FootnoteText"/>
        <w:rPr/>
      </w:pPr>
      <w:r>
        <w:rPr/>
        <w:t>MN 21:14.1–14.10 M I 128</w:t>
      </w:r>
    </w:p>
    <w:p>
      <w:pPr>
        <w:pStyle w:val="WW-gloss-term"/>
        <w:rPr/>
      </w:pPr>
      <w:r>
        <w:rPr/>
        <w:t>501</w:t>
      </w:r>
    </w:p>
    <w:p>
      <w:pPr>
        <w:pStyle w:val="FootnoteText"/>
        <w:rPr/>
      </w:pPr>
      <w:r>
        <w:rPr/>
        <w:t>For example Bodhi 2000 n.174 at SN 12.64: “I think it would be wrong to interpret the sutta as saying that after his parinibbāna the arahant’s consciousness persists in some mode that can only be described as unestablished. The present passage is clearly speaking of the arahant’s consciousness while he is alive.” (emphasis in the original)</w:t>
      </w:r>
    </w:p>
    <w:p>
      <w:pPr>
        <w:pStyle w:val="FootnoteText"/>
        <w:rPr/>
      </w:pPr>
      <w:r>
        <w:rPr/>
        <w:t>502</w:t>
      </w:r>
    </w:p>
    <w:p>
      <w:pPr>
        <w:pStyle w:val="FootnoteText"/>
        <w:rPr/>
      </w:pPr>
      <w:r>
        <w:rPr/>
        <w:t>Langer p.34, translation mine</w:t>
      </w:r>
    </w:p>
    <w:p>
      <w:pPr>
        <w:pStyle w:val="FootnoteText"/>
        <w:rPr/>
      </w:pPr>
      <w:r>
        <w:rPr/>
        <w:t>503</w:t>
      </w:r>
    </w:p>
    <w:p>
      <w:pPr>
        <w:pStyle w:val="FootnoteText"/>
        <w:rPr/>
      </w:pPr>
      <w:r>
        <w:rPr/>
        <w:t>Langer p.34, translation mine</w:t>
      </w:r>
    </w:p>
    <w:p>
      <w:pPr>
        <w:pStyle w:val="FootnoteText"/>
        <w:rPr/>
      </w:pPr>
      <w:r>
        <w:rPr/>
        <w:t>504</w:t>
      </w:r>
    </w:p>
    <w:p>
      <w:pPr>
        <w:pStyle w:val="FootnoteText"/>
        <w:rPr/>
      </w:pPr>
      <w:r>
        <w:rPr/>
        <w:t>Instead of “consciousness is liberated” Nyanaponika 1990 has “ist man befreit” (one is liberated), Alfan “si è liberi” (one is liberated), and Baron “sólo liberación” (there is just liberation). See also note 279</w:t>
      </w:r>
    </w:p>
    <w:p>
      <w:pPr>
        <w:pStyle w:val="FootnoteText"/>
        <w:rPr/>
      </w:pPr>
      <w:r>
        <w:rPr/>
        <w:t>505</w:t>
      </w:r>
    </w:p>
    <w:p>
      <w:pPr>
        <w:pStyle w:val="FootnoteText"/>
        <w:rPr/>
      </w:pPr>
      <w:r>
        <w:rPr/>
        <w:t>SN 22.9</w:t>
      </w:r>
    </w:p>
    <w:p>
      <w:pPr>
        <w:pStyle w:val="FootnoteText"/>
        <w:rPr/>
      </w:pPr>
      <w:r>
        <w:rPr/>
        <w:t>506</w:t>
      </w:r>
    </w:p>
    <w:p>
      <w:pPr>
        <w:pStyle w:val="FootnoteText"/>
        <w:rPr/>
      </w:pPr>
      <w:r>
        <w:rPr/>
        <w:t>SN 22.94</w:t>
      </w:r>
    </w:p>
    <w:p>
      <w:pPr>
        <w:pStyle w:val="FootnoteText"/>
        <w:rPr/>
      </w:pPr>
      <w:r>
        <w:rPr/>
        <w:t>507</w:t>
      </w:r>
    </w:p>
    <w:p>
      <w:pPr>
        <w:pStyle w:val="FootnoteText"/>
        <w:rPr/>
      </w:pPr>
      <w:r>
        <w:rPr/>
        <w:t>The three terms are citta, mano, and viññāṇa. Normally I translate both citta and mano as ‘mind’, but here I was forced to translate one differently, and I chose ‘sentience’.</w:t>
      </w:r>
    </w:p>
    <w:p>
      <w:pPr>
        <w:pStyle w:val="FootnoteText"/>
        <w:rPr/>
      </w:pPr>
      <w:r>
        <w:rPr/>
        <w:t>508</w:t>
      </w:r>
    </w:p>
    <w:p>
      <w:pPr>
        <w:pStyle w:val="FootnoteText"/>
        <w:rPr/>
      </w:pPr>
      <w:r>
        <w:rPr/>
        <w:t>SN 12.61</w:t>
      </w:r>
    </w:p>
    <w:p>
      <w:pPr>
        <w:pStyle w:val="FootnoteText"/>
        <w:rPr/>
      </w:pPr>
      <w:r>
        <w:rPr/>
        <w:t>509</w:t>
      </w:r>
    </w:p>
    <w:p>
      <w:pPr>
        <w:pStyle w:val="FootnoteText"/>
        <w:rPr/>
      </w:pPr>
      <w:r>
        <w:rPr/>
        <w:t>Ko nu kho phusati, more literally, “who touches?”</w:t>
      </w:r>
    </w:p>
    <w:p>
      <w:pPr>
        <w:pStyle w:val="FootnoteText"/>
        <w:rPr/>
      </w:pPr>
      <w:r>
        <w:rPr/>
        <w:t>510</w:t>
      </w:r>
    </w:p>
    <w:p>
      <w:pPr>
        <w:pStyle w:val="FootnoteText"/>
        <w:rPr/>
      </w:pPr>
      <w:r>
        <w:rPr/>
        <w:t>SN 12.12:3.1–4.10</w:t>
      </w:r>
    </w:p>
    <w:p>
      <w:pPr>
        <w:pStyle w:val="FootnoteText"/>
        <w:rPr/>
      </w:pPr>
      <w:r>
        <w:rPr/>
        <w:t>511</w:t>
      </w:r>
    </w:p>
    <w:p>
      <w:pPr>
        <w:pStyle w:val="FootnoteText"/>
        <w:rPr/>
      </w:pPr>
      <w:r>
        <w:rPr/>
        <w:t>For example Ñāṇavīra p.84, Cintita p.31</w:t>
      </w:r>
    </w:p>
    <w:p>
      <w:pPr>
        <w:pStyle w:val="FootnoteText"/>
        <w:rPr/>
      </w:pPr>
      <w:r>
        <w:rPr/>
        <w:t>512</w:t>
      </w:r>
    </w:p>
    <w:p>
      <w:pPr>
        <w:pStyle w:val="FootnoteText"/>
        <w:rPr/>
      </w:pPr>
      <w:r>
        <w:rPr/>
        <w:t>SN 35.80</w:t>
      </w:r>
    </w:p>
    <w:p>
      <w:pPr>
        <w:pStyle w:val="FootnoteText"/>
        <w:rPr/>
      </w:pPr>
      <w:r>
        <w:rPr/>
        <w:t>513</w:t>
      </w:r>
    </w:p>
    <w:p>
      <w:pPr>
        <w:pStyle w:val="FootnoteText"/>
        <w:rPr/>
      </w:pPr>
      <w:r>
        <w:rPr/>
        <w:t>For example Ñāṇavīra p.89, Cintita p.130, Amaro p.37</w:t>
      </w:r>
    </w:p>
    <w:p>
      <w:pPr>
        <w:pStyle w:val="FootnoteText"/>
        <w:rPr/>
      </w:pPr>
      <w:r>
        <w:rPr/>
        <w:t>514</w:t>
      </w:r>
    </w:p>
    <w:p>
      <w:pPr>
        <w:pStyle w:val="FootnoteText"/>
        <w:rPr/>
      </w:pPr>
      <w:r>
        <w:rPr/>
        <w:t>Anālayo 2021 p.109</w:t>
      </w:r>
    </w:p>
    <w:p>
      <w:pPr>
        <w:pStyle w:val="FootnoteText"/>
        <w:rPr/>
      </w:pPr>
      <w:r>
        <w:rPr/>
        <w:t>515</w:t>
      </w:r>
    </w:p>
    <w:p>
      <w:pPr>
        <w:pStyle w:val="FootnoteText"/>
        <w:rPr/>
      </w:pPr>
      <w:r>
        <w:rPr/>
        <w:t>§105, §106</w:t>
      </w:r>
    </w:p>
    <w:p>
      <w:pPr>
        <w:pStyle w:val="FootnoteText"/>
        <w:rPr/>
      </w:pPr>
      <w:r>
        <w:rPr/>
        <w:t>516</w:t>
      </w:r>
    </w:p>
    <w:p>
      <w:pPr>
        <w:pStyle w:val="FootnoteText"/>
        <w:rPr/>
      </w:pPr>
      <w:r>
        <w:rPr/>
        <w:t>See also Anālayo 2021 p.109: “The relationship between the senses and their objects, which represent the basic duality of ordinary experience in the early discourses, remains the same after the attainment of full awakening”.</w:t>
      </w:r>
    </w:p>
    <w:p>
      <w:pPr>
        <w:pStyle w:val="FootnoteText"/>
        <w:rPr/>
      </w:pPr>
      <w:r>
        <w:rPr/>
        <w:t>517</w:t>
      </w:r>
    </w:p>
    <w:p>
      <w:pPr>
        <w:pStyle w:val="FootnoteText"/>
        <w:rPr/>
      </w:pPr>
      <w:r>
        <w:rPr/>
        <w:t>SN 22.95:6.1–6.2</w:t>
      </w:r>
    </w:p>
    <w:p>
      <w:pPr>
        <w:pStyle w:val="FootnoteText"/>
        <w:rPr/>
      </w:pPr>
      <w:r>
        <w:rPr/>
        <w:t>518</w:t>
      </w:r>
    </w:p>
    <w:p>
      <w:pPr>
        <w:pStyle w:val="FootnoteText"/>
        <w:rPr/>
      </w:pPr>
      <w:r>
        <w:rPr/>
        <w:t>For example Ñāṇananda 2015 p.218: “The magical illusion created by consciousness […]”, further detailed in Ñāṇananda 1974/2007</w:t>
      </w:r>
    </w:p>
    <w:p>
      <w:pPr>
        <w:pStyle w:val="FootnoteText"/>
        <w:rPr/>
      </w:pPr>
      <w:r>
        <w:rPr/>
        <w:t>519</w:t>
      </w:r>
    </w:p>
    <w:p>
      <w:pPr>
        <w:pStyle w:val="FootnoteText"/>
        <w:rPr/>
      </w:pPr>
      <w:r>
        <w:rPr/>
        <w:t>MN 72:20.1–20.20 M I 487</w:t>
      </w:r>
    </w:p>
    <w:p>
      <w:pPr>
        <w:pStyle w:val="FootnoteText"/>
        <w:rPr/>
      </w:pPr>
      <w:r>
        <w:rPr/>
        <w:t>520</w:t>
      </w:r>
    </w:p>
    <w:p>
      <w:pPr>
        <w:pStyle w:val="FootnoteText"/>
        <w:rPr/>
      </w:pPr>
      <w:r>
        <w:rPr/>
        <w:t>See also Kalupahana 1976 p.84. Contra e.g. Johansson p.61</w:t>
      </w:r>
    </w:p>
    <w:p>
      <w:pPr>
        <w:pStyle w:val="FootnoteText"/>
        <w:rPr/>
      </w:pPr>
      <w:r>
        <w:rPr/>
        <w:t>521</w:t>
      </w:r>
    </w:p>
    <w:p>
      <w:pPr>
        <w:pStyle w:val="FootnoteText"/>
        <w:rPr/>
      </w:pPr>
      <w:r>
        <w:rPr/>
        <w:t>SN 4.23</w:t>
      </w:r>
    </w:p>
    <w:p>
      <w:pPr>
        <w:pStyle w:val="FootnoteText"/>
        <w:rPr/>
      </w:pPr>
      <w:r>
        <w:rPr/>
        <w:t>522</w:t>
      </w:r>
    </w:p>
    <w:p>
      <w:pPr>
        <w:pStyle w:val="FootnoteText"/>
        <w:rPr/>
      </w:pPr>
      <w:r>
        <w:rPr/>
        <w:t>See Snp 3.2</w:t>
      </w:r>
    </w:p>
    <w:p>
      <w:pPr>
        <w:pStyle w:val="FootnoteText"/>
        <w:rPr/>
      </w:pPr>
      <w:r>
        <w:rPr/>
        <w:t>523</w:t>
      </w:r>
    </w:p>
    <w:p>
      <w:pPr>
        <w:pStyle w:val="FootnoteText"/>
        <w:rPr/>
      </w:pPr>
      <w:r>
        <w:rPr/>
        <w:t>SĀ 1265, translation by Anālayo 2015 p.243, parallel to SN 22.87</w:t>
      </w:r>
    </w:p>
    <w:p>
      <w:pPr>
        <w:pStyle w:val="FootnoteText"/>
        <w:rPr/>
      </w:pPr>
      <w:r>
        <w:rPr/>
        <w:t>524</w:t>
      </w:r>
    </w:p>
    <w:p>
      <w:pPr>
        <w:pStyle w:val="FootnoteText"/>
        <w:rPr/>
      </w:pPr>
      <w:r>
        <w:rPr/>
        <w:t>EĀ 26.10. Also translated by Anālayo 2015 p.253</w:t>
      </w:r>
    </w:p>
    <w:p>
      <w:pPr>
        <w:pStyle w:val="FootnoteText"/>
        <w:rPr/>
      </w:pPr>
      <w:r>
        <w:rPr/>
        <w:t>525</w:t>
      </w:r>
    </w:p>
    <w:p>
      <w:pPr>
        <w:pStyle w:val="FootnoteText"/>
        <w:rPr/>
      </w:pPr>
      <w:r>
        <w:rPr/>
        <w:t>See also Anālayo 2018 p.27: “The parallel versions agree in referring to what could have been reborn as his ‘consciousness’.”</w:t>
      </w:r>
    </w:p>
    <w:p>
      <w:pPr>
        <w:pStyle w:val="FootnoteText"/>
        <w:rPr/>
      </w:pPr>
      <w:r>
        <w:rPr/>
        <w:t>526</w:t>
      </w:r>
    </w:p>
    <w:p>
      <w:pPr>
        <w:pStyle w:val="FootnoteText"/>
        <w:rPr/>
      </w:pPr>
      <w:r>
        <w:rPr/>
        <w:t>See also Anālayo 2015 p.247</w:t>
      </w:r>
    </w:p>
    <w:p>
      <w:pPr>
        <w:pStyle w:val="FootnoteText"/>
        <w:rPr/>
      </w:pPr>
      <w:r>
        <w:rPr/>
        <w:t>527</w:t>
      </w:r>
    </w:p>
    <w:p>
      <w:pPr>
        <w:pStyle w:val="FootnoteText"/>
        <w:rPr/>
      </w:pPr>
      <w:r>
        <w:rPr/>
        <w:t>Snp 3.5; Thag 2.48; MN 120:37.8 M III 103</w:t>
      </w:r>
    </w:p>
    <w:p>
      <w:pPr>
        <w:pStyle w:val="FootnoteText"/>
        <w:rPr/>
      </w:pPr>
      <w:r>
        <w:rPr/>
        <w:t>528</w:t>
      </w:r>
    </w:p>
    <w:p>
      <w:pPr>
        <w:pStyle w:val="FootnoteText"/>
        <w:rPr/>
      </w:pPr>
      <w:r>
        <w:rPr/>
        <w:t>MN 98:11.101–11.104 M II 122; Snp 3.9:56.1–56.4; Dhp 420</w:t>
      </w:r>
    </w:p>
    <w:p>
      <w:pPr>
        <w:pStyle w:val="FootnoteText"/>
        <w:rPr/>
      </w:pPr>
      <w:r>
        <w:rPr/>
        <w:t>529</w:t>
      </w:r>
    </w:p>
    <w:p>
      <w:pPr>
        <w:pStyle w:val="FootnoteText"/>
        <w:rPr/>
      </w:pPr>
      <w:r>
        <w:rPr/>
        <w:t>Snp 3.12:18.1–20.4</w:t>
      </w:r>
    </w:p>
    <w:p>
      <w:pPr>
        <w:pStyle w:val="FootnoteText"/>
        <w:rPr/>
      </w:pPr>
      <w:r>
        <w:rPr/>
        <w:t>530</w:t>
      </w:r>
    </w:p>
    <w:p>
      <w:pPr>
        <w:pStyle w:val="FootnoteText"/>
        <w:rPr/>
      </w:pPr>
      <w:r>
        <w:rPr/>
        <w:t>SĀ2 30, also translated by Bingenheimer p.141</w:t>
      </w:r>
    </w:p>
    <w:p>
      <w:pPr>
        <w:pStyle w:val="FootnoteText"/>
        <w:rPr/>
      </w:pPr>
      <w:r>
        <w:rPr/>
        <w:t>531</w:t>
      </w:r>
    </w:p>
    <w:p>
      <w:pPr>
        <w:pStyle w:val="FootnoteText"/>
        <w:rPr/>
      </w:pPr>
      <w:r>
        <w:rPr/>
        <w:t>Thomas 1935 argues the first part of the compound tathāgata is likely tatha (‘truth’), not tathā (‘thus’). PED includes for tathāgata “he who has won through to the truth” and DPD “arrived at the truth”.</w:t>
      </w:r>
    </w:p>
    <w:p>
      <w:pPr>
        <w:pStyle w:val="FootnoteText"/>
        <w:rPr/>
      </w:pPr>
      <w:r>
        <w:rPr/>
        <w:t>532</w:t>
      </w:r>
    </w:p>
    <w:p>
      <w:pPr>
        <w:pStyle w:val="FootnoteText"/>
        <w:rPr/>
      </w:pPr>
      <w:r>
        <w:rPr/>
        <w:t>MN 22:36.1–37.6 M I 140</w:t>
      </w:r>
    </w:p>
    <w:p>
      <w:pPr>
        <w:pStyle w:val="FootnoteText"/>
        <w:rPr/>
      </w:pPr>
      <w:r>
        <w:rPr/>
        <w:t>533</w:t>
      </w:r>
    </w:p>
    <w:p>
      <w:pPr>
        <w:pStyle w:val="FootnoteText"/>
        <w:rPr/>
      </w:pPr>
      <w:r>
        <w:rPr/>
        <w:t>‘</w:t>
      </w:r>
      <w:r>
        <w:rPr/>
        <w:t>Diṭṭhevāhaṁ, bhikkhave, dhamme tathāgataṁ ananuvijjo’ti vadāmi, ‘even while alive there is no truth</w:t>
        <w:softHyphen/>
        <w:t>finder to be found, I tell you’. The most literal meaning of ananuvijja is ‘not found’, but the verb vijjati, as DPD and Gombrich 2009 p.139 say, can also mean ‘exists’. To “not find” a truth</w:t>
        <w:softHyphen/>
        <w:t>finder therefore means the truth</w:t>
        <w:softHyphen/>
        <w:t>finder doesn’t actually exist. I use the expression ‘there is no … to be found’ to include both meanings of the verb. For a similar idea see AN 5.167:9.8–9.10: “If I know that there is no such quality in me, I tell him: ‘It doesn’t exist; this quality isn’t found in me.’”</w:t>
      </w:r>
    </w:p>
    <w:p>
      <w:pPr>
        <w:pStyle w:val="FootnoteText"/>
        <w:rPr/>
      </w:pPr>
      <w:r>
        <w:rPr/>
        <w:t>534</w:t>
      </w:r>
    </w:p>
    <w:p>
      <w:pPr>
        <w:pStyle w:val="FootnoteText"/>
        <w:rPr/>
      </w:pPr>
      <w:r>
        <w:rPr/>
        <w:t>Ñāṇamoli 1995 n.266 at MN 22:36.4. See also Bodhi 1984 p.49: “The bhikkhu knows that ‘Tathāgata’ is just a convenient term for referring to a conglomerate process of impermanent, empty phenomena which are suffering in the deepest sense.”</w:t>
      </w:r>
    </w:p>
    <w:p>
      <w:pPr>
        <w:pStyle w:val="FootnoteText"/>
        <w:rPr/>
      </w:pPr>
      <w:r>
        <w:rPr/>
        <w:t>535</w:t>
      </w:r>
    </w:p>
    <w:p>
      <w:pPr>
        <w:pStyle w:val="FootnoteText"/>
        <w:rPr/>
      </w:pPr>
      <w:r>
        <w:rPr/>
        <w:t>See for example Nyanaponika 1959 p.12, Warder 1970 p.123, Ñāṇananda 1971 p.116, Kalupahana 1976 p.84, Collins p.132, Mahasi p.121, Bodhi 1984 p.49, Anālayo 2021 p.107, Anālayo 2022 p.1412</w:t>
      </w:r>
    </w:p>
    <w:p>
      <w:pPr>
        <w:pStyle w:val="FootnoteText"/>
        <w:rPr/>
      </w:pPr>
      <w:r>
        <w:rPr/>
        <w:t>536</w:t>
      </w:r>
    </w:p>
    <w:p>
      <w:pPr>
        <w:pStyle w:val="FootnoteText"/>
        <w:rPr/>
      </w:pPr>
      <w:r>
        <w:rPr/>
        <w:t>Bodhi 1984 p.49</w:t>
      </w:r>
    </w:p>
    <w:p>
      <w:pPr>
        <w:pStyle w:val="FootnoteText"/>
        <w:rPr/>
      </w:pPr>
      <w:r>
        <w:rPr/>
        <w:t>537</w:t>
      </w:r>
    </w:p>
    <w:p>
      <w:pPr>
        <w:pStyle w:val="FootnoteText"/>
        <w:rPr/>
      </w:pPr>
      <w:r>
        <w:rPr/>
        <w:t>SN 1.34, SN 4.16</w:t>
      </w:r>
    </w:p>
    <w:p>
      <w:pPr>
        <w:pStyle w:val="FootnoteText"/>
        <w:rPr/>
      </w:pPr>
      <w:r>
        <w:rPr/>
        <w:t>538</w:t>
      </w:r>
    </w:p>
    <w:p>
      <w:pPr>
        <w:pStyle w:val="FootnoteText"/>
        <w:rPr/>
      </w:pPr>
      <w:r>
        <w:rPr/>
        <w:t>For example Harvey 1995 p.230, Pasanno p.170, Ṭhānissaro 2008a p.121ff</w:t>
      </w:r>
    </w:p>
    <w:p>
      <w:pPr>
        <w:pStyle w:val="FootnoteText"/>
        <w:rPr/>
      </w:pPr>
      <w:r>
        <w:rPr/>
        <w:t>539</w:t>
      </w:r>
    </w:p>
    <w:p>
      <w:pPr>
        <w:pStyle w:val="FootnoteText"/>
        <w:rPr/>
      </w:pPr>
      <w:r>
        <w:rPr/>
        <w:t>SN 45.150</w:t>
      </w:r>
    </w:p>
    <w:p>
      <w:pPr>
        <w:pStyle w:val="FootnoteText"/>
        <w:rPr/>
      </w:pPr>
      <w:r>
        <w:rPr/>
        <w:t>540</w:t>
      </w:r>
    </w:p>
    <w:p>
      <w:pPr>
        <w:pStyle w:val="FootnoteText"/>
        <w:rPr/>
      </w:pPr>
      <w:r>
        <w:rPr/>
        <w:t>SN 1.20:25.1–25.6</w:t>
      </w:r>
    </w:p>
    <w:p>
      <w:pPr>
        <w:pStyle w:val="FootnoteText"/>
        <w:rPr/>
      </w:pPr>
      <w:r>
        <w:rPr/>
        <w:t>541</w:t>
      </w:r>
    </w:p>
    <w:p>
      <w:pPr>
        <w:pStyle w:val="FootnoteText"/>
        <w:rPr/>
      </w:pPr>
      <w:r>
        <w:rPr/>
        <w:t>See also Bodhi 2000 n.38 at SN 1.20:25.1: “[These lines] seem to be describing the arahant after his parinibbāna.” Olalde 2014 p.119 (translation mine): “That the person in question cannot be found anywhere (seemingly after his death) refers to the fact he reached final nibbāna.”</w:t>
      </w:r>
    </w:p>
    <w:p>
      <w:pPr>
        <w:pStyle w:val="FootnoteText"/>
        <w:rPr/>
      </w:pPr>
      <w:r>
        <w:rPr/>
        <w:t>542</w:t>
      </w:r>
    </w:p>
    <w:p>
      <w:pPr>
        <w:pStyle w:val="FootnoteText"/>
        <w:rPr/>
      </w:pPr>
      <w:r>
        <w:rPr/>
        <w:t>Snp 2.12:14.1–14.5. Also at Thag 21.1:67.1–67.5</w:t>
      </w:r>
    </w:p>
    <w:p>
      <w:pPr>
        <w:pStyle w:val="FootnoteText"/>
        <w:rPr/>
      </w:pPr>
      <w:r>
        <w:rPr/>
        <w:t>543</w:t>
      </w:r>
    </w:p>
    <w:p>
      <w:pPr>
        <w:pStyle w:val="FootnoteText"/>
        <w:rPr/>
      </w:pPr>
      <w:r>
        <w:rPr/>
        <w:t>For example SN 4.1:2.1 and SN 6.2:7.1</w:t>
      </w:r>
    </w:p>
    <w:p>
      <w:pPr>
        <w:pStyle w:val="FootnoteText"/>
        <w:rPr/>
      </w:pPr>
      <w:r>
        <w:rPr/>
        <w:t>544</w:t>
      </w:r>
    </w:p>
    <w:p>
      <w:pPr>
        <w:pStyle w:val="FootnoteText"/>
        <w:rPr/>
      </w:pPr>
      <w:r>
        <w:rPr/>
        <w:t>MĀ 62, translation Anālayo 2013, brackets in the original</w:t>
      </w:r>
    </w:p>
    <w:p>
      <w:pPr>
        <w:pStyle w:val="FootnoteText"/>
        <w:rPr/>
      </w:pPr>
      <w:r>
        <w:rPr/>
        <w:t>545</w:t>
      </w:r>
    </w:p>
    <w:p>
      <w:pPr>
        <w:pStyle w:val="FootnoteText"/>
        <w:rPr/>
      </w:pPr>
      <w:r>
        <w:rPr/>
        <w:t>SN 5.10. See also SN 12.15</w:t>
      </w:r>
    </w:p>
    <w:p>
      <w:pPr>
        <w:pStyle w:val="FootnoteText"/>
        <w:rPr/>
      </w:pPr>
      <w:r>
        <w:rPr/>
        <w:t>546</w:t>
      </w:r>
    </w:p>
    <w:p>
      <w:pPr>
        <w:pStyle w:val="FootnoteText"/>
        <w:rPr/>
      </w:pPr>
      <w:r>
        <w:rPr/>
        <w:t>SN 22.85:5.6–14.1</w:t>
      </w:r>
    </w:p>
    <w:p>
      <w:pPr>
        <w:pStyle w:val="FootnoteText"/>
        <w:rPr/>
      </w:pPr>
      <w:r>
        <w:rPr/>
        <w:t>547</w:t>
      </w:r>
    </w:p>
    <w:p>
      <w:pPr>
        <w:pStyle w:val="FootnoteText"/>
        <w:rPr/>
      </w:pPr>
      <w:r>
        <w:rPr/>
        <w:t>For example SN 1.49, SN 3.17, SN 12.41, AN 2.1, AN 3.34, AN 3.69, Iti 23, Iti 28-29, Iti 41, Iti 44, Snp 1.7, etc.</w:t>
      </w:r>
    </w:p>
    <w:p>
      <w:pPr>
        <w:pStyle w:val="FootnoteText"/>
        <w:rPr/>
      </w:pPr>
      <w:r>
        <w:rPr/>
        <w:t>548</w:t>
      </w:r>
    </w:p>
    <w:p>
      <w:pPr>
        <w:pStyle w:val="FootnoteText"/>
        <w:rPr/>
      </w:pPr>
      <w:r>
        <w:rPr/>
        <w:t>SN 22.86:12.1–13.2</w:t>
      </w:r>
    </w:p>
    <w:p>
      <w:pPr>
        <w:pStyle w:val="FootnoteText"/>
        <w:rPr/>
      </w:pPr>
      <w:r>
        <w:rPr/>
        <w:t>549</w:t>
      </w:r>
    </w:p>
    <w:p>
      <w:pPr>
        <w:pStyle w:val="FootnoteText"/>
        <w:rPr/>
      </w:pPr>
      <w:r>
        <w:rPr/>
        <w:t>See also Siderits Section 4.1. Compare SN 44.7</w:t>
      </w:r>
    </w:p>
    <w:p>
      <w:pPr>
        <w:pStyle w:val="FootnoteText"/>
        <w:rPr/>
      </w:pPr>
      <w:r>
        <w:rPr/>
        <w:t>550</w:t>
      </w:r>
    </w:p>
    <w:p>
      <w:pPr>
        <w:pStyle w:val="FootnoteText"/>
        <w:rPr/>
      </w:pPr>
      <w:r>
        <w:rPr/>
        <w:t>See AN 7.54:4.1–4.6</w:t>
      </w:r>
    </w:p>
    <w:p>
      <w:pPr>
        <w:pStyle w:val="FootnoteText"/>
        <w:rPr/>
      </w:pPr>
      <w:r>
        <w:rPr/>
        <w:t>551</w:t>
      </w:r>
    </w:p>
    <w:p>
      <w:pPr>
        <w:pStyle w:val="FootnoteText"/>
        <w:rPr/>
      </w:pPr>
      <w:r>
        <w:rPr/>
        <w:t>MN 143</w:t>
      </w:r>
    </w:p>
    <w:p>
      <w:pPr>
        <w:pStyle w:val="FootnoteText"/>
        <w:rPr/>
      </w:pPr>
      <w:r>
        <w:rPr/>
        <w:t>552</w:t>
      </w:r>
    </w:p>
    <w:p>
      <w:pPr>
        <w:pStyle w:val="FootnoteText"/>
        <w:rPr/>
      </w:pPr>
      <w:r>
        <w:rPr/>
        <w:t>DN 28:7.13 D III 105</w:t>
      </w:r>
    </w:p>
    <w:p>
      <w:pPr>
        <w:pStyle w:val="FootnoteText"/>
        <w:rPr/>
      </w:pPr>
      <w:r>
        <w:rPr/>
        <w:t>553</w:t>
      </w:r>
    </w:p>
    <w:p>
      <w:pPr>
        <w:pStyle w:val="FootnoteText"/>
        <w:rPr/>
      </w:pPr>
      <w:r>
        <w:rPr/>
        <w:t>MN 106:10.10, 12.6 M II 265</w:t>
      </w:r>
    </w:p>
    <w:p>
      <w:pPr>
        <w:pStyle w:val="FootnoteText"/>
        <w:rPr/>
      </w:pPr>
      <w:r>
        <w:rPr/>
        <w:t>554</w:t>
      </w:r>
    </w:p>
    <w:p>
      <w:pPr>
        <w:pStyle w:val="FootnoteText"/>
        <w:rPr/>
      </w:pPr>
      <w:r>
        <w:rPr/>
        <w:t>Iti 44</w:t>
      </w:r>
    </w:p>
    <w:p>
      <w:pPr>
        <w:pStyle w:val="FootnoteText"/>
        <w:rPr/>
      </w:pPr>
      <w:r>
        <w:rPr/>
        <w:t>555</w:t>
      </w:r>
    </w:p>
    <w:p>
      <w:pPr>
        <w:pStyle w:val="FootnoteText"/>
        <w:rPr/>
      </w:pPr>
      <w:r>
        <w:rPr/>
        <w:t>Saññāvedayitanirodha, ‘the cessation of awareness and what is experienced’, more well-known as ‘the cessation of perception and feeling’. In this state there is the complete cessation of both awareness (saññā) and the object that is experienced (vedayita). Saññā has a range of meanings, and one of these is awareness or consciousness in general (PED, DPD). Vedayita is a past participle meaning ‘felt’ or ‘experienced’ (CPED, PED, DPD). While commonly translated as ‘feeling’ in saññāvedayitanirodha, it refers not to the act of feeling but to that which is felt or experienced.</w:t>
      </w:r>
    </w:p>
    <w:p>
      <w:pPr>
        <w:pStyle w:val="FootnoteText"/>
        <w:rPr/>
      </w:pPr>
      <w:r>
        <w:rPr/>
        <w:t>556</w:t>
      </w:r>
    </w:p>
    <w:p>
      <w:pPr>
        <w:pStyle w:val="FootnoteText"/>
        <w:rPr/>
      </w:pPr>
      <w:r>
        <w:rPr/>
        <w:t>SN 12.51:12.1–24.3</w:t>
      </w:r>
    </w:p>
    <w:p>
      <w:pPr>
        <w:pStyle w:val="FootnoteText"/>
        <w:rPr/>
      </w:pPr>
      <w:r>
        <w:rPr/>
        <w:t>557</w:t>
      </w:r>
    </w:p>
    <w:p>
      <w:pPr>
        <w:pStyle w:val="FootnoteText"/>
        <w:rPr/>
      </w:pPr>
      <w:r>
        <w:rPr/>
        <w:t>Ud 8.1</w:t>
      </w:r>
    </w:p>
    <w:p>
      <w:pPr>
        <w:pStyle w:val="FootnoteText"/>
        <w:rPr/>
      </w:pPr>
      <w:r>
        <w:rPr/>
        <w:t>558</w:t>
      </w:r>
    </w:p>
    <w:p>
      <w:pPr>
        <w:pStyle w:val="FootnoteText"/>
        <w:rPr/>
      </w:pPr>
      <w:r>
        <w:rPr/>
        <w:t>See also Norman 1996</w:t>
      </w:r>
    </w:p>
    <w:p>
      <w:pPr>
        <w:pStyle w:val="FootnoteText"/>
        <w:rPr/>
      </w:pPr>
      <w:r>
        <w:rPr/>
        <w:t>559</w:t>
      </w:r>
    </w:p>
    <w:p>
      <w:pPr>
        <w:pStyle w:val="FootnoteText"/>
        <w:rPr/>
      </w:pPr>
      <w:r>
        <w:rPr/>
        <w:t>Bodhi 2020, 6. The Unconditioned: The Goal, Introduction and Bodhi 1979</w:t>
      </w:r>
    </w:p>
    <w:p>
      <w:pPr>
        <w:pStyle w:val="FootnoteText"/>
        <w:rPr/>
      </w:pPr>
      <w:r>
        <w:rPr/>
        <w:t>560</w:t>
      </w:r>
    </w:p>
    <w:p>
      <w:pPr>
        <w:pStyle w:val="FootnoteText"/>
        <w:rPr/>
      </w:pPr>
      <w:r>
        <w:rPr/>
        <w:t>For example Johansson p.51ff</w:t>
      </w:r>
    </w:p>
    <w:p>
      <w:pPr>
        <w:pStyle w:val="FootnoteText"/>
        <w:rPr/>
      </w:pPr>
      <w:r>
        <w:rPr/>
        <w:t>561</w:t>
      </w:r>
    </w:p>
    <w:p>
      <w:pPr>
        <w:pStyle w:val="FootnoteText"/>
        <w:rPr/>
      </w:pPr>
      <w:r>
        <w:rPr/>
        <w:t>DN 31:8.2 D III 183</w:t>
      </w:r>
    </w:p>
    <w:p>
      <w:pPr>
        <w:pStyle w:val="FootnoteText"/>
        <w:rPr/>
      </w:pPr>
      <w:r>
        <w:rPr/>
        <w:t>562</w:t>
      </w:r>
    </w:p>
    <w:p>
      <w:pPr>
        <w:pStyle w:val="FootnoteText"/>
        <w:rPr/>
      </w:pPr>
      <w:r>
        <w:rPr/>
        <w:t>PED and DPD</w:t>
      </w:r>
    </w:p>
    <w:p>
      <w:pPr>
        <w:pStyle w:val="FootnoteText"/>
        <w:rPr/>
      </w:pPr>
      <w:r>
        <w:rPr/>
        <w:t>563</w:t>
      </w:r>
    </w:p>
    <w:p>
      <w:pPr>
        <w:pStyle w:val="FootnoteText"/>
        <w:rPr/>
      </w:pPr>
      <w:r>
        <w:rPr/>
        <w:t>AN 5.26</w:t>
      </w:r>
    </w:p>
    <w:p>
      <w:pPr>
        <w:pStyle w:val="FootnoteText"/>
        <w:rPr/>
      </w:pPr>
      <w:r>
        <w:rPr/>
        <w:t>564</w:t>
      </w:r>
    </w:p>
    <w:p>
      <w:pPr>
        <w:pStyle w:val="FootnoteText"/>
        <w:rPr/>
      </w:pPr>
      <w:r>
        <w:rPr/>
        <w:t>MN 102:10.1–10.7 M II 233</w:t>
      </w:r>
    </w:p>
    <w:p>
      <w:pPr>
        <w:pStyle w:val="FootnoteText"/>
        <w:rPr/>
      </w:pPr>
      <w:r>
        <w:rPr/>
        <w:t>565</w:t>
      </w:r>
    </w:p>
    <w:p>
      <w:pPr>
        <w:pStyle w:val="FootnoteText"/>
        <w:rPr/>
      </w:pPr>
      <w:r>
        <w:rPr/>
        <w:t>Veditabbe here means ‘should be understood’, as Bodhi 2000 and Sujato 2023, not ‘should be experienced’ as Anālayo 2023 Chapter II.3. The cessation of the six senses includes the cessation of all feelings/experiences (vedanā) and therefore is not something that is experienced. It can, however, be understood. The commentary also understands veditabbe as jānitabba, ‘to be understood’. This use of veditabba is common in the discourses.</w:t>
      </w:r>
    </w:p>
    <w:p>
      <w:pPr>
        <w:pStyle w:val="FootnoteText"/>
        <w:rPr/>
      </w:pPr>
      <w:r>
        <w:rPr/>
        <w:t>566</w:t>
      </w:r>
    </w:p>
    <w:p>
      <w:pPr>
        <w:pStyle w:val="FootnoteText"/>
        <w:rPr/>
      </w:pPr>
      <w:r>
        <w:rPr/>
        <w:t>SN 35.117</w:t>
      </w:r>
    </w:p>
    <w:p>
      <w:pPr>
        <w:pStyle w:val="FootnoteText"/>
        <w:rPr/>
      </w:pPr>
      <w:r>
        <w:rPr/>
        <w:t>567</w:t>
      </w:r>
    </w:p>
    <w:p>
      <w:pPr>
        <w:pStyle w:val="FootnoteText"/>
        <w:rPr/>
      </w:pPr>
      <w:r>
        <w:rPr/>
        <w:t>The relative adverb yattha can mean both ‘where’ and ‘when’.</w:t>
      </w:r>
    </w:p>
    <w:p>
      <w:pPr>
        <w:pStyle w:val="FootnoteText"/>
        <w:rPr/>
      </w:pPr>
      <w:r>
        <w:rPr/>
        <w:t>568</w:t>
      </w:r>
    </w:p>
    <w:p>
      <w:pPr>
        <w:pStyle w:val="FootnoteText"/>
        <w:rPr/>
      </w:pPr>
      <w:r>
        <w:rPr/>
        <w:t>Ud 8.1</w:t>
      </w:r>
    </w:p>
    <w:p>
      <w:pPr>
        <w:pStyle w:val="FootnoteText"/>
        <w:rPr/>
      </w:pPr>
      <w:r>
        <w:rPr/>
        <w:t>569</w:t>
      </w:r>
    </w:p>
    <w:p>
      <w:pPr>
        <w:pStyle w:val="FootnoteText"/>
        <w:rPr/>
      </w:pPr>
      <w:r>
        <w:rPr/>
        <w:t xml:space="preserve">Brahmāli p.55 </w:t>
      </w:r>
    </w:p>
    <w:p>
      <w:pPr>
        <w:pStyle w:val="FootnoteText"/>
        <w:rPr/>
      </w:pPr>
      <w:r>
        <w:rPr/>
        <w:t>570</w:t>
      </w:r>
    </w:p>
    <w:p>
      <w:pPr>
        <w:pStyle w:val="FootnoteText"/>
        <w:rPr/>
      </w:pPr>
      <w:r>
        <w:rPr/>
        <w:t>DOP and PED</w:t>
      </w:r>
    </w:p>
    <w:p>
      <w:pPr>
        <w:pStyle w:val="FootnoteText"/>
        <w:rPr/>
      </w:pPr>
      <w:r>
        <w:rPr/>
        <w:t>571</w:t>
      </w:r>
    </w:p>
    <w:p>
      <w:pPr>
        <w:pStyle w:val="FootnoteText"/>
        <w:rPr/>
      </w:pPr>
      <w:r>
        <w:rPr/>
        <w:t>Iti 51</w:t>
      </w:r>
    </w:p>
    <w:p>
      <w:pPr>
        <w:pStyle w:val="FootnoteText"/>
        <w:rPr/>
      </w:pPr>
      <w:r>
        <w:rPr/>
        <w:t>572</w:t>
      </w:r>
    </w:p>
    <w:p>
      <w:pPr>
        <w:pStyle w:val="FootnoteText"/>
        <w:rPr/>
      </w:pPr>
      <w:r>
        <w:rPr/>
        <w:t>Snp 5.10:2.1–2.5</w:t>
      </w:r>
    </w:p>
    <w:p>
      <w:pPr>
        <w:pStyle w:val="FootnoteText"/>
        <w:rPr/>
      </w:pPr>
      <w:r>
        <w:rPr/>
        <w:t>573</w:t>
      </w:r>
    </w:p>
    <w:p>
      <w:pPr>
        <w:pStyle w:val="FootnoteText"/>
        <w:rPr/>
      </w:pPr>
      <w:r>
        <w:rPr/>
        <w:t>SN 12.68, AN 10.7</w:t>
      </w:r>
    </w:p>
    <w:p>
      <w:pPr>
        <w:pStyle w:val="FootnoteText"/>
        <w:rPr/>
      </w:pPr>
      <w:r>
        <w:rPr/>
        <w:t>574</w:t>
      </w:r>
    </w:p>
    <w:p>
      <w:pPr>
        <w:pStyle w:val="FootnoteText"/>
        <w:rPr/>
      </w:pPr>
      <w:r>
        <w:rPr/>
        <w:t>Contra e.g. Ñāṇananda 2015 p.376. For the Buddha experiencing the formless states see for example SN 6.15</w:t>
      </w:r>
    </w:p>
    <w:p>
      <w:pPr>
        <w:pStyle w:val="FootnoteText"/>
        <w:rPr/>
      </w:pPr>
      <w:r>
        <w:rPr/>
        <w:t>575</w:t>
      </w:r>
    </w:p>
    <w:p>
      <w:pPr>
        <w:pStyle w:val="FootnoteText"/>
        <w:rPr/>
      </w:pPr>
      <w:r>
        <w:rPr/>
        <w:t>MN 59:16.1–16.6 M I 400, SN 36.19:16.1–16.6, compare with</w:t>
      </w:r>
    </w:p>
    <w:p>
      <w:pPr>
        <w:pStyle w:val="FootnoteText"/>
        <w:rPr/>
      </w:pPr>
      <w:r>
        <w:rPr/>
        <w:t>AN 9.34; MN 111:20.1-20.6 M III 28</w:t>
      </w:r>
    </w:p>
    <w:p>
      <w:pPr>
        <w:pStyle w:val="FootnoteText"/>
        <w:rPr/>
      </w:pPr>
      <w:r>
        <w:rPr/>
        <w:t>576</w:t>
      </w:r>
    </w:p>
    <w:p>
      <w:pPr>
        <w:pStyle w:val="FootnoteText"/>
        <w:rPr/>
      </w:pPr>
      <w:r>
        <w:rPr/>
        <w:t>See Wynne p.100</w:t>
      </w:r>
    </w:p>
    <w:p>
      <w:pPr>
        <w:pStyle w:val="FootnoteText"/>
        <w:rPr/>
      </w:pPr>
      <w:r>
        <w:rPr/>
        <w:t>577</w:t>
      </w:r>
    </w:p>
    <w:p>
      <w:pPr>
        <w:pStyle w:val="FootnoteText"/>
        <w:rPr/>
      </w:pPr>
      <w:r>
        <w:rPr/>
        <w:t>See Tan: “Appatiṭṭhitaṃ means ‘without […] support for consciousness.’ Hence, there is neither sensing nor knowing.”</w:t>
      </w:r>
    </w:p>
    <w:p>
      <w:pPr>
        <w:pStyle w:val="FootnoteText"/>
        <w:rPr/>
      </w:pPr>
      <w:r>
        <w:rPr/>
        <w:t>578</w:t>
      </w:r>
    </w:p>
    <w:p>
      <w:pPr>
        <w:pStyle w:val="FootnoteText"/>
        <w:rPr/>
      </w:pPr>
      <w:r>
        <w:rPr/>
        <w:t>Snp 5.5</w:t>
      </w:r>
    </w:p>
    <w:p>
      <w:pPr>
        <w:pStyle w:val="FootnoteText"/>
        <w:rPr/>
      </w:pPr>
      <w:r>
        <w:rPr/>
        <w:t>579</w:t>
      </w:r>
    </w:p>
    <w:p>
      <w:pPr>
        <w:pStyle w:val="FootnoteText"/>
        <w:rPr/>
      </w:pPr>
      <w:r>
        <w:rPr/>
        <w:t>Nicholas Rescher (tr.), Al-Fārābī’s Short Commentary on Aristotle’s Prior Analytics, p.49</w:t>
      </w:r>
    </w:p>
    <w:p>
      <w:pPr>
        <w:pStyle w:val="FootnoteText"/>
        <w:rPr/>
      </w:pPr>
      <w:r>
        <w:rPr/>
        <w:t>580</w:t>
      </w:r>
    </w:p>
    <w:p>
      <w:pPr>
        <w:pStyle w:val="FootnoteText"/>
        <w:rPr/>
      </w:pPr>
      <w:r>
        <w:rPr/>
        <w:t>§7</w:t>
      </w:r>
    </w:p>
    <w:p>
      <w:pPr>
        <w:pStyle w:val="FootnoteText"/>
        <w:rPr/>
      </w:pPr>
      <w:r>
        <w:rPr/>
        <w:t>581</w:t>
      </w:r>
    </w:p>
    <w:p>
      <w:pPr>
        <w:pStyle w:val="FootnoteText"/>
        <w:rPr/>
      </w:pPr>
      <w:r>
        <w:rPr/>
        <w:t>§53, §54, §115</w:t>
      </w:r>
    </w:p>
    <w:p>
      <w:pPr>
        <w:pStyle w:val="FootnoteText"/>
        <w:rPr/>
      </w:pPr>
      <w:r>
        <w:rPr/>
        <w:t>582</w:t>
      </w:r>
    </w:p>
    <w:p>
      <w:pPr>
        <w:pStyle w:val="FootnoteText"/>
        <w:rPr/>
      </w:pPr>
      <w:r>
        <w:rPr/>
        <w:t>§76, §78, §118</w:t>
      </w:r>
    </w:p>
    <w:p>
      <w:pPr>
        <w:pStyle w:val="FootnoteText"/>
        <w:rPr/>
      </w:pPr>
      <w:r>
        <w:rPr/>
        <w:t>583</w:t>
      </w:r>
    </w:p>
    <w:p>
      <w:pPr>
        <w:pStyle w:val="FootnoteText"/>
        <w:rPr/>
      </w:pPr>
      <w:r>
        <w:rPr/>
        <w:t>§80, §81</w:t>
      </w:r>
    </w:p>
    <w:p>
      <w:pPr>
        <w:pStyle w:val="FootnoteText"/>
        <w:rPr/>
      </w:pPr>
      <w:r>
        <w:rPr/>
        <w:t>584</w:t>
      </w:r>
    </w:p>
    <w:p>
      <w:pPr>
        <w:pStyle w:val="FootnoteText"/>
        <w:rPr/>
      </w:pPr>
      <w:r>
        <w:rPr/>
        <w:t>§68</w:t>
      </w:r>
    </w:p>
    <w:p>
      <w:pPr>
        <w:pStyle w:val="FootnoteText"/>
        <w:rPr/>
      </w:pPr>
      <w:r>
        <w:rPr/>
        <w:t>585</w:t>
      </w:r>
    </w:p>
    <w:p>
      <w:pPr>
        <w:pStyle w:val="FootnoteText"/>
        <w:rPr/>
      </w:pPr>
      <w:r>
        <w:rPr/>
        <w:t>§76</w:t>
      </w:r>
    </w:p>
    <w:p>
      <w:pPr>
        <w:pStyle w:val="FootnoteText"/>
        <w:rPr/>
      </w:pPr>
      <w:r>
        <w:rPr/>
        <w:t>586</w:t>
      </w:r>
    </w:p>
    <w:p>
      <w:pPr>
        <w:pStyle w:val="FootnoteText"/>
        <w:rPr/>
      </w:pPr>
      <w:r>
        <w:rPr/>
        <w:t>§57</w:t>
      </w:r>
    </w:p>
    <w:p>
      <w:pPr>
        <w:pStyle w:val="FootnoteText"/>
        <w:rPr/>
      </w:pPr>
      <w:r>
        <w:rPr/>
        <w:t>587</w:t>
      </w:r>
    </w:p>
    <w:p>
      <w:pPr>
        <w:pStyle w:val="FootnoteText"/>
        <w:rPr/>
      </w:pPr>
      <w:r>
        <w:rPr/>
        <w:t>§23, §53, §54, §71, §76, §115, §118</w:t>
      </w:r>
    </w:p>
    <w:p>
      <w:pPr>
        <w:pStyle w:val="FootnoteText"/>
        <w:rPr/>
      </w:pPr>
      <w:r>
        <w:rPr/>
        <w:t>588</w:t>
      </w:r>
    </w:p>
    <w:p>
      <w:pPr>
        <w:pStyle w:val="FootnoteText"/>
        <w:rPr/>
      </w:pPr>
      <w:r>
        <w:rPr/>
        <w:t>§53, §54, §76, §115, §118</w:t>
      </w:r>
    </w:p>
    <w:p>
      <w:pPr>
        <w:pStyle w:val="FootnoteText"/>
        <w:rPr/>
      </w:pPr>
      <w:r>
        <w:rPr/>
        <w:t>589</w:t>
      </w:r>
    </w:p>
    <w:p>
      <w:pPr>
        <w:pStyle w:val="FootnoteText"/>
        <w:rPr/>
      </w:pPr>
      <w:r>
        <w:rPr/>
        <w:t>§142</w:t>
      </w:r>
    </w:p>
    <w:p>
      <w:pPr>
        <w:pStyle w:val="FootnoteText"/>
        <w:rPr/>
      </w:pPr>
      <w:r>
        <w:rPr/>
        <w:t>590</w:t>
      </w:r>
    </w:p>
    <w:p>
      <w:pPr>
        <w:pStyle w:val="FootnoteText"/>
        <w:rPr/>
      </w:pPr>
      <w:r>
        <w:rPr/>
        <w:t>§84</w:t>
      </w:r>
    </w:p>
    <w:p>
      <w:pPr>
        <w:pStyle w:val="FootnoteText"/>
        <w:rPr/>
      </w:pPr>
      <w:r>
        <w:rPr/>
        <w:t>591</w:t>
      </w:r>
    </w:p>
    <w:p>
      <w:pPr>
        <w:pStyle w:val="FootnoteText"/>
        <w:rPr/>
      </w:pPr>
      <w:r>
        <w:rPr/>
        <w:t>AN 7.67:17.1–17.6</w:t>
      </w:r>
    </w:p>
    <w:p>
      <w:pPr>
        <w:pStyle w:val="FootnoteText"/>
        <w:rPr/>
      </w:pPr>
      <w:r>
        <w:rPr/>
        <w:t>592</w:t>
      </w:r>
    </w:p>
    <w:p>
      <w:pPr>
        <w:pStyle w:val="FootnoteText"/>
        <w:rPr/>
      </w:pPr>
      <w:r>
        <w:rPr/>
        <w:t>DN 15:1.3–1.8 D II 55. See also MN 26:19.2 M I 167</w:t>
      </w:r>
    </w:p>
    <w:p>
      <w:pPr>
        <w:pStyle w:val="FootnoteText"/>
        <w:rPr/>
      </w:pPr>
      <w:r>
        <w:rPr/>
        <w:t>593</w:t>
      </w:r>
    </w:p>
    <w:p>
      <w:pPr>
        <w:pStyle w:val="FootnoteText"/>
        <w:rPr/>
      </w:pPr>
      <w:r>
        <w:rPr/>
        <w:t>SN 48.50:5.2</w:t>
      </w:r>
    </w:p>
    <w:p>
      <w:pPr>
        <w:pStyle w:val="FootnoteText"/>
        <w:rPr/>
      </w:pPr>
      <w:r>
        <w:rPr/>
        <w:t>594</w:t>
      </w:r>
    </w:p>
    <w:p>
      <w:pPr>
        <w:pStyle w:val="FootnoteText"/>
        <w:rPr/>
      </w:pPr>
      <w:r>
        <w:rPr/>
        <w:t>For example SN 56.11:11.2</w:t>
      </w:r>
    </w:p>
    <w:p>
      <w:pPr>
        <w:pStyle w:val="FootnoteText"/>
        <w:rPr/>
      </w:pPr>
      <w:r>
        <w:rPr/>
        <w:t>595</w:t>
      </w:r>
    </w:p>
    <w:p>
      <w:pPr>
        <w:pStyle w:val="FootnoteText"/>
        <w:rPr/>
      </w:pPr>
      <w:r>
        <w:rPr/>
        <w:t>SN 22.122</w:t>
      </w:r>
    </w:p>
    <w:p>
      <w:pPr>
        <w:pStyle w:val="FootnoteText"/>
        <w:rPr/>
      </w:pPr>
      <w:r>
        <w:rPr/>
        <w:t>596</w:t>
      </w:r>
    </w:p>
    <w:p>
      <w:pPr>
        <w:pStyle w:val="FootnoteText"/>
        <w:rPr/>
      </w:pPr>
      <w:r>
        <w:rPr/>
        <w:t>For example SN 12.41, AN 10.92</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Adobe Devanagari">
    <w:charset w:val="00" w:characterSet="windows-1252"/>
    <w:family w:val="roman"/>
    <w:pitch w:val="variable"/>
  </w:font>
  <w:font w:name="Cambria">
    <w:charset w:val="00" w:characterSet="windows-1252"/>
    <w:family w:val="roman"/>
    <w:pitch w:val="variable"/>
  </w:font>
  <w:font w:name="DejaVu Sans">
    <w:charset w:val="00" w:characterSet="windows-1252"/>
    <w:family w:val="swiss"/>
    <w:pitch w:val="variable"/>
  </w:font>
  <w:font w:name="DejaVu Sans Mono">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numPr>
        <w:ilvl w:val="1"/>
        <w:numId w:val="1"/>
      </w:numPr>
      <w:spacing w:before="200" w:after="120"/>
      <w:outlineLvl w:val="1"/>
    </w:pPr>
    <w:rPr>
      <w:rFonts w:ascii="Liberation Serif" w:hAnsi="Liberation Serif" w:eastAsia="NSimSun" w:cs="Lucida Sans"/>
      <w:b/>
      <w:bCs/>
      <w:sz w:val="36"/>
      <w:szCs w:val="3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Heading"/>
    <w:next w:val="BodyText"/>
    <w:qFormat/>
    <w:pPr>
      <w:numPr>
        <w:ilvl w:val="3"/>
        <w:numId w:val="1"/>
      </w:numPr>
      <w:spacing w:before="120" w:after="120"/>
      <w:outlineLvl w:val="3"/>
    </w:pPr>
    <w:rPr>
      <w:rFonts w:ascii="Liberation Serif" w:hAnsi="Liberation Serif" w:eastAsia="NSimSun" w:cs="Lucida Sans"/>
      <w:b/>
      <w:bCs/>
      <w:sz w:val="24"/>
      <w:szCs w:val="24"/>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Emphasis">
    <w:name w:val="Emphasis"/>
    <w:qFormat/>
    <w:rPr>
      <w:i/>
      <w:iCs/>
    </w:rPr>
  </w:style>
  <w:style w:type="character" w:styleId="Hyperlink">
    <w:name w:val="Hyperlink"/>
    <w:rPr>
      <w:color w:val="000080"/>
      <w:u w:val="single"/>
    </w:rPr>
  </w:style>
  <w:style w:type="character" w:styleId="NumberingSymbols">
    <w:name w:val="Numbering Symbols"/>
    <w:qFormat/>
    <w:rPr/>
  </w:style>
  <w:style w:type="character" w:styleId="Strong">
    <w:name w:val="Strong"/>
    <w:qFormat/>
    <w:rPr>
      <w:b/>
      <w:bCs/>
    </w:rPr>
  </w:style>
  <w:style w:type="character" w:styleId="FollowedHyperlink">
    <w:name w:val="FollowedHyperlink"/>
    <w:rPr>
      <w:rFonts w:ascii="Calibri" w:hAnsi="Calibri"/>
      <w:color w:val="168253"/>
      <w:sz w:val="20"/>
      <w:u w:val="none"/>
    </w:rPr>
  </w:style>
  <w:style w:type="character" w:styleId="wwc-PTS-reference">
    <w:name w:val="wwc-PTS-reference"/>
    <w:qFormat/>
    <w:rPr>
      <w:color w:val="EEEEEE"/>
      <w:shd w:fill="808080" w:val="clear"/>
    </w:rPr>
  </w:style>
  <w:style w:type="character" w:styleId="SourceText">
    <w:name w:val="Source Text"/>
    <w:qFormat/>
    <w:rPr>
      <w:rFonts w:ascii="Liberation Mono;Courier New" w:hAnsi="Liberation Mono;Courier New" w:eastAsia="NSimSun" w:cs="Liberation Mono;Courier New"/>
      <w:b/>
      <w:sz w:val="20"/>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F8E1" w:val="clear"/>
      <w:vertAlign w:val="baseline"/>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internal-reference">
    <w:name w:val="internal-reference"/>
    <w:qFormat/>
    <w:rPr>
      <w:rFonts w:ascii="Liberation Serif" w:hAnsi="Liberation Serif" w:eastAsia="NSimSun" w:cs="Lucida Sans"/>
      <w:color w:val="FFFFFF"/>
      <w:kern w:val="2"/>
      <w:sz w:val="20"/>
      <w:szCs w:val="20"/>
      <w:shd w:fill="C9211E"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lockQuotationuser">
    <w:name w:val="Block Quotation (user)"/>
    <w:basedOn w:val="Normal"/>
    <w:qFormat/>
    <w:pPr>
      <w:spacing w:before="0" w:after="283"/>
      <w:ind w:hanging="0" w:start="567" w:end="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ind w:hanging="0" w:start="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WW-instruction-list">
    <w:name w:val="WW-instruction-list"/>
    <w:qFormat/>
    <w:pPr>
      <w:widowControl/>
      <w:shd w:val="clear" w:fill="E8EAF6"/>
      <w:suppressAutoHyphens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fals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bidi w:val="0"/>
      <w:spacing w:before="170" w:after="170"/>
      <w:jc w:val="start"/>
      <w:outlineLvl w:val="0"/>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numPr>
        <w:ilvl w:val="0"/>
        <w:numId w:val="0"/>
      </w:numPr>
      <w:suppressAutoHyphens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resentism_(historical_analysis)" TargetMode="External"/><Relationship Id="rId3" Type="http://schemas.openxmlformats.org/officeDocument/2006/relationships/hyperlink" Target="https://suttacentral.net/ma97" TargetMode="External"/><Relationship Id="rId4" Type="http://schemas.openxmlformats.org/officeDocument/2006/relationships/hyperlink" Target="https://suttacentral.net/t14" TargetMode="External"/><Relationship Id="rId5" Type="http://schemas.openxmlformats.org/officeDocument/2006/relationships/hyperlink" Target="https://suttacentral.net/t52" TargetMode="External"/><Relationship Id="rId6" Type="http://schemas.openxmlformats.org/officeDocument/2006/relationships/hyperlink" Target="https://suttacentral.net/da13" TargetMode="External"/><Relationship Id="rId7" Type="http://schemas.openxmlformats.org/officeDocument/2006/relationships/hyperlink" Target="https://suttacentral.net/arv5" TargetMode="External"/><Relationship Id="rId8" Type="http://schemas.openxmlformats.org/officeDocument/2006/relationships/hyperlink" Target="https://suttacentral.net/ma97" TargetMode="External"/><Relationship Id="rId9" Type="http://schemas.openxmlformats.org/officeDocument/2006/relationships/hyperlink" Target="https://suttacentral.net/t14" TargetMode="External"/><Relationship Id="rId10" Type="http://schemas.openxmlformats.org/officeDocument/2006/relationships/hyperlink" Target="https://suttacentral.net/ea21.3" TargetMode="External"/><Relationship Id="rId11" Type="http://schemas.openxmlformats.org/officeDocument/2006/relationships/hyperlink" Target="https://suttacentral.net/ma151" TargetMode="External"/><Relationship Id="rId12" Type="http://schemas.openxmlformats.org/officeDocument/2006/relationships/hyperlink" Target="https://suttacentral.net/ds2.3.3" TargetMode="External"/><Relationship Id="rId13" Type="http://schemas.openxmlformats.org/officeDocument/2006/relationships/hyperlink" Target="https://suttacentral.net/sa298" TargetMode="External"/><Relationship Id="rId14" Type="http://schemas.openxmlformats.org/officeDocument/2006/relationships/hyperlink" Target="https://suttacentral.net/ea49.5" TargetMode="External"/><Relationship Id="rId15" Type="http://schemas.openxmlformats.org/officeDocument/2006/relationships/hyperlink" Target="https://suttacentral.net/ea46.8" TargetMode="External"/><Relationship Id="rId16" Type="http://schemas.openxmlformats.org/officeDocument/2006/relationships/hyperlink" Target="http://suttacentral.net/sf165" TargetMode="External"/><Relationship Id="rId17" Type="http://schemas.openxmlformats.org/officeDocument/2006/relationships/hyperlink" Target="http://suttacentral.net/sf238" TargetMode="External"/><Relationship Id="rId18" Type="http://schemas.openxmlformats.org/officeDocument/2006/relationships/hyperlink" Target="https://suttacentral.net/pli-tv-kd6" TargetMode="External"/><Relationship Id="rId19" Type="http://schemas.openxmlformats.org/officeDocument/2006/relationships/hyperlink" Target="https://suttacentral.net/sa359" TargetMode="External"/><Relationship Id="rId20" Type="http://schemas.openxmlformats.org/officeDocument/2006/relationships/hyperlink" Target="https://suttacentral.net/sa360" TargetMode="External"/><Relationship Id="rId21" Type="http://schemas.openxmlformats.org/officeDocument/2006/relationships/hyperlink" Target="https://suttacentral.net/sa360" TargetMode="External"/><Relationship Id="rId22" Type="http://schemas.openxmlformats.org/officeDocument/2006/relationships/hyperlink" Target="https://suttacentral.net/mil3.6.9" TargetMode="External"/><Relationship Id="rId23" Type="http://schemas.openxmlformats.org/officeDocument/2006/relationships/hyperlink" Target="https://suttacentral.net/sa39" TargetMode="External"/><Relationship Id="rId24" Type="http://schemas.openxmlformats.org/officeDocument/2006/relationships/hyperlink" Target="https://suttacentral.net/sa39" TargetMode="External"/><Relationship Id="rId25" Type="http://schemas.openxmlformats.org/officeDocument/2006/relationships/hyperlink" Target="https://suttacentral.net/ma97" TargetMode="External"/><Relationship Id="rId26" Type="http://schemas.openxmlformats.org/officeDocument/2006/relationships/hyperlink" Target="https://suttacentral.net/da13" TargetMode="External"/><Relationship Id="rId27" Type="http://schemas.openxmlformats.org/officeDocument/2006/relationships/hyperlink" Target="https://suttacentral.net/da13" TargetMode="External"/><Relationship Id="rId28" Type="http://schemas.openxmlformats.org/officeDocument/2006/relationships/hyperlink" Target="https://suttacentral.net/cnd5" TargetMode="External"/><Relationship Id="rId29" Type="http://schemas.openxmlformats.org/officeDocument/2006/relationships/hyperlink" Target="https://suttacentral.net/sa284" TargetMode="External"/><Relationship Id="rId30" Type="http://schemas.openxmlformats.org/officeDocument/2006/relationships/hyperlink" Target="https://suttacentral.net/sa1187" TargetMode="External"/><Relationship Id="rId31" Type="http://schemas.openxmlformats.org/officeDocument/2006/relationships/hyperlink" Target="https://suttacentral.net/sa-2.100"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1035</TotalTime>
  <Application>LibreOffice/25.2.5.2$Windows_X86_64 LibreOffice_project/03d19516eb2e1dd5d4ccd751a0d6f35f35e08022</Application>
  <AppVersion>15.0000</AppVersion>
  <Pages>41</Pages>
  <Words>11821</Words>
  <Characters>57981</Characters>
  <CharactersWithSpaces>68321</CharactersWithSpaces>
  <Paragraphs>1253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2025-10-13T10:55:50Z</dcterms:created>
  <dc:creator>Stuart Corner</dc:creator>
  <dc:description/>
  <dc:language>en-GB</dc:language>
  <cp:lastModifiedBy>Stuart Corner</cp:lastModifiedBy>
  <dcterms:modified xsi:type="dcterms:W3CDTF">2025-10-24T10:06:10Z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