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266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Normal"/>
        <w:rPr/>
      </w:pP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rStyle w:val="wwc-sesame-zot-reference"/>
        </w:rPr>
        <w:t>Sujato 2011a</w:t>
      </w:r>
    </w:p>
    <w:p>
      <w:pPr>
        <w:pStyle w:val="WW-gloss-term"/>
        <w:rPr/>
      </w:pPr>
      <w:r>
        <w:rPr/>
        <w:t>403</w:t>
      </w:r>
    </w:p>
    <w:p>
      <w:pPr>
        <w:pStyle w:val="FootnoteText"/>
        <w:rPr/>
      </w:pPr>
      <w:r>
        <w:rPr>
          <w:rStyle w:val="wwc-sesame"/>
        </w:rPr>
        <w:t>Bodhi 2020 p.25</w:t>
      </w:r>
      <w:r>
        <w:rPr/>
        <w:t xml:space="preserve">. See also </w:t>
      </w:r>
      <w:r>
        <w:rPr>
          <w:rStyle w:val="wwc-sesame-zot-reference"/>
        </w:rPr>
        <w:t>Warder 2010</w:t>
      </w:r>
      <w:r>
        <w:rPr/>
        <w:t xml:space="preserve"> p.5</w:t>
      </w:r>
    </w:p>
    <w:p>
      <w:pPr>
        <w:pStyle w:val="WW-gloss-term"/>
        <w:rPr/>
      </w:pPr>
      <w:r>
        <w:rPr/>
        <w:t>404</w:t>
      </w:r>
    </w:p>
    <w:p>
      <w:pPr>
        <w:pStyle w:val="FootnoteText"/>
        <w:rPr/>
      </w:pP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p>
      <w:pPr>
        <w:pStyle w:val="WW-gloss-term"/>
        <w:rPr/>
      </w:pPr>
      <w:r>
        <w:rPr/>
        <w:t>405</w:t>
      </w:r>
    </w:p>
    <w:p>
      <w:pPr>
        <w:pStyle w:val="FootnoteText"/>
        <w:rPr/>
      </w:pPr>
      <w:r>
        <w:rPr>
          <w:rStyle w:val="wwc-sesame-zot-reference"/>
        </w:rPr>
        <w:t>Ñāṇamoli 1956</w:t>
      </w:r>
      <w:r>
        <w:rPr/>
        <w:t xml:space="preserve"> n.48 p.606. See also </w:t>
      </w:r>
      <w:r>
        <w:rPr>
          <w:rStyle w:val="wwc-sesame-zot-reference"/>
        </w:rPr>
        <w:t>Gombrich 1980</w:t>
      </w:r>
      <w:r>
        <w:rPr/>
        <w:t xml:space="preserve"> p.43</w:t>
      </w:r>
    </w:p>
    <w:p>
      <w:pPr>
        <w:pStyle w:val="WW-gloss-term"/>
        <w:rPr/>
      </w:pPr>
      <w:r>
        <w:rPr/>
        <w:t>406</w:t>
      </w:r>
    </w:p>
    <w:p>
      <w:pPr>
        <w:pStyle w:val="FootnoteText"/>
        <w:rPr/>
      </w:pPr>
      <w:r>
        <w:rPr>
          <w:rStyle w:val="wwc-sesame-zot-reference"/>
        </w:rPr>
        <w:t>Schmithausen 2000</w:t>
      </w:r>
      <w:r>
        <w:rPr/>
        <w:t xml:space="preserve"> p.74, translation mine, emphasis in the original</w:t>
      </w:r>
    </w:p>
    <w:p>
      <w:pPr>
        <w:pStyle w:val="WW-gloss-term"/>
        <w:rPr/>
      </w:pPr>
      <w:r>
        <w:rPr/>
        <w:t>407</w:t>
      </w:r>
    </w:p>
    <w:p>
      <w:pPr>
        <w:pStyle w:val="FootnoteText"/>
        <w:rPr/>
      </w:pPr>
      <w:r>
        <w:rPr>
          <w:rStyle w:val="wwc-sesame-zot-reference"/>
        </w:rPr>
        <w:t>Brahmavamso 1994</w:t>
      </w:r>
      <w:r>
        <w:rPr/>
        <w:t>, which uses the simile with reference to feelings instead of consciousness, but the idea is the same.</w:t>
      </w:r>
    </w:p>
    <w:p>
      <w:pPr>
        <w:pStyle w:val="WW-gloss-term"/>
        <w:rPr/>
      </w:pPr>
      <w:r>
        <w:rPr/>
        <w:t>408</w:t>
      </w:r>
    </w:p>
    <w:p>
      <w:pPr>
        <w:pStyle w:val="FootnoteText"/>
        <w:rPr/>
      </w:pP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p>
      <w:pPr>
        <w:pStyle w:val="WW-gloss-term"/>
        <w:rPr/>
      </w:pPr>
      <w:r>
        <w:rPr/>
        <w:t>410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p>
      <w:pPr>
        <w:pStyle w:val="WW-gloss-term"/>
        <w:rPr/>
      </w:pPr>
      <w:r>
        <w:rPr/>
        <w:t>411</w:t>
      </w:r>
    </w:p>
    <w:p>
      <w:pPr>
        <w:pStyle w:val="FootnoteText"/>
        <w:rPr/>
      </w:pPr>
      <w:r>
        <w:rPr/>
        <w:t xml:space="preserve">See </w:t>
      </w:r>
      <w:r>
        <w:rPr>
          <w:rStyle w:val="wwc-sesame-zot-reference"/>
        </w:rPr>
        <w:t>Hamilton</w:t>
      </w:r>
      <w:r>
        <w:rPr/>
        <w:t xml:space="preserve"> p.89</w:t>
      </w:r>
    </w:p>
    <w:p>
      <w:pPr>
        <w:pStyle w:val="WW-gloss-term"/>
        <w:rPr/>
      </w:pPr>
      <w:r>
        <w:rPr/>
        <w:t>412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p>
      <w:pPr>
        <w:pStyle w:val="WW-gloss-term"/>
        <w:rPr/>
      </w:pPr>
      <w:r>
        <w:rPr/>
        <w:t>413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38:8.1–8.21</w:t>
      </w:r>
      <w:r>
        <w:rPr>
          <w:rStyle w:val="Hyperlink"/>
        </w:rPr>
        <w:fldChar w:fldCharType="end"/>
      </w:r>
      <w:r>
        <w:rPr/>
        <w:t xml:space="preserve"> </w:t>
      </w:r>
      <w:r>
        <w:rPr>
          <w:rStyle w:val="wwc-PTS-reference"/>
        </w:rPr>
        <w:t>M I 260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48.39</w:t>
      </w:r>
      <w:r>
        <w:rPr>
          <w:rStyle w:val="Hyperlink"/>
        </w:rPr>
        <w:fldChar w:fldCharType="end"/>
      </w:r>
      <w:r>
        <w:rPr/>
        <w:t xml:space="preserve"> contain a similar simile which compares sense impression to fire sticks.</w:t>
      </w:r>
    </w:p>
    <w:p>
      <w:pPr>
        <w:pStyle w:val="WW-gloss-term"/>
        <w:rPr/>
      </w:pPr>
      <w:r>
        <w:rPr/>
        <w:t>414</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p>
      <w:pPr>
        <w:pStyle w:val="WW-gloss-term"/>
        <w:rPr/>
      </w:pPr>
      <w:r>
        <w:rPr/>
        <w:t>415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p>
      <w:pPr>
        <w:pStyle w:val="WW-gloss-term"/>
        <w:rPr/>
      </w:pPr>
      <w:r>
        <w:rPr/>
        <w:t>416</w:t>
      </w:r>
    </w:p>
    <w:p>
      <w:pPr>
        <w:pStyle w:val="FootnoteText"/>
        <w:rPr/>
      </w:pPr>
      <w:r>
        <w:rPr/>
        <w:t xml:space="preserve">On the same passage see also </w:t>
      </w:r>
      <w:r>
        <w:rPr>
          <w:rStyle w:val="wwc-sesame-zot-reference"/>
        </w:rPr>
        <w:t>Gombrich 2009</w:t>
      </w:r>
      <w:r>
        <w:rPr/>
        <w:t xml:space="preserve"> p.120</w:t>
      </w:r>
    </w:p>
    <w:p>
      <w:pPr>
        <w:pStyle w:val="WW-gloss-term"/>
        <w:rPr/>
      </w:pPr>
      <w:r>
        <w:rPr/>
        <w:t>417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p>
      <w:pPr>
        <w:pStyle w:val="WW-gloss-term"/>
        <w:rPr/>
      </w:pPr>
      <w:r>
        <w:rPr/>
        <w:t>418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p>
      <w:pPr>
        <w:pStyle w:val="WW-gloss-term"/>
        <w:rPr/>
      </w:pPr>
      <w:r>
        <w:rPr/>
        <w:t>419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p>
      <w:pPr>
        <w:pStyle w:val="WW-gloss-term"/>
        <w:rPr/>
      </w:pPr>
      <w:r>
        <w:rPr/>
        <w:t>420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p>
      <w:pPr>
        <w:pStyle w:val="WW-gloss-term"/>
        <w:rPr/>
      </w:pPr>
      <w:r>
        <w:rPr/>
        <w:t>421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p>
      <w:pPr>
        <w:pStyle w:val="WW-gloss-term"/>
        <w:rPr/>
      </w:pPr>
      <w:r>
        <w:rPr/>
        <w:t>422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p>
      <w:pPr>
        <w:pStyle w:val="WW-gloss-term"/>
        <w:rPr/>
      </w:pPr>
      <w:r>
        <w:rPr/>
        <w:t>423</w:t>
      </w:r>
    </w:p>
    <w:p>
      <w:pPr>
        <w:pStyle w:val="FootnoteText"/>
        <w:rPr/>
      </w:pPr>
      <w:r>
        <w:rPr/>
        <w:t xml:space="preserve">See also </w:t>
      </w:r>
      <w:r>
        <w:rPr>
          <w:rStyle w:val="wwc-sesame"/>
        </w:rPr>
        <w:t>Brahmavamso 2006 ‘The Nature of Citta’</w:t>
      </w:r>
    </w:p>
    <w:p>
      <w:pPr>
        <w:pStyle w:val="WW-gloss-term"/>
        <w:rPr/>
      </w:pPr>
      <w:r>
        <w:rPr/>
        <w:t>424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p>
      <w:pPr>
        <w:pStyle w:val="WW-gloss-term"/>
        <w:rPr/>
      </w:pPr>
      <w:r>
        <w:rPr/>
        <w:t>425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p>
      <w:pPr>
        <w:pStyle w:val="WW-gloss-term"/>
        <w:rPr/>
      </w:pPr>
      <w:r>
        <w:rPr/>
        <w:t>426</w:t>
      </w:r>
    </w:p>
    <w:p>
      <w:pPr>
        <w:pStyle w:val="FootnoteText"/>
        <w:rPr/>
      </w:pPr>
      <w:r>
        <w:rPr>
          <w:rStyle w:val="wwc-pali"/>
        </w:rPr>
        <w:t>Savijñānakaḥ kāyo</w:t>
      </w:r>
      <w:r>
        <w:rPr/>
        <w:t xml:space="preserve"> (</w:t>
      </w:r>
      <w:hyperlink r:id="rId32">
        <w:r>
          <w:rPr>
            <w:rStyle w:val="Hyperlink"/>
          </w:rPr>
          <w:t>SF 161</w:t>
        </w:r>
      </w:hyperlink>
      <w:r>
        <w:rPr/>
        <w:t xml:space="preserve">) and </w:t>
      </w:r>
      <w:r>
        <w:rPr/>
        <w:t xml:space="preserve">識身 </w:t>
      </w:r>
      <w:r>
        <w:rPr/>
        <w:t>(</w:t>
      </w:r>
      <w:hyperlink r:id="rId33">
        <w:r>
          <w:rPr>
            <w:rStyle w:val="Hyperlink"/>
          </w:rPr>
          <w:t>SĀ 294</w:t>
        </w:r>
      </w:hyperlink>
      <w:r>
        <w:rPr/>
        <w:t xml:space="preserve">). See </w:t>
      </w:r>
      <w:r>
        <w:rPr>
          <w:rStyle w:val="wwc-sesame-zot-reference"/>
        </w:rPr>
        <w:t>Choong</w:t>
      </w:r>
      <w:r>
        <w:rPr/>
        <w:t xml:space="preserve"> p.185</w:t>
      </w:r>
    </w:p>
    <w:p>
      <w:pPr>
        <w:pStyle w:val="WW-gloss-term"/>
        <w:rPr/>
      </w:pPr>
      <w:r>
        <w:rPr/>
        <w:t>427</w:t>
      </w:r>
    </w:p>
    <w:p>
      <w:pPr>
        <w:pStyle w:val="FootnoteText"/>
        <w:rPr/>
      </w:pPr>
      <w:r>
        <w:rPr/>
        <w:t xml:space="preserve">See </w:t>
      </w:r>
      <w:r>
        <w:rPr>
          <w:rStyle w:val="internal-reference"/>
        </w:rPr>
        <w:t>note 361</w:t>
      </w:r>
    </w:p>
    <w:p>
      <w:pPr>
        <w:pStyle w:val="WW-gloss-term"/>
        <w:rPr/>
      </w:pPr>
      <w:r>
        <w:rPr/>
        <w:t>428</w:t>
      </w:r>
    </w:p>
    <w:p>
      <w:pPr>
        <w:pStyle w:val="FootnoteText"/>
        <w:rPr/>
      </w:pPr>
      <w:r>
        <w:rPr>
          <w:rStyle w:val="wwc-sesame-zot-reference"/>
        </w:rPr>
        <w:t>DOP</w:t>
      </w:r>
      <w:r>
        <w:rPr/>
        <w:t xml:space="preserve"> under </w:t>
      </w:r>
      <w:r>
        <w:rPr>
          <w:rStyle w:val="wwc-pali"/>
        </w:rPr>
        <w:t>nimitta</w:t>
      </w:r>
    </w:p>
    <w:p>
      <w:pPr>
        <w:pStyle w:val="WW-gloss-term"/>
        <w:rPr/>
      </w:pPr>
      <w:r>
        <w:rPr/>
        <w:t>429</w:t>
      </w:r>
    </w:p>
    <w:p>
      <w:pPr>
        <w:pStyle w:val="FootnoteText"/>
        <w:rPr/>
      </w:pP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p>
      <w:pPr>
        <w:pStyle w:val="WW-gloss-term"/>
        <w:rPr/>
      </w:pPr>
      <w:r>
        <w:rPr/>
        <w:t>430</w:t>
      </w:r>
    </w:p>
    <w:p>
      <w:pPr>
        <w:pStyle w:val="FootnoteText"/>
        <w:rPr/>
      </w:pPr>
      <w:r>
        <w:rPr>
          <w:rStyle w:val="wwc-sesame-zot-reference"/>
        </w:rPr>
        <w:t>Schmithausen 2000</w:t>
      </w:r>
      <w:r>
        <w:rPr/>
        <w:t xml:space="preserve"> p.66 n.103, translation mine</w:t>
      </w:r>
    </w:p>
    <w:p>
      <w:pPr>
        <w:pStyle w:val="WW-gloss-term"/>
        <w:rPr/>
      </w:pPr>
      <w:r>
        <w:rPr/>
        <w:t>431</w:t>
      </w:r>
    </w:p>
    <w:p>
      <w:pPr>
        <w:pStyle w:val="FootnoteText"/>
        <w:rPr/>
      </w:pPr>
      <w:r>
        <w:rPr>
          <w:rStyle w:val="wwc-sesame-zot-reference"/>
        </w:rPr>
        <w:t>Gonda</w:t>
      </w:r>
      <w:r>
        <w:rPr/>
        <w:t xml:space="preserve"> p.8</w:t>
      </w:r>
    </w:p>
    <w:p>
      <w:pPr>
        <w:pStyle w:val="WW-gloss-term"/>
        <w:rPr/>
      </w:pPr>
      <w:r>
        <w:rPr/>
        <w:t>432</w:t>
      </w:r>
    </w:p>
    <w:p>
      <w:pPr>
        <w:pStyle w:val="FootnoteText"/>
        <w:rPr/>
      </w:pP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p>
      <w:pPr>
        <w:pStyle w:val="WW-gloss-term"/>
        <w:rPr/>
      </w:pPr>
      <w:r>
        <w:rPr/>
        <w:t>433</w:t>
      </w:r>
    </w:p>
    <w:p>
      <w:pPr>
        <w:pStyle w:val="FootnoteText"/>
        <w:rPr/>
      </w:pPr>
      <w:r>
        <w:rPr>
          <w:rStyle w:val="wwc-sesame-zot-reference"/>
        </w:rPr>
        <w:t>Hamilton</w:t>
      </w:r>
      <w:r>
        <w:rPr/>
        <w:t xml:space="preserve"> p.127–135</w:t>
      </w:r>
    </w:p>
    <w:p>
      <w:pPr>
        <w:pStyle w:val="WW-gloss-term"/>
        <w:rPr/>
      </w:pPr>
      <w:r>
        <w:rPr/>
        <w:t>434</w:t>
      </w:r>
    </w:p>
    <w:p>
      <w:pPr>
        <w:pStyle w:val="FootnoteText"/>
        <w:rPr/>
      </w:pPr>
      <w:r>
        <w:rPr>
          <w:rStyle w:val="wwc-sesame-zot-reference"/>
        </w:rPr>
        <w:t>Falk</w:t>
      </w:r>
      <w:r>
        <w:rPr/>
        <w:t xml:space="preserve"> p.56 n.1</w:t>
      </w:r>
    </w:p>
    <w:p>
      <w:pPr>
        <w:pStyle w:val="WW-gloss-term"/>
        <w:rPr/>
      </w:pPr>
      <w:r>
        <w:rPr/>
        <w:t>435</w:t>
      </w:r>
    </w:p>
    <w:p>
      <w:pPr>
        <w:pStyle w:val="FootnoteText"/>
        <w:rPr/>
      </w:pP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p>
      <w:pPr>
        <w:pStyle w:val="WW-gloss-term"/>
        <w:rPr/>
      </w:pPr>
      <w:r>
        <w:rPr/>
        <w:t>436</w:t>
      </w:r>
    </w:p>
    <w:p>
      <w:pPr>
        <w:pStyle w:val="FootnoteText"/>
        <w:rPr/>
      </w:pP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p>
      <w:pPr>
        <w:pStyle w:val="WW-gloss-term"/>
        <w:rPr/>
      </w:pPr>
      <w:r>
        <w:rPr/>
        <w:t>437</w:t>
      </w:r>
    </w:p>
    <w:p>
      <w:pPr>
        <w:pStyle w:val="FootnoteText"/>
        <w:rPr/>
      </w:pPr>
      <w:r>
        <w:rPr/>
        <w:t xml:space="preserve">See for example §137,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438</w:t>
      </w:r>
    </w:p>
    <w:p>
      <w:pPr>
        <w:pStyle w:val="FootnoteText"/>
        <w:rPr/>
      </w:pPr>
      <w:r>
        <w:rPr/>
        <w:t xml:space="preserve">See also </w:t>
      </w:r>
      <w:r>
        <w:rPr>
          <w:rStyle w:val="wwc-sesame-zot-reference"/>
        </w:rPr>
        <w:t>Hamilton</w:t>
      </w:r>
      <w:r>
        <w:rPr/>
        <w:t xml:space="preserve">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 xml:space="preserve">See also </w:t>
      </w:r>
      <w:r>
        <w:rPr>
          <w:rStyle w:val="wwc-sesame-zot-reference"/>
        </w:rPr>
        <w:t>Hamilton</w:t>
      </w:r>
      <w:r>
        <w:rPr/>
        <w:t xml:space="preserve"> p.132 and </w:t>
      </w:r>
      <w:r>
        <w:rPr>
          <w:rStyle w:val="wwc-sesame-zot-reference"/>
        </w:rPr>
        <w:t>Olalde 2014</w:t>
      </w:r>
      <w:r>
        <w:rPr/>
        <w:t xml:space="preserve"> p.103</w:t>
      </w:r>
    </w:p>
    <w:p>
      <w:pPr>
        <w:pStyle w:val="WW-gloss-term"/>
        <w:rPr/>
      </w:pPr>
      <w:r>
        <w:rPr/>
        <w:t>442</w:t>
      </w:r>
    </w:p>
    <w:p>
      <w:pPr>
        <w:pStyle w:val="FootnoteText"/>
        <w:rPr/>
      </w:pPr>
      <w:r>
        <w:rPr>
          <w:rStyle w:val="wwc-sesame-zot-reference"/>
        </w:rPr>
        <w:t>Schmithausen 2000</w:t>
      </w:r>
      <w:r>
        <w:rPr/>
        <w:t xml:space="preserve"> pp.69–74, translation mine</w:t>
      </w:r>
    </w:p>
    <w:p>
      <w:pPr>
        <w:pStyle w:val="WW-gloss-term"/>
        <w:rPr/>
      </w:pPr>
      <w:r>
        <w:rPr/>
        <w:t>443</w:t>
      </w:r>
    </w:p>
    <w:p>
      <w:pPr>
        <w:pStyle w:val="FootnoteText"/>
        <w:rPr/>
      </w:pPr>
      <w:r>
        <w:rPr/>
        <w:t xml:space="preserve">See </w:t>
      </w:r>
      <w:r>
        <w:rPr>
          <w:rStyle w:val="internal-reference"/>
        </w:rPr>
        <w:t>note 152</w:t>
      </w:r>
    </w:p>
    <w:p>
      <w:pPr>
        <w:pStyle w:val="WW-gloss-term"/>
        <w:rPr/>
      </w:pPr>
      <w:r>
        <w:rPr/>
        <w:t>444</w:t>
      </w:r>
    </w:p>
    <w:p>
      <w:pPr>
        <w:pStyle w:val="FootnoteText"/>
        <w:rPr/>
      </w:pP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p>
      <w:pPr>
        <w:pStyle w:val="WW-gloss-term"/>
        <w:rPr/>
      </w:pPr>
      <w:r>
        <w:rPr/>
        <w:t>446</w:t>
      </w:r>
    </w:p>
    <w:p>
      <w:pPr>
        <w:pStyle w:val="FootnoteText"/>
        <w:rPr/>
      </w:pPr>
      <w:r>
        <w:rPr>
          <w:rStyle w:val="wwc-sesame-zot-reference"/>
        </w:rPr>
        <w:t>Bodhi 1984</w:t>
      </w:r>
      <w:r>
        <w:rPr/>
        <w:t xml:space="preserve"> p.20</w:t>
      </w:r>
    </w:p>
    <w:p>
      <w:pPr>
        <w:pStyle w:val="WW-gloss-term"/>
        <w:rPr/>
      </w:pPr>
      <w:r>
        <w:rPr/>
        <w:t>447</w:t>
      </w:r>
    </w:p>
    <w:p>
      <w:pPr>
        <w:pStyle w:val="FootnoteText"/>
        <w:rPr/>
      </w:pPr>
      <w:r>
        <w:rPr/>
        <w:t xml:space="preserve">See </w:t>
      </w:r>
      <w:r>
        <w:rPr>
          <w:rStyle w:val="wwc-sesame-zot-reference"/>
        </w:rPr>
        <w:t>Bodhi 1984</w:t>
      </w:r>
      <w:r>
        <w:rPr/>
        <w:t xml:space="preserve"> p.107</w:t>
      </w:r>
    </w:p>
    <w:p>
      <w:pPr>
        <w:pStyle w:val="WW-gloss-term"/>
        <w:rPr/>
      </w:pPr>
      <w:r>
        <w:rPr/>
        <w:t>448</w:t>
      </w:r>
    </w:p>
    <w:p>
      <w:pPr>
        <w:pStyle w:val="FootnoteText"/>
        <w:rPr/>
      </w:pPr>
      <w:r>
        <w:rPr/>
        <w:t xml:space="preserve">See also </w:t>
      </w:r>
      <w:r>
        <w:rPr>
          <w:rStyle w:val="internal-reference"/>
        </w:rPr>
        <w:t>note 139</w:t>
      </w:r>
    </w:p>
    <w:p>
      <w:pPr>
        <w:pStyle w:val="WW-gloss-term"/>
        <w:rPr/>
      </w:pPr>
      <w:r>
        <w:rPr/>
        <w:t>449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p>
      <w:pPr>
        <w:pStyle w:val="WW-gloss-term"/>
        <w:rPr/>
      </w:pPr>
      <w:r>
        <w:rPr/>
        <w:t>450</w:t>
      </w:r>
    </w:p>
    <w:p>
      <w:pPr>
        <w:pStyle w:val="FootnoteText"/>
        <w:rPr/>
      </w:pPr>
      <w:r>
        <w:rPr>
          <w:rStyle w:val="wwc-sesame-zot-reference"/>
        </w:rPr>
        <w:t>Bodhi 1984</w:t>
      </w:r>
      <w:r>
        <w:rPr/>
        <w:t xml:space="preserve"> p.21</w:t>
      </w:r>
    </w:p>
    <w:p>
      <w:pPr>
        <w:pStyle w:val="WW-gloss-term"/>
        <w:rPr/>
      </w:pPr>
      <w:r>
        <w:rPr/>
        <w:t>451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p>
      <w:pPr>
        <w:pStyle w:val="WW-gloss-term"/>
        <w:rPr/>
      </w:pPr>
      <w:r>
        <w:rPr/>
        <w:t>452</w:t>
      </w:r>
    </w:p>
    <w:p>
      <w:pPr>
        <w:pStyle w:val="FootnoteText"/>
        <w:rPr/>
      </w:pP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p>
      <w:pPr>
        <w:pStyle w:val="WW-gloss-term"/>
        <w:rPr/>
      </w:pPr>
      <w:r>
        <w:rPr/>
        <w:t>453</w:t>
      </w:r>
    </w:p>
    <w:p>
      <w:pPr>
        <w:pStyle w:val="FootnoteText"/>
        <w:rPr/>
      </w:pPr>
      <w:r>
        <w:rPr>
          <w:rStyle w:val="wwc-sesame-zot-reference"/>
        </w:rPr>
        <w:t>Bodhi 1984</w:t>
      </w:r>
      <w:r>
        <w:rPr/>
        <w:t xml:space="preserve"> p.20</w:t>
      </w:r>
    </w:p>
    <w:p>
      <w:pPr>
        <w:pStyle w:val="WW-gloss-term"/>
        <w:rPr/>
      </w:pPr>
      <w:r>
        <w:rPr/>
        <w:t>454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5.7:6.4</w:t>
      </w:r>
      <w:r>
        <w:rPr>
          <w:rStyle w:val="Hyperlink"/>
        </w:rPr>
        <w:fldChar w:fldCharType="end"/>
      </w:r>
      <w:r>
        <w:rPr/>
        <w:t xml:space="preserve">. See also </w:t>
      </w:r>
      <w:r>
        <w:rPr>
          <w:rStyle w:val="wwc-sesame-zot-reference"/>
        </w:rPr>
        <w:t>DOP</w:t>
      </w:r>
      <w:r>
        <w:rPr/>
        <w:t xml:space="preserve"> s.v. </w:t>
      </w:r>
      <w:r>
        <w:rPr>
          <w:rStyle w:val="wwc-pali"/>
        </w:rPr>
        <w:t>nāmakāya</w:t>
      </w:r>
      <w:r>
        <w:rPr/>
        <w:t>: ‘the group of non-material aspects (of an individual)’.</w:t>
      </w:r>
    </w:p>
    <w:p>
      <w:pPr>
        <w:pStyle w:val="WW-gloss-term"/>
        <w:rPr/>
      </w:pPr>
      <w:r>
        <w:rPr/>
        <w:t>455</w:t>
      </w:r>
    </w:p>
    <w:p>
      <w:pPr>
        <w:pStyle w:val="FootnoteText"/>
        <w:rPr/>
      </w:pPr>
      <w:hyperlink r:id="rId34">
        <w:r>
          <w:rPr>
            <w:rStyle w:val="Hyperlink"/>
          </w:rPr>
          <w:t>DĀ 13</w:t>
        </w:r>
      </w:hyperlink>
      <w:r>
        <w:rPr/>
        <w:t xml:space="preserve"> at 61b02, translation Patton</w:t>
      </w:r>
    </w:p>
    <w:p>
      <w:pPr>
        <w:pStyle w:val="WW-gloss-term"/>
        <w:rPr/>
      </w:pPr>
      <w:r>
        <w:rPr/>
        <w:t>456</w:t>
      </w:r>
    </w:p>
    <w:p>
      <w:pPr>
        <w:pStyle w:val="FootnoteText"/>
        <w:rPr/>
      </w:pPr>
      <w:r>
        <w:rPr>
          <w:rStyle w:val="wwc-sesame-zot-reference"/>
        </w:rPr>
        <w:t>Hamilton</w:t>
      </w:r>
      <w:r>
        <w:rPr/>
        <w:t xml:space="preserve"> p.134</w:t>
      </w:r>
    </w:p>
    <w:p>
      <w:pPr>
        <w:pStyle w:val="WW-gloss-term"/>
        <w:rPr/>
      </w:pPr>
      <w:r>
        <w:rPr/>
        <w:t>457</w:t>
      </w:r>
    </w:p>
    <w:p>
      <w:pPr>
        <w:pStyle w:val="FootnoteText"/>
        <w:rPr/>
      </w:pPr>
      <w:r>
        <w:rPr/>
        <w:t xml:space="preserve">See </w:t>
      </w:r>
      <w:r>
        <w:rPr>
          <w:rStyle w:val="wwc-sesame-zot-reference"/>
        </w:rPr>
        <w:t>Olalde 2014</w:t>
      </w:r>
      <w:r>
        <w:rPr/>
        <w:t xml:space="preserve"> p.114ff</w:t>
      </w:r>
    </w:p>
    <w:p>
      <w:pPr>
        <w:pStyle w:val="WW-gloss-term"/>
        <w:rPr/>
      </w:pPr>
      <w:r>
        <w:rPr/>
        <w:t>458</w:t>
      </w:r>
    </w:p>
    <w:p>
      <w:pPr>
        <w:pStyle w:val="FootnoteText"/>
        <w:rPr/>
      </w:pP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p>
      <w:pPr>
        <w:pStyle w:val="WW-gloss-term"/>
        <w:rPr/>
      </w:pPr>
      <w:r>
        <w:rPr/>
        <w:t>459</w:t>
      </w:r>
    </w:p>
    <w:p>
      <w:pPr>
        <w:pStyle w:val="FootnoteText"/>
        <w:rPr/>
      </w:pPr>
      <w:hyperlink r:id="rId35">
        <w:r>
          <w:rPr>
            <w:rStyle w:val="Hyperlink"/>
          </w:rPr>
          <w:t>DĀ 13</w:t>
        </w:r>
      </w:hyperlink>
      <w:r>
        <w:rPr/>
        <w:t xml:space="preserve"> at 61b3, </w:t>
      </w:r>
      <w:hyperlink r:id="rId36">
        <w:r>
          <w:rPr>
            <w:rStyle w:val="Hyperlink"/>
          </w:rPr>
          <w:t>MĀ 97</w:t>
        </w:r>
      </w:hyperlink>
      <w:r>
        <w:rPr/>
        <w:t xml:space="preserve"> at 579c7, </w:t>
      </w:r>
      <w:hyperlink r:id="rId37">
        <w:r>
          <w:rPr>
            <w:rStyle w:val="Hyperlink"/>
          </w:rPr>
          <w:t>T 14</w:t>
        </w:r>
      </w:hyperlink>
      <w:r>
        <w:rPr/>
        <w:t xml:space="preserve"> at 243b8; </w:t>
      </w:r>
      <w:hyperlink r:id="rId38">
        <w:r>
          <w:rPr>
            <w:rStyle w:val="Hyperlink"/>
          </w:rPr>
          <w:t>T 52</w:t>
        </w:r>
      </w:hyperlink>
    </w:p>
    <w:p>
      <w:pPr>
        <w:pStyle w:val="WW-gloss-term"/>
        <w:rPr/>
      </w:pPr>
      <w:r>
        <w:rPr/>
        <w:t>460</w:t>
      </w:r>
    </w:p>
    <w:p>
      <w:pPr>
        <w:pStyle w:val="FootnoteText"/>
        <w:rPr/>
      </w:pPr>
      <w:r>
        <w:rPr>
          <w:rStyle w:val="wwc-sesame-zot-reference"/>
        </w:rPr>
        <w:t>Vetter 1994</w:t>
      </w:r>
      <w:r>
        <w:rPr/>
        <w:t xml:space="preserve"> p.147</w:t>
      </w:r>
    </w:p>
    <w:p>
      <w:pPr>
        <w:pStyle w:val="WW-gloss-term"/>
        <w:rPr/>
      </w:pPr>
      <w:r>
        <w:rPr/>
        <w:t>461</w:t>
      </w:r>
    </w:p>
    <w:p>
      <w:pPr>
        <w:pStyle w:val="FootnoteText"/>
        <w:rPr/>
      </w:pPr>
      <w:hyperlink r:id="rId39">
        <w:r>
          <w:rPr>
            <w:rStyle w:val="Hyperlink"/>
          </w:rPr>
          <w:t>T 52</w:t>
        </w:r>
      </w:hyperlink>
      <w:r>
        <w:rPr/>
        <w:t xml:space="preserve">, see also </w:t>
      </w:r>
      <w:r>
        <w:rPr>
          <w:rStyle w:val="internal-reference"/>
        </w:rPr>
        <w:t>table 3</w:t>
      </w:r>
    </w:p>
    <w:p>
      <w:pPr>
        <w:pStyle w:val="WW-gloss-term"/>
        <w:rPr/>
      </w:pPr>
      <w:r>
        <w:rPr/>
        <w:t>462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p>
      <w:pPr>
        <w:pStyle w:val="WW-gloss-term"/>
        <w:rPr/>
      </w:pPr>
      <w:r>
        <w:rPr/>
        <w:t>463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p>
      <w:pPr>
        <w:pStyle w:val="WW-gloss-term"/>
        <w:rPr/>
      </w:pPr>
      <w:r>
        <w:rPr/>
        <w:t>464</w:t>
      </w:r>
    </w:p>
    <w:p>
      <w:pPr>
        <w:pStyle w:val="FootnoteText"/>
        <w:rPr/>
      </w:pPr>
      <w:r>
        <w:rPr/>
        <w:t xml:space="preserve">See also </w:t>
      </w:r>
      <w:r>
        <w:rPr>
          <w:rStyle w:val="wwc-sesame-zot-reference"/>
        </w:rPr>
        <w:t>Kalupahana 1976</w:t>
      </w:r>
      <w:r>
        <w:rPr/>
        <w:t xml:space="preserve"> p.158: “There is no transcendent reality or Being or ‘self’ that is given as the object of such direct perception.”</w:t>
      </w:r>
    </w:p>
    <w:p>
      <w:pPr>
        <w:pStyle w:val="WW-gloss-term"/>
        <w:rPr/>
      </w:pPr>
      <w:r>
        <w:rPr/>
        <w:t>465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p>
      <w:pPr>
        <w:pStyle w:val="WW-gloss-term"/>
        <w:rPr/>
      </w:pPr>
      <w:r>
        <w:rPr/>
        <w:t>466</w:t>
      </w:r>
    </w:p>
    <w:p>
      <w:pPr>
        <w:pStyle w:val="FootnoteText"/>
        <w:rPr/>
      </w:pP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p>
      <w:pPr>
        <w:pStyle w:val="WW-gloss-term"/>
        <w:rPr/>
      </w:pPr>
      <w:r>
        <w:rPr/>
        <w:t>467</w:t>
      </w:r>
    </w:p>
    <w:p>
      <w:pPr>
        <w:pStyle w:val="FootnoteText"/>
        <w:rPr/>
      </w:pP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p>
      <w:pPr>
        <w:pStyle w:val="WW-gloss-term"/>
        <w:rPr/>
      </w:pPr>
      <w:r>
        <w:rPr/>
        <w:t>468</w:t>
      </w:r>
    </w:p>
    <w:p>
      <w:pPr>
        <w:pStyle w:val="FootnoteText"/>
        <w:rPr/>
      </w:pP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p>
      <w:pPr>
        <w:pStyle w:val="WW-gloss-term"/>
        <w:rPr/>
      </w:pPr>
      <w:r>
        <w:rPr/>
        <w:t>470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p>
      <w:pPr>
        <w:pStyle w:val="WW-gloss-term"/>
        <w:rPr/>
      </w:pPr>
      <w:r>
        <w:rPr/>
        <w:t>471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p>
      <w:pPr>
        <w:pStyle w:val="WW-gloss-term"/>
        <w:rPr/>
      </w:pPr>
      <w:r>
        <w:rPr/>
        <w:t>472</w:t>
      </w:r>
    </w:p>
    <w:p>
      <w:pPr>
        <w:pStyle w:val="FootnoteText"/>
        <w:rPr/>
      </w:pP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p>
      <w:pPr>
        <w:pStyle w:val="WW-gloss-term"/>
        <w:rPr/>
      </w:pPr>
      <w:r>
        <w:rPr/>
        <w:t xml:space="preserve">473 </w:t>
      </w:r>
      <w:r>
        <w:rPr/>
        <w:t>HERE!!!!!!!!!!!!!!!!!!!!!!!!!!!!!!!!!!!!!!!!!!!!!!!!!!!!!!!!!!!!!!</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p>
    <w:p>
      <w:pPr>
        <w:pStyle w:val="WW-gloss-term"/>
        <w:rPr/>
      </w:pPr>
      <w:r>
        <w:rPr/>
        <w:t>474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at §53, §54, and §115</w:t>
      </w:r>
    </w:p>
    <w:p>
      <w:pPr>
        <w:pStyle w:val="WW-gloss-term"/>
        <w:rPr/>
      </w:pPr>
      <w:r>
        <w:rPr/>
        <w:t>475</w:t>
      </w:r>
    </w:p>
    <w:p>
      <w:pPr>
        <w:pStyle w:val="FootnoteText"/>
        <w:rPr/>
      </w:pPr>
      <w:hyperlink r:id="rId40">
        <w:r>
          <w:rPr>
            <w:rStyle w:val="Hyperlink"/>
          </w:rPr>
          <w:t>SĀ 359</w:t>
        </w:r>
      </w:hyperlink>
      <w:r>
        <w:rPr/>
        <w:t xml:space="preserve">, </w:t>
      </w:r>
      <w:hyperlink r:id="rId41">
        <w:r>
          <w:rPr>
            <w:rStyle w:val="Hyperlink"/>
          </w:rPr>
          <w:t>SĀ 360</w:t>
        </w:r>
      </w:hyperlink>
      <w:r>
        <w:rPr/>
        <w:t xml:space="preserve">, </w:t>
      </w:r>
      <w:hyperlink r:id="rId42">
        <w:r>
          <w:rPr>
            <w:rStyle w:val="Hyperlink"/>
          </w:rPr>
          <w:t>SĀ 361</w:t>
        </w:r>
      </w:hyperlink>
    </w:p>
    <w:p>
      <w:pPr>
        <w:pStyle w:val="WW-gloss-term"/>
        <w:rPr/>
      </w:pPr>
      <w:r>
        <w:rPr/>
        <w:t>476</w:t>
      </w:r>
    </w:p>
    <w:p>
      <w:pPr>
        <w:pStyle w:val="FootnoteText"/>
        <w:rPr/>
      </w:pPr>
      <w:r>
        <w:rPr>
          <w:rStyle w:val="wwc-sesame-zot-reference"/>
        </w:rPr>
        <w:t>Choong</w:t>
      </w:r>
      <w:r>
        <w:rPr/>
        <w:t xml:space="preserve"> p.172</w:t>
      </w:r>
    </w:p>
    <w:p>
      <w:pPr>
        <w:pStyle w:val="WW-gloss-term"/>
        <w:rPr/>
      </w:pPr>
      <w:r>
        <w:rPr/>
        <w:t>477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144:11.3–11.9</w:t>
      </w:r>
      <w:r>
        <w:rPr>
          <w:rStyle w:val="Hyperlink"/>
        </w:rPr>
        <w:fldChar w:fldCharType="end"/>
      </w:r>
      <w:r>
        <w:rPr/>
        <w:t xml:space="preserve"> </w:t>
      </w:r>
      <w:r>
        <w:rPr>
          <w:rStyle w:val="wwc-PTS-reference"/>
        </w:rPr>
        <w:t>M III 266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35.87:11.3–11.9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8.4:3.1–3.7</w:t>
      </w:r>
      <w:r>
        <w:rPr>
          <w:rStyle w:val="Hyperlink"/>
        </w:rPr>
        <w:fldChar w:fldCharType="end"/>
      </w:r>
    </w:p>
    <w:p>
      <w:pPr>
        <w:pStyle w:val="WW-gloss-term"/>
        <w:rPr/>
      </w:pPr>
      <w:r>
        <w:rPr/>
        <w:t>478</w:t>
      </w:r>
    </w:p>
    <w:p>
      <w:pPr>
        <w:pStyle w:val="FootnoteText"/>
        <w:rPr/>
      </w:pPr>
      <w:r>
        <w:rPr/>
        <w:t xml:space="preserve">For example at SN-A 2.372 (on </w:t>
      </w:r>
      <w:r>
        <w:fldChar w:fldCharType="begin"/>
      </w:r>
      <w:r>
        <w:rPr>
          <w:rStyle w:val="Hyperlink"/>
        </w:rPr>
        <w:instrText xml:space="preserve"> HYPERLINK "https://suttacentral.net/XXX/en/sujato" \l "YYY"</w:instrText>
      </w:r>
      <w:r>
        <w:rPr>
          <w:rStyle w:val="Hyperlink"/>
        </w:rPr>
        <w:fldChar w:fldCharType="separate"/>
      </w:r>
      <w:r>
        <w:rPr>
          <w:rStyle w:val="Hyperlink"/>
        </w:rPr>
        <w:t>SN 35.87</w:t>
      </w:r>
      <w:r>
        <w:rPr>
          <w:rStyle w:val="Hyperlink"/>
        </w:rPr>
        <w:fldChar w:fldCharType="end"/>
      </w:r>
      <w:r>
        <w:rPr/>
        <w:t xml:space="preserve">). In discussing </w:t>
      </w:r>
      <w:r>
        <w:fldChar w:fldCharType="begin"/>
      </w:r>
      <w:r>
        <w:rPr>
          <w:rStyle w:val="Hyperlink"/>
        </w:rPr>
        <w:instrText xml:space="preserve"> HYPERLINK "https://suttacentral.net/XXX/en/sujato" \l "YYY"</w:instrText>
      </w:r>
      <w:r>
        <w:rPr>
          <w:rStyle w:val="Hyperlink"/>
        </w:rPr>
        <w:fldChar w:fldCharType="separate"/>
      </w:r>
      <w:r>
        <w:rPr>
          <w:rStyle w:val="Hyperlink"/>
        </w:rPr>
        <w:t>Ud 1.10</w:t>
      </w:r>
      <w:r>
        <w:rPr>
          <w:rStyle w:val="Hyperlink"/>
        </w:rPr>
        <w:fldChar w:fldCharType="end"/>
      </w:r>
      <w:r>
        <w:rPr/>
        <w:t xml:space="preserve">, </w:t>
      </w:r>
      <w:r>
        <w:rPr>
          <w:rStyle w:val="wwc-sesame-zot-reference"/>
        </w:rPr>
        <w:t>Anālayo 2023</w:t>
      </w:r>
      <w:r>
        <w:rPr/>
        <w:t xml:space="preserve"> Chapter I.4 instead thinks ‘here’ (</w:t>
      </w:r>
      <w:r>
        <w:rPr>
          <w:rStyle w:val="wwc-pali"/>
        </w:rPr>
        <w:t>idha</w:t>
      </w:r>
      <w:r>
        <w:rPr/>
        <w:t>) and ‘beyond’ (</w:t>
      </w:r>
      <w:r>
        <w:rPr>
          <w:rStyle w:val="wwc-pali"/>
        </w:rPr>
        <w:t>huraṁ</w:t>
      </w:r>
      <w:r>
        <w:rPr/>
        <w:t xml:space="preserve">) refer to the senses and their objects, with ‘in between the two’ being “their interaction”, but this is not supported by other texts. §116 clearly talks about rebirth, for example, and §134 uses the same terminology with reference to physical places. </w:t>
      </w:r>
      <w:r>
        <w:rPr>
          <w:rStyle w:val="wwc-sesame-zot-reference"/>
        </w:rPr>
        <w:t>PED</w:t>
      </w:r>
      <w:r>
        <w:rPr/>
        <w:t xml:space="preserve"> and </w:t>
      </w:r>
      <w:r>
        <w:rPr>
          <w:rStyle w:val="wwc-sesame-zot-reference"/>
        </w:rPr>
        <w:t>CPD</w:t>
      </w:r>
      <w:r>
        <w:rPr/>
        <w:t xml:space="preserve"> accordingly gloss under </w:t>
      </w:r>
      <w:r>
        <w:rPr>
          <w:rStyle w:val="wwc-pali"/>
        </w:rPr>
        <w:t>huraṁ</w:t>
      </w:r>
      <w:r>
        <w:rPr/>
        <w:t>, “another world”.</w:t>
      </w:r>
    </w:p>
    <w:p>
      <w:pPr>
        <w:pStyle w:val="WW-gloss-term"/>
        <w:rPr/>
      </w:pPr>
      <w:r>
        <w:rPr/>
        <w:t>479</w:t>
      </w:r>
    </w:p>
    <w:p>
      <w:pPr>
        <w:pStyle w:val="FootnoteText"/>
        <w:rPr/>
      </w:pPr>
      <w:r>
        <w:rPr/>
        <w:t xml:space="preserve">See </w:t>
      </w:r>
      <w:r>
        <w:rPr>
          <w:rStyle w:val="wwc-sesame-zot-reference"/>
        </w:rPr>
        <w:t>Harvey 1995</w:t>
      </w:r>
      <w:r>
        <w:rPr/>
        <w:t xml:space="preserve"> p.98, </w:t>
      </w:r>
      <w:r>
        <w:rPr>
          <w:rStyle w:val="wwc-sesame-zot-reference"/>
        </w:rPr>
        <w:t>Somaratne</w:t>
      </w:r>
      <w:r>
        <w:rPr/>
        <w:t xml:space="preserve"> p.150, </w:t>
      </w:r>
      <w:r>
        <w:rPr>
          <w:rStyle w:val="wwc-sesame-zot-reference"/>
        </w:rPr>
        <w:t>Sujato 2008</w:t>
      </w:r>
      <w:r>
        <w:rPr/>
        <w:t xml:space="preserve"> p.7, </w:t>
      </w:r>
      <w:r>
        <w:rPr>
          <w:rStyle w:val="wwc-sesame-zot-reference"/>
        </w:rPr>
        <w:t>Dhammika 2015</w:t>
      </w:r>
      <w:r>
        <w:rPr/>
        <w:t xml:space="preserve"> p.20 , </w:t>
      </w:r>
      <w:r>
        <w:rPr>
          <w:rStyle w:val="wwc-sesame-zot-reference"/>
        </w:rPr>
        <w:t>Anālayo 2018</w:t>
      </w:r>
      <w:r>
        <w:rPr/>
        <w:t xml:space="preserve"> p.32</w:t>
      </w:r>
    </w:p>
    <w:p>
      <w:pPr>
        <w:pStyle w:val="WW-gloss-term"/>
        <w:rPr/>
      </w:pPr>
      <w:r>
        <w:rPr/>
        <w:t>480</w:t>
      </w:r>
    </w:p>
    <w:p>
      <w:pPr>
        <w:pStyle w:val="FootnoteText"/>
        <w:rPr/>
      </w:pPr>
      <w:r>
        <w:rPr>
          <w:rStyle w:val="wwc-sesame"/>
        </w:rPr>
        <w:t>Bodhi 2000 n.53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35.87:11.8</w:t>
      </w:r>
      <w:r>
        <w:rPr>
          <w:rStyle w:val="Hyperlink"/>
        </w:rPr>
        <w:fldChar w:fldCharType="end"/>
      </w:r>
    </w:p>
    <w:p>
      <w:pPr>
        <w:pStyle w:val="WW-gloss-term"/>
        <w:rPr/>
      </w:pPr>
      <w:r>
        <w:rPr/>
        <w:t>481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3.12:45.1–45.4</w:t>
      </w:r>
      <w:r>
        <w:rPr>
          <w:rStyle w:val="Hyperlink"/>
        </w:rPr>
        <w:fldChar w:fldCharType="end"/>
      </w:r>
    </w:p>
    <w:p>
      <w:pPr>
        <w:pStyle w:val="WW-gloss-term"/>
        <w:rPr/>
      </w:pPr>
      <w:r>
        <w:rPr/>
        <w:t>482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p>
    <w:p>
      <w:pPr>
        <w:pStyle w:val="WW-gloss-term"/>
        <w:rPr/>
      </w:pPr>
      <w:r>
        <w:rPr/>
        <w:t>483</w:t>
      </w:r>
    </w:p>
    <w:p>
      <w:pPr>
        <w:pStyle w:val="FootnoteText"/>
        <w:rPr/>
      </w:pPr>
      <w:r>
        <w:rPr>
          <w:rStyle w:val="wwc-pali"/>
        </w:rPr>
        <w:t>Anabhisaṅkhāraṁ</w:t>
      </w:r>
      <w:r>
        <w:rPr/>
        <w:t xml:space="preserve">, ‘not wilfully creating’. I base ‘wilfully’ on </w:t>
      </w:r>
      <w:r>
        <w:rPr>
          <w:rStyle w:val="wwc-pali"/>
        </w:rPr>
        <w:t>aceta</w:t>
        <w:softHyphen/>
        <w:t>yato anabhi</w:t>
        <w:softHyphen/>
        <w:t>saṅkha</w:t>
        <w:softHyphen/>
        <w:t>roto</w:t>
      </w:r>
      <w:r>
        <w:rPr/>
        <w:t xml:space="preserve"> of </w:t>
      </w:r>
      <w:r>
        <w:fldChar w:fldCharType="begin"/>
      </w:r>
      <w:r>
        <w:rPr>
          <w:rStyle w:val="Hyperlink"/>
        </w:rPr>
        <w:instrText xml:space="preserve"> HYPERLINK "https://suttacentral.net/XXX/en/sujato" \l "YYY"</w:instrText>
      </w:r>
      <w:r>
        <w:rPr>
          <w:rStyle w:val="Hyperlink"/>
        </w:rPr>
        <w:fldChar w:fldCharType="separate"/>
      </w:r>
      <w:r>
        <w:rPr>
          <w:rStyle w:val="Hyperlink"/>
        </w:rPr>
        <w:t>DN 9:17.7</w:t>
      </w:r>
      <w:r>
        <w:rPr>
          <w:rStyle w:val="Hyperlink"/>
        </w:rPr>
        <w:fldChar w:fldCharType="end"/>
      </w:r>
      <w:r>
        <w:rPr/>
        <w:t xml:space="preserve">, ‘not intending, not willing’. Similar instances of these synonyms are found in </w:t>
      </w:r>
      <w:r>
        <w:fldChar w:fldCharType="begin"/>
      </w:r>
      <w:r>
        <w:rPr>
          <w:rStyle w:val="Hyperlink"/>
        </w:rPr>
        <w:instrText xml:space="preserve"> HYPERLINK "https://suttacentral.net/XXX/en/sujato" \l "YYY"</w:instrText>
      </w:r>
      <w:r>
        <w:rPr>
          <w:rStyle w:val="Hyperlink"/>
        </w:rPr>
        <w:fldChar w:fldCharType="separate"/>
      </w:r>
      <w:r>
        <w:rPr>
          <w:rStyle w:val="Hyperlink"/>
        </w:rPr>
        <w:t>MN 140:22.10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12.51:9.5</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11.16:4.4</w:t>
      </w:r>
      <w:r>
        <w:rPr>
          <w:rStyle w:val="Hyperlink"/>
        </w:rPr>
        <w:fldChar w:fldCharType="end"/>
      </w:r>
      <w:r>
        <w:rPr/>
        <w:t xml:space="preserve">. This refers to the </w:t>
      </w:r>
      <w:r>
        <w:rPr>
          <w:rStyle w:val="wwc-pali"/>
        </w:rPr>
        <w:t>saṅkhāras</w:t>
      </w:r>
      <w:r>
        <w:rPr/>
        <w:t xml:space="preserve">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22.45:1.15–1.20</w:t>
      </w:r>
      <w:r>
        <w:rPr>
          <w:rStyle w:val="Hyperlink"/>
        </w:rPr>
        <w:fldChar w:fldCharType="end"/>
      </w:r>
    </w:p>
    <w:p>
      <w:pPr>
        <w:pStyle w:val="WW-gloss-term"/>
        <w:rPr/>
      </w:pPr>
      <w:r>
        <w:rPr/>
        <w:t>485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12.51:13.1–23.2</w:t>
      </w:r>
      <w:r>
        <w:rPr>
          <w:rStyle w:val="Hyperlink"/>
        </w:rPr>
        <w:fldChar w:fldCharType="end"/>
      </w:r>
    </w:p>
    <w:p>
      <w:pPr>
        <w:pStyle w:val="WW-gloss-term"/>
        <w:rPr/>
      </w:pPr>
      <w:r>
        <w:rPr/>
        <w:t>486</w:t>
      </w:r>
    </w:p>
    <w:p>
      <w:pPr>
        <w:pStyle w:val="FootnoteText"/>
        <w:rPr/>
      </w:pPr>
      <w:r>
        <w:rPr>
          <w:rStyle w:val="wwc-sesame-zot-reference"/>
        </w:rPr>
        <w:t>Kalupahana 1976</w:t>
      </w:r>
      <w:r>
        <w:rPr/>
        <w:t xml:space="preserve"> p.52. See also </w:t>
      </w:r>
      <w:r>
        <w:rPr>
          <w:rStyle w:val="wwc-sesame-zot-reference"/>
        </w:rPr>
        <w:t>Vélez de Cea</w:t>
      </w:r>
      <w:r>
        <w:rPr/>
        <w:t xml:space="preserve"> p.136</w:t>
      </w:r>
    </w:p>
    <w:p>
      <w:pPr>
        <w:pStyle w:val="WW-gloss-term"/>
        <w:rPr/>
      </w:pPr>
      <w:r>
        <w:rPr/>
        <w:t>487</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where a man burns the seeds, although here they represent karma instead of consciousness.</w:t>
      </w:r>
    </w:p>
    <w:p>
      <w:pPr>
        <w:pStyle w:val="WW-gloss-term"/>
        <w:rPr/>
      </w:pPr>
      <w:r>
        <w:rPr/>
        <w:t>488</w:t>
      </w:r>
    </w:p>
    <w:p>
      <w:pPr>
        <w:pStyle w:val="FootnoteText"/>
        <w:rPr/>
      </w:pPr>
      <w:r>
        <w:rPr>
          <w:rStyle w:val="wwc-pali"/>
        </w:rPr>
        <w:t>Patiṭṭhita</w:t>
      </w:r>
      <w:r>
        <w:rPr/>
        <w:t xml:space="preserve"> (‘plant down’) may also be translated as ‘landing’ in this passage, but for consistency I translated it as ‘planting’ everywhere, including here.</w:t>
      </w:r>
    </w:p>
    <w:p>
      <w:pPr>
        <w:pStyle w:val="WW-gloss-term"/>
        <w:rPr/>
      </w:pPr>
      <w:r>
        <w:rPr/>
        <w:t>489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12.64:8.1–9.8</w:t>
      </w:r>
      <w:r>
        <w:rPr>
          <w:rStyle w:val="Hyperlink"/>
        </w:rPr>
        <w:fldChar w:fldCharType="end"/>
      </w:r>
    </w:p>
    <w:p>
      <w:pPr>
        <w:pStyle w:val="WW-gloss-term"/>
        <w:rPr/>
      </w:pPr>
      <w:r>
        <w:rPr/>
        <w:t>490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12.39:3.1–3.5</w:t>
      </w:r>
      <w:r>
        <w:rPr>
          <w:rStyle w:val="Hyperlink"/>
        </w:rPr>
        <w:fldChar w:fldCharType="end"/>
      </w:r>
    </w:p>
    <w:p>
      <w:pPr>
        <w:pStyle w:val="WW-gloss-term"/>
        <w:rPr/>
      </w:pPr>
      <w:r>
        <w:rPr/>
        <w:t>491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12.1:3.1–3.12</w:t>
      </w:r>
      <w:r>
        <w:rPr>
          <w:rStyle w:val="Hyperlink"/>
        </w:rPr>
        <w:fldChar w:fldCharType="end"/>
      </w:r>
    </w:p>
    <w:p>
      <w:pPr>
        <w:pStyle w:val="WW-gloss-term"/>
        <w:rPr/>
      </w:pPr>
      <w:r>
        <w:rPr/>
        <w:t>492</w:t>
      </w:r>
    </w:p>
    <w:p>
      <w:pPr>
        <w:pStyle w:val="FootnoteText"/>
        <w:rPr/>
      </w:pPr>
      <w:r>
        <w:rPr>
          <w:rStyle w:val="wwc-sesame-zot-reference"/>
        </w:rPr>
        <w:t>Anālayo 2023</w:t>
      </w:r>
      <w:r>
        <w:rPr/>
        <w:t xml:space="preserve"> Chapter I.10</w:t>
      </w:r>
    </w:p>
    <w:p>
      <w:pPr>
        <w:pStyle w:val="WW-gloss-term"/>
        <w:rPr/>
      </w:pPr>
      <w:r>
        <w:rPr/>
        <w:t>493</w:t>
      </w:r>
    </w:p>
    <w:p>
      <w:pPr>
        <w:pStyle w:val="FootnoteText"/>
        <w:rPr/>
      </w:pPr>
      <w:r>
        <w:rPr>
          <w:rStyle w:val="wwc-sesame-zot-referenc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494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12.38:3.1–3.5</w:t>
      </w:r>
      <w:r>
        <w:rPr>
          <w:rStyle w:val="Hyperlink"/>
        </w:rPr>
        <w:fldChar w:fldCharType="end"/>
      </w:r>
    </w:p>
    <w:p>
      <w:pPr>
        <w:pStyle w:val="WW-gloss-term"/>
        <w:rPr/>
      </w:pPr>
      <w:r>
        <w:rPr/>
        <w:t>495</w:t>
      </w:r>
    </w:p>
    <w:p>
      <w:pPr>
        <w:pStyle w:val="FootnoteText"/>
        <w:rPr/>
      </w:pPr>
      <w:r>
        <w:rPr>
          <w:rStyle w:val="wwc-sesame-zot-reference"/>
        </w:rPr>
        <w:t>Hecker</w:t>
      </w:r>
      <w:r>
        <w:rPr/>
        <w:t xml:space="preserve"> p.53</w:t>
      </w:r>
    </w:p>
    <w:p>
      <w:pPr>
        <w:pStyle w:val="WW-gloss-term"/>
        <w:rPr/>
      </w:pPr>
      <w:r>
        <w:rPr/>
        <w:t>496</w:t>
      </w:r>
    </w:p>
    <w:p>
      <w:pPr>
        <w:pStyle w:val="FootnoteText"/>
        <w:rPr/>
      </w:pPr>
      <w:r>
        <w:rPr>
          <w:rStyle w:val="wwc-sesame-zot-reference"/>
        </w:rPr>
        <w:t>Anālayo 2023</w:t>
      </w:r>
      <w:r>
        <w:rPr/>
        <w:t xml:space="preserve"> Chapter I.10 states that the </w:t>
      </w:r>
      <w:r>
        <w:rPr>
          <w:rStyle w:val="wwc-sesame"/>
        </w:rPr>
        <w:t>First Discourse on Intention</w:t>
      </w:r>
      <w:r>
        <w:rPr/>
        <w:t xml:space="preserve">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w:t>
      </w:r>
      <w:r>
        <w:rPr>
          <w:rStyle w:val="wwc-pali"/>
        </w:rPr>
        <w:t>Appatiṭṭhita viññāṇa</w:t>
      </w:r>
      <w:r>
        <w:rPr/>
        <w:t>, he concludes, means “consciousness will not become established in another birth”.</w:t>
      </w:r>
    </w:p>
    <w:p>
      <w:pPr>
        <w:pStyle w:val="WW-gloss-term"/>
        <w:rPr/>
      </w:pPr>
      <w:r>
        <w:rPr/>
        <w:t>497</w:t>
      </w:r>
    </w:p>
    <w:p>
      <w:pPr>
        <w:pStyle w:val="FootnoteText"/>
        <w:rPr/>
      </w:pPr>
      <w:r>
        <w:rPr>
          <w:rStyle w:val="wwc-sesame-zot-reference"/>
        </w:rPr>
        <w:t>Langer</w:t>
      </w:r>
      <w:r>
        <w:rPr/>
        <w:t xml:space="preserve"> p.35, translation mine, referring to </w:t>
      </w:r>
      <w:r>
        <w:rPr>
          <w:rStyle w:val="wwc-sesame-zot-reference"/>
        </w:rPr>
        <w:t>Harvey 1995</w:t>
      </w:r>
      <w:r>
        <w:rPr/>
        <w:t xml:space="preserve"> p.202</w:t>
      </w:r>
    </w:p>
    <w:p>
      <w:pPr>
        <w:pStyle w:val="WW-gloss-term"/>
        <w:rPr/>
      </w:pPr>
      <w:r>
        <w:rPr/>
        <w:t>498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8.70:14.3</w:t>
      </w:r>
      <w:r>
        <w:rPr>
          <w:rStyle w:val="Hyperlink"/>
        </w:rPr>
        <w:fldChar w:fldCharType="end"/>
      </w:r>
    </w:p>
    <w:p>
      <w:pPr>
        <w:pStyle w:val="WW-gloss-term"/>
        <w:rPr/>
      </w:pPr>
      <w:r>
        <w:rPr/>
        <w:t>499</w:t>
      </w:r>
    </w:p>
    <w:p>
      <w:pPr>
        <w:pStyle w:val="FootnoteText"/>
        <w:rPr/>
      </w:pPr>
      <w:hyperlink r:id="rId43">
        <w:r>
          <w:rPr>
            <w:rStyle w:val="Hyperlink"/>
          </w:rPr>
          <w:t>SĀ 377</w:t>
        </w:r>
      </w:hyperlink>
    </w:p>
    <w:p>
      <w:pPr>
        <w:pStyle w:val="WW-gloss-term"/>
        <w:rPr/>
      </w:pPr>
      <w:r>
        <w:rPr/>
        <w:t>500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21:14.1–14.10</w:t>
      </w:r>
      <w:r>
        <w:rPr>
          <w:rStyle w:val="Hyperlink"/>
        </w:rPr>
        <w:fldChar w:fldCharType="end"/>
      </w:r>
      <w:r>
        <w:rPr/>
        <w:t xml:space="preserve"> </w:t>
      </w:r>
      <w:r>
        <w:rPr>
          <w:rStyle w:val="wwc-PTS-reference"/>
        </w:rPr>
        <w:t>M I 128</w:t>
      </w:r>
    </w:p>
    <w:p>
      <w:pPr>
        <w:pStyle w:val="WW-gloss-term"/>
        <w:rPr/>
      </w:pPr>
      <w:r>
        <w:rPr/>
        <w:t>501</w:t>
      </w:r>
    </w:p>
    <w:p>
      <w:pPr>
        <w:pStyle w:val="FootnoteText"/>
        <w:rPr/>
      </w:pPr>
      <w:r>
        <w:rPr/>
        <w:t xml:space="preserve">For example </w:t>
      </w:r>
      <w:r>
        <w:rPr>
          <w:rStyle w:val="wwc-sesam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r>
        <w:rPr/>
        <w:t xml:space="preserve">: “I think it would be wrong to interpret the sutta as saying that after his </w:t>
      </w:r>
      <w:r>
        <w:rPr>
          <w:rStyle w:val="wwc-pali"/>
        </w:rPr>
        <w:t>parinibbāna</w:t>
      </w:r>
      <w:r>
        <w:rPr/>
        <w:t xml:space="preserve"> the arahant’s consciousness persists in some mode that can only be described as unestablished. The present passage is clearly speaking of the arahant’s consciousness </w:t>
      </w:r>
      <w:r>
        <w:rPr>
          <w:rStyle w:val="Emphasis"/>
        </w:rPr>
        <w:t>while he is alive</w:t>
      </w:r>
      <w:r>
        <w:rPr/>
        <w:t>.” (emphasis in the original)</w:t>
      </w:r>
    </w:p>
    <w:p>
      <w:pPr>
        <w:pStyle w:val="WW-gloss-term"/>
        <w:rPr/>
      </w:pPr>
      <w:r>
        <w:rPr/>
        <w:t>502</w:t>
      </w:r>
    </w:p>
    <w:p>
      <w:pPr>
        <w:pStyle w:val="FootnoteText"/>
        <w:rPr/>
      </w:pPr>
      <w:r>
        <w:rPr>
          <w:rStyle w:val="wwc-sesame-zot-reference"/>
        </w:rPr>
        <w:t>Langer</w:t>
      </w:r>
      <w:r>
        <w:rPr/>
        <w:t xml:space="preserve"> p.34, translation mine</w:t>
      </w:r>
    </w:p>
    <w:p>
      <w:pPr>
        <w:pStyle w:val="WW-gloss-term"/>
        <w:rPr/>
      </w:pPr>
      <w:r>
        <w:rPr/>
        <w:t>503</w:t>
      </w:r>
    </w:p>
    <w:p>
      <w:pPr>
        <w:pStyle w:val="FootnoteText"/>
        <w:rPr/>
      </w:pPr>
      <w:r>
        <w:rPr>
          <w:rStyle w:val="wwc-sesame-zot-reference"/>
        </w:rPr>
        <w:t>Langer</w:t>
      </w:r>
      <w:r>
        <w:rPr/>
        <w:t xml:space="preserve"> p.34, translation mine</w:t>
      </w:r>
    </w:p>
    <w:p>
      <w:pPr>
        <w:pStyle w:val="WW-gloss-term"/>
        <w:rPr/>
      </w:pPr>
      <w:r>
        <w:rPr/>
        <w:t>504</w:t>
      </w:r>
    </w:p>
    <w:p>
      <w:pPr>
        <w:pStyle w:val="FootnoteText"/>
        <w:rPr/>
      </w:pPr>
      <w:r>
        <w:rPr/>
        <w:t>Instead of “</w:t>
      </w:r>
      <w:r>
        <w:rPr>
          <w:rStyle w:val="Emphasis"/>
        </w:rPr>
        <w:t>consciousness</w:t>
      </w:r>
      <w:r>
        <w:rPr/>
        <w:t xml:space="preserve"> is liberated” </w:t>
      </w:r>
      <w:r>
        <w:rPr>
          <w:rStyle w:val="wwc-sesame-zot-reference"/>
        </w:rPr>
        <w:t>Nyanaponika 1990</w:t>
      </w:r>
      <w:r>
        <w:rPr/>
        <w:t xml:space="preserve"> has “</w:t>
      </w:r>
      <w:r>
        <w:rPr>
          <w:rStyle w:val="wwc-german"/>
        </w:rPr>
        <w:t>ist man befreit</w:t>
      </w:r>
      <w:r>
        <w:rPr/>
        <w:t>” (one is liberated), Alfan “</w:t>
      </w:r>
      <w:r>
        <w:rPr>
          <w:rStyle w:val="wwc-italian"/>
        </w:rPr>
        <w:t>si è liberi</w:t>
      </w:r>
      <w:r>
        <w:rPr/>
        <w:t>” (one is liberated), and Baron “</w:t>
      </w:r>
      <w:r>
        <w:rPr>
          <w:rStyle w:val="wwc-spanish"/>
        </w:rPr>
        <w:t>sólo liberación</w:t>
      </w:r>
      <w:r>
        <w:rPr/>
        <w:t xml:space="preserve">” (there is just liberation). See also </w:t>
      </w:r>
      <w:r>
        <w:rPr>
          <w:rStyle w:val="internal-reference"/>
        </w:rPr>
        <w:t>note 279</w:t>
      </w:r>
    </w:p>
    <w:p>
      <w:pPr>
        <w:pStyle w:val="WW-gloss-term"/>
        <w:rPr/>
      </w:pPr>
      <w:r>
        <w:rPr/>
        <w:t>505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w:t>
      </w:r>
      <w:r>
        <w:rPr>
          <w:rStyle w:val="Hyperlink"/>
        </w:rPr>
        <w:fldChar w:fldCharType="end"/>
      </w:r>
    </w:p>
    <w:p>
      <w:pPr>
        <w:pStyle w:val="WW-gloss-term"/>
        <w:rPr/>
      </w:pPr>
      <w:r>
        <w:rPr/>
        <w:t>506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22.94</w:t>
      </w:r>
      <w:r>
        <w:rPr>
          <w:rStyle w:val="Hyperlink"/>
        </w:rPr>
        <w:fldChar w:fldCharType="end"/>
      </w:r>
    </w:p>
    <w:p>
      <w:pPr>
        <w:pStyle w:val="WW-gloss-term"/>
        <w:rPr/>
      </w:pPr>
      <w:r>
        <w:rPr/>
        <w:t>507</w:t>
      </w:r>
    </w:p>
    <w:p>
      <w:pPr>
        <w:pStyle w:val="FootnoteText"/>
        <w:rPr/>
      </w:pPr>
      <w:r>
        <w:rPr/>
        <w:t xml:space="preserve">The three terms are </w:t>
      </w:r>
      <w:r>
        <w:rPr>
          <w:rStyle w:val="wwc-pali"/>
        </w:rPr>
        <w:t>citta</w:t>
      </w:r>
      <w:r>
        <w:rPr/>
        <w:t xml:space="preserve">, </w:t>
      </w:r>
      <w:r>
        <w:rPr>
          <w:rStyle w:val="wwc-pali"/>
        </w:rPr>
        <w:t>mano</w:t>
      </w:r>
      <w:r>
        <w:rPr/>
        <w:t xml:space="preserve">, and </w:t>
      </w:r>
      <w:r>
        <w:rPr>
          <w:rStyle w:val="wwc-pali"/>
        </w:rPr>
        <w:t>viññāṇa</w:t>
      </w:r>
      <w:r>
        <w:rPr/>
        <w:t xml:space="preserve">. Normally I translate both </w:t>
      </w:r>
      <w:r>
        <w:rPr>
          <w:rStyle w:val="wwc-pali"/>
        </w:rPr>
        <w:t>citta</w:t>
      </w:r>
      <w:r>
        <w:rPr/>
        <w:t xml:space="preserve"> and </w:t>
      </w:r>
      <w:r>
        <w:rPr>
          <w:rStyle w:val="wwc-pali"/>
        </w:rPr>
        <w:t>mano</w:t>
      </w:r>
      <w:r>
        <w:rPr/>
        <w:t xml:space="preserve"> as ‘mind’, but here I was forced to translate one differently, and I chose ‘sentience’.</w:t>
      </w:r>
    </w:p>
    <w:p>
      <w:pPr>
        <w:pStyle w:val="WW-gloss-term"/>
        <w:rPr/>
      </w:pPr>
      <w:r>
        <w:rPr/>
        <w:t>508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12.61</w:t>
      </w:r>
      <w:r>
        <w:rPr>
          <w:rStyle w:val="Hyperlink"/>
        </w:rPr>
        <w:fldChar w:fldCharType="end"/>
      </w:r>
    </w:p>
    <w:p>
      <w:pPr>
        <w:pStyle w:val="WW-gloss-term"/>
        <w:rPr/>
      </w:pPr>
      <w:r>
        <w:rPr/>
        <w:t>509</w:t>
      </w:r>
    </w:p>
    <w:p>
      <w:pPr>
        <w:pStyle w:val="FootnoteText"/>
        <w:rPr/>
      </w:pPr>
      <w:r>
        <w:rPr>
          <w:rStyle w:val="wwc-pali"/>
        </w:rPr>
        <w:t>Ko nu kho phusati</w:t>
      </w:r>
      <w:r>
        <w:rPr/>
        <w:t>, more literally, “who touches?”</w:t>
      </w:r>
    </w:p>
    <w:p>
      <w:pPr>
        <w:pStyle w:val="WW-gloss-term"/>
        <w:rPr/>
      </w:pPr>
      <w:r>
        <w:rPr/>
        <w:t>510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12.12:3.1–4.10</w:t>
      </w:r>
      <w:r>
        <w:rPr>
          <w:rStyle w:val="Hyperlink"/>
        </w:rPr>
        <w:fldChar w:fldCharType="end"/>
      </w:r>
    </w:p>
    <w:p>
      <w:pPr>
        <w:pStyle w:val="WW-gloss-term"/>
        <w:rPr/>
      </w:pPr>
      <w:r>
        <w:rPr/>
        <w:t>511</w:t>
      </w:r>
    </w:p>
    <w:p>
      <w:pPr>
        <w:pStyle w:val="FootnoteText"/>
        <w:rPr/>
      </w:pPr>
      <w:r>
        <w:rPr/>
        <w:t xml:space="preserve">For example </w:t>
      </w:r>
      <w:r>
        <w:rPr>
          <w:rStyle w:val="wwc-sesame-zot-reference"/>
        </w:rPr>
        <w:t>Ñāṇavīra</w:t>
      </w:r>
      <w:r>
        <w:rPr/>
        <w:t xml:space="preserve"> p.84, </w:t>
      </w:r>
      <w:r>
        <w:rPr>
          <w:rStyle w:val="wwc-sesame-zot-reference"/>
        </w:rPr>
        <w:t>Cintita</w:t>
      </w:r>
      <w:r>
        <w:rPr/>
        <w:t xml:space="preserve"> p.31</w:t>
      </w:r>
    </w:p>
    <w:p>
      <w:pPr>
        <w:pStyle w:val="WW-gloss-term"/>
        <w:rPr/>
      </w:pPr>
      <w:r>
        <w:rPr/>
        <w:t>512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35.80</w:t>
      </w:r>
      <w:r>
        <w:rPr>
          <w:rStyle w:val="Hyperlink"/>
        </w:rPr>
        <w:fldChar w:fldCharType="end"/>
      </w:r>
    </w:p>
    <w:p>
      <w:pPr>
        <w:pStyle w:val="WW-gloss-term"/>
        <w:rPr/>
      </w:pPr>
      <w:r>
        <w:rPr/>
        <w:t>513</w:t>
      </w:r>
    </w:p>
    <w:p>
      <w:pPr>
        <w:pStyle w:val="FootnoteText"/>
        <w:rPr/>
      </w:pPr>
      <w:r>
        <w:rPr/>
        <w:t xml:space="preserve">For example </w:t>
      </w:r>
      <w:r>
        <w:rPr>
          <w:rStyle w:val="wwc-sesame-zot-reference"/>
        </w:rPr>
        <w:t>Ñāṇavīra</w:t>
      </w:r>
      <w:r>
        <w:rPr/>
        <w:t xml:space="preserve"> p.89, </w:t>
      </w:r>
      <w:r>
        <w:rPr>
          <w:rStyle w:val="wwc-sesame-zot-reference"/>
        </w:rPr>
        <w:t>Cintita</w:t>
      </w:r>
      <w:r>
        <w:rPr/>
        <w:t xml:space="preserve"> p.130, </w:t>
      </w:r>
      <w:r>
        <w:rPr>
          <w:rStyle w:val="wwc-sesame-zot-reference"/>
        </w:rPr>
        <w:t>Amaro</w:t>
      </w:r>
      <w:r>
        <w:rPr/>
        <w:t xml:space="preserve"> p.37</w:t>
      </w:r>
    </w:p>
    <w:p>
      <w:pPr>
        <w:pStyle w:val="WW-gloss-term"/>
        <w:rPr/>
      </w:pPr>
      <w:r>
        <w:rPr/>
        <w:t>514</w:t>
      </w:r>
    </w:p>
    <w:p>
      <w:pPr>
        <w:pStyle w:val="FootnoteText"/>
        <w:rPr/>
      </w:pPr>
      <w:r>
        <w:rPr>
          <w:rStyle w:val="wwc-sesame-zot-reference"/>
        </w:rPr>
        <w:t>Anālayo 2021</w:t>
      </w:r>
      <w:r>
        <w:rPr/>
        <w:t xml:space="preserve"> p.109</w:t>
      </w:r>
    </w:p>
    <w:p>
      <w:pPr>
        <w:pStyle w:val="WW-gloss-term"/>
        <w:rPr/>
      </w:pPr>
      <w:r>
        <w:rPr/>
        <w:t>515</w:t>
      </w:r>
    </w:p>
    <w:p>
      <w:pPr>
        <w:pStyle w:val="FootnoteText"/>
        <w:rPr/>
      </w:pPr>
      <w:r>
        <w:rPr/>
        <w:t>§105, §106</w:t>
      </w:r>
    </w:p>
    <w:p>
      <w:pPr>
        <w:pStyle w:val="WW-gloss-term"/>
        <w:rPr/>
      </w:pPr>
      <w:r>
        <w:rPr/>
        <w:t>516</w:t>
      </w:r>
    </w:p>
    <w:p>
      <w:pPr>
        <w:pStyle w:val="FootnoteText"/>
        <w:rPr/>
      </w:pPr>
      <w:r>
        <w:rPr/>
        <w:t xml:space="preserve">See also </w:t>
      </w:r>
      <w:r>
        <w:rPr>
          <w:rStyle w:val="wwc-sesame-zot-reference"/>
        </w:rPr>
        <w:t>Anālayo 2021</w:t>
      </w:r>
      <w:r>
        <w:rPr/>
        <w:t xml:space="preserve"> p.109: “The relationship between the senses and their objects, which represent the basic duality of ordinary experience in the early discourses, remains the same after the attainment of full awakening”.</w:t>
      </w:r>
    </w:p>
    <w:p>
      <w:pPr>
        <w:pStyle w:val="WW-gloss-term"/>
        <w:rPr/>
      </w:pPr>
      <w:r>
        <w:rPr/>
        <w:t>517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22.95:6.1–6.2</w:t>
      </w:r>
      <w:r>
        <w:rPr>
          <w:rStyle w:val="Hyperlink"/>
        </w:rPr>
        <w:fldChar w:fldCharType="end"/>
      </w:r>
    </w:p>
    <w:p>
      <w:pPr>
        <w:pStyle w:val="WW-gloss-term"/>
        <w:rPr/>
      </w:pPr>
      <w:r>
        <w:rPr/>
        <w:t>518</w:t>
      </w:r>
    </w:p>
    <w:p>
      <w:pPr>
        <w:pStyle w:val="FootnoteText"/>
        <w:rPr/>
      </w:pPr>
      <w:r>
        <w:rPr/>
        <w:t xml:space="preserve">For example </w:t>
      </w:r>
      <w:r>
        <w:rPr>
          <w:rStyle w:val="wwc-sesame-zot-reference"/>
        </w:rPr>
        <w:t>Ñāṇananda 2015</w:t>
      </w:r>
      <w:r>
        <w:rPr/>
        <w:t xml:space="preserve"> p.218: “The magical illusion created by consciousness […]”, further detailed in </w:t>
      </w:r>
      <w:r>
        <w:rPr>
          <w:rStyle w:val="wwc-sesame-zot-reference"/>
        </w:rPr>
        <w:t>Ñāṇananda 1974/2007</w:t>
      </w:r>
    </w:p>
    <w:p>
      <w:pPr>
        <w:pStyle w:val="WW-gloss-term"/>
        <w:rPr/>
      </w:pPr>
      <w:r>
        <w:rPr/>
        <w:t>519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72:20.1–20.20</w:t>
      </w:r>
      <w:r>
        <w:rPr>
          <w:rStyle w:val="Hyperlink"/>
        </w:rPr>
        <w:fldChar w:fldCharType="end"/>
      </w:r>
      <w:r>
        <w:rPr/>
        <w:t xml:space="preserve"> </w:t>
      </w:r>
      <w:r>
        <w:rPr>
          <w:rStyle w:val="wwc-PTS-reference"/>
        </w:rPr>
        <w:t>M I 487</w:t>
      </w:r>
    </w:p>
    <w:p>
      <w:pPr>
        <w:pStyle w:val="WW-gloss-term"/>
        <w:rPr/>
      </w:pPr>
      <w:r>
        <w:rPr/>
        <w:t>520</w:t>
      </w:r>
    </w:p>
    <w:p>
      <w:pPr>
        <w:pStyle w:val="FootnoteText"/>
        <w:rPr/>
      </w:pPr>
      <w:r>
        <w:rPr/>
        <w:t xml:space="preserve">See also </w:t>
      </w:r>
      <w:r>
        <w:rPr>
          <w:rStyle w:val="wwc-sesame-zot-reference"/>
        </w:rPr>
        <w:t>Kalupahana 1976</w:t>
      </w:r>
      <w:r>
        <w:rPr/>
        <w:t xml:space="preserve"> p.84. Contra e.g. </w:t>
      </w:r>
      <w:r>
        <w:rPr>
          <w:rStyle w:val="wwc-sesame-zot-reference"/>
        </w:rPr>
        <w:t>Johansson</w:t>
      </w:r>
      <w:r>
        <w:rPr/>
        <w:t xml:space="preserve"> p.61</w:t>
      </w:r>
    </w:p>
    <w:p>
      <w:pPr>
        <w:pStyle w:val="WW-gloss-term"/>
        <w:rPr/>
      </w:pPr>
      <w:r>
        <w:rPr/>
        <w:t>521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4.23</w:t>
      </w:r>
      <w:r>
        <w:rPr>
          <w:rStyle w:val="Hyperlink"/>
        </w:rPr>
        <w:fldChar w:fldCharType="end"/>
      </w:r>
    </w:p>
    <w:p>
      <w:pPr>
        <w:pStyle w:val="WW-gloss-term"/>
        <w:rPr/>
      </w:pPr>
      <w:r>
        <w:rPr/>
        <w:t>522</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Snp 3.2</w:t>
      </w:r>
      <w:r>
        <w:rPr>
          <w:rStyle w:val="Hyperlink"/>
        </w:rPr>
        <w:fldChar w:fldCharType="end"/>
      </w:r>
    </w:p>
    <w:p>
      <w:pPr>
        <w:pStyle w:val="WW-gloss-term"/>
        <w:rPr/>
      </w:pPr>
      <w:r>
        <w:rPr/>
        <w:t>523</w:t>
      </w:r>
    </w:p>
    <w:p>
      <w:pPr>
        <w:pStyle w:val="FootnoteText"/>
        <w:rPr/>
      </w:pPr>
      <w:hyperlink r:id="rId44">
        <w:r>
          <w:rPr>
            <w:rStyle w:val="Hyperlink"/>
          </w:rPr>
          <w:t>SĀ 1265</w:t>
        </w:r>
      </w:hyperlink>
      <w:r>
        <w:rPr/>
        <w:t xml:space="preserve">, translation by </w:t>
      </w:r>
      <w:r>
        <w:rPr>
          <w:rStyle w:val="wwc-sesame-zot-reference"/>
        </w:rPr>
        <w:t>Anālayo 2015</w:t>
      </w:r>
      <w:r>
        <w:rPr/>
        <w:t xml:space="preserve"> p.243, parallel to </w:t>
      </w:r>
      <w:r>
        <w:fldChar w:fldCharType="begin"/>
      </w:r>
      <w:r>
        <w:rPr>
          <w:rStyle w:val="Hyperlink"/>
        </w:rPr>
        <w:instrText xml:space="preserve"> HYPERLINK "https://suttacentral.net/XXX/en/sujato" \l "YYY"</w:instrText>
      </w:r>
      <w:r>
        <w:rPr>
          <w:rStyle w:val="Hyperlink"/>
        </w:rPr>
        <w:fldChar w:fldCharType="separate"/>
      </w:r>
      <w:r>
        <w:rPr>
          <w:rStyle w:val="Hyperlink"/>
        </w:rPr>
        <w:t>SN 22.87</w:t>
      </w:r>
      <w:r>
        <w:rPr>
          <w:rStyle w:val="Hyperlink"/>
        </w:rPr>
        <w:fldChar w:fldCharType="end"/>
      </w:r>
    </w:p>
    <w:p>
      <w:pPr>
        <w:pStyle w:val="WW-gloss-term"/>
        <w:rPr/>
      </w:pPr>
      <w:r>
        <w:rPr/>
        <w:t>524</w:t>
      </w:r>
    </w:p>
    <w:p>
      <w:pPr>
        <w:pStyle w:val="FootnoteText"/>
        <w:rPr/>
      </w:pPr>
      <w:hyperlink r:id="rId45">
        <w:r>
          <w:rPr>
            <w:rStyle w:val="Hyperlink"/>
          </w:rPr>
          <w:t>EĀ 26.10</w:t>
        </w:r>
      </w:hyperlink>
      <w:r>
        <w:rPr/>
        <w:t xml:space="preserve">. Also translated by </w:t>
      </w:r>
      <w:r>
        <w:rPr>
          <w:rStyle w:val="wwc-sesame-zot-reference"/>
        </w:rPr>
        <w:t>Anālayo 2015</w:t>
      </w:r>
      <w:r>
        <w:rPr/>
        <w:t xml:space="preserve"> p.253</w:t>
      </w:r>
    </w:p>
    <w:p>
      <w:pPr>
        <w:pStyle w:val="WW-gloss-term"/>
        <w:rPr/>
      </w:pPr>
      <w:r>
        <w:rPr/>
        <w:t>525</w:t>
      </w:r>
    </w:p>
    <w:p>
      <w:pPr>
        <w:pStyle w:val="FootnoteText"/>
        <w:rPr/>
      </w:pPr>
      <w:r>
        <w:rPr/>
        <w:t xml:space="preserve">See also </w:t>
      </w:r>
      <w:r>
        <w:rPr>
          <w:rStyle w:val="wwc-sesame-zot-reference"/>
        </w:rPr>
        <w:t>Anālayo 2018</w:t>
      </w:r>
      <w:r>
        <w:rPr/>
        <w:t xml:space="preserve"> p.27: “The parallel versions agree in referring to what could have been reborn as his ‘consciousness’.”</w:t>
      </w:r>
    </w:p>
    <w:p>
      <w:pPr>
        <w:pStyle w:val="WW-gloss-term"/>
        <w:rPr/>
      </w:pPr>
      <w:r>
        <w:rPr/>
        <w:t>526</w:t>
      </w:r>
    </w:p>
    <w:p>
      <w:pPr>
        <w:pStyle w:val="FootnoteText"/>
        <w:rPr/>
      </w:pPr>
      <w:r>
        <w:rPr/>
        <w:t xml:space="preserve">See also </w:t>
      </w:r>
      <w:r>
        <w:rPr>
          <w:rStyle w:val="wwc-sesame-zot-reference"/>
        </w:rPr>
        <w:t>Anālayo 2015</w:t>
      </w:r>
      <w:r>
        <w:rPr/>
        <w:t xml:space="preserve"> p.247</w:t>
      </w:r>
    </w:p>
    <w:p>
      <w:pPr>
        <w:pStyle w:val="WW-gloss-term"/>
        <w:rPr/>
      </w:pPr>
      <w:r>
        <w:rPr/>
        <w:t>527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2.48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120:37.8</w:t>
      </w:r>
      <w:r>
        <w:rPr>
          <w:rStyle w:val="Hyperlink"/>
        </w:rPr>
        <w:fldChar w:fldCharType="end"/>
      </w:r>
      <w:r>
        <w:rPr/>
        <w:t xml:space="preserve"> </w:t>
      </w:r>
      <w:r>
        <w:rPr>
          <w:rStyle w:val="wwc-PTS-reference"/>
        </w:rPr>
        <w:t>M III 103</w:t>
      </w:r>
    </w:p>
    <w:p>
      <w:pPr>
        <w:pStyle w:val="WW-gloss-term"/>
        <w:rPr/>
      </w:pPr>
      <w:r>
        <w:rPr/>
        <w:t>528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98:11.101–11.104</w:t>
      </w:r>
      <w:r>
        <w:rPr>
          <w:rStyle w:val="Hyperlink"/>
        </w:rPr>
        <w:fldChar w:fldCharType="end"/>
      </w:r>
      <w:r>
        <w:rPr/>
        <w:t xml:space="preserve"> </w:t>
      </w:r>
      <w:r>
        <w:rPr>
          <w:rStyle w:val="wwc-PTS-reference"/>
        </w:rPr>
        <w:t>M II 122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3.9:56.1–56.4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420</w:t>
      </w:r>
      <w:r>
        <w:rPr>
          <w:rStyle w:val="Hyperlink"/>
        </w:rPr>
        <w:fldChar w:fldCharType="end"/>
      </w:r>
    </w:p>
    <w:p>
      <w:pPr>
        <w:pStyle w:val="WW-gloss-term"/>
        <w:rPr/>
      </w:pPr>
      <w:r>
        <w:rPr/>
        <w:t>529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3.12:18.1–20.4</w:t>
      </w:r>
      <w:r>
        <w:rPr>
          <w:rStyle w:val="Hyperlink"/>
        </w:rPr>
        <w:fldChar w:fldCharType="end"/>
      </w:r>
    </w:p>
    <w:p>
      <w:pPr>
        <w:pStyle w:val="WW-gloss-term"/>
        <w:rPr/>
      </w:pPr>
      <w:r>
        <w:rPr/>
        <w:t>530</w:t>
      </w:r>
    </w:p>
    <w:p>
      <w:pPr>
        <w:pStyle w:val="FootnoteText"/>
        <w:rPr/>
      </w:pPr>
      <w:hyperlink r:id="rId46">
        <w:r>
          <w:rPr>
            <w:rStyle w:val="Hyperlink"/>
          </w:rPr>
          <w:t>SĀ</w:t>
        </w:r>
        <w:r>
          <w:rPr>
            <w:rStyle w:val="Hyperlink"/>
            <w:vertAlign w:val="superscript"/>
          </w:rPr>
          <w:t>2</w:t>
        </w:r>
        <w:r>
          <w:rPr>
            <w:rStyle w:val="Hyperlink"/>
          </w:rPr>
          <w:t xml:space="preserve"> 30</w:t>
        </w:r>
      </w:hyperlink>
      <w:r>
        <w:rPr/>
        <w:t xml:space="preserve">, also translated by </w:t>
      </w:r>
      <w:r>
        <w:rPr>
          <w:rStyle w:val="wwc-sesame-zot-reference"/>
        </w:rPr>
        <w:t>Bingenheimer</w:t>
      </w:r>
      <w:r>
        <w:rPr/>
        <w:t xml:space="preserve"> p.141</w:t>
      </w:r>
    </w:p>
    <w:p>
      <w:pPr>
        <w:pStyle w:val="WW-gloss-term"/>
        <w:rPr/>
      </w:pPr>
      <w:r>
        <w:rPr/>
        <w:t>531</w:t>
      </w:r>
    </w:p>
    <w:p>
      <w:pPr>
        <w:pStyle w:val="FootnoteText"/>
        <w:rPr/>
      </w:pPr>
      <w:r>
        <w:rPr>
          <w:rStyle w:val="wwc-sesame-zot-reference"/>
        </w:rPr>
        <w:t>Thomas 1935</w:t>
      </w:r>
      <w:r>
        <w:rPr/>
        <w:t xml:space="preserve"> argues the first part of the compound </w:t>
      </w:r>
      <w:r>
        <w:rPr>
          <w:rStyle w:val="wwc-pali"/>
        </w:rPr>
        <w:t>tathāgata</w:t>
      </w:r>
      <w:r>
        <w:rPr/>
        <w:t xml:space="preserve"> is likely </w:t>
      </w:r>
      <w:r>
        <w:rPr>
          <w:rStyle w:val="wwc-pali"/>
        </w:rPr>
        <w:t>tatha</w:t>
      </w:r>
      <w:r>
        <w:rPr/>
        <w:t xml:space="preserve"> (‘truth’), not </w:t>
      </w:r>
      <w:r>
        <w:rPr>
          <w:rStyle w:val="wwc-pali"/>
        </w:rPr>
        <w:t>tathā</w:t>
      </w:r>
      <w:r>
        <w:rPr/>
        <w:t xml:space="preserve"> (‘thus’). </w:t>
      </w:r>
      <w:r>
        <w:rPr>
          <w:rStyle w:val="wwc-sesame-zot-reference"/>
        </w:rPr>
        <w:t>PED</w:t>
      </w:r>
      <w:r>
        <w:rPr/>
        <w:t xml:space="preserve"> includes for </w:t>
      </w:r>
      <w:r>
        <w:rPr>
          <w:rStyle w:val="wwc-pali"/>
        </w:rPr>
        <w:t>tathāgata</w:t>
      </w:r>
      <w:r>
        <w:rPr/>
        <w:t xml:space="preserve"> “he who has won through to the truth” and </w:t>
      </w:r>
      <w:r>
        <w:rPr>
          <w:rStyle w:val="wwc-sesame-zot-reference"/>
        </w:rPr>
        <w:t>DPD</w:t>
      </w:r>
      <w:r>
        <w:rPr/>
        <w:t xml:space="preserve"> “arrived at the truth”.</w:t>
      </w:r>
    </w:p>
    <w:p>
      <w:pPr>
        <w:pStyle w:val="WW-gloss-term"/>
        <w:rPr/>
      </w:pPr>
      <w:r>
        <w:rPr/>
        <w:t>532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22:36.1–37.6</w:t>
      </w:r>
      <w:r>
        <w:rPr>
          <w:rStyle w:val="Hyperlink"/>
        </w:rPr>
        <w:fldChar w:fldCharType="end"/>
      </w:r>
      <w:r>
        <w:rPr/>
        <w:t xml:space="preserve"> </w:t>
      </w:r>
      <w:r>
        <w:rPr>
          <w:rStyle w:val="wwc-PTS-reference"/>
        </w:rPr>
        <w:t>M I 140</w:t>
      </w:r>
    </w:p>
    <w:p>
      <w:pPr>
        <w:pStyle w:val="WW-gloss-term"/>
        <w:rPr/>
      </w:pPr>
      <w:r>
        <w:rPr/>
        <w:t>533</w:t>
      </w:r>
    </w:p>
    <w:p>
      <w:pPr>
        <w:pStyle w:val="FootnoteText"/>
        <w:rPr/>
      </w:pPr>
      <w:r>
        <w:rPr>
          <w:rStyle w:val="wwc-pali"/>
        </w:rPr>
        <w:t>‘</w:t>
      </w:r>
      <w:r>
        <w:rPr>
          <w:rStyle w:val="wwc-pali"/>
        </w:rPr>
        <w:t>Diṭṭhevāhaṁ, bhikkhave, dhamme tathāgataṁ ananuvijjo’ti vadāmi</w:t>
      </w:r>
      <w:r>
        <w:rPr/>
        <w:t>, ‘even while alive there is no truth</w:t>
        <w:softHyphen/>
        <w:t xml:space="preserve">finder to be found, I tell you’. The most literal meaning of </w:t>
      </w:r>
      <w:r>
        <w:rPr>
          <w:rStyle w:val="wwc-pali"/>
        </w:rPr>
        <w:t>ananuvijja</w:t>
      </w:r>
      <w:r>
        <w:rPr/>
        <w:t xml:space="preserve"> is ‘not found’, but the verb </w:t>
      </w:r>
      <w:r>
        <w:rPr>
          <w:rStyle w:val="wwc-pali"/>
        </w:rPr>
        <w:t>vijjati</w:t>
      </w:r>
      <w:r>
        <w:rPr/>
        <w:t xml:space="preserve">, as </w:t>
      </w:r>
      <w:r>
        <w:rPr>
          <w:rStyle w:val="wwc-sesame-zot-reference"/>
        </w:rPr>
        <w:t>DPD</w:t>
      </w:r>
      <w:r>
        <w:rPr/>
        <w:t xml:space="preserve"> and </w:t>
      </w:r>
      <w:r>
        <w:rPr>
          <w:rStyle w:val="wwc-sesame-zot-reference"/>
        </w:rPr>
        <w:t>Gombrich 2009</w:t>
      </w:r>
      <w:r>
        <w:rPr/>
        <w:t xml:space="preserve"> p.139 say, can also mean ‘exists’. To “not find” a truth</w:t>
        <w:softHyphen/>
        <w:t>finder therefore means the truth</w:t>
        <w:softHyphen/>
        <w:t xml:space="preserve">finder doesn’t actually exist. I use the expression ‘there is no … to be found’ to include both meanings of the verb. For a similar idea see </w:t>
      </w:r>
      <w:r>
        <w:fldChar w:fldCharType="begin"/>
      </w:r>
      <w:r>
        <w:rPr>
          <w:rStyle w:val="Hyperlink"/>
        </w:rPr>
        <w:instrText xml:space="preserve"> HYPERLINK "https://suttacentral.net/XXX/en/sujato" \l "YYY"</w:instrText>
      </w:r>
      <w:r>
        <w:rPr>
          <w:rStyle w:val="Hyperlink"/>
        </w:rPr>
        <w:fldChar w:fldCharType="separate"/>
      </w:r>
      <w:r>
        <w:rPr>
          <w:rStyle w:val="Hyperlink"/>
        </w:rPr>
        <w:t>AN 5.167:9.8–9.10</w:t>
      </w:r>
      <w:r>
        <w:rPr>
          <w:rStyle w:val="Hyperlink"/>
        </w:rPr>
        <w:fldChar w:fldCharType="end"/>
      </w:r>
      <w:r>
        <w:rPr/>
        <w:t>: “If I know that there is no such quality in me, I tell him: ‘It doesn’t exist; this quality isn’t found in me.’”</w:t>
      </w:r>
    </w:p>
    <w:p>
      <w:pPr>
        <w:pStyle w:val="WW-gloss-term"/>
        <w:rPr/>
      </w:pPr>
      <w:r>
        <w:rPr/>
        <w:t>534</w:t>
      </w:r>
    </w:p>
    <w:p>
      <w:pPr>
        <w:pStyle w:val="FootnoteText"/>
        <w:rPr/>
      </w:pPr>
      <w:r>
        <w:rPr>
          <w:rStyle w:val="wwc-sesame"/>
        </w:rPr>
        <w:t>Ñāṇamoli 1995 n.266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MN 22:36.4</w:t>
      </w:r>
      <w:r>
        <w:rPr>
          <w:rStyle w:val="Hyperlink"/>
        </w:rPr>
        <w:fldChar w:fldCharType="end"/>
      </w:r>
      <w:r>
        <w:rPr/>
        <w:t xml:space="preserve">. See also </w:t>
      </w:r>
      <w:r>
        <w:rPr>
          <w:rStyle w:val="wwc-sesame-zot-reference"/>
        </w:rPr>
        <w:t>Bodhi 1984</w:t>
      </w:r>
      <w:r>
        <w:rPr/>
        <w:t xml:space="preserve"> p.49: “The bhikkhu knows that ‘Tathāgata’ is just a convenient term for referring to a conglomerate process of impermanent, empty phenomena which are suffering in the deepest sense.”</w:t>
      </w:r>
    </w:p>
    <w:p>
      <w:pPr>
        <w:pStyle w:val="WW-gloss-term"/>
        <w:rPr/>
      </w:pPr>
      <w:r>
        <w:rPr/>
        <w:t>535</w:t>
      </w:r>
    </w:p>
    <w:p>
      <w:pPr>
        <w:pStyle w:val="FootnoteText"/>
        <w:rPr/>
      </w:pPr>
      <w:r>
        <w:rPr/>
        <w:t xml:space="preserve">See for example </w:t>
      </w:r>
      <w:r>
        <w:rPr>
          <w:rStyle w:val="wwc-sesame-zot-reference"/>
        </w:rPr>
        <w:t>Nyanaponika 1959</w:t>
      </w:r>
      <w:r>
        <w:rPr/>
        <w:t xml:space="preserve"> p.12, </w:t>
      </w:r>
      <w:r>
        <w:rPr>
          <w:rStyle w:val="wwc-sesame-zot-reference"/>
        </w:rPr>
        <w:t>Warder</w:t>
      </w:r>
      <w:r>
        <w:rPr/>
        <w:t xml:space="preserve"> 1970 p.123, </w:t>
      </w:r>
      <w:r>
        <w:rPr>
          <w:rStyle w:val="wwc-sesame-zot-reference"/>
        </w:rPr>
        <w:t>Ñāṇananda 1971</w:t>
      </w:r>
      <w:r>
        <w:rPr/>
        <w:t xml:space="preserve"> p.116, </w:t>
      </w:r>
      <w:r>
        <w:rPr>
          <w:rStyle w:val="wwc-sesame-zot-reference"/>
        </w:rPr>
        <w:t>Kalupahana 1976</w:t>
      </w:r>
      <w:r>
        <w:rPr/>
        <w:t xml:space="preserve"> p.84, </w:t>
      </w:r>
      <w:r>
        <w:rPr>
          <w:rStyle w:val="wwc-sesame-zot-reference"/>
        </w:rPr>
        <w:t>Collins</w:t>
      </w:r>
      <w:r>
        <w:rPr/>
        <w:t xml:space="preserve"> p.132, </w:t>
      </w:r>
      <w:r>
        <w:rPr>
          <w:rStyle w:val="wwc-sesame-zot-reference"/>
        </w:rPr>
        <w:t>Mahasi</w:t>
      </w:r>
      <w:r>
        <w:rPr/>
        <w:t xml:space="preserve"> p.121, </w:t>
      </w:r>
      <w:r>
        <w:rPr>
          <w:rStyle w:val="wwc-sesame-zot-reference"/>
        </w:rPr>
        <w:t>Bodhi 1984</w:t>
      </w:r>
      <w:r>
        <w:rPr/>
        <w:t xml:space="preserve"> p.49, </w:t>
      </w:r>
      <w:r>
        <w:rPr>
          <w:rStyle w:val="wwc-sesame-zot-reference"/>
        </w:rPr>
        <w:t>Anālayo 2021</w:t>
      </w:r>
      <w:r>
        <w:rPr/>
        <w:t xml:space="preserve"> p.107, </w:t>
      </w:r>
      <w:r>
        <w:rPr>
          <w:rStyle w:val="wwc-sesame-zot-reference"/>
        </w:rPr>
        <w:t>Anālayo 2022</w:t>
      </w:r>
      <w:r>
        <w:rPr/>
        <w:t xml:space="preserve"> p.1412</w:t>
      </w:r>
    </w:p>
    <w:p>
      <w:pPr>
        <w:pStyle w:val="WW-gloss-term"/>
        <w:rPr/>
      </w:pPr>
      <w:r>
        <w:rPr/>
        <w:t>536</w:t>
      </w:r>
    </w:p>
    <w:p>
      <w:pPr>
        <w:pStyle w:val="FootnoteText"/>
        <w:rPr/>
      </w:pPr>
      <w:r>
        <w:rPr>
          <w:rStyle w:val="wwc-sesame-zot-reference"/>
        </w:rPr>
        <w:t>Bodhi 1984</w:t>
      </w:r>
      <w:r>
        <w:rPr/>
        <w:t xml:space="preserve"> p.49</w:t>
      </w:r>
    </w:p>
    <w:p>
      <w:pPr>
        <w:pStyle w:val="WW-gloss-term"/>
        <w:rPr/>
      </w:pPr>
      <w:r>
        <w:rPr/>
        <w:t>537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4.16</w:t>
      </w:r>
      <w:r>
        <w:rPr>
          <w:rStyle w:val="Hyperlink"/>
        </w:rPr>
        <w:fldChar w:fldCharType="end"/>
      </w:r>
    </w:p>
    <w:p>
      <w:pPr>
        <w:pStyle w:val="WW-gloss-term"/>
        <w:rPr/>
      </w:pPr>
      <w:r>
        <w:rPr/>
        <w:t>538</w:t>
      </w:r>
    </w:p>
    <w:p>
      <w:pPr>
        <w:pStyle w:val="FootnoteText"/>
        <w:rPr/>
      </w:pPr>
      <w:r>
        <w:rPr/>
        <w:t xml:space="preserve">For example </w:t>
      </w:r>
      <w:r>
        <w:rPr>
          <w:rStyle w:val="wwc-sesame-zot-reference"/>
        </w:rPr>
        <w:t>Harvey 1995</w:t>
      </w:r>
      <w:r>
        <w:rPr/>
        <w:t xml:space="preserve"> p.230, </w:t>
      </w:r>
      <w:r>
        <w:rPr>
          <w:rStyle w:val="wwc-sesame-zot-reference"/>
        </w:rPr>
        <w:t>Pasanno</w:t>
      </w:r>
      <w:r>
        <w:rPr/>
        <w:t xml:space="preserve"> p.170, </w:t>
      </w:r>
      <w:r>
        <w:rPr>
          <w:rStyle w:val="wwc-sesame-zot-reference"/>
        </w:rPr>
        <w:t>Ṭhānissaro 2008a</w:t>
      </w:r>
      <w:r>
        <w:rPr/>
        <w:t xml:space="preserve"> p.121ff</w:t>
      </w:r>
    </w:p>
    <w:p>
      <w:pPr>
        <w:pStyle w:val="WW-gloss-term"/>
        <w:rPr/>
      </w:pPr>
      <w:r>
        <w:rPr/>
        <w:t>539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45.150</w:t>
      </w:r>
      <w:r>
        <w:rPr>
          <w:rStyle w:val="Hyperlink"/>
        </w:rPr>
        <w:fldChar w:fldCharType="end"/>
      </w:r>
    </w:p>
    <w:p>
      <w:pPr>
        <w:pStyle w:val="WW-gloss-term"/>
        <w:rPr/>
      </w:pPr>
      <w:r>
        <w:rPr/>
        <w:t>540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1.20:25.1–25.6</w:t>
      </w:r>
      <w:r>
        <w:rPr>
          <w:rStyle w:val="Hyperlink"/>
        </w:rPr>
        <w:fldChar w:fldCharType="end"/>
      </w:r>
    </w:p>
    <w:p>
      <w:pPr>
        <w:pStyle w:val="WW-gloss-term"/>
        <w:rPr/>
      </w:pPr>
      <w:r>
        <w:rPr/>
        <w:t>541</w:t>
      </w:r>
    </w:p>
    <w:p>
      <w:pPr>
        <w:pStyle w:val="FootnoteText"/>
        <w:rPr/>
      </w:pPr>
      <w:r>
        <w:rPr/>
        <w:t xml:space="preserve">See also </w:t>
      </w:r>
      <w:r>
        <w:rPr>
          <w:rStyle w:val="wwc-sesame"/>
        </w:rPr>
        <w:t>Bodhi 2000 n.38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1.20:25.1</w:t>
      </w:r>
      <w:r>
        <w:rPr>
          <w:rStyle w:val="Hyperlink"/>
        </w:rPr>
        <w:fldChar w:fldCharType="end"/>
      </w:r>
      <w:r>
        <w:rPr/>
        <w:t xml:space="preserve">: “[These lines] seem to be describing the arahant after his </w:t>
      </w:r>
      <w:r>
        <w:rPr>
          <w:rStyle w:val="wwc-pali"/>
        </w:rPr>
        <w:t>parinibbāna</w:t>
      </w:r>
      <w:r>
        <w:rPr/>
        <w:t xml:space="preserve">.” </w:t>
      </w:r>
      <w:r>
        <w:rPr>
          <w:rStyle w:val="wwc-sesame-zot-reference"/>
        </w:rPr>
        <w:t>Olalde 2014</w:t>
      </w:r>
      <w:r>
        <w:rPr/>
        <w:t xml:space="preserve"> p.119 (translation mine): “That the person in question cannot be found anywhere (seemingly after his death) refers to the fact he reached final nibbāna.”</w:t>
      </w:r>
    </w:p>
    <w:p>
      <w:pPr>
        <w:pStyle w:val="WW-gloss-term"/>
        <w:rPr/>
      </w:pPr>
      <w:r>
        <w:rPr/>
        <w:t>542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2.12:14.1–14.5</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Thag 21.1:67.1–67.5</w:t>
      </w:r>
      <w:r>
        <w:rPr>
          <w:rStyle w:val="Hyperlink"/>
        </w:rPr>
        <w:fldChar w:fldCharType="end"/>
      </w:r>
    </w:p>
    <w:p>
      <w:pPr>
        <w:pStyle w:val="WW-gloss-term"/>
        <w:rPr/>
      </w:pPr>
      <w:r>
        <w:rPr/>
        <w:t>543</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4.1:2.1</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6.2:7.1</w:t>
      </w:r>
      <w:r>
        <w:rPr>
          <w:rStyle w:val="Hyperlink"/>
        </w:rPr>
        <w:fldChar w:fldCharType="end"/>
      </w:r>
    </w:p>
    <w:p>
      <w:pPr>
        <w:pStyle w:val="WW-gloss-term"/>
        <w:rPr/>
      </w:pPr>
      <w:r>
        <w:rPr/>
        <w:t>544</w:t>
      </w:r>
    </w:p>
    <w:p>
      <w:pPr>
        <w:pStyle w:val="FootnoteText"/>
        <w:rPr/>
      </w:pPr>
      <w:hyperlink r:id="rId47">
        <w:r>
          <w:rPr>
            <w:rStyle w:val="Hyperlink"/>
          </w:rPr>
          <w:t>MĀ 62</w:t>
        </w:r>
      </w:hyperlink>
      <w:r>
        <w:rPr/>
        <w:t xml:space="preserve">, translation </w:t>
      </w:r>
      <w:r>
        <w:rPr>
          <w:rStyle w:val="wwc-sesame-zot-reference"/>
        </w:rPr>
        <w:t>Anālayo 2013</w:t>
      </w:r>
      <w:r>
        <w:rPr/>
        <w:t>, brackets in the original</w:t>
      </w:r>
    </w:p>
    <w:p>
      <w:pPr>
        <w:pStyle w:val="WW-gloss-term"/>
        <w:rPr/>
      </w:pPr>
      <w:r>
        <w:rPr/>
        <w:t>545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5.10</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p>
    <w:p>
      <w:pPr>
        <w:pStyle w:val="WW-gloss-term"/>
        <w:rPr/>
      </w:pPr>
      <w:r>
        <w:rPr/>
        <w:t>546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22.85:5.6–14.1</w:t>
      </w:r>
      <w:r>
        <w:rPr>
          <w:rStyle w:val="Hyperlink"/>
        </w:rPr>
        <w:fldChar w:fldCharType="end"/>
      </w:r>
    </w:p>
    <w:p>
      <w:pPr>
        <w:pStyle w:val="WW-gloss-term"/>
        <w:rPr/>
      </w:pPr>
      <w:r>
        <w:rPr/>
        <w:t>547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1.49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3.69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28</w:t>
      </w:r>
      <w:r>
        <w:rPr>
          <w:rStyle w:val="Hyperlink"/>
        </w:rPr>
        <w:fldChar w:fldCharType="end"/>
      </w:r>
      <w:r>
        <w:rPr/>
        <w:t>/</w:t>
      </w:r>
      <w:r>
        <w:fldChar w:fldCharType="begin"/>
      </w:r>
      <w:r>
        <w:rPr>
          <w:rStyle w:val="Hyperlink"/>
          <w:lang w:val="en-US"/>
        </w:rPr>
        <w:instrText xml:space="preserve"> HYPERLINK "https://suttacentral.net/XXX/en/sujato" \l "YYY"</w:instrText>
      </w:r>
      <w:r>
        <w:rPr>
          <w:rStyle w:val="Hyperlink"/>
          <w:lang w:val="en-US"/>
        </w:rPr>
        <w:fldChar w:fldCharType="separate"/>
      </w:r>
      <w:r>
        <w:rPr>
          <w:rStyle w:val="Hyperlink"/>
          <w:lang w:val="en-US"/>
        </w:rPr>
        <w:t>Iti 29</w:t>
      </w:r>
      <w:r>
        <w:rPr>
          <w:rStyle w:val="Hyperlink"/>
          <w:lang w:val="en-US"/>
        </w:rPr>
        <w:fldChar w:fldCharType="end"/>
      </w:r>
      <w:r>
        <w:rPr>
          <w:lang w:val="en-US"/>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1.7</w:t>
      </w:r>
      <w:r>
        <w:rPr>
          <w:rStyle w:val="Hyperlink"/>
        </w:rPr>
        <w:fldChar w:fldCharType="end"/>
      </w:r>
      <w:r>
        <w:rPr/>
        <w:t>, etc.</w:t>
      </w:r>
    </w:p>
    <w:p>
      <w:pPr>
        <w:pStyle w:val="WW-gloss-term"/>
        <w:rPr/>
      </w:pPr>
      <w:r>
        <w:rPr/>
        <w:t>548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22.86:12.1–13.2</w:t>
      </w:r>
      <w:r>
        <w:rPr>
          <w:rStyle w:val="Hyperlink"/>
        </w:rPr>
        <w:fldChar w:fldCharType="end"/>
      </w:r>
    </w:p>
    <w:p>
      <w:pPr>
        <w:pStyle w:val="WW-gloss-term"/>
        <w:rPr/>
      </w:pPr>
      <w:r>
        <w:rPr/>
        <w:t>549</w:t>
      </w:r>
    </w:p>
    <w:p>
      <w:pPr>
        <w:pStyle w:val="FootnoteText"/>
        <w:rPr/>
      </w:pPr>
      <w:r>
        <w:rPr/>
        <w:t xml:space="preserve">See also </w:t>
      </w:r>
      <w:r>
        <w:rPr>
          <w:rStyle w:val="wwc-sesame-zot-reference"/>
        </w:rPr>
        <w:t>Siderits</w:t>
      </w:r>
      <w:r>
        <w:rPr/>
        <w:t xml:space="preserve"> Section 4.1.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44.7</w:t>
      </w:r>
      <w:r>
        <w:rPr>
          <w:rStyle w:val="Hyperlink"/>
        </w:rPr>
        <w:fldChar w:fldCharType="end"/>
      </w:r>
    </w:p>
    <w:p>
      <w:pPr>
        <w:pStyle w:val="WW-gloss-term"/>
        <w:rPr/>
      </w:pPr>
      <w:r>
        <w:rPr/>
        <w:t>550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AN 7.54:4.1–4.6</w:t>
      </w:r>
      <w:r>
        <w:rPr>
          <w:rStyle w:val="Hyperlink"/>
        </w:rPr>
        <w:fldChar w:fldCharType="end"/>
      </w:r>
    </w:p>
    <w:p>
      <w:pPr>
        <w:pStyle w:val="WW-gloss-term"/>
        <w:rPr/>
      </w:pPr>
      <w:r>
        <w:rPr/>
        <w:t>551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143</w:t>
      </w:r>
      <w:r>
        <w:rPr>
          <w:rStyle w:val="Hyperlink"/>
        </w:rPr>
        <w:fldChar w:fldCharType="end"/>
      </w:r>
    </w:p>
    <w:p>
      <w:pPr>
        <w:pStyle w:val="WW-gloss-term"/>
        <w:rPr/>
      </w:pPr>
      <w:r>
        <w:rPr/>
        <w:t>552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p>
    <w:p>
      <w:pPr>
        <w:pStyle w:val="WW-gloss-term"/>
        <w:rPr/>
      </w:pPr>
      <w:r>
        <w:rPr/>
        <w:t>553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106:10.10, 12.6</w:t>
      </w:r>
      <w:r>
        <w:rPr>
          <w:rStyle w:val="Hyperlink"/>
        </w:rPr>
        <w:fldChar w:fldCharType="end"/>
      </w:r>
      <w:r>
        <w:rPr/>
        <w:t xml:space="preserve"> </w:t>
      </w:r>
      <w:r>
        <w:rPr>
          <w:rStyle w:val="wwc-PTS-reference"/>
        </w:rPr>
        <w:t>M II 265</w:t>
      </w:r>
    </w:p>
    <w:p>
      <w:pPr>
        <w:pStyle w:val="WW-gloss-term"/>
        <w:rPr/>
      </w:pPr>
      <w:r>
        <w:rPr/>
        <w:t>554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p>
    <w:p>
      <w:pPr>
        <w:pStyle w:val="WW-gloss-term"/>
        <w:rPr/>
      </w:pPr>
      <w:r>
        <w:rPr/>
        <w:t>555</w:t>
      </w:r>
    </w:p>
    <w:p>
      <w:pPr>
        <w:pStyle w:val="FootnoteText"/>
        <w:rPr/>
      </w:pPr>
      <w:r>
        <w:rPr>
          <w:rStyle w:val="wwc-pali"/>
        </w:rPr>
        <w:t>Saññāvedayitanirodha</w:t>
      </w:r>
      <w:r>
        <w:rPr/>
        <w:t>, ‘the cessation of awareness and what is experienced’, more well-known as ‘the cessation of perception and feeling’. In this state there is the complete cessation of both awareness (</w:t>
      </w:r>
      <w:r>
        <w:rPr>
          <w:rStyle w:val="wwc-pali"/>
        </w:rPr>
        <w:t>saññā</w:t>
      </w:r>
      <w:r>
        <w:rPr/>
        <w:t>) and the object that is experienced (</w:t>
      </w:r>
      <w:r>
        <w:rPr>
          <w:rStyle w:val="wwc-pali"/>
        </w:rPr>
        <w:t>vedayita</w:t>
      </w:r>
      <w:r>
        <w:rPr/>
        <w:t xml:space="preserve">). </w:t>
      </w:r>
      <w:r>
        <w:rPr>
          <w:rStyle w:val="wwc-pali"/>
        </w:rPr>
        <w:t>Saññā</w:t>
      </w:r>
      <w:r>
        <w:rPr/>
        <w:t xml:space="preserve"> has a range of meanings, and one of these is awareness or consciousness in general (</w:t>
      </w:r>
      <w:r>
        <w:rPr>
          <w:rStyle w:val="wwc-sesame-zot-reference"/>
        </w:rPr>
        <w:t>PED</w:t>
      </w:r>
      <w:r>
        <w:rPr/>
        <w:t xml:space="preserve">, </w:t>
      </w:r>
      <w:r>
        <w:rPr>
          <w:rStyle w:val="wwc-sesame-zot-reference"/>
        </w:rPr>
        <w:t>DPD</w:t>
      </w:r>
      <w:r>
        <w:rPr/>
        <w:t xml:space="preserve">). </w:t>
      </w:r>
      <w:r>
        <w:rPr>
          <w:rStyle w:val="wwc-pali"/>
        </w:rPr>
        <w:t>Vedayita</w:t>
      </w:r>
      <w:r>
        <w:rPr/>
        <w:t xml:space="preserve"> is a past participle meaning ‘felt’ or ‘experienced’ (</w:t>
      </w:r>
      <w:r>
        <w:rPr>
          <w:rStyle w:val="wwc-sesame-zot-reference"/>
        </w:rPr>
        <w:t>CPED</w:t>
      </w:r>
      <w:r>
        <w:rPr/>
        <w:t xml:space="preserve">, </w:t>
      </w:r>
      <w:r>
        <w:rPr>
          <w:rStyle w:val="wwc-sesame-zot-reference"/>
        </w:rPr>
        <w:t>PED</w:t>
      </w:r>
      <w:r>
        <w:rPr/>
        <w:t xml:space="preserve">, </w:t>
      </w:r>
      <w:r>
        <w:rPr>
          <w:rStyle w:val="wwc-sesame-zot-reference"/>
        </w:rPr>
        <w:t>DPD</w:t>
      </w:r>
      <w:r>
        <w:rPr/>
        <w:t xml:space="preserve">). While commonly translated as ‘feeling’ in </w:t>
      </w:r>
      <w:r>
        <w:rPr>
          <w:rStyle w:val="wwc-pali"/>
        </w:rPr>
        <w:t>saññāvedayitanirodha</w:t>
      </w:r>
      <w:r>
        <w:rPr/>
        <w:t xml:space="preserve">, it refers not to the </w:t>
      </w:r>
      <w:r>
        <w:rPr>
          <w:rStyle w:val="Emphasis"/>
        </w:rPr>
        <w:t>act</w:t>
      </w:r>
      <w:r>
        <w:rPr/>
        <w:t xml:space="preserve"> of feeling but to that which is felt or experienced.</w:t>
      </w:r>
    </w:p>
    <w:p>
      <w:pPr>
        <w:pStyle w:val="WW-gloss-term"/>
        <w:rPr/>
      </w:pPr>
      <w:r>
        <w:rPr/>
        <w:t>556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12.51:12.1–24.3</w:t>
      </w:r>
      <w:r>
        <w:rPr>
          <w:rStyle w:val="Hyperlink"/>
        </w:rPr>
        <w:fldChar w:fldCharType="end"/>
      </w:r>
    </w:p>
    <w:p>
      <w:pPr>
        <w:pStyle w:val="WW-gloss-term"/>
        <w:rPr/>
      </w:pPr>
      <w:r>
        <w:rPr/>
        <w:t>557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p>
      <w:pPr>
        <w:pStyle w:val="WW-gloss-term"/>
        <w:rPr/>
      </w:pPr>
      <w:r>
        <w:rPr/>
        <w:t>558</w:t>
      </w:r>
    </w:p>
    <w:p>
      <w:pPr>
        <w:pStyle w:val="FootnoteText"/>
        <w:rPr/>
      </w:pPr>
      <w:r>
        <w:rPr/>
        <w:t xml:space="preserve">See also </w:t>
      </w:r>
      <w:r>
        <w:rPr>
          <w:rStyle w:val="wwc-sesame-zot-reference"/>
        </w:rPr>
        <w:t>Norman 1996</w:t>
      </w:r>
    </w:p>
    <w:p>
      <w:pPr>
        <w:pStyle w:val="WW-gloss-term"/>
        <w:rPr/>
      </w:pPr>
      <w:r>
        <w:rPr/>
        <w:t>559</w:t>
      </w:r>
    </w:p>
    <w:p>
      <w:pPr>
        <w:pStyle w:val="FootnoteText"/>
        <w:rPr/>
      </w:pPr>
      <w:r>
        <w:rPr>
          <w:rStyle w:val="wwc-sesame"/>
        </w:rPr>
        <w:t>Bodhi 2020, 6. The Unconditioned: The Goal, Introduction</w:t>
      </w:r>
      <w:r>
        <w:rPr/>
        <w:t xml:space="preserve"> and </w:t>
      </w:r>
      <w:r>
        <w:rPr>
          <w:rStyle w:val="wwc-sesame-zot-reference"/>
        </w:rPr>
        <w:t>Bodhi 1979</w:t>
      </w:r>
    </w:p>
    <w:p>
      <w:pPr>
        <w:pStyle w:val="WW-gloss-term"/>
        <w:rPr/>
      </w:pPr>
      <w:r>
        <w:rPr/>
        <w:t>560</w:t>
      </w:r>
    </w:p>
    <w:p>
      <w:pPr>
        <w:pStyle w:val="FootnoteText"/>
        <w:rPr/>
      </w:pPr>
      <w:r>
        <w:rPr/>
        <w:t xml:space="preserve">For example </w:t>
      </w:r>
      <w:r>
        <w:rPr>
          <w:rStyle w:val="wwc-sesame-zot-reference"/>
        </w:rPr>
        <w:t>Johansson</w:t>
      </w:r>
      <w:r>
        <w:rPr/>
        <w:t xml:space="preserve"> p.51ff</w:t>
      </w:r>
    </w:p>
    <w:p>
      <w:pPr>
        <w:pStyle w:val="WW-gloss-term"/>
        <w:rPr/>
      </w:pPr>
      <w:r>
        <w:rPr/>
        <w:t>561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31:8.2</w:t>
      </w:r>
      <w:r>
        <w:rPr>
          <w:rStyle w:val="Hyperlink"/>
        </w:rPr>
        <w:fldChar w:fldCharType="end"/>
      </w:r>
      <w:r>
        <w:rPr/>
        <w:t xml:space="preserve"> </w:t>
      </w:r>
      <w:r>
        <w:rPr>
          <w:rStyle w:val="wwc-PTS-reference"/>
        </w:rPr>
        <w:t>D III 183</w:t>
      </w:r>
    </w:p>
    <w:p>
      <w:pPr>
        <w:pStyle w:val="WW-gloss-term"/>
        <w:rPr/>
      </w:pPr>
      <w:r>
        <w:rPr/>
        <w:t>562</w:t>
      </w:r>
    </w:p>
    <w:p>
      <w:pPr>
        <w:pStyle w:val="FootnoteText"/>
        <w:rPr/>
      </w:pPr>
      <w:r>
        <w:rPr>
          <w:rStyle w:val="wwc-sesame-zot-reference"/>
        </w:rPr>
        <w:t>PED</w:t>
      </w:r>
      <w:r>
        <w:rPr/>
        <w:t xml:space="preserve"> and </w:t>
      </w:r>
      <w:r>
        <w:rPr>
          <w:rStyle w:val="wwc-sesame-zot-reference"/>
        </w:rPr>
        <w:t>DPD</w:t>
      </w:r>
    </w:p>
    <w:p>
      <w:pPr>
        <w:pStyle w:val="WW-gloss-term"/>
        <w:rPr/>
      </w:pPr>
      <w:r>
        <w:rPr/>
        <w:t>563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5.26</w:t>
      </w:r>
      <w:r>
        <w:rPr>
          <w:rStyle w:val="Hyperlink"/>
        </w:rPr>
        <w:fldChar w:fldCharType="end"/>
      </w:r>
    </w:p>
    <w:p>
      <w:pPr>
        <w:pStyle w:val="WW-gloss-term"/>
        <w:rPr/>
      </w:pPr>
      <w:r>
        <w:rPr/>
        <w:t>564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102:10.1–10.7</w:t>
      </w:r>
      <w:r>
        <w:rPr>
          <w:rStyle w:val="Hyperlink"/>
        </w:rPr>
        <w:fldChar w:fldCharType="end"/>
      </w:r>
      <w:r>
        <w:rPr/>
        <w:t xml:space="preserve"> </w:t>
      </w:r>
      <w:r>
        <w:rPr>
          <w:rStyle w:val="wwc-PTS-reference"/>
        </w:rPr>
        <w:t>M II 233</w:t>
      </w:r>
    </w:p>
    <w:p>
      <w:pPr>
        <w:pStyle w:val="WW-gloss-term"/>
        <w:rPr/>
      </w:pPr>
      <w:r>
        <w:rPr/>
        <w:t>565</w:t>
      </w:r>
    </w:p>
    <w:p>
      <w:pPr>
        <w:pStyle w:val="FootnoteText"/>
        <w:rPr/>
      </w:pPr>
      <w:r>
        <w:rPr>
          <w:rStyle w:val="wwc-pali"/>
        </w:rPr>
        <w:t>Veditabbe</w:t>
      </w:r>
      <w:r>
        <w:rPr/>
        <w:t xml:space="preserve"> here means ‘should be understood’, as </w:t>
      </w:r>
      <w:r>
        <w:rPr>
          <w:rStyle w:val="wwc-sesame-zot-reference"/>
        </w:rPr>
        <w:t>Bodhi 2000</w:t>
      </w:r>
      <w:r>
        <w:rPr/>
        <w:t xml:space="preserve"> and </w:t>
      </w:r>
      <w:r>
        <w:rPr>
          <w:rStyle w:val="wwc-sesame-zot-reference"/>
        </w:rPr>
        <w:t>Sujato 2023</w:t>
      </w:r>
      <w:r>
        <w:rPr/>
        <w:t xml:space="preserve">, not ‘should be experienced’ as </w:t>
      </w:r>
      <w:r>
        <w:rPr>
          <w:rStyle w:val="wwc-sesame-zot-reference"/>
        </w:rPr>
        <w:t>Anālayo 2023</w:t>
      </w:r>
      <w:r>
        <w:rPr/>
        <w:t xml:space="preserve"> Chapter II.3. The cessation of the six senses includes the cessation of all feelings/experiences (</w:t>
      </w:r>
      <w:r>
        <w:rPr>
          <w:rStyle w:val="wwc-pali"/>
        </w:rPr>
        <w:t>vedanā</w:t>
      </w:r>
      <w:r>
        <w:rPr/>
        <w:t xml:space="preserve">) and therefore is not something that is experienced. It can, however, be understood. The commentary also understands </w:t>
      </w:r>
      <w:r>
        <w:rPr>
          <w:rStyle w:val="wwc-pali"/>
        </w:rPr>
        <w:t>veditabbe</w:t>
      </w:r>
      <w:r>
        <w:rPr/>
        <w:t xml:space="preserve"> as </w:t>
      </w:r>
      <w:r>
        <w:rPr>
          <w:rStyle w:val="wwc-pali"/>
        </w:rPr>
        <w:t>jānitabba</w:t>
      </w:r>
      <w:r>
        <w:rPr/>
        <w:t xml:space="preserve">, ‘to be understood’. This use of </w:t>
      </w:r>
      <w:r>
        <w:rPr>
          <w:rStyle w:val="wwc-pali"/>
        </w:rPr>
        <w:t>veditabba</w:t>
      </w:r>
      <w:r>
        <w:rPr/>
        <w:t xml:space="preserve"> is common in the discourses.</w:t>
      </w:r>
    </w:p>
    <w:p>
      <w:pPr>
        <w:pStyle w:val="WW-gloss-term"/>
        <w:rPr/>
      </w:pPr>
      <w:r>
        <w:rPr/>
        <w:t>566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35.117</w:t>
      </w:r>
      <w:r>
        <w:rPr>
          <w:rStyle w:val="Hyperlink"/>
        </w:rPr>
        <w:fldChar w:fldCharType="end"/>
      </w:r>
    </w:p>
    <w:p>
      <w:pPr>
        <w:pStyle w:val="WW-gloss-term"/>
        <w:rPr/>
      </w:pPr>
      <w:r>
        <w:rPr/>
        <w:t>567</w:t>
      </w:r>
    </w:p>
    <w:p>
      <w:pPr>
        <w:pStyle w:val="FootnoteText"/>
        <w:rPr/>
      </w:pPr>
      <w:r>
        <w:rPr/>
        <w:t xml:space="preserve">The relative adverb </w:t>
      </w:r>
      <w:r>
        <w:rPr>
          <w:rStyle w:val="wwc-pali"/>
        </w:rPr>
        <w:t>yattha</w:t>
      </w:r>
      <w:r>
        <w:rPr/>
        <w:t xml:space="preserve"> can mean both ‘where’ and ‘when’.</w:t>
      </w:r>
    </w:p>
    <w:p>
      <w:pPr>
        <w:pStyle w:val="WW-gloss-term"/>
        <w:rPr/>
      </w:pPr>
      <w:r>
        <w:rPr/>
        <w:t>568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p>
      <w:pPr>
        <w:pStyle w:val="WW-gloss-term"/>
        <w:rPr/>
      </w:pPr>
      <w:r>
        <w:rPr/>
        <w:t>569</w:t>
      </w:r>
    </w:p>
    <w:p>
      <w:pPr>
        <w:pStyle w:val="FootnoteText"/>
        <w:rPr/>
      </w:pPr>
      <w:r>
        <w:rPr>
          <w:rStyle w:val="internal-reference"/>
        </w:rPr>
        <w:t>Brahmāli p.55</w:t>
      </w:r>
      <w:r>
        <w:rPr/>
        <w:t xml:space="preserve"> </w:t>
      </w:r>
    </w:p>
    <w:p>
      <w:pPr>
        <w:pStyle w:val="WW-gloss-term"/>
        <w:rPr/>
      </w:pPr>
      <w:r>
        <w:rPr/>
        <w:t>570</w:t>
      </w:r>
    </w:p>
    <w:p>
      <w:pPr>
        <w:pStyle w:val="FootnoteText"/>
        <w:rPr/>
      </w:pPr>
      <w:r>
        <w:rPr>
          <w:rStyle w:val="wwc-sesame-zot-reference"/>
        </w:rPr>
        <w:t>DOP</w:t>
      </w:r>
      <w:r>
        <w:rPr/>
        <w:t xml:space="preserve"> and </w:t>
      </w:r>
      <w:r>
        <w:rPr>
          <w:rStyle w:val="wwc-sesame-zot-reference"/>
        </w:rPr>
        <w:t>PED</w:t>
      </w:r>
    </w:p>
    <w:p>
      <w:pPr>
        <w:pStyle w:val="WW-gloss-term"/>
        <w:rPr/>
      </w:pPr>
      <w:r>
        <w:rPr/>
        <w:t>571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51</w:t>
      </w:r>
      <w:r>
        <w:rPr>
          <w:rStyle w:val="Hyperlink"/>
        </w:rPr>
        <w:fldChar w:fldCharType="end"/>
      </w:r>
    </w:p>
    <w:p>
      <w:pPr>
        <w:pStyle w:val="WW-gloss-term"/>
        <w:rPr/>
      </w:pPr>
      <w:r>
        <w:rPr/>
        <w:t>572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5.10:2.1–2.5</w:t>
      </w:r>
      <w:r>
        <w:rPr>
          <w:rStyle w:val="Hyperlink"/>
        </w:rPr>
        <w:fldChar w:fldCharType="end"/>
      </w:r>
    </w:p>
    <w:p>
      <w:pPr>
        <w:pStyle w:val="WW-gloss-term"/>
        <w:rPr/>
      </w:pPr>
      <w:r>
        <w:rPr/>
        <w:t>573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10.7</w:t>
      </w:r>
      <w:r>
        <w:rPr>
          <w:rStyle w:val="Hyperlink"/>
        </w:rPr>
        <w:fldChar w:fldCharType="end"/>
      </w:r>
    </w:p>
    <w:p>
      <w:pPr>
        <w:pStyle w:val="WW-gloss-term"/>
        <w:rPr/>
      </w:pPr>
      <w:r>
        <w:rPr/>
        <w:t>574</w:t>
      </w:r>
    </w:p>
    <w:p>
      <w:pPr>
        <w:pStyle w:val="FootnoteText"/>
        <w:rPr/>
      </w:pPr>
      <w:r>
        <w:rPr/>
        <w:t xml:space="preserve">Contra e.g. </w:t>
      </w:r>
      <w:r>
        <w:rPr>
          <w:rStyle w:val="wwc-sesame-zot-reference"/>
        </w:rPr>
        <w:t>Ñāṇananda 2015</w:t>
      </w:r>
      <w:r>
        <w:rPr/>
        <w:t xml:space="preserve"> p.376. For the Buddha experiencing the formless states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6.15</w:t>
      </w:r>
      <w:r>
        <w:rPr>
          <w:rStyle w:val="Hyperlink"/>
        </w:rPr>
        <w:fldChar w:fldCharType="end"/>
      </w:r>
    </w:p>
    <w:p>
      <w:pPr>
        <w:pStyle w:val="WW-gloss-term"/>
        <w:rPr/>
      </w:pPr>
      <w:r>
        <w:rPr/>
        <w:t>575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59:16.1–16.6</w:t>
      </w:r>
      <w:r>
        <w:rPr>
          <w:rStyle w:val="Hyperlink"/>
        </w:rPr>
        <w:fldChar w:fldCharType="end"/>
      </w:r>
      <w:r>
        <w:rPr/>
        <w:t xml:space="preserve"> </w:t>
      </w:r>
      <w:r>
        <w:rPr>
          <w:rStyle w:val="wwc-PTS-reference"/>
        </w:rPr>
        <w:t>M I 400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36.19:16.1–16.6</w:t>
      </w:r>
      <w:r>
        <w:rPr>
          <w:rStyle w:val="Hyperlink"/>
        </w:rPr>
        <w:fldChar w:fldCharType="end"/>
      </w:r>
      <w:r>
        <w:rPr/>
        <w:t>, compare with</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9.34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111:20.1-20.6</w:t>
      </w:r>
      <w:r>
        <w:rPr>
          <w:rStyle w:val="Hyperlink"/>
        </w:rPr>
        <w:fldChar w:fldCharType="end"/>
      </w:r>
      <w:r>
        <w:rPr/>
        <w:t xml:space="preserve"> </w:t>
      </w:r>
      <w:r>
        <w:rPr>
          <w:rStyle w:val="wwc-PTS-reference"/>
        </w:rPr>
        <w:t>M III 28</w:t>
      </w:r>
    </w:p>
    <w:p>
      <w:pPr>
        <w:pStyle w:val="WW-gloss-term"/>
        <w:rPr/>
      </w:pPr>
      <w:r>
        <w:rPr/>
        <w:t>576</w:t>
      </w:r>
    </w:p>
    <w:p>
      <w:pPr>
        <w:pStyle w:val="FootnoteText"/>
        <w:rPr/>
      </w:pPr>
      <w:r>
        <w:rPr/>
        <w:t xml:space="preserve">See </w:t>
      </w:r>
      <w:r>
        <w:rPr>
          <w:rStyle w:val="wwc-sesame-zot-reference"/>
        </w:rPr>
        <w:t>Wynne</w:t>
      </w:r>
      <w:r>
        <w:rPr/>
        <w:t xml:space="preserve"> p.100</w:t>
      </w:r>
    </w:p>
    <w:p>
      <w:pPr>
        <w:pStyle w:val="WW-gloss-term"/>
        <w:rPr/>
      </w:pPr>
      <w:r>
        <w:rPr/>
        <w:t>577</w:t>
      </w:r>
    </w:p>
    <w:p>
      <w:pPr>
        <w:pStyle w:val="FootnoteText"/>
        <w:rPr/>
      </w:pPr>
      <w:r>
        <w:rPr/>
        <w:t>See Tan: “</w:t>
      </w:r>
      <w:r>
        <w:rPr>
          <w:rStyle w:val="wwc-pali"/>
        </w:rPr>
        <w:t>Appatiṭṭhitaṃ</w:t>
      </w:r>
      <w:r>
        <w:rPr/>
        <w:t xml:space="preserve"> means ‘without […] support for consciousness.’ Hence, there is neither sensing nor knowing.”</w:t>
      </w:r>
    </w:p>
    <w:p>
      <w:pPr>
        <w:pStyle w:val="WW-gloss-term"/>
        <w:rPr/>
      </w:pPr>
      <w:r>
        <w:rPr/>
        <w:t>578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5.5</w:t>
      </w:r>
      <w:r>
        <w:rPr>
          <w:rStyle w:val="Hyperlink"/>
        </w:rPr>
        <w:fldChar w:fldCharType="end"/>
      </w:r>
    </w:p>
    <w:p>
      <w:pPr>
        <w:pStyle w:val="WW-gloss-term"/>
        <w:rPr/>
      </w:pPr>
      <w:r>
        <w:rPr/>
        <w:t>579</w:t>
      </w:r>
    </w:p>
    <w:p>
      <w:pPr>
        <w:pStyle w:val="FootnoteText"/>
        <w:rPr/>
      </w:pPr>
      <w:r>
        <w:rPr/>
        <w:t xml:space="preserve">Nicholas Rescher (tr.), </w:t>
      </w:r>
      <w:r>
        <w:rPr>
          <w:rStyle w:val="Emphasis"/>
        </w:rPr>
        <w:t>Al-Fārābī’s Short Commentary on Aristotle’s Prior Analytics</w:t>
      </w:r>
      <w:r>
        <w:rPr/>
        <w:t>, p.49</w:t>
      </w:r>
    </w:p>
    <w:p>
      <w:pPr>
        <w:pStyle w:val="WW-gloss-term"/>
        <w:rPr/>
      </w:pPr>
      <w:r>
        <w:rPr/>
        <w:t>580</w:t>
      </w:r>
    </w:p>
    <w:p>
      <w:pPr>
        <w:pStyle w:val="FootnoteText"/>
        <w:rPr/>
      </w:pPr>
      <w:r>
        <w:rPr/>
        <w:t>§7</w:t>
      </w:r>
    </w:p>
    <w:p>
      <w:pPr>
        <w:pStyle w:val="WW-gloss-term"/>
        <w:rPr/>
      </w:pPr>
      <w:r>
        <w:rPr/>
        <w:t>581</w:t>
      </w:r>
    </w:p>
    <w:p>
      <w:pPr>
        <w:pStyle w:val="FootnoteText"/>
        <w:rPr/>
      </w:pPr>
      <w:r>
        <w:rPr/>
        <w:t>§53, §54, §115</w:t>
      </w:r>
    </w:p>
    <w:p>
      <w:pPr>
        <w:pStyle w:val="WW-gloss-term"/>
        <w:rPr/>
      </w:pPr>
      <w:r>
        <w:rPr/>
        <w:t>582</w:t>
      </w:r>
    </w:p>
    <w:p>
      <w:pPr>
        <w:pStyle w:val="FootnoteText"/>
        <w:rPr/>
      </w:pPr>
      <w:r>
        <w:rPr/>
        <w:t>§76, §78, §118</w:t>
      </w:r>
    </w:p>
    <w:p>
      <w:pPr>
        <w:pStyle w:val="WW-gloss-term"/>
        <w:rPr/>
      </w:pPr>
      <w:r>
        <w:rPr/>
        <w:t>583</w:t>
      </w:r>
    </w:p>
    <w:p>
      <w:pPr>
        <w:pStyle w:val="FootnoteText"/>
        <w:rPr/>
      </w:pPr>
      <w:r>
        <w:rPr/>
        <w:t>§80, §81</w:t>
      </w:r>
    </w:p>
    <w:p>
      <w:pPr>
        <w:pStyle w:val="WW-gloss-term"/>
        <w:rPr/>
      </w:pPr>
      <w:r>
        <w:rPr/>
        <w:t>584</w:t>
      </w:r>
    </w:p>
    <w:p>
      <w:pPr>
        <w:pStyle w:val="FootnoteText"/>
        <w:rPr/>
      </w:pPr>
      <w:r>
        <w:rPr/>
        <w:t>§68</w:t>
      </w:r>
    </w:p>
    <w:p>
      <w:pPr>
        <w:pStyle w:val="WW-gloss-term"/>
        <w:rPr/>
      </w:pPr>
      <w:r>
        <w:rPr/>
        <w:t>585</w:t>
      </w:r>
    </w:p>
    <w:p>
      <w:pPr>
        <w:pStyle w:val="FootnoteText"/>
        <w:rPr/>
      </w:pPr>
      <w:r>
        <w:rPr/>
        <w:t>§76</w:t>
      </w:r>
    </w:p>
    <w:p>
      <w:pPr>
        <w:pStyle w:val="WW-gloss-term"/>
        <w:rPr/>
      </w:pPr>
      <w:r>
        <w:rPr/>
        <w:t>586</w:t>
      </w:r>
    </w:p>
    <w:p>
      <w:pPr>
        <w:pStyle w:val="FootnoteText"/>
        <w:rPr/>
      </w:pPr>
      <w:r>
        <w:rPr/>
        <w:t>§57</w:t>
      </w:r>
    </w:p>
    <w:p>
      <w:pPr>
        <w:pStyle w:val="WW-gloss-term"/>
        <w:rPr/>
      </w:pPr>
      <w:r>
        <w:rPr/>
        <w:t>587</w:t>
      </w:r>
    </w:p>
    <w:p>
      <w:pPr>
        <w:pStyle w:val="FootnoteText"/>
        <w:rPr/>
      </w:pPr>
      <w:r>
        <w:rPr/>
        <w:t>§23, §53, §54, §71, §76, §115, §118</w:t>
      </w:r>
    </w:p>
    <w:p>
      <w:pPr>
        <w:pStyle w:val="WW-gloss-term"/>
        <w:rPr/>
      </w:pPr>
      <w:r>
        <w:rPr/>
        <w:t>588</w:t>
      </w:r>
    </w:p>
    <w:p>
      <w:pPr>
        <w:pStyle w:val="FootnoteText"/>
        <w:rPr/>
      </w:pPr>
      <w:r>
        <w:rPr/>
        <w:t>§53, §54, §76, §115, §118</w:t>
      </w:r>
    </w:p>
    <w:p>
      <w:pPr>
        <w:pStyle w:val="WW-gloss-term"/>
        <w:rPr/>
      </w:pPr>
      <w:r>
        <w:rPr/>
        <w:t>589</w:t>
      </w:r>
    </w:p>
    <w:p>
      <w:pPr>
        <w:pStyle w:val="FootnoteText"/>
        <w:rPr/>
      </w:pPr>
      <w:r>
        <w:rPr/>
        <w:t>§142</w:t>
      </w:r>
    </w:p>
    <w:p>
      <w:pPr>
        <w:pStyle w:val="WW-gloss-term"/>
        <w:rPr/>
      </w:pPr>
      <w:r>
        <w:rPr/>
        <w:t>590</w:t>
      </w:r>
    </w:p>
    <w:p>
      <w:pPr>
        <w:pStyle w:val="FootnoteText"/>
        <w:rPr/>
      </w:pPr>
      <w:r>
        <w:rPr/>
        <w:t>§84</w:t>
      </w:r>
    </w:p>
    <w:p>
      <w:pPr>
        <w:pStyle w:val="WW-gloss-term"/>
        <w:rPr/>
      </w:pPr>
      <w:r>
        <w:rPr/>
        <w:t>591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7.67:17.1–17.6</w:t>
      </w:r>
      <w:r>
        <w:rPr>
          <w:rStyle w:val="Hyperlink"/>
        </w:rPr>
        <w:fldChar w:fldCharType="end"/>
      </w:r>
    </w:p>
    <w:p>
      <w:pPr>
        <w:pStyle w:val="WW-gloss-term"/>
        <w:rPr/>
      </w:pPr>
      <w:r>
        <w:rPr/>
        <w:t>592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r>
        <w:rPr/>
        <w:t xml:space="preserve"> </w:t>
      </w:r>
      <w:r>
        <w:rPr>
          <w:rStyle w:val="wwc-PTS-reference"/>
        </w:rPr>
        <w:t>D II 55</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MN 26:19.2</w:t>
      </w:r>
      <w:r>
        <w:rPr>
          <w:rStyle w:val="Hyperlink"/>
        </w:rPr>
        <w:fldChar w:fldCharType="end"/>
      </w:r>
      <w:r>
        <w:rPr/>
        <w:t xml:space="preserve"> </w:t>
      </w:r>
      <w:r>
        <w:rPr>
          <w:rStyle w:val="wwc-PTS-reference"/>
        </w:rPr>
        <w:t>M I 167</w:t>
      </w:r>
    </w:p>
    <w:p>
      <w:pPr>
        <w:pStyle w:val="WW-gloss-term"/>
        <w:rPr/>
      </w:pPr>
      <w:r>
        <w:rPr/>
        <w:t>593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48.50:5.2</w:t>
      </w:r>
      <w:r>
        <w:rPr>
          <w:rStyle w:val="Hyperlink"/>
        </w:rPr>
        <w:fldChar w:fldCharType="end"/>
      </w:r>
    </w:p>
    <w:p>
      <w:pPr>
        <w:pStyle w:val="WW-gloss-term"/>
        <w:rPr/>
      </w:pPr>
      <w:r>
        <w:rPr/>
        <w:t>594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56.11:11.2</w:t>
      </w:r>
      <w:r>
        <w:rPr>
          <w:rStyle w:val="Hyperlink"/>
        </w:rPr>
        <w:fldChar w:fldCharType="end"/>
      </w:r>
    </w:p>
    <w:p>
      <w:pPr>
        <w:pStyle w:val="WW-gloss-term"/>
        <w:rPr/>
      </w:pPr>
      <w:r>
        <w:rPr/>
        <w:t>595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22.122</w:t>
      </w:r>
      <w:r>
        <w:rPr>
          <w:rStyle w:val="Hyperlink"/>
        </w:rPr>
        <w:fldChar w:fldCharType="end"/>
      </w:r>
    </w:p>
    <w:p>
      <w:pPr>
        <w:pStyle w:val="WW-gloss-term"/>
        <w:rPr/>
      </w:pPr>
      <w:r>
        <w:rPr/>
        <w:t>596</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shd w:fill="DEDCE6" w:val="clear"/>
    </w:rPr>
  </w:style>
  <w:style w:type="character" w:styleId="Hyperlink">
    <w:name w:val="Hyperlink"/>
    <w:rPr>
      <w:b/>
      <w:color w:val="3465A4"/>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character" w:styleId="wwc-german">
    <w:name w:val="wwc-german"/>
    <w:qFormat/>
    <w:rPr>
      <w:rFonts w:ascii="Liberation Serif" w:hAnsi="Liberation Serif" w:eastAsia="NSimSun" w:cs="Lucida Sans"/>
      <w:color w:val="000000"/>
      <w:kern w:val="2"/>
      <w:sz w:val="20"/>
      <w:szCs w:val="20"/>
      <w:shd w:fill="EEEEEE" w:val="clear"/>
      <w:lang w:val="en-GB" w:eastAsia="zh-CN" w:bidi="hi-IN"/>
    </w:rPr>
  </w:style>
  <w:style w:type="character" w:styleId="wwc-italian">
    <w:name w:val="wwc-italian"/>
    <w:qFormat/>
    <w:rPr>
      <w:rFonts w:ascii="Liberation Serif" w:hAnsi="Liberation Serif" w:eastAsia="NSimSun" w:cs="Lucida Sans"/>
      <w:color w:val="000000"/>
      <w:kern w:val="2"/>
      <w:sz w:val="20"/>
      <w:szCs w:val="20"/>
      <w:shd w:fill="EEEEEE" w:val="clear"/>
      <w:lang w:val="en-GB" w:eastAsia="zh-CN" w:bidi="hi-IN"/>
    </w:rPr>
  </w:style>
  <w:style w:type="character" w:styleId="wwc-spanish">
    <w:name w:val="wwc-spanish"/>
    <w:qFormat/>
    <w:rPr>
      <w:rFonts w:ascii="Liberation Serif" w:hAnsi="Liberation Serif" w:eastAsia="NSimSun" w:cs="Lucida Sans"/>
      <w:color w:val="000000"/>
      <w:kern w:val="2"/>
      <w:sz w:val="20"/>
      <w:szCs w:val="20"/>
      <w:shd w:fill="EEEEE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hyperlink" Target="http://suttacentral.net/sf161" TargetMode="External"/><Relationship Id="rId33" Type="http://schemas.openxmlformats.org/officeDocument/2006/relationships/hyperlink" Target="https://suttacentral.net/sa294"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da13" TargetMode="External"/><Relationship Id="rId36" Type="http://schemas.openxmlformats.org/officeDocument/2006/relationships/hyperlink" Target="https://suttacentral.net/ma97" TargetMode="External"/><Relationship Id="rId37" Type="http://schemas.openxmlformats.org/officeDocument/2006/relationships/hyperlink" Target="https://suttacentral.net/t14" TargetMode="External"/><Relationship Id="rId38" Type="http://schemas.openxmlformats.org/officeDocument/2006/relationships/hyperlink" Target="https://suttacentral.net/t52" TargetMode="External"/><Relationship Id="rId39" Type="http://schemas.openxmlformats.org/officeDocument/2006/relationships/hyperlink" Target="https://suttacentral.net/t52" TargetMode="External"/><Relationship Id="rId40" Type="http://schemas.openxmlformats.org/officeDocument/2006/relationships/hyperlink" Target="https://suttacentral.net/sa359" TargetMode="External"/><Relationship Id="rId41" Type="http://schemas.openxmlformats.org/officeDocument/2006/relationships/hyperlink" Target="https://suttacentral.net/sa360" TargetMode="External"/><Relationship Id="rId42" Type="http://schemas.openxmlformats.org/officeDocument/2006/relationships/hyperlink" Target="https://suttacentral.net/sa361" TargetMode="External"/><Relationship Id="rId43" Type="http://schemas.openxmlformats.org/officeDocument/2006/relationships/hyperlink" Target="https://suttacentral.net/sa377" TargetMode="External"/><Relationship Id="rId44" Type="http://schemas.openxmlformats.org/officeDocument/2006/relationships/hyperlink" Target="https://suttacentral.net/sa1265" TargetMode="External"/><Relationship Id="rId45" Type="http://schemas.openxmlformats.org/officeDocument/2006/relationships/hyperlink" Target="https://suttacentral.net/ea26.10" TargetMode="External"/><Relationship Id="rId46" Type="http://schemas.openxmlformats.org/officeDocument/2006/relationships/hyperlink" Target="https://suttacentral.net/sa-2.30" TargetMode="External"/><Relationship Id="rId47" Type="http://schemas.openxmlformats.org/officeDocument/2006/relationships/hyperlink" Target="https://suttacentral.net/ma62"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1812</TotalTime>
  <Application>LibreOffice/25.2.6.2$Windows_X86_64 LibreOffice_project/729c5bfe710f5eb71ed3bbde9e06a6065e9c6c5d</Application>
  <AppVersion>15.0000</AppVersion>
  <Pages>44</Pages>
  <Words>11822</Words>
  <Characters>57919</Characters>
  <CharactersWithSpaces>68260</CharactersWithSpaces>
  <Paragraphs>1253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2025-10-28T14:57:25Z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