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TOCTarget0-1"/>
      <w:bookmarkEnd w:id="0"/>
      <w:r>
        <w:rPr/>
        <w:t>Viññāṇa Anidassana</w:t>
      </w:r>
    </w:p>
    <w:p>
      <w:pPr>
        <w:pStyle w:val="Subtitle"/>
        <w:rPr/>
      </w:pPr>
      <w:r>
        <w:rPr/>
        <w:t>The state of boundless consciousness</w:t>
      </w:r>
    </w:p>
    <w:p>
      <w:pPr>
        <w:pStyle w:val="Author"/>
        <w:rPr/>
      </w:pPr>
      <w:r>
        <w:rPr/>
        <w:t>s</w:t>
      </w:r>
      <w:r>
        <w:rPr/>
        <w:t>unyo</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Originally published in 2021.</w:t>
      </w:r>
    </w:p>
    <w:p>
      <w:pPr>
        <w:pStyle w:val="WW-Copyright"/>
        <w:bidi w:val="0"/>
        <w:spacing w:before="0" w:after="113"/>
        <w:jc w:val="start"/>
        <w:rPr/>
      </w:pPr>
      <w:r>
        <w:rPr/>
        <w:t>This edition published in 2022.</w:t>
      </w:r>
    </w:p>
    <w:p>
      <w:pPr>
        <w:pStyle w:val="WW-Copyright"/>
        <w:bidi w:val="0"/>
        <w:spacing w:before="0" w:after="113"/>
        <w:jc w:val="start"/>
        <w:rPr/>
      </w:pPr>
      <w:r>
        <w:rPr/>
        <w:t>30pp (in pdf format).</w:t>
      </w:r>
    </w:p>
    <w:p>
      <w:pPr>
        <w:pStyle w:val="WW-Copyright"/>
        <w:bidi w:val="0"/>
        <w:spacing w:before="0" w:after="113"/>
        <w:jc w:val="start"/>
        <w:rPr/>
      </w:pPr>
      <w:r>
        <w:rP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rPr/>
      </w:pPr>
      <w:bookmarkStart w:id="1" w:name="TOCTarget0-2"/>
      <w:bookmarkEnd w:id="1"/>
      <w:r>
        <w:rPr/>
        <w:t>Introduction</w:t>
      </w:r>
    </w:p>
    <w:p>
      <w:pPr>
        <w:pStyle w:val="WW-paragraph"/>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w:t>
      </w:r>
      <w:r>
        <w:rPr>
          <w:rStyle w:val="FootnoteReference"/>
        </w:rPr>
        <w:footnoteReference w:id="2"/>
      </w:r>
      <w:r>
        <w:rPr/>
        <w:t> But there are many problems with this, starting with the following:</w:t>
      </w:r>
    </w:p>
    <w:p>
      <w:pPr>
        <w:pStyle w:val="WW-paragraph"/>
        <w:widowControl/>
        <w:numPr>
          <w:ilvl w:val="0"/>
          <w:numId w:val="5"/>
        </w:numPr>
        <w:suppressAutoHyphens w:val="true"/>
        <w:bidi w:val="0"/>
        <w:spacing w:lineRule="auto" w:line="276" w:before="170" w:after="170"/>
        <w:jc w:val="start"/>
        <w:rPr/>
      </w:pPr>
      <w:r>
        <w:rPr/>
        <w:t>No sutta equates nibbāna to any type of consciousness.</w:t>
      </w:r>
    </w:p>
    <w:p>
      <w:pPr>
        <w:pStyle w:val="WW-paragraph"/>
        <w:widowControl/>
        <w:numPr>
          <w:ilvl w:val="0"/>
          <w:numId w:val="5"/>
        </w:numPr>
        <w:suppressAutoHyphens w:val="true"/>
        <w:bidi w:val="0"/>
        <w:spacing w:lineRule="auto" w:line="276" w:before="170" w:after="170"/>
        <w:jc w:val="start"/>
        <w:rPr/>
      </w:pPr>
      <w:r>
        <w:rPr/>
        <w:t>Many suttas do the exactly opposite: they relate nibbāna to the cessation of consciousness,</w:t>
      </w:r>
      <w:r>
        <w:rPr>
          <w:rStyle w:val="FootnoteReference"/>
        </w:rPr>
        <w:footnoteReference w:id="3"/>
      </w:r>
      <w:r>
        <w:rPr/>
        <w:t> and equate consciousness to suffering.</w:t>
      </w:r>
      <w:r>
        <w:rPr>
          <w:rStyle w:val="FootnoteReference"/>
        </w:rPr>
        <w:footnoteReference w:id="4"/>
      </w:r>
    </w:p>
    <w:p>
      <w:pPr>
        <w:pStyle w:val="WW-paragraph"/>
        <w:widowControl/>
        <w:numPr>
          <w:ilvl w:val="0"/>
          <w:numId w:val="5"/>
        </w:numPr>
        <w:suppressAutoHyphens w:val="true"/>
        <w:bidi w:val="0"/>
        <w:spacing w:lineRule="auto" w:line="276" w:before="170" w:after="170"/>
        <w:jc w:val="start"/>
        <w:rPr/>
      </w:pPr>
      <w:r>
        <w:rPr/>
        <w:t>There are only two mentions of </w:t>
      </w:r>
      <w:r>
        <w:rPr>
          <w:rStyle w:val="pali"/>
        </w:rPr>
        <w:t>viññāṇa anidassana</w:t>
      </w:r>
      <w:r>
        <w:rPr/>
        <w:t> in the Pali suttas, and other early suttas don't have the concept at all. This makes the words not only difficult to interpret, but also unlikely to be a core teaching on such a central topic as nibbāna.</w:t>
      </w:r>
    </w:p>
    <w:p>
      <w:pPr>
        <w:pStyle w:val="WW-paragraph"/>
        <w:rPr/>
      </w:pPr>
      <w:r>
        <w:rPr/>
        <w:t>Some things are just best explained in writing—hence this essay. I show here that </w:t>
      </w:r>
      <w:r>
        <w:rPr>
          <w:rStyle w:val="pali"/>
        </w:rPr>
        <w:t>viññāṇa anidassana</w:t>
      </w:r>
      <w:r>
        <w:rPr/>
        <w:t> is not nibbāna, but a poetic description of the state of boundless consciousness, the second “formless” meditation state. Most of the arguments were made before by others.</w:t>
      </w:r>
      <w:r>
        <w:rPr>
          <w:rStyle w:val="FootnoteReference"/>
        </w:rPr>
        <w:footnoteReference w:id="5"/>
      </w:r>
      <w:r>
        <w:rPr/>
        <w:t> I gathered them here, together with a few thoughts of my own.</w:t>
      </w:r>
    </w:p>
    <w:p>
      <w:pPr>
        <w:pStyle w:val="WW-paragraph"/>
        <w:rPr/>
      </w:pPr>
      <w:r>
        <w:rPr/>
        <w:t>This essay analyses rare terms in abstract texts. However, it also illustrates the nature of Pali verse, and provides a good example of how to apply the Buddha's advise on deciding what his real teachings were.</w:t>
      </w:r>
    </w:p>
    <w:p>
      <w:pPr>
        <w:pStyle w:val="WW-paragraph"/>
        <w:rPr/>
      </w:pPr>
      <w:r>
        <w:rPr/>
        <w:t>For accessibility I have mostly adopted common translations for Pali words—such as ‘form’ for </w:t>
      </w:r>
      <w:r>
        <w:rPr>
          <w:rStyle w:val="pali"/>
        </w:rPr>
        <w:t>rūpa</w:t>
      </w:r>
      <w:r>
        <w:rPr/>
        <w:t>—even though these may not be my personal preferences.</w:t>
      </w:r>
      <w:r>
        <w:br w:type="page"/>
      </w:r>
    </w:p>
    <w:p>
      <w:pPr>
        <w:pStyle w:val="WW-Chapter"/>
        <w:rPr/>
      </w:pPr>
      <w:r>
        <w:rPr/>
        <w:t>1</w:t>
        <w:br/>
        <w:t>The Kevaddha Sutta</w:t>
      </w:r>
    </w:p>
    <w:p>
      <w:pPr>
        <w:pStyle w:val="WW-paragraph"/>
        <w:rPr/>
      </w:pPr>
      <w:r>
        <w:rPr/>
        <w:t>As stated, the suttas mention </w:t>
      </w:r>
      <w:r>
        <w:rPr>
          <w:rStyle w:val="pali"/>
        </w:rPr>
        <w:t>viññāṇa anidassana</w:t>
      </w:r>
      <w:r>
        <w:rPr/>
        <w:t> twice: once in the Kevaddha (With Kevaddha) Sutta,</w:t>
      </w:r>
      <w:r>
        <w:rPr>
          <w:rStyle w:val="FootnoteReference"/>
        </w:rPr>
        <w:footnoteReference w:id="6"/>
      </w:r>
      <w:r>
        <w:rPr/>
        <w:t> and once in the Brahmanimantaṇika (Invitation of a Brahmā) Sutta.</w:t>
      </w:r>
      <w:r>
        <w:rPr>
          <w:rStyle w:val="FootnoteReference"/>
        </w:rPr>
        <w:footnoteReference w:id="7"/>
      </w:r>
      <w:r>
        <w:rPr/>
        <w:t> We will look at them separately.</w:t>
      </w:r>
    </w:p>
    <w:p>
      <w:pPr>
        <w:pStyle w:val="WW-paragraph"/>
        <w:rPr/>
      </w:pPr>
      <w:r>
        <w:rPr/>
        <w:t>In the Kevaddha Sutta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specifically parodies brahmin ideas, because the gods, including Brahmā,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Brahmā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t>[Q1]“Where do earth, water,</w:t>
        <w:br/>
        <w:t>fire, and air find no footing?</w:t>
      </w:r>
    </w:p>
    <w:p>
      <w:pPr>
        <w:pStyle w:val="WW-line-block"/>
        <w:rPr/>
      </w:pPr>
      <w:r>
        <w:rPr/>
        <w:t>[Q2]Where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t>[A1]Boundless consciousness,</w:t>
        <w:br/>
        <w:t>invisible, fully shining:</w:t>
        <w:br/>
        <w:t>here earth, water,</w:t>
        <w:br/>
        <w:t>fire, and air find no footing.</w:t>
      </w:r>
    </w:p>
    <w:p>
      <w:pPr>
        <w:pStyle w:val="WW-line-block"/>
        <w:rPr/>
      </w:pPr>
      <w:r>
        <w:rPr/>
        <w:t>[A2]Here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(A similar structure of multiple questions and answers exists in the Sutta Nipata.)</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t>[A]“Boundless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4"/>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4"/>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4"/>
        </w:numPr>
        <w:suppressAutoHyphens w:val="true"/>
        <w:bidi w:val="0"/>
        <w:spacing w:lineRule="auto" w:line="276" w:before="170" w:after="170"/>
        <w:jc w:val="start"/>
        <w:rPr/>
      </w:pPr>
      <w:r>
        <w:rPr/>
        <w:t>Sentences only rarely run from one verse to the next.</w:t>
      </w:r>
    </w:p>
    <w:p>
      <w:pPr>
        <w:pStyle w:val="WW-paragraph"/>
        <w:widowControl/>
        <w:numPr>
          <w:ilvl w:val="0"/>
          <w:numId w:val="4"/>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4"/>
        </w:numPr>
        <w:suppressAutoHyphens w:val="true"/>
        <w:bidi w:val="0"/>
        <w:spacing w:lineRule="auto" w:line="276" w:before="170" w:after="170"/>
        <w:jc w:val="start"/>
        <w:rPr/>
      </w:pPr>
      <w:r>
        <w:rPr/>
        <w:t>Most importantly, when seen as two seperate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bookmarkStart w:id="2" w:name="TOCTarget1-1"/>
      <w:bookmarkEnd w:id="2"/>
      <w:r>
        <w:rPr/>
        <w:t>The first question</w:t>
      </w:r>
    </w:p>
    <w:p>
      <w:pPr>
        <w:pStyle w:val="WW-paragraph"/>
        <w:rPr/>
      </w:pPr>
      <w:r>
        <w:rPr/>
        <w:t>Let me isolate the first question and answer:</w:t>
      </w:r>
    </w:p>
    <w:p>
      <w:pPr>
        <w:pStyle w:val="WW-line-block"/>
        <w:rPr/>
      </w:pPr>
      <w:r>
        <w:rPr/>
        <w:t>[Q1]“Where do earth, water,</w:t>
        <w:br/>
        <w:t>fire, and air find no footing?”</w:t>
      </w:r>
    </w:p>
    <w:p>
      <w:pPr>
        <w:pStyle w:val="WW-line-block"/>
        <w:rPr/>
      </w:pPr>
      <w:r>
        <w:rPr/>
        <w:t>[A1]“Boundless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in the Saṅgīti Sutta,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is the Kakacūpama Sutta,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Let's return to the question, “where does form find no footing?” Why is the answer the second formless state and not the first? This is because form can still “find a footing” in the first formless state, the state of boundless space. According to Sariputta in the Nibbānasukha Sutta,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which only implies a temporary inability to infiltrate. This change in the question can not be explained if the boundless consciousness of the Kevaddha Sutta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Kevaddha Sutta. A line of verse can describe one thing in one context, and another thing in another context. This is quite common in the suttas. An example is found right here in the Kevaddha Sutta.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bookmarkStart w:id="3" w:name="TOCTarget1-2"/>
      <w:bookmarkEnd w:id="3"/>
      <w:r>
        <w:rPr/>
        <w:t>The second question</w:t>
      </w:r>
    </w:p>
    <w:p>
      <w:pPr>
        <w:pStyle w:val="WW-paragraph"/>
        <w:rPr/>
      </w:pPr>
      <w:r>
        <w:rPr/>
        <w:t>Here are the second question and answer again:</w:t>
      </w:r>
    </w:p>
    <w:p>
      <w:pPr>
        <w:pStyle w:val="WW-line-block"/>
        <w:rPr/>
      </w:pPr>
      <w:r>
        <w:rPr/>
        <w:t>[Q2]“Where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t>[A2]“Here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We find the same teaching in the Ajita's Question Sutta in the Pārāyana Vagga:</w:t>
      </w:r>
      <w:r>
        <w:rPr>
          <w:rStyle w:val="FootnoteReference"/>
        </w:rPr>
        <w:footnoteReference w:id="27"/>
      </w:r>
    </w:p>
    <w:p>
      <w:pPr>
        <w:pStyle w:val="WW-line-block"/>
        <w:rPr/>
      </w:pP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Yet the Ajita's Question Sutta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Fire Discourse,</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2"/>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2"/>
        </w:numPr>
        <w:rPr/>
      </w:pPr>
      <w:r>
        <w:rPr/>
        <w:t>The word </w:t>
      </w:r>
      <w:r>
        <w:rPr>
          <w:rStyle w:val="pali"/>
        </w:rPr>
        <w:t>nirujjhati</w:t>
      </w:r>
      <w:r>
        <w:rPr/>
        <w:t> (‘cease’) of the monk's original question is not adopted by the Buddha in his question, but changed for the synonomous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2"/>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rStyle w:val="Emphasis"/>
        </w:rPr>
        <w:t>-</w:t>
      </w:r>
      <w:r>
        <w:rPr>
          <w:rStyle w:val="pali"/>
        </w:rPr>
        <w:t>nirodha</w:t>
      </w:r>
      <w:r>
        <w:rPr/>
        <w:t>, the </w:t>
      </w:r>
      <w:r>
        <w:rPr>
          <w:i/>
          <w:iCs/>
        </w:rPr>
        <w:t>cessation</w:t>
      </w:r>
      <w:r>
        <w:rPr/>
        <w:t> of suffering, not its “holding in check”.</w:t>
      </w:r>
    </w:p>
    <w:p>
      <w:pPr>
        <w:pStyle w:val="WW-paragraph"/>
        <w:numPr>
          <w:ilvl w:val="0"/>
          <w:numId w:val="2"/>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while specifically mentioning the cessation of consciousness. Interestingly, the brahmin texts, the Upaniṣads,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rPr/>
      </w:pPr>
      <w:bookmarkStart w:id="4" w:name="TOCTarget2"/>
      <w:bookmarkEnd w:id="4"/>
      <w:r>
        <w:rPr/>
        <w:t>2</w:t>
        <w:br/>
        <w:t>The Brahmanimantaṇika Sutta</w:t>
      </w:r>
    </w:p>
    <w:p>
      <w:pPr>
        <w:pStyle w:val="WW-paragraph"/>
        <w:rPr/>
      </w:pPr>
      <w:r>
        <w:rPr/>
        <w:t>The only other occurrence of </w:t>
      </w:r>
      <w:r>
        <w:rPr>
          <w:rStyle w:val="pali"/>
        </w:rPr>
        <w:t>viññāṇa anidassana</w:t>
      </w:r>
      <w:r>
        <w:rPr/>
        <w:t> is found in the Brahmanimantaṇika Sutta,</w:t>
      </w:r>
      <w:r>
        <w:rPr>
          <w:rStyle w:val="FootnoteReference"/>
        </w:rPr>
        <w:footnoteReference w:id="34"/>
      </w:r>
      <w:r>
        <w:rPr/>
        <w:t> which portrays a discussion between the Buddha and Brahmā Baka. Here too, just like in the Kevaddha Sutta, the Buddha shows his knowledge to be superior to a Brahmā god. The passage we are concerned with is abstract and not easy to translate. It says something like this:</w:t>
      </w:r>
    </w:p>
    <w:p>
      <w:pPr>
        <w:pStyle w:val="WW-line-block"/>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Given the clarity of the phrase in the Kevaddha Sutta,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The second option relies on the fact that the different Pali versions disagree on who spoke the words quoted above. Only the Burmese edition attributes them to the Buddha; the Thai, Sri Lankan and PTS editions all attribute them to Brahmā Baka.</w:t>
      </w:r>
      <w:r>
        <w:rPr>
          <w:rStyle w:val="FootnoteReference"/>
        </w:rPr>
        <w:footnoteReference w:id="38"/>
      </w:r>
      <w:r>
        <w:rPr/>
        <w:t> Moreover, the Burmese version is broken, missing an </w:t>
      </w:r>
      <w:r>
        <w:rPr>
          <w:rStyle w:val="pali"/>
        </w:rPr>
        <w:t>iti</w:t>
      </w:r>
      <w:r>
        <w:rPr/>
        <w:t xml:space="preserve"> (end quote marker) after the passage, which is be needed to give the word back to Baka.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Some translators follow the majority of editions and attribute the lines to Baka,</w:t>
      </w:r>
      <w:r>
        <w:rPr>
          <w:rStyle w:val="FootnoteReference"/>
        </w:rPr>
        <w:footnoteReference w:id="40"/>
      </w:r>
      <w:r>
        <w:rPr/>
        <w:t> while others follow the unique Burmese edition and attribute them to the Buddha.</w:t>
      </w:r>
      <w:r>
        <w:rPr>
          <w:rStyle w:val="FootnoteReference"/>
        </w:rPr>
        <w:footnoteReference w:id="41"/>
      </w:r>
      <w:r>
        <w:rPr/>
        <w:t> The latter might do so because the Buddha spoke the same lines in the Kevaddha Sutta, but there is no reason why Baka could not have spoken them here. Lines of verse continually reoccur throughout the Nikāyas, being spoken by different people. Adopting verses of others seems to have been a common practice of the time.</w:t>
      </w:r>
    </w:p>
    <w:p>
      <w:pPr>
        <w:pStyle w:val="WW-paragraph"/>
        <w:rPr/>
      </w:pPr>
      <w:r>
        <w:rPr/>
        <w:t>There are also some good contextual reasons to attribute the words to Baka:</w:t>
      </w:r>
    </w:p>
    <w:p>
      <w:pPr>
        <w:pStyle w:val="WW-paragraph"/>
        <w:numPr>
          <w:ilvl w:val="0"/>
          <w:numId w:val="3"/>
        </w:numPr>
        <w:rPr/>
      </w:pPr>
      <w:r>
        <w:rPr/>
        <w:t>When there is an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3"/>
        </w:numPr>
        <w:rPr/>
      </w:pPr>
      <w:r>
        <w:rPr/>
        <w:t>The sutta begins with Baka claiming “this is permanent, this is everlasting, this is eternal … and beyond this there is no other escape.” According to the commentary this refers to Baka's heaven realm.</w:t>
      </w:r>
      <w:r>
        <w:rPr>
          <w:rStyle w:val="FootnoteReference"/>
        </w:rPr>
        <w:footnoteReference w:id="42"/>
      </w:r>
      <w:r>
        <w:rPr/>
        <w:t> However, this is not at all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3"/>
        </w:numPr>
        <w:rPr/>
      </w:pPr>
      <w:r>
        <w:rPr/>
        <w:t>After the words are spoken, Baka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3"/>
        </w:numPr>
        <w:rPr/>
      </w:pPr>
      <w:r>
        <w:rPr/>
        <w:t>Just like in the Kevaddha Sutta, the Buddha here too ends the conversation by alluding to cessation. He says: “I have seen existence will come to an end, so do not welcome any type of existence.”</w:t>
      </w:r>
      <w:r>
        <w:rPr>
          <w:rStyle w:val="FootnoteReference"/>
        </w:rPr>
        <w:footnoteReference w:id="43"/>
      </w:r>
      <w:r>
        <w:rPr/>
        <w:t> Here “any type of existence” includes any type of consciousness, but the Buddha, trying to teach Baka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Brahmanimantaṇika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Brahmanimantaṇika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rPr/>
      </w:pPr>
      <w:bookmarkStart w:id="5" w:name="TOCTarget999-1"/>
      <w:bookmarkEnd w:id="5"/>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rPr/>
      </w:pPr>
      <w:bookmarkStart w:id="6" w:name="TOCTarget999-3"/>
      <w:bookmarkEnd w:id="6"/>
      <w:r>
        <w:rPr/>
        <w:t>Abbrevations</w:t>
      </w:r>
    </w:p>
    <w:p>
      <w:pPr>
        <w:pStyle w:val="WW-table-caption"/>
        <w:rPr/>
      </w:pPr>
      <w:r>
        <w:rPr/>
        <w:t>Abbrevations</w:t>
      </w:r>
    </w:p>
    <w:tbl>
      <w:tblPr>
        <w:tblW w:w="5277" w:type="dxa"/>
        <w:jc w:val="start"/>
        <w:tblInd w:w="122" w:type="dxa"/>
        <w:tblLayout w:type="fixed"/>
        <w:tblCellMar>
          <w:top w:w="120" w:type="dxa"/>
          <w:start w:w="120" w:type="dxa"/>
          <w:bottom w:w="120" w:type="dxa"/>
          <w:end w:w="120" w:type="dxa"/>
        </w:tblCellMar>
      </w:tblPr>
      <w:tblGrid>
        <w:gridCol w:w="1527"/>
        <w:gridCol w:w="3750"/>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PTS</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Pali Text Society edition</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Tr.</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Translator</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50"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Cambria">
    <w:charset w:val="01"/>
    <w:family w:val="roman"/>
    <w:pitch w:val="variable"/>
  </w:font>
  <w:font w:name="OpenSymbol">
    <w:altName w:val="Arial Unicode MS"/>
    <w:charset w:val="00" w:characterSet="windows-1252"/>
    <w:family w:val="auto"/>
    <w:pitch w:val="variable"/>
  </w:font>
  <w:font w:name="Calibri">
    <w:charset w:val="01"/>
    <w:family w:val="swiss"/>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 1943</w:t>
      </w:r>
      <w:r>
        <w:rPr/>
        <w:t xml:space="preserve">. But this and similar ideas are still very alive today. </w:t>
      </w:r>
    </w:p>
  </w:footnote>
  <w:footnote w:id="3">
    <w:p>
      <w:pPr>
        <w:pStyle w:val="FootnoteText"/>
        <w:spacing w:before="0" w:after="57"/>
        <w:rPr/>
      </w:pPr>
      <w:r>
        <w:rPr>
          <w:rStyle w:val="FootnoteCharacters"/>
        </w:rPr>
        <w:footnoteRef/>
      </w:r>
      <w:r>
        <w:rPr/>
        <w:tab/>
        <w:t>E.g. </w:t>
      </w:r>
      <w:r>
        <w:rPr>
          <w:rStyle w:val="Hyperlink"/>
        </w:rPr>
        <w:t>SN 1.2:5.2</w:t>
      </w:r>
      <w:r>
        <w:rPr/>
        <w:t>, </w:t>
      </w:r>
      <w:r>
        <w:rPr>
          <w:rStyle w:val="Hyperlink"/>
        </w:rPr>
        <w:t>AN 3.90:9.1–9.4</w:t>
      </w:r>
      <w:r>
        <w:rPr/>
        <w:t>, </w:t>
      </w:r>
      <w:r>
        <w:rPr>
          <w:rStyle w:val="Hyperlink"/>
        </w:rPr>
        <w:t>Snp 3.12:18.3–20.4</w:t>
      </w:r>
      <w:r>
        <w:rPr/>
        <w:t>, </w:t>
      </w:r>
      <w:r>
        <w:rPr>
          <w:rStyle w:val="Hyperlink"/>
        </w:rPr>
        <w:t>Ud 8.9:5.4</w:t>
      </w:r>
      <w:r>
        <w:rPr/>
        <w:t xml:space="preserve"> </w:t>
      </w:r>
    </w:p>
  </w:footnote>
  <w:footnote w:id="4">
    <w:p>
      <w:pPr>
        <w:pStyle w:val="FootnoteText"/>
        <w:spacing w:before="0" w:after="57"/>
        <w:rPr/>
      </w:pPr>
      <w:r>
        <w:rPr>
          <w:rStyle w:val="FootnoteCharacters"/>
        </w:rPr>
        <w:footnoteRef/>
      </w:r>
      <w:r>
        <w:rPr/>
        <w:tab/>
        <w:t>E.g. </w:t>
      </w:r>
      <w:r>
        <w:rPr>
          <w:rStyle w:val="Hyperlink"/>
        </w:rPr>
        <w:t>SN 22.10:1.10–1.11</w:t>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rPr>
          <w:rStyle w:val="Hyperlink"/>
        </w:rPr>
        <w:t>DN 11:85.18</w:t>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MN 49:25.1</w:t>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AN 11.17:3.1–3.3</w:t>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DN 11:85.11–85.27</w:t>
      </w:r>
      <w:r>
        <w:rPr/>
        <w:t xml:space="preserve"> </w:t>
      </w:r>
      <w:r>
        <w:rPr>
          <w:rStyle w:val="WW-PTS-reference"/>
        </w:rPr>
        <w:t>PTS: 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r>
        <w:rPr>
          <w:rStyle w:val="Hyperlink"/>
        </w:rPr>
        <w:tab/>
        <w:t>Snp 4.11</w:t>
      </w:r>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rPr>
          <w:rStyle w:val="Hyperlink"/>
        </w:rPr>
        <w:t>SN 28.6:1.3</w:t>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rPr>
          <w:rStyle w:val="Hyperlink"/>
        </w:rPr>
        <w:tab/>
        <w:t>AN 5.23:2.1–2.6</w:t>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rPr>
          <w:rStyle w:val="Hyperlink"/>
        </w:rPr>
        <w:t>MN 140:20.1–20.3</w:t>
      </w:r>
      <w:r>
        <w:rPr/>
        <w:t xml:space="preserve"> </w:t>
      </w:r>
      <w:r>
        <w:rPr>
          <w:rStyle w:val="WW-PTS-reference"/>
        </w:rPr>
        <w:t>PTS: M III 243</w:t>
      </w:r>
      <w:r>
        <w:rPr/>
        <w:t xml:space="preserve">, </w:t>
      </w:r>
      <w:r>
        <w:rPr>
          <w:rStyle w:val="Hyperlink"/>
        </w:rPr>
        <w:t>SN 51.22:3.1–4.3</w:t>
      </w:r>
      <w:r>
        <w:rPr/>
        <w:t xml:space="preserve">, </w:t>
      </w:r>
      <w:r>
        <w:rPr>
          <w:rStyle w:val="Hyperlink"/>
        </w:rPr>
        <w:t>AN 3.102:1.6, 3.6</w:t>
      </w:r>
      <w:r>
        <w:rPr/>
        <w:t xml:space="preserve">, </w:t>
      </w:r>
      <w:r>
        <w:rPr>
          <w:rStyle w:val="Hyperlink"/>
        </w:rPr>
        <w:t>Thag 20.1:59.1–61.4</w:t>
      </w:r>
      <w:r>
        <w:rPr/>
        <w:t xml:space="preserve">, </w:t>
      </w:r>
      <w:r>
        <w:rPr>
          <w:rStyle w:val="Hyperlink"/>
        </w:rPr>
        <w:t>Dhp 387</w:t>
      </w:r>
    </w:p>
  </w:footnote>
  <w:footnote w:id="15">
    <w:p>
      <w:pPr>
        <w:pStyle w:val="FootnoteText"/>
        <w:spacing w:before="0" w:after="57"/>
        <w:rPr/>
      </w:pPr>
      <w:r>
        <w:rPr>
          <w:rStyle w:val="FootnoteCharacters"/>
        </w:rPr>
        <w:footnoteRef/>
      </w:r>
      <w:r>
        <w:rPr/>
        <w:tab/>
        <w:t xml:space="preserve">E.g. </w:t>
      </w:r>
      <w:r>
        <w:rPr>
          <w:rStyle w:val="Hyperlink"/>
        </w:rPr>
        <w:t>AN 9.31:1.7–1.8</w:t>
      </w:r>
      <w:r>
        <w:rPr/>
        <w:t xml:space="preserve">: “For one who has attained the base of boundless space, the perception of form has ceased. For one who has attained the base of boundless consciousness, the perception present in the base of boundless space has ceased.”. C.f. </w:t>
      </w:r>
      <w:r>
        <w:rPr>
          <w:rStyle w:val="Hyperlink"/>
        </w:rPr>
        <w:t>AN 10.6</w:t>
      </w:r>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w:t>
      </w:r>
      <w:r>
        <w:rPr>
          <w:rStyle w:val="WW-sesame-zot-reference"/>
        </w:rPr>
        <w:t>Rhys Davids</w:t>
      </w:r>
      <w:r>
        <w:rPr/>
        <w:t>, PED: “</w:t>
      </w:r>
      <w:r>
        <w:rPr>
          <w:rStyle w:val="pali"/>
        </w:rPr>
        <w:t>Rūpa</w:t>
      </w:r>
      <w:r>
        <w:rPr/>
        <w:t>: form, figure, appearance, principle of form, etc.”</w:t>
      </w:r>
    </w:p>
  </w:footnote>
  <w:footnote w:id="17">
    <w:p>
      <w:pPr>
        <w:pStyle w:val="FootnoteText"/>
        <w:spacing w:before="0" w:after="57"/>
        <w:rPr/>
      </w:pPr>
      <w:r>
        <w:rPr>
          <w:rStyle w:val="FootnoteCharacters"/>
        </w:rPr>
        <w:footnoteRef/>
      </w:r>
      <w:r>
        <w:rPr>
          <w:rStyle w:val="Hyperlink"/>
        </w:rPr>
        <w:tab/>
        <w:t>DN 33:1.10.75–1.10.76</w:t>
      </w:r>
      <w:r>
        <w:rPr/>
        <w:t xml:space="preserve"> </w:t>
      </w:r>
      <w:r>
        <w:rPr>
          <w:rStyle w:val="WW-PTS-reference"/>
        </w:rPr>
        <w:t>PTS: 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rPr>
          <w:rStyle w:val="Hyperlink"/>
        </w:rPr>
        <w:tab/>
        <w:t>MN 21:14.1–14.10</w:t>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rPr>
          <w:rStyle w:val="Hyperlink"/>
        </w:rPr>
        <w:tab/>
        <w:t>AN 9.34:6.1–6.2</w:t>
      </w:r>
    </w:p>
  </w:footnote>
  <w:footnote w:id="22">
    <w:p>
      <w:pPr>
        <w:pStyle w:val="FootnoteText"/>
        <w:spacing w:before="0" w:after="57"/>
        <w:rPr/>
      </w:pPr>
      <w:r>
        <w:rPr>
          <w:rStyle w:val="FootnoteCharacters"/>
        </w:rPr>
        <w:footnoteRef/>
      </w:r>
      <w:r>
        <w:rPr>
          <w:rStyle w:val="Hyperlink"/>
        </w:rPr>
        <w:tab/>
        <w:t>SN 1.27:2.1–2.2</w:t>
      </w:r>
      <w:r>
        <w:rPr/>
        <w:t xml:space="preserve"> &amp; </w:t>
      </w:r>
      <w:r>
        <w:rPr>
          <w:rStyle w:val="Hyperlink"/>
        </w:rPr>
        <w:t>Ud 1.10:14.1–14.2</w:t>
      </w:r>
      <w:r>
        <w:rPr/>
        <w:t xml:space="preserve">. The Chinese parallels of </w:t>
      </w:r>
      <w:r>
        <w:rPr>
          <w:rStyle w:val="Hyperlink"/>
        </w:rPr>
        <w:t>SN 1.27</w:t>
      </w:r>
      <w:r>
        <w:rPr/>
        <w:t xml:space="preserve"> (</w:t>
      </w:r>
      <w:hyperlink r:id="rId1">
        <w:r>
          <w:rPr>
            <w:rStyle w:val="Hyperlink"/>
          </w:rPr>
          <w:t>SĀ 601</w:t>
        </w:r>
      </w:hyperlink>
      <w:r>
        <w:rPr/>
        <w:t xml:space="preserve"> and </w:t>
      </w:r>
      <w:hyperlink r:id="rId2">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rPr>
          <w:rStyle w:val="Hyperlink"/>
        </w:rPr>
        <w:tab/>
        <w:t>Ud 8.1:3.1–3.4</w:t>
      </w:r>
    </w:p>
  </w:footnote>
  <w:footnote w:id="24">
    <w:p>
      <w:pPr>
        <w:pStyle w:val="FootnoteText"/>
        <w:spacing w:before="0" w:after="57"/>
        <w:rPr/>
      </w:pPr>
      <w:r>
        <w:rPr>
          <w:rStyle w:val="FootnoteCharacters"/>
        </w:rPr>
        <w:footnoteRef/>
      </w:r>
      <w:r>
        <w:rPr/>
        <w:tab/>
        <w:t>x</w:t>
      </w:r>
    </w:p>
  </w:footnote>
  <w:footnote w:id="25">
    <w:p>
      <w:pPr>
        <w:pStyle w:val="FootnoteText"/>
        <w:spacing w:before="0" w:after="57"/>
        <w:rPr/>
      </w:pPr>
      <w:r>
        <w:rPr>
          <w:rStyle w:val="FootnoteCharacters"/>
        </w:rPr>
        <w:footnoteRef/>
      </w:r>
      <w:r>
        <w:rPr/>
        <w:tab/>
        <w:t>x</w:t>
      </w:r>
    </w:p>
  </w:footnote>
  <w:footnote w:id="26">
    <w:p>
      <w:pPr>
        <w:pStyle w:val="FootnoteText"/>
        <w:spacing w:before="0" w:after="57"/>
        <w:rPr/>
      </w:pPr>
      <w:r>
        <w:rPr>
          <w:rStyle w:val="FootnoteCharacters"/>
        </w:rPr>
        <w:footnoteRef/>
      </w:r>
      <w:r>
        <w:rPr/>
        <w:tab/>
        <w:t>x</w:t>
      </w:r>
    </w:p>
  </w:footnote>
  <w:footnote w:id="27">
    <w:p>
      <w:pPr>
        <w:pStyle w:val="FootnoteText"/>
        <w:spacing w:before="0" w:after="57"/>
        <w:rPr/>
      </w:pPr>
      <w:r>
        <w:rPr>
          <w:rStyle w:val="FootnoteCharacters"/>
        </w:rPr>
        <w:footnoteRef/>
      </w:r>
      <w:r>
        <w:rPr/>
        <w:tab/>
        <w:t>x</w:t>
      </w:r>
    </w:p>
  </w:footnote>
  <w:footnote w:id="28">
    <w:p>
      <w:pPr>
        <w:pStyle w:val="FootnoteText"/>
        <w:spacing w:before="0" w:after="57"/>
        <w:rPr/>
      </w:pPr>
      <w:r>
        <w:rPr>
          <w:rStyle w:val="FootnoteCharacters"/>
        </w:rPr>
        <w:footnoteRef/>
      </w:r>
      <w:r>
        <w:rPr/>
        <w:tab/>
        <w:t>x</w:t>
      </w:r>
    </w:p>
  </w:footnote>
  <w:footnote w:id="29">
    <w:p>
      <w:pPr>
        <w:pStyle w:val="FootnoteText"/>
        <w:spacing w:before="0" w:after="57"/>
        <w:rPr/>
      </w:pPr>
      <w:r>
        <w:rPr>
          <w:rStyle w:val="FootnoteCharacters"/>
        </w:rPr>
        <w:footnoteRef/>
      </w:r>
      <w:r>
        <w:rPr/>
        <w:tab/>
        <w:t>x</w:t>
      </w:r>
    </w:p>
  </w:footnote>
  <w:footnote w:id="30">
    <w:p>
      <w:pPr>
        <w:pStyle w:val="FootnoteText"/>
        <w:spacing w:before="0" w:after="57"/>
        <w:rPr/>
      </w:pPr>
      <w:r>
        <w:rPr>
          <w:rStyle w:val="FootnoteCharacters"/>
        </w:rPr>
        <w:footnoteRef/>
      </w:r>
      <w:r>
        <w:rPr/>
        <w:tab/>
        <w:t>x</w:t>
      </w:r>
    </w:p>
  </w:footnote>
  <w:footnote w:id="31">
    <w:p>
      <w:pPr>
        <w:pStyle w:val="FootnoteText"/>
        <w:spacing w:before="0" w:after="57"/>
        <w:rPr/>
      </w:pPr>
      <w:r>
        <w:rPr>
          <w:rStyle w:val="FootnoteCharacters"/>
        </w:rPr>
        <w:footnoteRef/>
      </w:r>
      <w:r>
        <w:rPr/>
        <w:tab/>
        <w:t>x</w:t>
      </w:r>
    </w:p>
  </w:footnote>
  <w:footnote w:id="32">
    <w:p>
      <w:pPr>
        <w:pStyle w:val="FootnoteText"/>
        <w:spacing w:before="0" w:after="57"/>
        <w:rPr/>
      </w:pPr>
      <w:r>
        <w:rPr>
          <w:rStyle w:val="FootnoteCharacters"/>
        </w:rPr>
        <w:footnoteRef/>
      </w:r>
      <w:r>
        <w:rPr/>
        <w:tab/>
        <w:t>x</w:t>
      </w:r>
    </w:p>
  </w:footnote>
  <w:footnote w:id="33">
    <w:p>
      <w:pPr>
        <w:pStyle w:val="FootnoteText"/>
        <w:spacing w:before="0" w:after="57"/>
        <w:rPr/>
      </w:pPr>
      <w:r>
        <w:rPr>
          <w:rStyle w:val="FootnoteCharacters"/>
        </w:rPr>
        <w:footnoteRef/>
      </w:r>
      <w:r>
        <w:rPr/>
        <w:tab/>
        <w:t>x</w:t>
      </w:r>
    </w:p>
  </w:footnote>
  <w:footnote w:id="34">
    <w:p>
      <w:pPr>
        <w:pStyle w:val="FootnoteText"/>
        <w:spacing w:before="0" w:after="57"/>
        <w:rPr/>
      </w:pPr>
      <w:r>
        <w:rPr>
          <w:rStyle w:val="FootnoteCharacters"/>
        </w:rPr>
        <w:footnoteRef/>
      </w:r>
      <w:r>
        <w:rPr/>
        <w:tab/>
        <w:t>x</w:t>
      </w:r>
    </w:p>
  </w:footnote>
  <w:footnote w:id="35">
    <w:p>
      <w:pPr>
        <w:pStyle w:val="FootnoteText"/>
        <w:spacing w:before="0" w:after="57"/>
        <w:rPr/>
      </w:pPr>
      <w:r>
        <w:rPr>
          <w:rStyle w:val="FootnoteCharacters"/>
        </w:rPr>
        <w:footnoteRef/>
      </w:r>
      <w:r>
        <w:rPr/>
        <w:tab/>
        <w:t>x</w:t>
      </w:r>
    </w:p>
  </w:footnote>
  <w:footnote w:id="36">
    <w:p>
      <w:pPr>
        <w:pStyle w:val="FootnoteText"/>
        <w:spacing w:before="0" w:after="57"/>
        <w:rPr/>
      </w:pPr>
      <w:r>
        <w:rPr>
          <w:rStyle w:val="FootnoteCharacters"/>
        </w:rPr>
        <w:footnoteRef/>
      </w:r>
      <w:r>
        <w:rPr/>
        <w:tab/>
        <w:t>x</w:t>
      </w:r>
    </w:p>
  </w:footnote>
  <w:footnote w:id="37">
    <w:p>
      <w:pPr>
        <w:pStyle w:val="FootnoteText"/>
        <w:spacing w:before="0" w:after="57"/>
        <w:rPr/>
      </w:pPr>
      <w:r>
        <w:rPr>
          <w:rStyle w:val="FootnoteCharacters"/>
        </w:rPr>
        <w:footnoteRef/>
      </w:r>
      <w:r>
        <w:rPr/>
        <w:tab/>
        <w:t>x</w:t>
      </w:r>
    </w:p>
  </w:footnote>
  <w:footnote w:id="38">
    <w:p>
      <w:pPr>
        <w:pStyle w:val="FootnoteText"/>
        <w:spacing w:before="0" w:after="57"/>
        <w:rPr/>
      </w:pPr>
      <w:r>
        <w:rPr>
          <w:rStyle w:val="FootnoteCharacters"/>
        </w:rPr>
        <w:footnoteRef/>
      </w:r>
      <w:r>
        <w:rPr/>
        <w:tab/>
        <w:t>x</w:t>
      </w:r>
    </w:p>
  </w:footnote>
  <w:footnote w:id="39">
    <w:p>
      <w:pPr>
        <w:pStyle w:val="FootnoteText"/>
        <w:spacing w:before="0" w:after="57"/>
        <w:rPr/>
      </w:pPr>
      <w:r>
        <w:rPr>
          <w:rStyle w:val="FootnoteCharacters"/>
        </w:rPr>
        <w:footnoteRef/>
      </w:r>
      <w:r>
        <w:rPr/>
        <w:tab/>
        <w:t>x</w:t>
      </w:r>
    </w:p>
  </w:footnote>
  <w:footnote w:id="40">
    <w:p>
      <w:pPr>
        <w:pStyle w:val="FootnoteText"/>
        <w:spacing w:before="0" w:after="57"/>
        <w:rPr/>
      </w:pPr>
      <w:r>
        <w:rPr>
          <w:rStyle w:val="FootnoteCharacters"/>
        </w:rPr>
        <w:footnoteRef/>
      </w:r>
      <w:r>
        <w:rPr/>
        <w:tab/>
        <w:t>x</w:t>
      </w:r>
    </w:p>
  </w:footnote>
  <w:footnote w:id="41">
    <w:p>
      <w:pPr>
        <w:pStyle w:val="FootnoteText"/>
        <w:spacing w:before="0" w:after="57"/>
        <w:rPr/>
      </w:pPr>
      <w:r>
        <w:rPr>
          <w:rStyle w:val="FootnoteCharacters"/>
        </w:rPr>
        <w:footnoteRef/>
      </w:r>
      <w:r>
        <w:rPr/>
        <w:tab/>
        <w:t>x</w:t>
      </w:r>
    </w:p>
  </w:footnote>
  <w:footnote w:id="42">
    <w:p>
      <w:pPr>
        <w:pStyle w:val="FootnoteText"/>
        <w:spacing w:before="0" w:after="57"/>
        <w:rPr/>
      </w:pPr>
      <w:r>
        <w:rPr>
          <w:rStyle w:val="FootnoteCharacters"/>
        </w:rPr>
        <w:footnoteRef/>
      </w:r>
      <w:r>
        <w:rPr/>
        <w:tab/>
        <w:t>x</w:t>
      </w:r>
    </w:p>
  </w:footnote>
  <w:footnote w:id="43">
    <w:p>
      <w:pPr>
        <w:pStyle w:val="FootnoteText"/>
        <w:spacing w:before="0" w:after="57"/>
        <w:rPr/>
      </w:pPr>
      <w:r>
        <w:rPr>
          <w:rStyle w:val="FootnoteCharacters"/>
        </w:rPr>
        <w:footnoteRef/>
      </w:r>
      <w:r>
        <w:rPr/>
        <w:tab/>
        <w:t>x</w:t>
      </w:r>
    </w:p>
  </w:footnote>
  <w:footnote w:id="44">
    <w:p>
      <w:pPr>
        <w:pStyle w:val="FootnoteText"/>
        <w:spacing w:before="0" w:after="57"/>
        <w:rPr/>
      </w:pPr>
      <w:r>
        <w:rPr>
          <w:rStyle w:val="FootnoteCharacters"/>
        </w:rPr>
        <w:footnoteRef/>
      </w:r>
      <w:r>
        <w:rPr/>
        <w:tab/>
        <w:t>x</w:t>
      </w:r>
    </w:p>
  </w:footnote>
  <w:footnote w:id="45">
    <w:p>
      <w:pPr>
        <w:pStyle w:val="FootnoteText"/>
        <w:spacing w:before="0" w:after="57"/>
        <w:rPr/>
      </w:pPr>
      <w:r>
        <w:rPr>
          <w:rStyle w:val="FootnoteCharacters"/>
        </w:rPr>
        <w:footnoteRef/>
      </w:r>
      <w:r>
        <w:rPr/>
        <w:tab/>
        <w:t>x</w:t>
      </w:r>
    </w:p>
  </w:footnote>
  <w:footnote w:id="46">
    <w:p>
      <w:pPr>
        <w:pStyle w:val="FootnoteText"/>
        <w:spacing w:before="0" w:after="57"/>
        <w:rPr/>
      </w:pPr>
      <w:r>
        <w:rPr>
          <w:rStyle w:val="FootnoteCharacters"/>
        </w:rPr>
        <w:footnoteRef/>
      </w:r>
      <w:r>
        <w:rPr/>
        <w:tab/>
        <w:t>x</w:t>
      </w:r>
    </w:p>
  </w:footnote>
  <w:footnote w:id="47">
    <w:p>
      <w:pPr>
        <w:pStyle w:val="FootnoteText"/>
        <w:spacing w:before="0" w:after="57"/>
        <w:rPr/>
      </w:pPr>
      <w:r>
        <w:rPr>
          <w:rStyle w:val="FootnoteCharacters"/>
        </w:rPr>
        <w:footnoteRef/>
      </w:r>
      <w:r>
        <w:rPr/>
        <w:tab/>
        <w:t>x</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spacing w:val="26"/>
      <w:position w:val="0"/>
      <w:sz w:val="24"/>
      <w:bdr w:val="dotted" w:sz="2" w:space="0" w:color="000000"/>
      <w:shd w:fill="DEE6EF" w:val="clear"/>
      <w:vertAlign w:val="baseline"/>
    </w:rPr>
  </w:style>
  <w:style w:type="character" w:styleId="FootnoteReference">
    <w:name w:val="footnote reference"/>
    <w:rPr>
      <w:rFonts w:ascii="Cambria" w:hAnsi="Cambria"/>
      <w:spacing w:val="0"/>
      <w:kern w:val="0"/>
      <w:sz w:val="24"/>
      <w:bdr w:val="dotted" w:sz="2" w:space="3" w:color="000000"/>
      <w:shd w:fill="DEE6EF" w:val="clea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val="false"/>
      <w:color w:val="B85C00"/>
      <w:kern w:val="2"/>
      <w:sz w:val="24"/>
      <w:szCs w:val="24"/>
      <w:u w:val="single"/>
      <w:shd w:fill="auto" w:val="clear"/>
      <w:lang w:val="en-GB" w:eastAsia="zh-CN" w:bidi="hi-IN"/>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rFonts w:ascii="Liberation Serif" w:hAnsi="Liberation Serif" w:eastAsia="NSimSun" w:cs="Lucida Sans"/>
      <w:color w:val="861141"/>
      <w:kern w:val="2"/>
      <w:sz w:val="20"/>
      <w:szCs w:val="20"/>
      <w:u w:val="single"/>
      <w:shd w:fill="auto" w:val="clear"/>
      <w:lang w:val="en-GB" w:eastAsia="zh-CN" w:bidi="hi-IN"/>
    </w:rPr>
  </w:style>
  <w:style w:type="character" w:styleId="WW-PTS-reference">
    <w:name w:val="WW-PTS-reference"/>
    <w:qFormat/>
    <w:rPr>
      <w:rFonts w:ascii="Calibri" w:hAnsi="Calibri" w:eastAsia="NSimSun" w:cs="Lucida Sans"/>
      <w:color w:val="808080"/>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suppressAutoHyphens w:val="true"/>
      <w:bidi w:val="0"/>
      <w:spacing w:before="0" w:after="57"/>
      <w:ind w:hanging="567" w:start="567"/>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a601" TargetMode="External"/><Relationship Id="rId2" Type="http://schemas.openxmlformats.org/officeDocument/2006/relationships/hyperlink" Target="https://suttacentral.net/sa-2.176"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2503</TotalTime>
  <Application>LibreOffice/24.8.3.2$Windows_X86_64 LibreOffice_project/48a6bac9e7e268aeb4c3483fcf825c94556d9f92</Application>
  <AppVersion>15.0000</AppVersion>
  <Pages>15</Pages>
  <Words>5006</Words>
  <Characters>25396</Characters>
  <CharactersWithSpaces>30187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2024-12-19T17:28:19Z</dcterms:modified>
  <cp:revision>332</cp:revision>
  <dc:subject/>
  <dc:title/>
</cp:coreProperties>
</file>

<file path=docProps/custom.xml><?xml version="1.0" encoding="utf-8"?>
<Properties xmlns="http://schemas.openxmlformats.org/officeDocument/2006/custom-properties" xmlns:vt="http://schemas.openxmlformats.org/officeDocument/2006/docPropsVTypes"/>
</file>