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w:t>
      </w:r>
      <w:r>
        <w:rPr/>
        <w: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w:t>
      </w:r>
      <w:r>
        <w:rPr>
          <w:rStyle w:val="WW-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xml:space="preserve"> twice: once in the </w:t>
      </w:r>
      <w:r>
        <w:rPr>
          <w:rStyle w:val="WW-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list-margin"/>
        </w:rPr>
        <w:t>[Q1]</w:t>
      </w:r>
      <w:r>
        <w:rPr/>
        <w:t>“Where do earth, water,</w:t>
        <w:br/>
        <w:t>fire, and air find no footing?</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rStyle w:val="WW-list-margin"/>
        </w:rPr>
        <w:t>[A1]</w:t>
      </w:r>
      <w:r>
        <w:rPr/>
        <w:t>Boundless consciousness,</w:t>
        <w:br/>
        <w:t>invisible, fully shining:</w:t>
        <w:br/>
        <w:t>here earth, water,</w:t>
        <w:br/>
        <w:t>fire, and air find no footing.</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list-margin"/>
        </w:rPr>
        <w:t>[Q1]</w:t>
      </w:r>
      <w:r>
        <w:rPr/>
        <w:t>“Where do earth, water,</w:t>
        <w:br/>
        <w:t>fire, and air find no footing?”</w:t>
      </w:r>
    </w:p>
    <w:p>
      <w:pPr>
        <w:pStyle w:val="WW-line-block"/>
        <w:rPr/>
      </w:pPr>
      <w:r>
        <w:rPr>
          <w:rStyle w:val="WW-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xml:space="preserve"> in the </w:t>
      </w:r>
      <w:r>
        <w:rPr>
          <w:rStyle w:val="WW-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xml:space="preserve">, because, as accurately stated by </w:t>
      </w:r>
      <w:r>
        <w:rPr>
          <w:rStyle w:val="WW-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sesame"/>
        </w:rPr>
        <w:t>Kevaddha Sutta</w:t>
      </w:r>
      <w:r>
        <w:rPr/>
        <w:t xml:space="preserve">. A line of verse can describe one thing in one context, and another thing in another context. This is quite common in the suttas. An example is found right here in the </w:t>
      </w:r>
      <w:r>
        <w:rPr>
          <w:rStyle w:val="WW-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sesame"/>
        </w:rPr>
        <w:t>Ajita’s Question Sutta</w:t>
      </w:r>
      <w:r>
        <w:rPr/>
        <w:t xml:space="preserve"> in the </w:t>
      </w:r>
      <w:r>
        <w:rPr>
          <w:rStyle w:val="WW-sesame"/>
        </w:rPr>
        <w:t>Pārāyana Vagga</w:t>
      </w:r>
      <w:r>
        <w:rPr/>
        <w:t>:</w:t>
      </w:r>
      <w:r>
        <w:rPr>
          <w:rStyle w:val="FootnoteReference"/>
        </w:rPr>
        <w:footnoteReference w:id="27"/>
      </w:r>
    </w:p>
    <w:p>
      <w:pPr>
        <w:pStyle w:val="WW-line-block"/>
        <w:rPr/>
      </w:pPr>
      <w:r>
        <w:rPr>
          <w:rStyle w:val="WW-list-margin"/>
        </w:rPr>
        <w:t xml:space="preserve"> </w:t>
      </w: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xml:space="preserve">. Yet the </w:t>
      </w:r>
      <w:r>
        <w:rPr>
          <w:rStyle w:val="WW-sesame"/>
        </w:rPr>
        <w:t>Ajita’s Question Sutta</w:t>
      </w:r>
      <w:r>
        <w:rPr/>
        <w:t xml:space="preserve">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pali"/>
        </w:rPr>
        <w:t>viññāṇa anidassana</w:t>
      </w:r>
      <w:r>
        <w:rPr/>
        <w:t xml:space="preserve"> is found in the </w:t>
      </w:r>
      <w:r>
        <w:rPr>
          <w:rStyle w:val="WW-sesame"/>
        </w:rPr>
        <w:t>Brahmanimantanika Sutta</w:t>
      </w:r>
      <w:r>
        <w:rPr/>
        <w:t>,</w:t>
      </w:r>
      <w:r>
        <w:rPr>
          <w:rStyle w:val="FootnoteReference"/>
        </w:rPr>
        <w:footnoteReference w:id="34"/>
      </w:r>
      <w:r>
        <w:rPr/>
        <w:t xml:space="preserve"> which portrays a discussion between the Buddha and </w:t>
      </w:r>
      <w:r>
        <w:rPr>
          <w:rStyle w:val="WW-sesame"/>
        </w:rPr>
        <w:t>Brahmā Baka</w:t>
      </w:r>
      <w:r>
        <w:rPr/>
        <w:t xml:space="preserve">. Here too, just like in the </w:t>
      </w:r>
      <w:r>
        <w:rPr>
          <w:rStyle w:val="WW-sesame"/>
        </w:rPr>
        <w:t>Kevaddha Sutta</w:t>
      </w:r>
      <w:r>
        <w:rPr/>
        <w:t xml:space="preserve">, the Buddha shows his knowledge to be superior to a </w:t>
      </w:r>
      <w:r>
        <w:rPr>
          <w:rStyle w:val="WW-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sesame"/>
        </w:rPr>
        <w:t>Brahmā Baka</w:t>
      </w:r>
      <w:r>
        <w:rPr/>
        <w:t>.</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w:t>
      </w:r>
      <w:r>
        <w:rPr>
          <w:rStyle w:val="WW-sesame"/>
        </w:rPr>
        <w:t>Baka</w:t>
      </w:r>
      <w:r>
        <w:rPr/>
        <w:t xml:space="preserve">.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sesame"/>
        </w:rPr>
        <w:t>Kevaddha Sutta</w:t>
      </w:r>
      <w:r>
        <w:rPr/>
        <w:t xml:space="preserve">, but there is no reason why </w:t>
      </w:r>
      <w:r>
        <w:rPr>
          <w:rStyle w:val="WW-sesame"/>
        </w:rPr>
        <w:t>Baka</w:t>
      </w:r>
      <w:r>
        <w:rPr/>
        <w:t xml:space="preserve"> could not have spoken them here. Lines of verse continually reoccur throughout the </w:t>
      </w:r>
      <w:r>
        <w:rPr>
          <w:rStyle w:val="WW-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sesame"/>
        </w:rPr>
        <w:t>Baka</w:t>
      </w:r>
      <w:r>
        <w:rPr/>
        <w:t xml:space="preserve">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Brahmanimantanika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xml:space="preserve">. It also adds some thoughts on the brahmanic concepts which the </w:t>
      </w:r>
      <w:r>
        <w:rPr>
          <w:rStyle w:val="WW-sesame"/>
        </w:rPr>
        <w:t>Brahmanimantanika Sutta</w:t>
      </w:r>
      <w:r>
        <w:rPr/>
        <w:t xml:space="preserve">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w:t>
      </w:r>
      <w:r>
        <w:rPr>
          <w:rStyle w:val="WW-sesame"/>
        </w:rPr>
        <w:t>Kevaddha Sutta</w:t>
      </w:r>
      <w:r>
        <w:rPr/>
        <w:t xml:space="preserve">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w:t>
      </w:r>
      <w:r>
        <w:rPr>
          <w:rStyle w:val="WW-sesame"/>
        </w:rPr>
        <w:t>Kevaddha Sutta</w:t>
      </w:r>
      <w:r>
        <w:rPr/>
        <w:t xml:space="preserve">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w:t>
      </w:r>
      <w:r>
        <w:rPr>
          <w:rStyle w:val="WW-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sesame"/>
        </w:rPr>
        <w:t>Brahmanimantanika Sutta</w:t>
      </w:r>
      <w:r>
        <w:rPr/>
        <w:t xml:space="preserve">,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xml:space="preserve">), because both require a masculine pronoun while </w:t>
      </w:r>
      <w:r>
        <w:rPr>
          <w:rStyle w:val="WW-sesame"/>
        </w:rPr>
        <w:t>Baka</w:t>
      </w:r>
      <w:r>
        <w:rPr/>
        <w:t xml:space="preserve">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w:t>
      </w:r>
      <w:r>
        <w:rPr>
          <w:rStyle w:val="WW-sesame"/>
        </w:rPr>
        <w:t>Ātman</w:t>
      </w:r>
      <w:r>
        <w:rPr/>
        <w:t>/</w:t>
      </w:r>
      <w:r>
        <w:rPr>
          <w:rStyle w:val="WW-sesame"/>
        </w:rPr>
        <w:t>Brahman</w:t>
      </w:r>
      <w:r>
        <w:rPr/>
        <w:t xml:space="preserve">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w:t>
      </w:r>
      <w:r>
        <w:rPr>
          <w:rStyle w:val="WW-sesame"/>
        </w:rPr>
        <w:t>Kevaddha Sutta</w:t>
      </w:r>
      <w:r>
        <w:rPr/>
        <w:t xml:space="preserve">, where </w:t>
      </w:r>
      <w:r>
        <w:rPr>
          <w:rStyle w:val="WW-sesame"/>
        </w:rPr>
        <w:t>Brahmā</w:t>
      </w:r>
      <w:r>
        <w:rPr/>
        <w:t xml:space="preserve"> repeatedly avoids answering the monk’s question by replying he is the Great Brahmā and so forth. By analogy, the </w:t>
      </w:r>
      <w:r>
        <w:rPr>
          <w:rStyle w:val="WW-sesame"/>
        </w:rPr>
        <w:t>Brahmanimantanika Sutta</w:t>
      </w:r>
      <w:r>
        <w:rPr/>
        <w:t xml:space="preserve">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w:t>
      </w:r>
      <w:r>
        <w:rPr>
          <w:rStyle w:val="WW-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r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Ṭhānissaro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
        </w:rPr>
        <w:tab/>
        <w:t>Ñāṇamoli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3826</TotalTime>
  <Application>LibreOffice/24.8.3.2$Windows_X86_64 LibreOffice_project/48a6bac9e7e268aeb4c3483fcf825c94556d9f92</Application>
  <AppVersion>15.0000</AppVersion>
  <Pages>19</Pages>
  <Words>6983</Words>
  <Characters>35775</Characters>
  <CharactersWithSpaces>42499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2025-01-07T12:03:15Z</dcterms:modified>
  <cp:revision>455</cp:revision>
  <dc:subject/>
  <dc:title/>
</cp:coreProperties>
</file>

<file path=docProps/custom.xml><?xml version="1.0" encoding="utf-8"?>
<Properties xmlns="http://schemas.openxmlformats.org/officeDocument/2006/custom-properties" xmlns:vt="http://schemas.openxmlformats.org/officeDocument/2006/docPropsVTypes"/>
</file>