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Viññāṇa Anidassana</w:t>
      </w:r>
    </w:p>
    <w:p>
      <w:pPr>
        <w:pStyle w:val="WW-subtitle"/>
        <w:rPr/>
      </w:pPr>
      <w:r>
        <w:rPr/>
        <w:t>the state of boundless consciousness</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A wide range of opinions has long surrounded two innocent Pali words: </w:t>
      </w:r>
      <w:r>
        <w:rPr>
          <w:rStyle w:val="wwc-pali"/>
        </w:rPr>
        <w:t>viññāṇa</w:t>
      </w:r>
      <w:r>
        <w:rPr/>
        <w:t xml:space="preserve"> </w:t>
      </w:r>
      <w:r>
        <w:rPr>
          <w:rStyle w:val="wwc-pali"/>
        </w:rPr>
        <w:t>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a kind of consciousness essentially equal to nibbāna. But there are many problems with this. Bhikkhu Sunyo examines these problems and discusses why </w:t>
      </w:r>
      <w:r>
        <w:rPr>
          <w:rStyle w:val="wwc-pali"/>
        </w:rPr>
        <w:t>viññāṇa</w:t>
      </w:r>
      <w:r>
        <w:rPr/>
        <w:t xml:space="preserve"> </w:t>
      </w:r>
      <w:r>
        <w:rPr>
          <w:rStyle w:val="wwc-pali"/>
        </w:rPr>
        <w:t>anidassana</w:t>
      </w:r>
      <w:r>
        <w:rPr/>
        <w:t xml:space="preserve"> is not nibbāna, but rather it is the state of boundless consciousness, the second “formless” meditation state. </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2021.</w:t>
        <w:br/>
        <w:t>This edition published in 2022.</w:t>
        <w:br/>
        <w:t>Addendum added 2024.</w:t>
        <w:br/>
        <w:t>30pp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Introduction</w:t>
      </w:r>
    </w:p>
    <w:p>
      <w:pPr>
        <w:pStyle w:val="WW-paragraph"/>
        <w:rPr/>
      </w:pPr>
      <w:r>
        <w:rPr/>
        <w:t xml:space="preserve">A wide range of opinions has long surrounded two innocent Pali words: </w:t>
      </w:r>
      <w:r>
        <w:rPr>
          <w:rStyle w:val="wwc-pali"/>
        </w:rPr>
        <w:t>viññāṇa</w:t>
      </w:r>
      <w:r>
        <w:rPr/>
        <w:t xml:space="preserve"> </w:t>
      </w:r>
      <w:r>
        <w:rPr>
          <w:rStyle w:val="wwc-pali"/>
        </w:rPr>
        <w:t>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wwc-pali"/>
        </w:rPr>
        <w:t>viññāṇa</w:t>
      </w:r>
      <w:r>
        <w:rPr/>
        <w:t xml:space="preserve"> </w:t>
      </w:r>
      <w:r>
        <w:rPr>
          <w:rStyle w:val="wwc-pali"/>
        </w:rPr>
        <w:t>anidassana</w:t>
      </w:r>
      <w:r>
        <w:rPr/>
        <w:t xml:space="preserve"> in </w:t>
      </w:r>
      <w:r>
        <w:rPr>
          <w:rStyle w:val="wwc-sesame"/>
        </w:rPr>
        <w:t>the Pali suttas, and other early suttas</w:t>
      </w:r>
      <w:r>
        <w:rPr/>
        <w:t xml:space="preserve">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wwc-pali"/>
        </w:rPr>
        <w:t>viññāṇa</w:t>
      </w:r>
      <w:r>
        <w:rPr/>
        <w:t xml:space="preserve"> </w:t>
      </w:r>
      <w:r>
        <w:rPr>
          <w:rStyle w:val="wwc-pali"/>
        </w:rPr>
        <w:t>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wwc-pali"/>
        </w:rPr>
        <w:t>rūpa</w:t>
      </w:r>
      <w:r>
        <w:rPr/>
        <w:t>—even though these may not be my personal preferences.</w:t>
      </w:r>
      <w:r>
        <w:br w:type="page"/>
      </w:r>
    </w:p>
    <w:p>
      <w:pPr>
        <w:pStyle w:val="WW-Chapter"/>
        <w:spacing w:before="0" w:after="567"/>
        <w:ind w:hanging="0" w:start="0"/>
        <w:rPr/>
      </w:pPr>
      <w:r>
        <w:rPr/>
        <w:t>1. The Kevaddha Sutta</w:t>
      </w:r>
    </w:p>
    <w:p>
      <w:pPr>
        <w:pStyle w:val="WW-paragraph"/>
        <w:rPr/>
      </w:pPr>
      <w:r>
        <w:rPr/>
        <w:t>As stated, the suttas mention </w:t>
      </w:r>
      <w:r>
        <w:rPr>
          <w:rStyle w:val="wwc-pali"/>
        </w:rPr>
        <w:t>viññāṇa</w:t>
      </w:r>
      <w:r>
        <w:rPr/>
        <w:t xml:space="preserve"> </w:t>
      </w:r>
      <w:r>
        <w:rPr>
          <w:rStyle w:val="wwc-pali"/>
        </w:rPr>
        <w:t>anidassana</w:t>
      </w:r>
      <w:r>
        <w:rPr/>
        <w:t xml:space="preserve"> twice: once in the </w:t>
      </w:r>
      <w:r>
        <w:rPr>
          <w:rStyle w:val="wwc-sesame"/>
        </w:rPr>
        <w:t>Kevaddha (With Kevaddha) Sutta</w:t>
      </w:r>
      <w:r>
        <w:rPr/>
        <w:t>,</w:t>
      </w:r>
      <w:r>
        <w:rPr>
          <w:rStyle w:val="FootnoteReference"/>
        </w:rPr>
        <w:footnoteReference w:id="6"/>
      </w:r>
      <w:r>
        <w:rPr/>
        <w:t> and once in the Brahmanimantanika (Invitation of a Brahmā) Sutta.</w:t>
      </w:r>
      <w:r>
        <w:rPr>
          <w:rStyle w:val="FootnoteReference"/>
        </w:rPr>
        <w:footnoteReference w:id="7"/>
      </w:r>
      <w:r>
        <w:rPr/>
        <w:t> We will look at them separately.</w:t>
      </w:r>
    </w:p>
    <w:p>
      <w:pPr>
        <w:pStyle w:val="WW-paragraph"/>
        <w:rPr/>
      </w:pPr>
      <w:r>
        <w:rPr/>
        <w:t xml:space="preserve">In the </w:t>
      </w:r>
      <w:r>
        <w:rPr>
          <w:rStyle w:val="wwc-sesame"/>
        </w:rPr>
        <w:t>Kevaddha Sutta</w:t>
      </w:r>
      <w:r>
        <w:rPr/>
        <w:t xml:space="preserve">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w:t>
      </w:r>
      <w:r>
        <w:rPr>
          <w:rStyle w:val="wwc-sesame"/>
        </w:rPr>
        <w:t>Brahmā</w:t>
      </w:r>
      <w:r>
        <w:rPr/>
        <w:t>,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wwc-pali"/>
        </w:rPr>
        <w:t>rūpa</w:t>
      </w:r>
      <w:r>
        <w:rPr/>
        <w:t>) ceases, because according to the ideas of the time “all form of whatever kind is the four elements”.</w:t>
      </w:r>
      <w:r>
        <w:rPr>
          <w:rStyle w:val="FootnoteReference"/>
        </w:rPr>
        <w:footnoteReference w:id="8"/>
      </w:r>
      <w:r>
        <w:rPr/>
        <w:t> </w:t>
      </w:r>
      <w:r>
        <w:rPr>
          <w:rStyle w:val="wwc-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wwc-pali"/>
        </w:rPr>
        <w:t>rūpa</w:t>
      </w:r>
      <w:r>
        <w:rPr/>
        <w:t>, but </w:t>
      </w:r>
      <w:r>
        <w:rPr>
          <w:rStyle w:val="wwc-pali"/>
        </w:rPr>
        <w:t>nāma</w:t>
      </w:r>
      <w:r>
        <w:rPr/>
        <w:t> ceases too. (</w:t>
      </w:r>
      <w:r>
        <w:rPr>
          <w:rStyle w:val="wwc-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rStyle w:val="wwc-list-margin"/>
        </w:rPr>
        <w:t>[Q1]</w:t>
      </w:r>
      <w:r>
        <w:rPr/>
        <w:t>“Where do earth, water,</w:t>
        <w:br/>
        <w:t>fire, and air find no footing?</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paragraph"/>
        <w:rPr/>
      </w:pPr>
      <w:r>
        <w:rPr/>
        <w:t>For that the explanation is:</w:t>
      </w:r>
    </w:p>
    <w:p>
      <w:pPr>
        <w:pStyle w:val="WW-line-block"/>
        <w:rPr/>
      </w:pPr>
      <w:r>
        <w:rPr>
          <w:rStyle w:val="wwc-list-margin"/>
        </w:rPr>
        <w:t>[A1]</w:t>
      </w:r>
      <w:r>
        <w:rPr/>
        <w:t>Boundless consciousness,</w:t>
        <w:br/>
        <w:t>invisible, fully shining:</w:t>
        <w:br/>
        <w:t>here earth, water,</w:t>
        <w:br/>
        <w:t>fire, and air find no footing.</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c-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rStyle w:val="wwc-list-margin"/>
        </w:rPr>
        <w:t>[A]</w:t>
      </w:r>
      <w:r>
        <w:rPr/>
        <w:t>“Boundless consciousness,</w:t>
        <w:br/>
        <w:t>invisible, fully shining:</w:t>
        <w:br/>
        <w:t>here earth, water,</w:t>
        <w:br/>
        <w:t>fire, and air find no footing,</w:t>
        <w:b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wwc-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wwc-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wwc-pali"/>
        </w:rPr>
        <w:t>viññāṇa</w:t>
      </w:r>
      <w:r>
        <w:rPr/>
        <w:t xml:space="preserve"> </w:t>
      </w:r>
      <w:r>
        <w:rPr>
          <w:rStyle w:val="wwc-pali"/>
        </w:rPr>
        <w:t>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ter-section-1"/>
        <w:ind w:hanging="0" w:start="0"/>
        <w:rPr/>
      </w:pPr>
      <w:r>
        <w:rPr/>
        <w:t>The first question</w:t>
      </w:r>
    </w:p>
    <w:p>
      <w:pPr>
        <w:pStyle w:val="WW-paragraph"/>
        <w:rPr/>
      </w:pPr>
      <w:r>
        <w:rPr/>
        <w:t>Let me isolate the first question and answer:</w:t>
      </w:r>
    </w:p>
    <w:p>
      <w:pPr>
        <w:pStyle w:val="WW-line-block"/>
        <w:rPr/>
      </w:pPr>
      <w:r>
        <w:rPr>
          <w:rStyle w:val="wwc-list-margin"/>
        </w:rPr>
        <w:t>[Q1]</w:t>
      </w:r>
      <w:r>
        <w:rPr/>
        <w:t>“Where do earth, water,</w:t>
        <w:br/>
        <w:t>fire, and air find no footing?”</w:t>
      </w:r>
    </w:p>
    <w:p>
      <w:pPr>
        <w:pStyle w:val="WW-line-block"/>
        <w:rPr/>
      </w:pPr>
      <w:r>
        <w:rPr>
          <w:rStyle w:val="wwc-list-margin"/>
        </w:rPr>
        <w:t>[A1]</w:t>
      </w:r>
      <w:r>
        <w:rPr/>
        <w:t>“Boundless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wwc-pali"/>
        </w:rPr>
        <w:t>ananta</w:t>
      </w:r>
      <w:r>
        <w:rPr/>
        <w:t>) and ‘consciousness’ (</w:t>
      </w:r>
      <w:r>
        <w:rPr>
          <w:rStyle w:val="wwc-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wwc-pali"/>
        </w:rPr>
        <w:t>viññāṇaṁ</w:t>
      </w:r>
      <w:r>
        <w:rPr/>
        <w:t xml:space="preserve"> </w:t>
      </w:r>
      <w:r>
        <w:rPr>
          <w:rStyle w:val="wwc-pali"/>
        </w:rPr>
        <w:t>anidassanaṁ</w:t>
      </w:r>
      <w:r>
        <w:rPr/>
        <w:t> (consciousness invisible)</w:t>
        <w:br/>
      </w:r>
      <w:r>
        <w:rPr>
          <w:rStyle w:val="wwc-pali"/>
        </w:rPr>
        <w:t>anantaṁ</w:t>
      </w:r>
      <w:r>
        <w:rPr/>
        <w:t xml:space="preserve"> </w:t>
      </w:r>
      <w:r>
        <w:rPr>
          <w:rStyle w:val="wwc-pali"/>
        </w:rPr>
        <w:t>sabbato</w:t>
      </w:r>
      <w:r>
        <w:rPr/>
        <w:t xml:space="preserve"> </w:t>
      </w:r>
      <w:r>
        <w:rPr>
          <w:rStyle w:val="wwc-pali"/>
        </w:rPr>
        <w:t>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wwc-pali"/>
        </w:rPr>
        <w:t>sabbato</w:t>
      </w:r>
      <w:r>
        <w:rPr/>
        <w:t xml:space="preserve"> </w:t>
      </w:r>
      <w:r>
        <w:rPr>
          <w:rStyle w:val="wwc-pali"/>
        </w:rPr>
        <w:t>pabhaṁ</w:t>
      </w:r>
      <w:r>
        <w:rPr/>
        <w:t xml:space="preserve">) is a metaphor, of course. The state of boundless consciousness does not literally give off light. It refers to the absence of the five mental hindrances in deep meditation. As the </w:t>
      </w:r>
      <w:r>
        <w:rPr>
          <w:rStyle w:val="wwc-sesame"/>
        </w:rPr>
        <w:t>Upakkilesa (Impurities) Sutta</w:t>
      </w:r>
      <w:r>
        <w:rPr/>
        <w:t xml:space="preserve"> in the </w:t>
      </w:r>
      <w:r>
        <w:rPr>
          <w:rStyle w:val="wwc-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wwc-pali"/>
        </w:rPr>
        <w:t>anidassana</w:t>
      </w:r>
      <w:r>
        <w:rPr/>
        <w:t>, translated here quite literally as ‘invisible’. Since the meaning of </w:t>
      </w:r>
      <w:r>
        <w:rPr>
          <w:rStyle w:val="wwc-pali"/>
        </w:rPr>
        <w:t>rūpa</w:t>
      </w:r>
      <w:r>
        <w:rPr/>
        <w:t> includes ‘appearance’,</w:t>
      </w:r>
      <w:r>
        <w:rPr>
          <w:rStyle w:val="FootnoteReference"/>
        </w:rPr>
        <w:footnoteReference w:id="16"/>
      </w:r>
      <w:r>
        <w:rPr/>
        <w:t> </w:t>
      </w:r>
      <w:r>
        <w:rPr>
          <w:rStyle w:val="wwc-pali"/>
        </w:rPr>
        <w:t>arūpa</w:t>
      </w:r>
      <w:r>
        <w:rPr/>
        <w:t> means ‘without appearance’, thus ‘invisible’. This translation is in accordance with the apparent meaning of </w:t>
      </w:r>
      <w:r>
        <w:rPr>
          <w:rStyle w:val="wwc-pali"/>
        </w:rPr>
        <w:t>anidassana</w:t>
      </w:r>
      <w:r>
        <w:rPr/>
        <w:t xml:space="preserve"> in the </w:t>
      </w:r>
      <w:r>
        <w:rPr>
          <w:rStyle w:val="wwc-sesame"/>
        </w:rPr>
        <w:t>Saṅgīti Sutta</w:t>
      </w:r>
      <w:r>
        <w:rPr/>
        <w:t>, which mentions visible form and invisible form (i.e. material form and the more subtle types such as in meditation).</w:t>
      </w:r>
      <w:r>
        <w:rPr>
          <w:rStyle w:val="FootnoteReference"/>
        </w:rPr>
        <w:footnoteReference w:id="17"/>
      </w:r>
      <w:r>
        <w:rPr/>
        <w:t> The only other text that gives a useful context for </w:t>
      </w:r>
      <w:r>
        <w:rPr>
          <w:rStyle w:val="wwc-pali"/>
        </w:rPr>
        <w:t>anidassana</w:t>
      </w:r>
      <w:r>
        <w:rPr/>
        <w:t xml:space="preserve"> is the </w:t>
      </w:r>
      <w:r>
        <w:rPr>
          <w:rStyle w:val="wwc-sesame"/>
        </w:rPr>
        <w:t>Kakacūpama Sutta</w:t>
      </w:r>
      <w:r>
        <w:rPr/>
        <w:t>, which says one can not paint the sky because “the sky is without form, invisible” (</w:t>
      </w:r>
      <w:r>
        <w:rPr>
          <w:rStyle w:val="wwc-pali"/>
        </w:rPr>
        <w:t>ākāso</w:t>
      </w:r>
      <w:r>
        <w:rPr/>
        <w:t xml:space="preserve"> </w:t>
      </w:r>
      <w:r>
        <w:rPr>
          <w:rStyle w:val="wwc-pali"/>
        </w:rPr>
        <w:t>arūpī</w:t>
      </w:r>
      <w:r>
        <w:rPr/>
        <w:t xml:space="preserve"> </w:t>
      </w:r>
      <w:r>
        <w:rPr>
          <w:rStyle w:val="wwc-pali"/>
        </w:rPr>
        <w:t>anidassano</w:t>
      </w:r>
      <w:r>
        <w:rPr/>
        <w:t>).</w:t>
      </w:r>
      <w:r>
        <w:rPr>
          <w:rStyle w:val="FootnoteReference"/>
        </w:rPr>
        <w:footnoteReference w:id="18"/>
      </w:r>
      <w:r>
        <w:rPr/>
        <w:t> Here we see </w:t>
      </w:r>
      <w:r>
        <w:rPr>
          <w:rStyle w:val="wwc-pali"/>
        </w:rPr>
        <w:t>anidassana</w:t>
      </w:r>
      <w:r>
        <w:rPr/>
        <w:t> indeed as a synonym of </w:t>
      </w:r>
      <w:r>
        <w:rPr>
          <w:rStyle w:val="wwc-pali"/>
        </w:rPr>
        <w:t>arūpa</w:t>
      </w:r>
      <w:r>
        <w:rPr/>
        <w:t>.</w:t>
      </w:r>
      <w:r>
        <w:rPr>
          <w:rStyle w:val="FootnoteReference"/>
        </w:rPr>
        <w:footnoteReference w:id="19"/>
      </w:r>
    </w:p>
    <w:p>
      <w:pPr>
        <w:pStyle w:val="WW-paragraph"/>
        <w:rPr/>
      </w:pPr>
      <w:r>
        <w:rPr/>
        <w:t>We should not need to look for a deeper meaning behind </w:t>
      </w:r>
      <w:r>
        <w:rPr>
          <w:rStyle w:val="wwc-pali"/>
        </w:rPr>
        <w:t>anidassana</w:t>
      </w:r>
      <w:r>
        <w:rPr/>
        <w:t>, because, as accurately stated by Warder again, in verse “the need to fit the sentence to the meter influences the choice of vocabulary, so that unusual synonyms and rare words may be used.”</w:t>
      </w:r>
      <w:r>
        <w:rPr>
          <w:rStyle w:val="FootnoteReference"/>
        </w:rPr>
        <w:footnoteReference w:id="20"/>
      </w:r>
      <w:r>
        <w:rPr/>
        <w:t> </w:t>
      </w:r>
      <w:r>
        <w:rPr>
          <w:rStyle w:val="wwc-pali"/>
        </w:rPr>
        <w:t>Anidassanaṁ</w:t>
      </w:r>
      <w:r>
        <w:rPr/>
        <w:t> fits this perfectly: it is a rare and unusual synonym which supplies the meter </w:t>
      </w:r>
      <w:r>
        <w:rPr>
          <w:rStyle w:val="wwc-pali"/>
        </w:rPr>
        <w:t>arūpaṁ</w:t>
      </w:r>
      <w:r>
        <w:rPr/>
        <w:t> and </w:t>
      </w:r>
      <w:r>
        <w:rPr>
          <w:rStyle w:val="wwc-pali"/>
        </w:rPr>
        <w:t>anantaṁ</w:t>
      </w:r>
      <w:r>
        <w:rPr/>
        <w:t> could not. In summary, all it does is metaphorically describe the absence of form in the state of boundless consciousness, the second formless state.</w:t>
      </w:r>
    </w:p>
    <w:p>
      <w:pPr>
        <w:pStyle w:val="WW-paragraph"/>
        <w:rPr/>
      </w:pPr>
      <w:r>
        <w:rPr/>
        <w:t xml:space="preserve">Let's return to the question, “where does form find no footing?” Why is the answer the second formless state and not the first? This is because form can still “find a footing” in the first formless state, the state of boundless space. According to Sariputta in the </w:t>
      </w:r>
      <w:r>
        <w:rPr>
          <w:rStyle w:val="wwc-sesame"/>
        </w:rPr>
        <w:t>Nibbānasukha Sutta</w:t>
      </w:r>
      <w:r>
        <w:rPr/>
        <w:t>,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xml:space="preserve">?”, which only implies a temporary inability to infiltrate. This change in the question can not be explained if the boundless consciousness of the </w:t>
      </w:r>
      <w:r>
        <w:rPr>
          <w:rStyle w:val="wwc-sesame"/>
        </w:rPr>
        <w:t>Kevaddha Sutta</w:t>
      </w:r>
      <w:r>
        <w:rPr/>
        <w:t xml:space="preserve">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wwc-pali"/>
        </w:rPr>
        <w:t>khandhas</w:t>
      </w:r>
      <w:r>
        <w:rPr/>
        <w:t>) after the death of an enlightened one, often called parinibbāna.</w:t>
      </w:r>
      <w:r>
        <w:rPr>
          <w:rStyle w:val="FootnoteReference"/>
        </w:rPr>
        <w:footnoteReference w:id="24"/>
      </w:r>
      <w:r>
        <w:rPr/>
        <w:t xml:space="preserve">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w:t>
      </w:r>
      <w:r>
        <w:rPr>
          <w:rStyle w:val="wwc-sesame"/>
        </w:rPr>
        <w:t>Kevaddha Sutta</w:t>
      </w:r>
      <w:r>
        <w:rPr/>
        <w:t xml:space="preserve">. A line of verse can describe one thing in one context, and another thing in another context. This is quite common in the suttas. An example is found right here in the </w:t>
      </w:r>
      <w:r>
        <w:rPr>
          <w:rStyle w:val="wwc-sesame"/>
        </w:rPr>
        <w:t>Kevaddha Sutta</w:t>
      </w:r>
      <w:r>
        <w:rPr/>
        <w:t>. The line “the long and short, the small and gross, the fair and ugly”, which has such a deep meaning here, elsewhere simply refers to things one should not steal.</w:t>
      </w:r>
      <w:r>
        <w:rPr>
          <w:rStyle w:val="FootnoteReference"/>
        </w:rPr>
        <w:footnoteReference w:id="25"/>
      </w:r>
    </w:p>
    <w:p>
      <w:pPr>
        <w:pStyle w:val="WW-chapter-section-1"/>
        <w:ind w:hanging="0" w:start="0"/>
        <w:rPr/>
      </w:pPr>
      <w:r>
        <w:rPr/>
        <w:t>The second question</w:t>
      </w:r>
    </w:p>
    <w:p>
      <w:pPr>
        <w:pStyle w:val="WW-paragraph"/>
        <w:rPr/>
      </w:pPr>
      <w:r>
        <w:rPr/>
        <w:t>Here are the second question and answer again:</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wwc-pali"/>
        </w:rPr>
        <w:t>nāma</w:t>
      </w:r>
      <w:r>
        <w:rPr/>
        <w:t>, must cease as well.</w:t>
      </w:r>
    </w:p>
    <w:p>
      <w:pPr>
        <w:pStyle w:val="WW-paragraph"/>
        <w:rPr/>
      </w:pPr>
      <w:r>
        <w:rPr/>
        <w:t xml:space="preserve">The answer reflects a teaching found at least a hundred times elsewhere in the Pali Canon: “when consciousness ceases, </w:t>
      </w:r>
      <w:r>
        <w:rPr>
          <w:rStyle w:val="wwc-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 xml:space="preserve">We find the same teaching in the </w:t>
      </w:r>
      <w:r>
        <w:rPr>
          <w:rStyle w:val="wwc-sesame"/>
        </w:rPr>
        <w:t>Ajita’s Question Sutta</w:t>
      </w:r>
      <w:r>
        <w:rPr/>
        <w:t xml:space="preserve"> in the </w:t>
      </w:r>
      <w:r>
        <w:rPr>
          <w:rStyle w:val="wwc-sesame"/>
        </w:rPr>
        <w:t>Pārāyana Vagga</w:t>
      </w:r>
      <w:r>
        <w:rPr/>
        <w:t>:</w:t>
      </w:r>
      <w:r>
        <w:rPr>
          <w:rStyle w:val="FootnoteReference"/>
        </w:rPr>
        <w:footnoteReference w:id="27"/>
      </w:r>
    </w:p>
    <w:p>
      <w:pPr>
        <w:pStyle w:val="WW-line-block"/>
        <w:rPr/>
      </w:pPr>
      <w:r>
        <w:rPr>
          <w:rStyle w:val="wwc-list-margin"/>
        </w:rPr>
        <w:t xml:space="preserve"> </w:t>
      </w:r>
      <w:r>
        <w:rPr/>
        <w:t>“</w:t>
      </w:r>
      <w:r>
        <w:rPr/>
        <w:t xml:space="preserve">As to where </w:t>
      </w:r>
      <w:r>
        <w:rPr>
          <w:rStyle w:val="wwc-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c-sesame"/>
        </w:rPr>
        <w:t>Kevaddha Sutta</w:t>
      </w:r>
      <w:r>
        <w:rPr/>
        <w:t xml:space="preserve">. Yet the </w:t>
      </w:r>
      <w:r>
        <w:rPr>
          <w:rStyle w:val="wwc-sesame"/>
        </w:rPr>
        <w:t>Ajita’s Question Sutta</w:t>
      </w:r>
      <w:r>
        <w:rPr/>
        <w:t xml:space="preserve"> makes no mention of </w:t>
      </w:r>
      <w:r>
        <w:rPr>
          <w:rStyle w:val="wwc-pali"/>
        </w:rPr>
        <w:t>viññāṇa</w:t>
      </w:r>
      <w:r>
        <w:rPr/>
        <w:t xml:space="preserve"> </w:t>
      </w:r>
      <w:r>
        <w:rPr>
          <w:rStyle w:val="wwc-pali"/>
        </w:rPr>
        <w:t>anidassana</w:t>
      </w:r>
      <w:r>
        <w:rPr/>
        <w:t xml:space="preserve"> or anything alike. The verse stands on its own as a complete teaching. This confirms that in the </w:t>
      </w:r>
      <w:r>
        <w:rPr>
          <w:rStyle w:val="wwc-sesame"/>
        </w:rPr>
        <w:t>Kevaddha Sutta</w:t>
      </w:r>
      <w:r>
        <w:rPr/>
        <w:t xml:space="preserve"> “where </w:t>
      </w:r>
      <w:r>
        <w:rPr>
          <w:rStyle w:val="wwc-pali"/>
        </w:rPr>
        <w:t>nāma</w:t>
      </w:r>
      <w:r>
        <w:rPr/>
        <w:t xml:space="preserve"> and form fully come to cease” is only connected to the cessation of consciousness, not to </w:t>
      </w:r>
      <w:r>
        <w:rPr>
          <w:rStyle w:val="wwc-pali"/>
        </w:rPr>
        <w:t>viññāṇa</w:t>
      </w:r>
      <w:r>
        <w:rPr/>
        <w:t xml:space="preserve"> </w:t>
      </w:r>
      <w:r>
        <w:rPr>
          <w:rStyle w:val="wwc-pali"/>
        </w:rPr>
        <w:t>anidassana</w:t>
      </w:r>
      <w:r>
        <w:rPr/>
        <w:t>.</w:t>
      </w:r>
    </w:p>
    <w:p>
      <w:pPr>
        <w:pStyle w:val="WW-paragraph"/>
        <w:rPr/>
      </w:pPr>
      <w:r>
        <w:rPr/>
        <w:t xml:space="preserve">Now nearing the end of </w:t>
      </w:r>
      <w:r>
        <w:rPr>
          <w:rStyle w:val="wwc-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 xml:space="preserve">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w:t>
      </w:r>
      <w:r>
        <w:rPr>
          <w:rStyle w:val="wwc-sesame"/>
        </w:rPr>
        <w:t>Fire Discourse</w:t>
      </w:r>
      <w:r>
        <w:rPr/>
        <w:t>,</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wwc-pali"/>
        </w:rPr>
        <w:t>nāmarūpa</w:t>
      </w:r>
      <w:r>
        <w:rPr/>
        <w:t xml:space="preserve"> cease, all suffering ceases.</w:t>
      </w:r>
    </w:p>
    <w:p>
      <w:pPr>
        <w:pStyle w:val="WW-paragraph"/>
        <w:numPr>
          <w:ilvl w:val="0"/>
          <w:numId w:val="1"/>
        </w:numPr>
        <w:rPr/>
      </w:pPr>
      <w:r>
        <w:rPr/>
        <w:t>The word </w:t>
      </w:r>
      <w:r>
        <w:rPr>
          <w:rStyle w:val="wwc-pali"/>
        </w:rPr>
        <w:t>nirujjhati</w:t>
      </w:r>
      <w:r>
        <w:rPr/>
        <w:t> (‘cease’) of the monk’s original question is not adopted by the Buddha in his second question, but changed for the synonymous </w:t>
      </w:r>
      <w:r>
        <w:rPr>
          <w:rStyle w:val="wwc-pali"/>
        </w:rPr>
        <w:t>uparujjhati</w:t>
      </w:r>
      <w:r>
        <w:rPr/>
        <w:t> (‘come to cease’). This is another instance of adjusting to the meter. </w:t>
      </w:r>
      <w:r>
        <w:rPr>
          <w:rStyle w:val="wwc-pali"/>
        </w:rPr>
        <w:t>Uparujjhati</w:t>
      </w:r>
      <w:r>
        <w:rPr/>
        <w:t> is one syllable longer, making the line the required eight syllables long. A change of prefix (in this case </w:t>
      </w:r>
      <w:r>
        <w:rPr>
          <w:rStyle w:val="wwc-pali"/>
        </w:rPr>
        <w:t>upa</w:t>
      </w:r>
      <w:r>
        <w:rPr/>
        <w:t>- for </w:t>
      </w:r>
      <w:r>
        <w:rPr>
          <w:rStyle w:val="wwc-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wwc-pali"/>
        </w:rPr>
        <w:t>Uparujjhati</w:t>
      </w:r>
      <w:r>
        <w:rPr/>
        <w:t> is almost exclusively used in verse, supporting this case.</w:t>
      </w:r>
    </w:p>
    <w:p>
      <w:pPr>
        <w:pStyle w:val="WW-paragraph"/>
        <w:numPr>
          <w:ilvl w:val="0"/>
          <w:numId w:val="1"/>
        </w:numPr>
        <w:rPr/>
      </w:pPr>
      <w:r>
        <w:rPr/>
        <w:t>Contrary to what others have argued, </w:t>
      </w:r>
      <w:r>
        <w:rPr>
          <w:rStyle w:val="wwc-pali"/>
        </w:rPr>
        <w:t>uparujjhati</w:t>
      </w:r>
      <w:r>
        <w:rPr/>
        <w:t> is simply a synonym of </w:t>
      </w:r>
      <w:r>
        <w:rPr>
          <w:rStyle w:val="wwc-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wwc-pali"/>
        </w:rPr>
        <w:t>uparujjhati</w:t>
      </w:r>
      <w:r>
        <w:rPr/>
        <w:t>) […]”</w:t>
      </w:r>
      <w:r>
        <w:rPr>
          <w:rStyle w:val="FootnoteReference"/>
        </w:rPr>
        <w:footnoteReference w:id="31"/>
      </w:r>
      <w:r>
        <w:rPr/>
        <w:t> Here </w:t>
      </w:r>
      <w:r>
        <w:rPr>
          <w:rStyle w:val="wwc-pali"/>
        </w:rPr>
        <w:t>uparujjhati</w:t>
      </w:r>
      <w:r>
        <w:rPr/>
        <w:t> of course refers to </w:t>
      </w:r>
      <w:r>
        <w:rPr>
          <w:rStyle w:val="wwc-pali"/>
        </w:rPr>
        <w:t>dukkha</w:t>
      </w:r>
      <w:r>
        <w:rPr/>
        <w:t>-</w:t>
      </w:r>
      <w:r>
        <w:rPr>
          <w:rStyle w:val="wwc-pali"/>
        </w:rPr>
        <w:t>nirodha</w:t>
      </w:r>
      <w:r>
        <w:rPr/>
        <w:t>, the </w:t>
      </w:r>
      <w:r>
        <w:rPr>
          <w:i/>
          <w:iCs/>
        </w:rPr>
        <w:t>cessation</w:t>
      </w:r>
      <w:r>
        <w:rPr/>
        <w:t> of suffering, not its “holding in check”.</w:t>
      </w:r>
    </w:p>
    <w:p>
      <w:pPr>
        <w:pStyle w:val="WW-paragraph"/>
        <w:numPr>
          <w:ilvl w:val="0"/>
          <w:numId w:val="1"/>
        </w:numPr>
        <w:rPr/>
      </w:pPr>
      <w:r>
        <w:rPr/>
        <w:t>The word ‘here’ (</w:t>
      </w:r>
      <w:r>
        <w:rPr>
          <w:rStyle w:val="wwc-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c-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wwc-pali"/>
        </w:rPr>
        <w:t>nāmarūpa</w:t>
      </w:r>
      <w:r>
        <w:rPr/>
        <w:t>.</w:t>
      </w:r>
      <w:r>
        <w:br w:type="page"/>
      </w:r>
    </w:p>
    <w:p>
      <w:pPr>
        <w:pStyle w:val="WW-Chapter"/>
        <w:spacing w:before="0" w:after="567"/>
        <w:ind w:hanging="0" w:start="0"/>
        <w:rPr/>
      </w:pPr>
      <w:r>
        <w:rPr/>
        <w:t>2. The Brahmanimantanika Sutta</w:t>
      </w:r>
    </w:p>
    <w:p>
      <w:pPr>
        <w:pStyle w:val="WW-paragraph"/>
        <w:rPr/>
      </w:pPr>
      <w:r>
        <w:rPr/>
        <w:t>The only other occurrence of </w:t>
      </w:r>
      <w:r>
        <w:rPr>
          <w:rStyle w:val="wwc-pali"/>
        </w:rPr>
        <w:t>viññāṇa</w:t>
      </w:r>
      <w:r>
        <w:rPr/>
        <w:t xml:space="preserve"> </w:t>
      </w:r>
      <w:r>
        <w:rPr>
          <w:rStyle w:val="wwc-pali"/>
        </w:rPr>
        <w:t>anidassana</w:t>
      </w:r>
      <w:r>
        <w:rPr/>
        <w:t xml:space="preserve"> is found in the </w:t>
      </w:r>
      <w:r>
        <w:rPr>
          <w:rStyle w:val="wwc-sesame"/>
        </w:rPr>
        <w:t>Brahmanimantanika Sutta</w:t>
      </w:r>
      <w:r>
        <w:rPr/>
        <w:t>,</w:t>
      </w:r>
      <w:r>
        <w:rPr>
          <w:rStyle w:val="FootnoteReference"/>
        </w:rPr>
        <w:footnoteReference w:id="34"/>
      </w:r>
      <w:r>
        <w:rPr/>
        <w:t xml:space="preserve"> which portrays a discussion between the Buddha and </w:t>
      </w:r>
      <w:r>
        <w:rPr>
          <w:rStyle w:val="wwc-sesame"/>
        </w:rPr>
        <w:t>Brahmā Baka</w:t>
      </w:r>
      <w:r>
        <w:rPr/>
        <w:t xml:space="preserve">. Here too, just like in the </w:t>
      </w:r>
      <w:r>
        <w:rPr>
          <w:rStyle w:val="wwc-sesame"/>
        </w:rPr>
        <w:t>Kevaddha Sutta</w:t>
      </w:r>
      <w:r>
        <w:rPr/>
        <w:t xml:space="preserve">, the Buddha shows his knowledge to be superior to a </w:t>
      </w:r>
      <w:r>
        <w:rPr>
          <w:rStyle w:val="wwc-sesame"/>
        </w:rPr>
        <w:t>Brahmā</w:t>
      </w:r>
      <w:r>
        <w:rPr/>
        <w:t xml:space="preserve">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 xml:space="preserve">Given the clarity of the phrase in the </w:t>
      </w:r>
      <w:r>
        <w:rPr>
          <w:rStyle w:val="wwc-sesame"/>
        </w:rPr>
        <w:t>Kevaddha Sutta</w:t>
      </w:r>
      <w:r>
        <w:rPr/>
        <w:t>,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wwc-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 xml:space="preserve">The second option relies on the fact that the different Pali versions disagree on who spoke the words quoted above. Only the Burmese edition attributes them to the Buddha; the Thai, Sri Lankan and PTS editions all attribute them to </w:t>
      </w:r>
      <w:r>
        <w:rPr>
          <w:rStyle w:val="wwc-sesame"/>
        </w:rPr>
        <w:t>Brahmā Baka</w:t>
      </w:r>
      <w:r>
        <w:rPr/>
        <w:t>.</w:t>
      </w:r>
      <w:r>
        <w:rPr>
          <w:rStyle w:val="FootnoteReference"/>
        </w:rPr>
        <w:footnoteReference w:id="38"/>
      </w:r>
      <w:r>
        <w:rPr/>
        <w:t> Moreover, the Burmese version is broken, missing an </w:t>
      </w:r>
      <w:r>
        <w:rPr>
          <w:rStyle w:val="wwc-pali"/>
        </w:rPr>
        <w:t>iti</w:t>
      </w:r>
      <w:r>
        <w:rPr/>
        <w:t xml:space="preserve"> (end quote marker) after the passage, which is needed to give the word back to </w:t>
      </w:r>
      <w:r>
        <w:rPr>
          <w:rStyle w:val="wwc-sesame"/>
        </w:rPr>
        <w:t>Baka</w:t>
      </w:r>
      <w:r>
        <w:rPr/>
        <w:t xml:space="preserve">. So it too does not fully attribute boundless consciousness to the Buddha. In the Chinese parallel in the </w:t>
      </w:r>
      <w:r>
        <w:rPr>
          <w:rStyle w:val="wwc-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 xml:space="preserve">Some translators follow the majority of editions and attribute the lines to </w:t>
      </w:r>
      <w:r>
        <w:rPr>
          <w:rStyle w:val="wwc-sesame"/>
        </w:rPr>
        <w:t>Baka</w:t>
      </w:r>
      <w:r>
        <w:rPr/>
        <w:t>,</w:t>
      </w:r>
      <w:r>
        <w:rPr>
          <w:rStyle w:val="FootnoteReference"/>
        </w:rPr>
        <w:footnoteReference w:id="40"/>
      </w:r>
      <w:r>
        <w:rPr/>
        <w:t> while others follow the unique Burmese edition and attribute them to the Buddha.</w:t>
      </w:r>
      <w:r>
        <w:rPr>
          <w:rStyle w:val="FootnoteReference"/>
        </w:rPr>
        <w:footnoteReference w:id="41"/>
      </w:r>
      <w:r>
        <w:rPr/>
        <w:t xml:space="preserve"> The latter might do so because the Buddha spoke the same lines in the </w:t>
      </w:r>
      <w:r>
        <w:rPr>
          <w:rStyle w:val="wwc-sesame"/>
        </w:rPr>
        <w:t>Kevaddha Sutta</w:t>
      </w:r>
      <w:r>
        <w:rPr/>
        <w:t xml:space="preserve">, but there is no reason why </w:t>
      </w:r>
      <w:r>
        <w:rPr>
          <w:rStyle w:val="wwc-sesame"/>
        </w:rPr>
        <w:t>Baka</w:t>
      </w:r>
      <w:r>
        <w:rPr/>
        <w:t xml:space="preserve"> could not have spoken them here. Lines of verse continually reoccur throughout the </w:t>
      </w:r>
      <w:r>
        <w:rPr>
          <w:rStyle w:val="wwc-sesame"/>
        </w:rPr>
        <w:t>Nikāyas</w:t>
      </w:r>
      <w:r>
        <w:rPr/>
        <w:t>, being spoken by different people. Adopting verses of others seems to have been a common practice of the time.</w:t>
      </w:r>
    </w:p>
    <w:p>
      <w:pPr>
        <w:pStyle w:val="WW-paragraph"/>
        <w:rPr/>
      </w:pPr>
      <w:r>
        <w:rPr/>
        <w:t xml:space="preserve">There are also some good contextual reasons to attribute the words to </w:t>
      </w:r>
      <w:r>
        <w:rPr>
          <w:rStyle w:val="wwc-sesame"/>
        </w:rPr>
        <w:t>Baka</w:t>
      </w:r>
      <w:r>
        <w:rPr/>
        <w:t>:</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 xml:space="preserve">The sutta begins with </w:t>
      </w:r>
      <w:r>
        <w:rPr>
          <w:rStyle w:val="wwc-sesame"/>
        </w:rPr>
        <w:t>Baka</w:t>
      </w:r>
      <w:r>
        <w:rPr/>
        <w:t xml:space="preserve">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wwc-pali"/>
        </w:rPr>
        <w:t>viññāṇa</w:t>
      </w:r>
      <w:r>
        <w:rPr/>
        <w:t xml:space="preserve"> </w:t>
      </w:r>
      <w:r>
        <w:rPr>
          <w:rStyle w:val="wwc-pali"/>
        </w:rPr>
        <w:t>anidassana</w:t>
      </w:r>
      <w:r>
        <w:rPr/>
        <w:t>, which he mistakes to be permanent, outside “the allness of all”.</w:t>
      </w:r>
    </w:p>
    <w:p>
      <w:pPr>
        <w:pStyle w:val="WW-paragraph"/>
        <w:numPr>
          <w:ilvl w:val="0"/>
          <w:numId w:val="2"/>
        </w:numPr>
        <w:rPr/>
      </w:pPr>
      <w:r>
        <w:rPr/>
        <w:t xml:space="preserve">After the words are spoken, </w:t>
      </w:r>
      <w:r>
        <w:rPr>
          <w:rStyle w:val="wwc-sesame"/>
        </w:rPr>
        <w:t>Baka</w:t>
      </w:r>
      <w:r>
        <w:rPr/>
        <w:t xml:space="preserve"> tries to vanish. This seems a random act, unless we translate </w:t>
      </w:r>
      <w:r>
        <w:rPr>
          <w:rStyle w:val="wwc-pali"/>
        </w:rPr>
        <w:t>anidassana</w:t>
      </w:r>
      <w:r>
        <w:rPr/>
        <w:t> as ‘invisible’ and attribute it to Baka. By attempting to vanish (which he fails to do) he might try to show off his attainment.</w:t>
      </w:r>
    </w:p>
    <w:p>
      <w:pPr>
        <w:pStyle w:val="WW-paragraph"/>
        <w:numPr>
          <w:ilvl w:val="0"/>
          <w:numId w:val="2"/>
        </w:numPr>
        <w:rPr/>
      </w:pPr>
      <w:r>
        <w:rPr/>
        <w:t xml:space="preserve">Just like in the </w:t>
      </w:r>
      <w:r>
        <w:rPr>
          <w:rStyle w:val="wwc-sesame"/>
        </w:rPr>
        <w:t>Kevaddha Sutta</w:t>
      </w:r>
      <w:r>
        <w:rPr/>
        <w:t>, the Buddha here too ends the conversation by alluding to cessation. He says: “I have seen existence will come to an end, so do not welcome any type of existence.”</w:t>
      </w:r>
      <w:r>
        <w:rPr>
          <w:rStyle w:val="FootnoteReference"/>
        </w:rPr>
        <w:footnoteReference w:id="43"/>
      </w:r>
      <w:r>
        <w:rPr/>
        <w:t xml:space="preserve"> Here “any type of existence” includes any type of consciousness, but the Buddha, trying to teach </w:t>
      </w:r>
      <w:r>
        <w:rPr>
          <w:rStyle w:val="wwc-sesame"/>
        </w:rPr>
        <w:t>Baka</w:t>
      </w:r>
      <w:r>
        <w:rPr/>
        <w:t xml:space="preserve">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c-sesame"/>
        </w:rPr>
        <w:t>Brahmanimantanika Sutta</w:t>
      </w:r>
      <w:r>
        <w:rPr/>
        <w:t xml:space="preserve"> is possible with the same reference [to boundless consciousness] being attributed to </w:t>
      </w:r>
      <w:r>
        <w:rPr>
          <w:rStyle w:val="wwc-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c-sesame"/>
        </w:rPr>
        <w:t>Brahmanimantanika Sutta</w:t>
      </w:r>
      <w:r>
        <w:rPr/>
        <w:t xml:space="preserve"> is also a very esoteric discourse, one of the most abstract in the entire Canon. According to Bhikkhu Bodhi it could be seen “as a dramatic representation of the same ideas set forth by the </w:t>
      </w:r>
      <w:r>
        <w:rPr>
          <w:rStyle w:val="wwc-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c-sesame"/>
        </w:rPr>
        <w:t>Baka Sutta</w:t>
      </w:r>
      <w:r>
        <w:rPr/>
        <w:t>,</w:t>
      </w:r>
      <w:r>
        <w:rPr>
          <w:rStyle w:val="FootnoteReference"/>
        </w:rPr>
        <w:footnoteReference w:id="46"/>
      </w:r>
      <w:r>
        <w:rPr/>
        <w:t xml:space="preserve"> a discourse in the </w:t>
      </w:r>
      <w:r>
        <w:rPr>
          <w:rStyle w:val="wwc-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ind w:hanging="0" w:start="0"/>
        <w:rPr/>
      </w:pPr>
      <w:r>
        <w:rPr/>
        <w:t>Conclusion</w:t>
      </w:r>
    </w:p>
    <w:p>
      <w:pPr>
        <w:pStyle w:val="WW-paragraph"/>
        <w:rPr/>
      </w:pPr>
      <w:r>
        <w:rPr/>
        <w:t xml:space="preserve">In the opening of the </w:t>
      </w:r>
      <w:r>
        <w:rPr>
          <w:rStyle w:val="wwc-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c-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c-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wwc-pali"/>
        </w:rPr>
        <w:t>viññāṇa</w:t>
      </w:r>
      <w:r>
        <w:rPr/>
        <w:t xml:space="preserve"> </w:t>
      </w:r>
      <w:r>
        <w:rPr>
          <w:rStyle w:val="wwc-pali"/>
        </w:rPr>
        <w:t>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ind w:hanging="0" w:start="0"/>
        <w:rPr/>
      </w:pPr>
      <w:r>
        <w:rPr/>
        <w:t>Addendum (2024)</w:t>
      </w:r>
    </w:p>
    <w:p>
      <w:pPr>
        <w:pStyle w:val="WW-paragraph"/>
        <w:rPr/>
      </w:pPr>
      <w:r>
        <w:rPr/>
        <w:t xml:space="preserve">This addendum discusses two passages that shed further light on the term </w:t>
      </w:r>
      <w:r>
        <w:rPr>
          <w:rStyle w:val="wwc-pali"/>
        </w:rPr>
        <w:t>anidassana</w:t>
      </w:r>
      <w:r>
        <w:rPr/>
        <w:t xml:space="preserve">. It also adds some thoughts on the brahmanic concepts which the </w:t>
      </w:r>
      <w:r>
        <w:rPr>
          <w:rStyle w:val="wwc-sesame"/>
        </w:rPr>
        <w:t>Brahmanimantanika Sutta</w:t>
      </w:r>
      <w:r>
        <w:rPr/>
        <w:t xml:space="preserve"> may be addressing.</w:t>
      </w:r>
    </w:p>
    <w:p>
      <w:pPr>
        <w:pStyle w:val="WW-chapter-section-1"/>
        <w:ind w:hanging="0" w:start="0"/>
        <w:rPr/>
      </w:pPr>
      <w:r>
        <w:rPr/>
        <w:t>Nidassana in the eight spheres of mastery</w:t>
      </w:r>
    </w:p>
    <w:p>
      <w:pPr>
        <w:pStyle w:val="WW-paragraph"/>
        <w:rPr/>
      </w:pPr>
      <w:r>
        <w:rPr/>
        <w:t xml:space="preserve">I thought the original essay exhausted all useful contexts for determining the meaning of </w:t>
      </w:r>
      <w:r>
        <w:rPr>
          <w:rStyle w:val="wwc-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wwc-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wwc-pali"/>
        </w:rPr>
        <w:t>nidassana</w:t>
      </w:r>
      <w:r>
        <w:rPr/>
        <w:t xml:space="preserve">)”. Even if the reader disagrees that this describes nimittas, the term </w:t>
      </w:r>
      <w:r>
        <w:rPr>
          <w:rStyle w:val="wwc-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wwc-pali"/>
        </w:rPr>
        <w:t>a–nidassana</w:t>
      </w:r>
      <w:r>
        <w:rPr/>
        <w:t xml:space="preserve"> in the state of boundless consciousness refers to the inability for any meditative forms to appear there (or “find a footing” there). So this too indicates that </w:t>
      </w:r>
      <w:r>
        <w:rPr>
          <w:rStyle w:val="wwc-pali"/>
        </w:rPr>
        <w:t>anidassana</w:t>
      </w:r>
      <w:r>
        <w:rPr/>
        <w:t xml:space="preserve"> is a synonym for </w:t>
      </w:r>
      <w:r>
        <w:rPr>
          <w:rStyle w:val="wwc-pali"/>
        </w:rPr>
        <w:t>arūpa</w:t>
      </w:r>
      <w:r>
        <w:rPr/>
        <w:t>.</w:t>
      </w:r>
    </w:p>
    <w:p>
      <w:pPr>
        <w:pStyle w:val="WW-paragraph"/>
        <w:rPr/>
      </w:pPr>
      <w:r>
        <w:rPr/>
        <w:t xml:space="preserve">With this in mind, instead of ‘invisible’, a better translation for </w:t>
      </w:r>
      <w:r>
        <w:rPr>
          <w:rStyle w:val="wwc-pali"/>
        </w:rPr>
        <w:t>anidassana</w:t>
      </w:r>
      <w:r>
        <w:rPr/>
        <w:t xml:space="preserve"> might be ‘where nothing appears’ or more briefly ‘without appearance’. In hindsight I would have used such a translation throughout the essay. In a key passage we then get “the sky is without form (</w:t>
      </w:r>
      <w:r>
        <w:rPr>
          <w:rStyle w:val="wwc-pali"/>
        </w:rPr>
        <w:t>arūpī</w:t>
      </w:r>
      <w:r>
        <w:rPr/>
        <w:t>), without appearance (</w:t>
      </w:r>
      <w:r>
        <w:rPr>
          <w:rStyle w:val="wwc-pali"/>
        </w:rPr>
        <w:t>anidassano</w:t>
      </w:r>
      <w:r>
        <w:rPr/>
        <w:t>)”.</w:t>
      </w:r>
    </w:p>
    <w:p>
      <w:pPr>
        <w:pStyle w:val="WW-chapter-section-1"/>
        <w:ind w:hanging="0" w:start="0"/>
        <w:rPr/>
      </w:pPr>
      <w:r>
        <w:rPr/>
        <w:t>Nibbāna as anidassana</w:t>
      </w:r>
    </w:p>
    <w:p>
      <w:pPr>
        <w:pStyle w:val="WW-paragraph"/>
        <w:rPr/>
      </w:pPr>
      <w:r>
        <w:rPr/>
        <w:t xml:space="preserve">Another passage worth addressing attributes </w:t>
      </w:r>
      <w:r>
        <w:rPr>
          <w:rStyle w:val="wwc-pali"/>
        </w:rPr>
        <w:t>anidassana</w:t>
      </w:r>
      <w:r>
        <w:rPr/>
        <w:t xml:space="preserve"> to nibbāna.</w:t>
      </w:r>
      <w:r>
        <w:rPr>
          <w:rStyle w:val="FootnoteReference"/>
        </w:rPr>
        <w:footnoteReference w:id="50"/>
      </w:r>
      <w:r>
        <w:rPr/>
        <w:t xml:space="preserve"> However, we can’t conclude that nibbāna is in all aspects equal to the boundless consciousness of the </w:t>
      </w:r>
      <w:r>
        <w:rPr>
          <w:rStyle w:val="wwc-sesame"/>
        </w:rPr>
        <w:t>Kevaddha Sutta</w:t>
      </w:r>
      <w:r>
        <w:rPr/>
        <w:t xml:space="preserve"> simply because the same adjective is used to describe both. Nibbāna is without sensual desire, but so are the jhānas and formless attainments. Likewise, not everything that is without appearances (</w:t>
      </w:r>
      <w:r>
        <w:rPr>
          <w:rStyle w:val="wwc-pali"/>
        </w:rPr>
        <w:t>anidassana</w:t>
      </w:r>
      <w:r>
        <w:rPr/>
        <w:t xml:space="preserve">) is equal to nibbāna. The sky is not nibbāna, for instance, even though it is also said to be without appearances. The passage that attributes </w:t>
      </w:r>
      <w:r>
        <w:rPr>
          <w:rStyle w:val="wwc-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wwc-pali"/>
        </w:rPr>
        <w:t>anidassana</w:t>
      </w:r>
      <w:r>
        <w:rPr/>
        <w:t xml:space="preserve"> in this one particular passage. It is part of a repetition series of thirty suttas, which seems to have been expanded over time, since the same series in the </w:t>
      </w:r>
      <w:r>
        <w:rPr>
          <w:rStyle w:val="wwc-sesame"/>
        </w:rPr>
        <w:t>Chinese Āgamas</w:t>
      </w:r>
      <w:r>
        <w:rPr/>
        <w:t xml:space="preserve"> is considerably shorter.</w:t>
      </w:r>
      <w:r>
        <w:rPr>
          <w:rStyle w:val="FootnoteReference"/>
        </w:rPr>
        <w:footnoteReference w:id="51"/>
      </w:r>
      <w:r>
        <w:rPr/>
        <w:t xml:space="preserve"> These parallels also appear to contain no equivalent for </w:t>
      </w:r>
      <w:r>
        <w:rPr>
          <w:rStyle w:val="wwc-pali"/>
        </w:rPr>
        <w:t>anidassana</w:t>
      </w:r>
      <w:r>
        <w:rPr/>
        <w:t>, so this term is most likely a late addition to the Pāli series.</w:t>
      </w:r>
    </w:p>
    <w:p>
      <w:pPr>
        <w:pStyle w:val="WW-paragraph"/>
        <w:rPr/>
      </w:pPr>
      <w:r>
        <w:rPr/>
        <w:t xml:space="preserve">To hypothesize a reason for this, it might be that the verse of the </w:t>
      </w:r>
      <w:r>
        <w:rPr>
          <w:rStyle w:val="wwc-sesame"/>
        </w:rPr>
        <w:t>Kevaddha Sutta</w:t>
      </w:r>
      <w:r>
        <w:rPr/>
        <w:t xml:space="preserve"> at an early time was already misunderstood to in some sense refer to nibbāna, and consequently </w:t>
      </w:r>
      <w:r>
        <w:rPr>
          <w:rStyle w:val="wwc-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wwc-pali"/>
        </w:rPr>
        <w:t>viññāṇa</w:t>
      </w:r>
      <w:r>
        <w:rPr/>
        <w:t xml:space="preserve"> not as ‘consciousness’ but as ‘to be understood’ (</w:t>
      </w:r>
      <w:r>
        <w:rPr>
          <w:rStyle w:val="wwc-pali"/>
        </w:rPr>
        <w:t>viññātabba</w:t>
      </w:r>
      <w:r>
        <w:rPr/>
        <w:t>). The word never means this anywhere else, however, and the commentarial interpretation is uncompelling for other reasons as well.</w:t>
      </w:r>
      <w:r>
        <w:rPr>
          <w:rStyle w:val="FootnoteReference"/>
        </w:rPr>
        <w:footnoteReference w:id="52"/>
      </w:r>
    </w:p>
    <w:p>
      <w:pPr>
        <w:pStyle w:val="WW-chapter-section-1"/>
        <w:ind w:hanging="0" w:start="0"/>
        <w:rPr/>
      </w:pPr>
      <w:r>
        <w:rPr/>
        <w:t>The Brahmanimantanika Sutta parodying Brahmanism</w:t>
      </w:r>
    </w:p>
    <w:p>
      <w:pPr>
        <w:pStyle w:val="WW-paragraph"/>
        <w:rPr/>
      </w:pPr>
      <w:r>
        <w:rPr/>
        <w:t xml:space="preserve">In the original essay I included a “speculative note” that the </w:t>
      </w:r>
      <w:r>
        <w:rPr>
          <w:rStyle w:val="wwc-sesame"/>
        </w:rPr>
        <w:t>Kevaddha Sutta</w:t>
      </w:r>
      <w:r>
        <w:rPr/>
        <w:t xml:space="preserve"> may be addressing brahmanical ideas on liberation. I since discovered that some statements in the earliest </w:t>
      </w:r>
      <w:r>
        <w:rPr>
          <w:rStyle w:val="wwc-sesame"/>
        </w:rPr>
        <w:t>Upaniṣads</w:t>
      </w:r>
      <w:r>
        <w:rPr/>
        <w:t xml:space="preserve"> are remarkably similar to the verses of this sutta. The </w:t>
      </w:r>
      <w:r>
        <w:rPr>
          <w:rStyle w:val="wwc-sesame"/>
        </w:rPr>
        <w:t>Bṛhadāraṇyaka Upaniṣad</w:t>
      </w:r>
      <w:r>
        <w:rPr/>
        <w:t xml:space="preserve"> uses the exact same words “boundless consciousness” for the goal that brahmins believed to be reached when </w:t>
      </w:r>
      <w:r>
        <w:rPr>
          <w:rStyle w:val="wwc-pali"/>
        </w:rPr>
        <w:t>nāma</w:t>
      </w:r>
      <w:r>
        <w:rPr/>
        <w:t xml:space="preserve"> and </w:t>
      </w:r>
      <w:r>
        <w:rPr>
          <w:rStyle w:val="wwc-pali"/>
        </w:rPr>
        <w:t>rūpa</w:t>
      </w:r>
      <w:r>
        <w:rPr/>
        <w:t xml:space="preserve"> are discarded. This goal, the unification of the Ātman and Brahman, is also described as “neither fine nor coarse, neither long nor short”. Among other indications, this made it clear to me that the </w:t>
      </w:r>
      <w:r>
        <w:rPr>
          <w:rStyle w:val="wwc-sesame"/>
        </w:rPr>
        <w:t>Kevaddha Sutta</w:t>
      </w:r>
      <w:r>
        <w:rPr/>
        <w:t xml:space="preserve">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w:t>
      </w:r>
      <w:r>
        <w:rPr>
          <w:rStyle w:val="wwc-sesame"/>
        </w:rPr>
        <w:t>Brahmanimantanika Sutta</w:t>
      </w:r>
      <w:r>
        <w:rPr/>
        <w:t xml:space="preserve">, a text which in many aspects is similar to the Kevaddha Sutta, the situation appears to be similar. As </w:t>
      </w:r>
      <w:r>
        <w:rPr>
          <w:rStyle w:val="wwc-sesame-zot-reference"/>
        </w:rPr>
        <w:t>Reat</w:t>
      </w:r>
      <w:r>
        <w:rPr/>
        <w:t xml:space="preserve"> already pointed out: “The Buddha seems to be poking fun at [brahmanic] monism when he recounts the story of an encounter with </w:t>
      </w:r>
      <w:r>
        <w:rPr>
          <w:rStyle w:val="wwc-sesame"/>
        </w:rPr>
        <w:t>Brahmā</w:t>
      </w:r>
      <w:r>
        <w:rPr/>
        <w:t>.”</w:t>
      </w:r>
      <w:r>
        <w:rPr>
          <w:rStyle w:val="FootnoteReference"/>
        </w:rPr>
        <w:footnoteReference w:id="54"/>
      </w:r>
      <w:r>
        <w:rPr/>
        <w:t xml:space="preserve"> My interpretation of </w:t>
      </w:r>
      <w:r>
        <w:rPr>
          <w:rStyle w:val="wwc-pali"/>
        </w:rPr>
        <w:t>viññāṇa</w:t>
      </w:r>
      <w:r>
        <w:rPr/>
        <w:t xml:space="preserve"> </w:t>
      </w:r>
      <w:r>
        <w:rPr>
          <w:rStyle w:val="wwc-pali"/>
        </w:rPr>
        <w:t>anidassana</w:t>
      </w:r>
      <w:r>
        <w:rPr/>
        <w:t xml:space="preserve"> doesn’t hinge on whether this is actually the case, but it is an interesting perspective to consider, as it can make this dense sutta a bit more relatable. </w:t>
      </w:r>
      <w:r>
        <w:rPr>
          <w:rStyle w:val="wwc-sesame-zot-reference"/>
        </w:rPr>
        <w:t>Reat</w:t>
      </w:r>
      <w:r>
        <w:rPr/>
        <w:t xml:space="preserve"> doesn’t expand, so the following are some initial thoughts on this.</w:t>
      </w:r>
    </w:p>
    <w:p>
      <w:pPr>
        <w:pStyle w:val="WW-paragraph"/>
        <w:rPr/>
      </w:pPr>
      <w:r>
        <w:rPr/>
        <w:t xml:space="preserve">The sutta starts with </w:t>
      </w:r>
      <w:r>
        <w:rPr>
          <w:rStyle w:val="wwc-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c-sesame"/>
        </w:rPr>
        <w:t>Brahmā</w:t>
      </w:r>
      <w:r>
        <w:rPr/>
        <w:t>. But grammatically it can’t refer directly to himself or his realm (</w:t>
      </w:r>
      <w:r>
        <w:rPr>
          <w:rStyle w:val="wwc-pali"/>
        </w:rPr>
        <w:t>brahmaloka</w:t>
      </w:r>
      <w:r>
        <w:rPr/>
        <w:t xml:space="preserve">), because both require a masculine pronoun while </w:t>
      </w:r>
      <w:r>
        <w:rPr>
          <w:rStyle w:val="wwc-sesame"/>
        </w:rPr>
        <w:t>Baka</w:t>
      </w:r>
      <w:r>
        <w:rPr/>
        <w:t xml:space="preserve"> uses the neuter ‘this’ (</w:t>
      </w:r>
      <w:r>
        <w:rPr>
          <w:rStyle w:val="wwc-pali"/>
        </w:rPr>
        <w:t>idaṃ</w:t>
      </w:r>
      <w:r>
        <w:rPr/>
        <w:t xml:space="preserve">). Considering the anti-brahmanic tone of the discourse, this description may (additionally) hint at the </w:t>
      </w:r>
      <w:r>
        <w:rPr>
          <w:rStyle w:val="wwc-sesame"/>
        </w:rPr>
        <w:t>Ātman</w:t>
      </w:r>
      <w:r>
        <w:rPr/>
        <w:t>/</w:t>
      </w:r>
      <w:r>
        <w:rPr>
          <w:rStyle w:val="wwc-sesame"/>
        </w:rPr>
        <w:t>Brahman</w:t>
      </w:r>
      <w:r>
        <w:rPr/>
        <w:t xml:space="preserve">, which in the </w:t>
      </w:r>
      <w:r>
        <w:rPr>
          <w:rStyle w:val="wwc-sesame"/>
        </w:rPr>
        <w:t>Upaniṣads</w:t>
      </w:r>
      <w:r>
        <w:rPr/>
        <w:t xml:space="preserve"> is referred to in the neuter and also described with terms like ‘eternal’, ‘whole’, ‘imperishable’, and ‘unborn’. The sage </w:t>
      </w:r>
      <w:r>
        <w:rPr>
          <w:rStyle w:val="wwc-sesame"/>
        </w:rPr>
        <w:t>Yājñavalkya</w:t>
      </w:r>
      <w:r>
        <w:rPr/>
        <w:t xml:space="preserve"> also describes this </w:t>
      </w:r>
      <w:r>
        <w:rPr>
          <w:rStyle w:val="wwc-sesame"/>
        </w:rPr>
        <w:t>Ātman</w:t>
      </w:r>
      <w:r>
        <w:rPr/>
        <w:t>/</w:t>
      </w:r>
      <w:r>
        <w:rPr>
          <w:rStyle w:val="wwc-sesame"/>
        </w:rPr>
        <w:t>Brahman</w:t>
      </w:r>
      <w:r>
        <w:rPr/>
        <w:t xml:space="preserve"> as a boundless consciousness.</w:t>
      </w:r>
      <w:r>
        <w:rPr>
          <w:rStyle w:val="FootnoteReference"/>
        </w:rPr>
        <w:footnoteReference w:id="55"/>
      </w:r>
      <w:r>
        <w:rPr/>
        <w:t xml:space="preserve"> Therefore—and since </w:t>
      </w:r>
      <w:r>
        <w:rPr>
          <w:rStyle w:val="wwc-pali"/>
        </w:rPr>
        <w:t>viññānaṃ</w:t>
      </w:r>
      <w:r>
        <w:rPr/>
        <w:t xml:space="preserve"> is also neuter—I think </w:t>
      </w:r>
      <w:r>
        <w:rPr>
          <w:rStyle w:val="wwc-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c-sesame"/>
        </w:rPr>
        <w:t>Brahmā</w:t>
      </w:r>
      <w:r>
        <w:rPr/>
        <w:t xml:space="preserve"> who spoke these words in the literal state of boundless consciousness, since it’s impossible to speak there. It would instead mean that </w:t>
      </w:r>
      <w:r>
        <w:rPr>
          <w:rStyle w:val="wwc-sesame"/>
        </w:rPr>
        <w:t>Brahmā</w:t>
      </w:r>
      <w:r>
        <w:rPr/>
        <w:t xml:space="preserve"> is a literary device, a parody of the goal of brahmins who aimed for a permanent state of boundless consciousness, also called </w:t>
      </w:r>
      <w:r>
        <w:rPr>
          <w:rStyle w:val="wwc-sesame"/>
        </w:rPr>
        <w:t>Brahman</w:t>
      </w:r>
      <w:r>
        <w:rPr/>
        <w:t xml:space="preserve">, ‘the Supreme’. In the </w:t>
      </w:r>
      <w:r>
        <w:rPr>
          <w:rStyle w:val="wwc-sesame"/>
        </w:rPr>
        <w:t>Upaniṣads</w:t>
      </w:r>
      <w:r>
        <w:rPr/>
        <w:t xml:space="preserve"> this universal </w:t>
      </w:r>
      <w:r>
        <w:rPr>
          <w:rStyle w:val="wwc-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c-sesame"/>
        </w:rPr>
        <w:t>Māra</w:t>
      </w:r>
      <w:r>
        <w:rPr/>
        <w:t xml:space="preserve"> possessing a god in </w:t>
      </w:r>
      <w:r>
        <w:rPr>
          <w:rStyle w:val="wwc-sesame"/>
        </w:rPr>
        <w:t>Brahmā</w:t>
      </w:r>
      <w:r>
        <w:rPr/>
        <w:t xml:space="preserve">’s retinue in order to tell the Buddha: “Don’t attack this being! For this is </w:t>
      </w:r>
      <w:r>
        <w:rPr>
          <w:rStyle w:val="wwc-sesame"/>
        </w:rPr>
        <w:t>Brahmā</w:t>
      </w:r>
      <w:r>
        <w:rPr/>
        <w:t xml:space="preserve">, the Great Brahmā, the Vanquisher, the Unvanquished, the Universal Seer, the Wielder of Power, God Almighty, the Maker, the Creator, the First, the Begetter, the Controller, the Father of those who have been born and those yet to be born.” If this is not an allusion to </w:t>
      </w:r>
      <w:r>
        <w:rPr>
          <w:rStyle w:val="wwc-sesame"/>
        </w:rPr>
        <w:t>Brahman</w:t>
      </w:r>
      <w:r>
        <w:rPr/>
        <w:t xml:space="preserve">, the source of all beings in the </w:t>
      </w:r>
      <w:r>
        <w:rPr>
          <w:rStyle w:val="wwc-sesame"/>
        </w:rPr>
        <w:t>Upaniṣads</w:t>
      </w:r>
      <w:r>
        <w:rPr/>
        <w:t xml:space="preserve">, I do not know what it is. Compare it with the opening of the </w:t>
      </w:r>
      <w:r>
        <w:rPr>
          <w:rStyle w:val="wwc-sesame"/>
        </w:rPr>
        <w:t>Muṇḍaka Upaniṣad</w:t>
      </w:r>
      <w:r>
        <w:rPr/>
        <w:t>: “</w:t>
      </w:r>
      <w:r>
        <w:rPr>
          <w:rStyle w:val="wwc-sesame"/>
        </w:rPr>
        <w:t>Brahmā</w:t>
      </w:r>
      <w:r>
        <w:rPr/>
        <w:t xml:space="preserve"> arose as the first among gods, as the creator of all […]. He is omniscient, he knows all.”</w:t>
      </w:r>
      <w:r>
        <w:rPr>
          <w:rStyle w:val="FootnoteReference"/>
        </w:rPr>
        <w:footnoteReference w:id="56"/>
      </w:r>
      <w:r>
        <w:rPr/>
        <w:t xml:space="preserve"> </w:t>
      </w:r>
      <w:r>
        <w:rPr>
          <w:rStyle w:val="wwc-sesame"/>
        </w:rPr>
        <w:t>Māra</w:t>
      </w:r>
      <w:r>
        <w:rPr/>
        <w:t xml:space="preserve">’s description of </w:t>
      </w:r>
      <w:r>
        <w:rPr>
          <w:rStyle w:val="wwc-sesame"/>
        </w:rPr>
        <w:t>Brahmā</w:t>
      </w:r>
      <w:r>
        <w:rPr/>
        <w:t xml:space="preserve"> also occurs in the </w:t>
      </w:r>
      <w:r>
        <w:rPr>
          <w:rStyle w:val="wwc-sesame"/>
        </w:rPr>
        <w:t>Brahmajāla Sutta</w:t>
      </w:r>
      <w:r>
        <w:rPr/>
        <w:t>, in what is unmistakably a parody rebuking brahmanic ideas of eternalism.</w:t>
      </w:r>
      <w:r>
        <w:rPr>
          <w:rStyle w:val="FootnoteReference"/>
        </w:rPr>
        <w:footnoteReference w:id="57"/>
      </w:r>
      <w:r>
        <w:rPr/>
        <w:t xml:space="preserve"> It also occurs in the </w:t>
      </w:r>
      <w:r>
        <w:rPr>
          <w:rStyle w:val="wwc-sesame"/>
        </w:rPr>
        <w:t>Kevaddha Sutta</w:t>
      </w:r>
      <w:r>
        <w:rPr/>
        <w:t xml:space="preserve">, where </w:t>
      </w:r>
      <w:r>
        <w:rPr>
          <w:rStyle w:val="wwc-sesame"/>
        </w:rPr>
        <w:t>Brahmā</w:t>
      </w:r>
      <w:r>
        <w:rPr/>
        <w:t xml:space="preserve"> repeatedly avoids answering the monk’s question by replying he is the Great Brahmā and so forth. By analogy, the </w:t>
      </w:r>
      <w:r>
        <w:rPr>
          <w:rStyle w:val="wwc-sesame"/>
        </w:rPr>
        <w:t>Brahmanimantanika Sutta</w:t>
      </w:r>
      <w:r>
        <w:rPr/>
        <w:t xml:space="preserve"> therefore also seems to be parodying brahmanic ideas. When “attacking” </w:t>
      </w:r>
      <w:r>
        <w:rPr>
          <w:rStyle w:val="wwc-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c-sesame"/>
        </w:rPr>
        <w:t>Brahmā</w:t>
      </w:r>
      <w:r>
        <w:rPr/>
        <w:t xml:space="preserve">, is indicated when </w:t>
      </w:r>
      <w:r>
        <w:rPr>
          <w:rStyle w:val="wwc-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c-sesame"/>
        </w:rPr>
        <w:t>Brahmā</w:t>
      </w:r>
      <w:r>
        <w:rPr/>
        <w:t xml:space="preserve"> can’t represent the brahmanic ideal of boundless consciousness because in the suttas </w:t>
      </w:r>
      <w:r>
        <w:rPr>
          <w:rStyle w:val="wwc-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c-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c-sesame"/>
        </w:rPr>
        <w:t>Brahmā</w:t>
      </w:r>
      <w:r>
        <w:rPr/>
        <w:t xml:space="preserve"> is called ‘Baka’. According to </w:t>
      </w:r>
      <w:r>
        <w:rPr>
          <w:rStyle w:val="wwc-sesame-zot-reference"/>
        </w:rPr>
        <w:t>Monier-Williams</w:t>
      </w:r>
      <w:r>
        <w:rPr/>
        <w:t xml:space="preserve"> the word </w:t>
      </w:r>
      <w:r>
        <w:rPr>
          <w:rStyle w:val="wwc-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c-sesame"/>
        </w:rPr>
        <w:t>Baka Brahmā</w:t>
      </w:r>
      <w:r>
        <w:rPr/>
        <w:t xml:space="preserve"> may actually be </w:t>
      </w:r>
      <w:r>
        <w:rPr>
          <w:rStyle w:val="wwc-sesame"/>
        </w:rPr>
        <w:t>Brahmā</w:t>
      </w:r>
      <w:r>
        <w:rPr/>
        <w:t xml:space="preserve"> the Fox. Why? Perhaps because many brahmins were deceived by the boundless consciousness they called </w:t>
      </w:r>
      <w:r>
        <w:rPr>
          <w:rStyle w:val="wwc-sesame"/>
        </w:rPr>
        <w:t>Brahman</w:t>
      </w:r>
      <w:r>
        <w:rPr/>
        <w:t>.</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c-sesame"/>
        </w:rPr>
        <w:t>Brahmā</w:t>
      </w:r>
      <w:r>
        <w:rPr/>
        <w:t xml:space="preserve">, where he mentions the cessation of existence, still portrays his highest aim. It is specifically this teaching which </w:t>
      </w:r>
      <w:r>
        <w:rPr>
          <w:rStyle w:val="wwc-sesame"/>
        </w:rPr>
        <w:t>Brahmā</w:t>
      </w:r>
      <w:r>
        <w:rPr/>
        <w:t xml:space="preserve"> praises after his eventual conversion, not boundless consciousness.</w:t>
      </w:r>
      <w:r>
        <w:br w:type="page"/>
      </w:r>
    </w:p>
    <w:p>
      <w:pPr>
        <w:pStyle w:val="WW-Chapter"/>
        <w:spacing w:before="0" w:after="567"/>
        <w:ind w:hanging="0" w:start="0"/>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WW-paragraph"/>
              <w:spacing w:before="170" w:after="170"/>
              <w:rPr/>
            </w:pPr>
            <w:r>
              <w:rPr/>
              <w:t>Dhp</w:t>
            </w:r>
          </w:p>
        </w:tc>
        <w:tc>
          <w:tcPr>
            <w:tcW w:w="3749" w:type="dxa"/>
            <w:tcBorders>
              <w:start w:val="single" w:sz="2" w:space="0" w:color="000000"/>
              <w:bottom w:val="single" w:sz="2" w:space="0" w:color="000000"/>
              <w:end w:val="single" w:sz="2" w:space="0" w:color="000000"/>
            </w:tcBorders>
            <w:vAlign w:val="center"/>
          </w:tcPr>
          <w:p>
            <w:pPr>
              <w:pStyle w:val="WW-paragraph"/>
              <w:spacing w:before="170" w:after="170"/>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Udāna</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0" w:after="57"/>
        <w:rPr/>
      </w:pPr>
      <w:r>
        <w:rPr>
          <w:rStyle w:val="FootnoteCharacters"/>
        </w:rPr>
        <w:footnoteRef/>
      </w:r>
      <w:r>
        <w:rPr/>
        <w:t>The first to equate </w:t>
      </w:r>
      <w:r>
        <w:rPr>
          <w:rStyle w:val="wwc-pali"/>
        </w:rPr>
        <w:t>viññāṇa</w:t>
      </w:r>
      <w:r>
        <w:rPr/>
        <w:t xml:space="preserve"> </w:t>
      </w:r>
      <w:r>
        <w:rPr>
          <w:rStyle w:val="wwc-pali"/>
        </w:rPr>
        <w:t>anidassana</w:t>
      </w:r>
      <w:r>
        <w:rPr/>
        <w:t> to nibbāna is, to my knowledge, </w:t>
      </w:r>
      <w:r>
        <w:rPr>
          <w:rStyle w:val="wwc-sesame-zot-reference"/>
        </w:rPr>
        <w:t>Falk</w:t>
      </w:r>
      <w:r>
        <w:rPr/>
        <w:t xml:space="preserve"> 1943. But this and similar ideas are still very alive today. </w:t>
      </w:r>
    </w:p>
  </w:footnote>
  <w:footnote w:id="3">
    <w:p>
      <w:pPr>
        <w:pStyle w:val="WW-footnote"/>
        <w:spacing w:before="0" w:after="57"/>
        <w:rPr/>
      </w:pPr>
      <w:r>
        <w:rPr>
          <w:rStyle w:val="FootnoteCharacters"/>
        </w:rPr>
        <w:footnoteRef/>
      </w:r>
      <w:r>
        <w:rPr/>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WW-footnote"/>
        <w:spacing w:before="0" w:after="57"/>
        <w:rPr/>
      </w:pPr>
      <w:r>
        <w:rPr>
          <w:rStyle w:val="FootnoteCharacters"/>
        </w:rPr>
        <w:footnoteRef/>
      </w:r>
      <w:r>
        <w:rPr>
          <w:rStyle w:val="wwc-sesame-zot-reference"/>
        </w:rPr>
        <w:t>Anālayo 2017</w:t>
      </w:r>
      <w:r>
        <w:rPr/>
        <w:t>, </w:t>
      </w:r>
      <w:r>
        <w:rPr>
          <w:rStyle w:val="wwc-sesame-zot-reference"/>
        </w:rPr>
        <w:t>Brahmali</w:t>
      </w:r>
      <w:r>
        <w:rPr/>
        <w:t>, </w:t>
      </w:r>
      <w:r>
        <w:rPr>
          <w:rStyle w:val="wwc-sesame-zot-reference"/>
        </w:rPr>
        <w:t>Sujato 2011a</w:t>
      </w:r>
      <w:r>
        <w:rPr/>
        <w:t>, and </w:t>
      </w:r>
      <w:r>
        <w:rPr>
          <w:rStyle w:val="wwc-sesame-zot-reference"/>
        </w:rPr>
        <w:t>Sujato 2011b</w:t>
      </w:r>
      <w:r>
        <w:rPr/>
        <w:t xml:space="preserve">, among others. </w:t>
      </w:r>
    </w:p>
  </w:footnote>
  <w:footnote w:id="6">
    <w:p>
      <w:pPr>
        <w:pStyle w:val="WW-footnote"/>
        <w:spacing w:before="0" w:after="57"/>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p>
  </w:footnote>
  <w:footnote w:id="8">
    <w:p>
      <w:pPr>
        <w:pStyle w:val="WW-footnote"/>
        <w:spacing w:before="0" w:after="57"/>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AN 11.17:3.1–3.3</w:t>
      </w:r>
      <w:r>
        <w:rPr>
          <w:rStyle w:val="Hyperlink"/>
        </w:rPr>
        <w:fldChar w:fldCharType="end"/>
      </w:r>
    </w:p>
  </w:footnote>
  <w:footnote w:id="9">
    <w:p>
      <w:pPr>
        <w:pStyle w:val="WW-footnote"/>
        <w:spacing w:before="0" w:after="57"/>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DN 11:85.11–85.27</w:t>
      </w:r>
      <w:r>
        <w:rPr>
          <w:rStyle w:val="Hyperlink"/>
        </w:rPr>
        <w:fldChar w:fldCharType="end"/>
      </w:r>
      <w:r>
        <w:rPr/>
        <w:t xml:space="preserve"> </w:t>
      </w:r>
      <w:r>
        <w:rPr>
          <w:rStyle w:val="wwc-PTS-reference"/>
        </w:rPr>
        <w:t>D I 223</w:t>
      </w:r>
      <w:r>
        <w:rPr/>
        <w:t xml:space="preserve"> ‘</w:t>
      </w:r>
      <w:r>
        <w:rPr>
          <w:rStyle w:val="wwc-pali"/>
        </w:rPr>
        <w:t>Kattha</w:t>
      </w:r>
      <w:r>
        <w:rPr/>
        <w:t xml:space="preserve"> </w:t>
      </w:r>
      <w:r>
        <w:rPr>
          <w:rStyle w:val="wwc-pali"/>
        </w:rPr>
        <w:t>āpo</w:t>
      </w:r>
      <w:r>
        <w:rPr/>
        <w:t xml:space="preserve"> </w:t>
      </w:r>
      <w:r>
        <w:rPr>
          <w:rStyle w:val="wwc-pali"/>
        </w:rPr>
        <w:t>ca</w:t>
      </w:r>
      <w:r>
        <w:rPr/>
        <w:t xml:space="preserve"> </w:t>
      </w:r>
      <w:r>
        <w:rPr>
          <w:rStyle w:val="wwc-pali"/>
        </w:rPr>
        <w:t>pathavī</w:t>
      </w:r>
      <w:r>
        <w:rPr/>
        <w:t xml:space="preserve">, </w:t>
      </w:r>
      <w:r>
        <w:rPr>
          <w:rStyle w:val="wwc-pali"/>
        </w:rPr>
        <w:t>tejo</w:t>
      </w:r>
      <w:r>
        <w:rPr/>
        <w:t xml:space="preserve"> </w:t>
      </w:r>
      <w:r>
        <w:rPr>
          <w:rStyle w:val="wwc-pali"/>
        </w:rPr>
        <w:t>vāyo</w:t>
      </w:r>
      <w:r>
        <w:rPr/>
        <w:t xml:space="preserve"> </w:t>
      </w:r>
      <w:r>
        <w:rPr>
          <w:rStyle w:val="wwc-pali"/>
        </w:rPr>
        <w:t>na</w:t>
      </w:r>
      <w:r>
        <w:rPr/>
        <w:t xml:space="preserve"> </w:t>
      </w:r>
      <w:r>
        <w:rPr>
          <w:rStyle w:val="wwc-pali"/>
        </w:rPr>
        <w:t>gādhati</w:t>
      </w:r>
      <w:r>
        <w:rPr/>
        <w:t xml:space="preserve">? </w:t>
      </w:r>
      <w:r>
        <w:rPr>
          <w:rStyle w:val="wwc-pali"/>
        </w:rPr>
        <w:t>Kattha</w:t>
      </w:r>
      <w:r>
        <w:rPr/>
        <w:t xml:space="preserve"> </w:t>
      </w:r>
      <w:r>
        <w:rPr>
          <w:rStyle w:val="wwc-pali"/>
        </w:rPr>
        <w:t>dīghañca</w:t>
      </w:r>
      <w:r>
        <w:rPr/>
        <w:t xml:space="preserve"> </w:t>
      </w:r>
      <w:r>
        <w:rPr>
          <w:rStyle w:val="wwc-pali"/>
        </w:rPr>
        <w:t>rassañca</w:t>
      </w:r>
      <w:r>
        <w:rPr/>
        <w:t xml:space="preserve">, </w:t>
      </w:r>
      <w:r>
        <w:rPr>
          <w:rStyle w:val="wwc-pali"/>
        </w:rPr>
        <w:t>aṇuṁ</w:t>
      </w:r>
      <w:r>
        <w:rPr/>
        <w:t xml:space="preserve"> </w:t>
      </w:r>
      <w:r>
        <w:rPr>
          <w:rStyle w:val="wwc-pali"/>
        </w:rPr>
        <w:t>thūlaṁ</w:t>
      </w:r>
      <w:r>
        <w:rPr/>
        <w:t xml:space="preserve"> </w:t>
      </w:r>
      <w:r>
        <w:rPr>
          <w:rStyle w:val="wwc-pali"/>
        </w:rPr>
        <w:t>subhāsubhaṁ</w:t>
      </w:r>
      <w:r>
        <w:rPr/>
        <w:t xml:space="preserve">; </w:t>
      </w:r>
      <w:r>
        <w:rPr>
          <w:rStyle w:val="wwc-pali"/>
        </w:rPr>
        <w:t>Kattha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uparujjhatī’ti</w:t>
      </w:r>
      <w:r>
        <w:rPr/>
        <w:t xml:space="preserve">? </w:t>
      </w:r>
      <w:r>
        <w:rPr>
          <w:rStyle w:val="wwc-pali"/>
        </w:rPr>
        <w:t>Tatra</w:t>
      </w:r>
      <w:r>
        <w:rPr/>
        <w:t xml:space="preserve"> </w:t>
      </w:r>
      <w:r>
        <w:rPr>
          <w:rStyle w:val="wwc-pali"/>
        </w:rPr>
        <w:t>veyyākaraṇaṁ</w:t>
      </w:r>
      <w:r>
        <w:rPr/>
        <w:t xml:space="preserve"> </w:t>
      </w:r>
      <w:r>
        <w:rPr>
          <w:rStyle w:val="wwc-pali"/>
        </w:rPr>
        <w:t>bhavati</w:t>
      </w:r>
      <w:r>
        <w:rPr/>
        <w:t>: ‘</w:t>
      </w:r>
      <w:r>
        <w:rPr>
          <w:rStyle w:val="wwc-pali"/>
        </w:rPr>
        <w:t>Viññāṇaṁ</w:t>
      </w:r>
      <w:r>
        <w:rPr/>
        <w:t xml:space="preserve"> </w:t>
      </w:r>
      <w:r>
        <w:rPr>
          <w:rStyle w:val="wwc-pali"/>
        </w:rPr>
        <w:t>anidassanaṁ</w:t>
      </w:r>
      <w:r>
        <w:rPr/>
        <w:t xml:space="preserve">, </w:t>
      </w:r>
      <w:r>
        <w:rPr>
          <w:rStyle w:val="wwc-pali"/>
        </w:rPr>
        <w:t>anantaṁ</w:t>
      </w:r>
      <w:r>
        <w:rPr/>
        <w:t xml:space="preserve"> </w:t>
      </w:r>
      <w:r>
        <w:rPr>
          <w:rStyle w:val="wwc-pali"/>
        </w:rPr>
        <w:t>sabbato</w:t>
      </w:r>
      <w:r>
        <w:rPr/>
        <w:t xml:space="preserve"> </w:t>
      </w:r>
      <w:r>
        <w:rPr>
          <w:rStyle w:val="wwc-pali"/>
        </w:rPr>
        <w:t>pabhaṁ</w:t>
      </w:r>
      <w:r>
        <w:rPr/>
        <w:t xml:space="preserve">; </w:t>
      </w:r>
      <w:r>
        <w:rPr>
          <w:rStyle w:val="wwc-pali"/>
        </w:rPr>
        <w:t>Ettha</w:t>
      </w:r>
      <w:r>
        <w:rPr/>
        <w:t xml:space="preserve"> </w:t>
      </w:r>
      <w:r>
        <w:rPr>
          <w:rStyle w:val="wwc-pali"/>
        </w:rPr>
        <w:t>āpo</w:t>
      </w:r>
      <w:r>
        <w:rPr/>
        <w:t xml:space="preserve"> </w:t>
      </w:r>
      <w:r>
        <w:rPr>
          <w:rStyle w:val="wwc-pali"/>
        </w:rPr>
        <w:t>ca</w:t>
      </w:r>
      <w:r>
        <w:rPr/>
        <w:t xml:space="preserve"> </w:t>
      </w:r>
      <w:r>
        <w:rPr>
          <w:rStyle w:val="wwc-pali"/>
        </w:rPr>
        <w:t>pathavī</w:t>
      </w:r>
      <w:r>
        <w:rPr/>
        <w:t xml:space="preserve">, </w:t>
      </w:r>
      <w:r>
        <w:rPr>
          <w:rStyle w:val="wwc-pali"/>
        </w:rPr>
        <w:t>tejo</w:t>
      </w:r>
      <w:r>
        <w:rPr/>
        <w:t xml:space="preserve"> </w:t>
      </w:r>
      <w:r>
        <w:rPr>
          <w:rStyle w:val="wwc-pali"/>
        </w:rPr>
        <w:t>vāyo</w:t>
      </w:r>
      <w:r>
        <w:rPr/>
        <w:t xml:space="preserve"> </w:t>
      </w:r>
      <w:r>
        <w:rPr>
          <w:rStyle w:val="wwc-pali"/>
        </w:rPr>
        <w:t>na</w:t>
      </w:r>
      <w:r>
        <w:rPr/>
        <w:t xml:space="preserve"> </w:t>
      </w:r>
      <w:r>
        <w:rPr>
          <w:rStyle w:val="wwc-pali"/>
        </w:rPr>
        <w:t>gādhati</w:t>
      </w:r>
      <w:r>
        <w:rPr/>
        <w:t xml:space="preserve">. </w:t>
      </w:r>
      <w:r>
        <w:rPr>
          <w:rStyle w:val="wwc-pali"/>
        </w:rPr>
        <w:t>Ettha</w:t>
      </w:r>
      <w:r>
        <w:rPr/>
        <w:t xml:space="preserve"> </w:t>
      </w:r>
      <w:r>
        <w:rPr>
          <w:rStyle w:val="wwc-pali"/>
        </w:rPr>
        <w:t>dīghañca</w:t>
      </w:r>
      <w:r>
        <w:rPr/>
        <w:t xml:space="preserve"> </w:t>
      </w:r>
      <w:r>
        <w:rPr>
          <w:rStyle w:val="wwc-pali"/>
        </w:rPr>
        <w:t>rassañca</w:t>
      </w:r>
      <w:r>
        <w:rPr/>
        <w:t xml:space="preserve">, </w:t>
      </w:r>
      <w:r>
        <w:rPr>
          <w:rStyle w:val="wwc-pali"/>
        </w:rPr>
        <w:t>aṇuṁ</w:t>
      </w:r>
      <w:r>
        <w:rPr/>
        <w:t xml:space="preserve"> </w:t>
      </w:r>
      <w:r>
        <w:rPr>
          <w:rStyle w:val="wwc-pali"/>
        </w:rPr>
        <w:t>thūlaṁ</w:t>
      </w:r>
      <w:r>
        <w:rPr/>
        <w:t xml:space="preserve"> </w:t>
      </w:r>
      <w:r>
        <w:rPr>
          <w:rStyle w:val="wwc-pali"/>
        </w:rPr>
        <w:t>subhāsubhaṁ</w:t>
      </w:r>
      <w:r>
        <w:rPr/>
        <w:t xml:space="preserve">; </w:t>
      </w:r>
      <w:r>
        <w:rPr>
          <w:rStyle w:val="wwc-pali"/>
        </w:rPr>
        <w:t>Ettha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uparujjhati</w:t>
      </w:r>
      <w:r>
        <w:rPr/>
        <w:t xml:space="preserve">; </w:t>
      </w:r>
      <w:r>
        <w:rPr>
          <w:rStyle w:val="wwc-pali"/>
        </w:rPr>
        <w:t>Viññāṇassa</w:t>
      </w:r>
      <w:r>
        <w:rPr/>
        <w:t xml:space="preserve"> </w:t>
      </w:r>
      <w:r>
        <w:rPr>
          <w:rStyle w:val="wwc-pali"/>
        </w:rPr>
        <w:t>nirodhena</w:t>
      </w:r>
      <w:r>
        <w:rPr/>
        <w:t xml:space="preserve">, </w:t>
      </w:r>
      <w:r>
        <w:rPr>
          <w:rStyle w:val="wwc-pali"/>
        </w:rPr>
        <w:t>etthetaṁ</w:t>
      </w:r>
      <w:r>
        <w:rPr/>
        <w:t xml:space="preserve"> </w:t>
      </w:r>
      <w:r>
        <w:rPr>
          <w:rStyle w:val="wwc-pali"/>
        </w:rPr>
        <w:t>uparujjhatī’ti</w:t>
      </w:r>
      <w:r>
        <w:rPr/>
        <w:t>.</w:t>
      </w:r>
    </w:p>
  </w:footnote>
  <w:footnote w:id="10">
    <w:p>
      <w:pPr>
        <w:pStyle w:val="WW-footnote"/>
        <w:spacing w:before="0" w:after="57"/>
        <w:rPr/>
      </w:pPr>
      <w:r>
        <w:rPr>
          <w:rStyle w:val="FootnoteCharacters"/>
        </w:rPr>
        <w:footnoteRef/>
      </w:r>
      <w:hyperlink r:id="rId1">
        <w:r>
          <w:rPr>
            <w:rStyle w:val="Hyperlink"/>
          </w:rPr>
          <w:t>Snp 4.11</w:t>
        </w:r>
      </w:hyperlink>
    </w:p>
  </w:footnote>
  <w:footnote w:id="11">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wwc-pali"/>
        </w:rPr>
        <w:t>anantaṁ</w:t>
      </w:r>
      <w:r>
        <w:rPr/>
        <w:t xml:space="preserve"> </w:t>
      </w:r>
      <w:r>
        <w:rPr>
          <w:rStyle w:val="wwc-pali"/>
        </w:rPr>
        <w:t>viññāṇan’ti</w:t>
      </w:r>
      <w:r>
        <w:rPr/>
        <w:t xml:space="preserve"> </w:t>
      </w:r>
      <w:r>
        <w:rPr>
          <w:rStyle w:val="wwc-pali"/>
        </w:rPr>
        <w:t>viññāṇañcāyatanaṁ</w:t>
      </w:r>
      <w:r>
        <w:rPr/>
        <w:t xml:space="preserve"> </w:t>
      </w:r>
      <w:r>
        <w:rPr>
          <w:rStyle w:val="wwc-pali"/>
        </w:rPr>
        <w:t>upasampajja</w:t>
      </w:r>
      <w:r>
        <w:rPr/>
        <w:t xml:space="preserve"> </w:t>
      </w:r>
      <w:r>
        <w:rPr>
          <w:rStyle w:val="wwc-pali"/>
        </w:rPr>
        <w:t>viharāti</w:t>
      </w:r>
      <w:r>
        <w:rPr/>
        <w:t>.</w:t>
      </w:r>
    </w:p>
  </w:footnote>
  <w:footnote w:id="12">
    <w:p>
      <w:pPr>
        <w:pStyle w:val="WW-footnote"/>
        <w:spacing w:before="0" w:after="57"/>
        <w:rPr/>
      </w:pPr>
      <w:r>
        <w:rPr>
          <w:rStyle w:val="FootnoteCharacters"/>
        </w:rPr>
        <w:footnoteRef/>
      </w:r>
      <w:r>
        <w:rPr>
          <w:rStyle w:val="wwc-sesame-zot-reference"/>
        </w:rPr>
        <w:t>Warder</w:t>
      </w:r>
    </w:p>
  </w:footnote>
  <w:footnote w:id="13">
    <w:p>
      <w:pPr>
        <w:pStyle w:val="WW-footnote"/>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AN 5.23:2.1–2.6</w:t>
      </w:r>
      <w:r>
        <w:rPr>
          <w:rStyle w:val="Hyperlink"/>
        </w:rPr>
        <w:fldChar w:fldCharType="end"/>
      </w:r>
      <w:r>
        <w:rPr/>
        <w:t xml:space="preserve">: </w:t>
      </w:r>
      <w:r>
        <w:rPr>
          <w:rStyle w:val="wwc-pali"/>
        </w:rPr>
        <w:t>Yato</w:t>
      </w:r>
      <w:r>
        <w:rPr/>
        <w:t xml:space="preserve"> </w:t>
      </w:r>
      <w:r>
        <w:rPr>
          <w:rStyle w:val="wwc-pali"/>
        </w:rPr>
        <w:t>ca</w:t>
      </w:r>
      <w:r>
        <w:rPr/>
        <w:t xml:space="preserve"> </w:t>
      </w:r>
      <w:r>
        <w:rPr>
          <w:rStyle w:val="wwc-pali"/>
        </w:rPr>
        <w:t>kho</w:t>
      </w:r>
      <w:r>
        <w:rPr/>
        <w:t xml:space="preserve">, </w:t>
      </w:r>
      <w:r>
        <w:rPr>
          <w:rStyle w:val="wwc-pali"/>
        </w:rPr>
        <w:t>bhikkhave</w:t>
      </w:r>
      <w:r>
        <w:rPr/>
        <w:t xml:space="preserve">, </w:t>
      </w:r>
      <w:r>
        <w:rPr>
          <w:rStyle w:val="wwc-pali"/>
        </w:rPr>
        <w:t>cittaṁ</w:t>
      </w:r>
      <w:r>
        <w:rPr/>
        <w:t xml:space="preserve"> </w:t>
      </w:r>
      <w:r>
        <w:rPr>
          <w:rStyle w:val="wwc-pali"/>
        </w:rPr>
        <w:t>imehi</w:t>
      </w:r>
      <w:r>
        <w:rPr/>
        <w:t xml:space="preserve"> </w:t>
      </w:r>
      <w:r>
        <w:rPr>
          <w:rStyle w:val="wwc-pali"/>
        </w:rPr>
        <w:t>pañcahi</w:t>
      </w:r>
      <w:r>
        <w:rPr/>
        <w:t xml:space="preserve"> </w:t>
      </w:r>
      <w:r>
        <w:rPr>
          <w:rStyle w:val="wwc-pali"/>
        </w:rPr>
        <w:t>upakkilesehi</w:t>
      </w:r>
      <w:r>
        <w:rPr/>
        <w:t xml:space="preserve"> </w:t>
      </w:r>
      <w:r>
        <w:rPr>
          <w:rStyle w:val="wwc-pali"/>
        </w:rPr>
        <w:t>vimuttaṁ</w:t>
      </w:r>
      <w:r>
        <w:rPr/>
        <w:t xml:space="preserve"> </w:t>
      </w:r>
      <w:r>
        <w:rPr>
          <w:rStyle w:val="wwc-pali"/>
        </w:rPr>
        <w:t>hoti</w:t>
      </w:r>
      <w:r>
        <w:rPr/>
        <w:t xml:space="preserve"> </w:t>
      </w:r>
      <w:r>
        <w:rPr>
          <w:i/>
          <w:iCs/>
        </w:rPr>
        <w:t>[…]</w:t>
      </w:r>
      <w:r>
        <w:rPr/>
        <w:t xml:space="preserve"> </w:t>
      </w:r>
      <w:r>
        <w:rPr>
          <w:rStyle w:val="wwc-pali"/>
        </w:rPr>
        <w:t>pabhassarañca</w:t>
      </w:r>
      <w:r>
        <w:rPr/>
        <w:t>.</w:t>
      </w:r>
    </w:p>
  </w:footnote>
  <w:footnote w:id="1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c-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WW-footnote"/>
        <w:spacing w:before="0" w:after="57"/>
        <w:rPr/>
      </w:pPr>
      <w:r>
        <w:rPr>
          <w:rStyle w:val="FootnoteCharacters"/>
        </w:rPr>
        <w:footnoteRef/>
      </w:r>
      <w:r>
        <w:rPr/>
        <w:t xml:space="preserve">Cf. e.g. Rhys Davids, </w:t>
      </w:r>
      <w:r>
        <w:rPr>
          <w:rStyle w:val="wwc-sesame-zot-reference"/>
        </w:rPr>
        <w:t>PED</w:t>
      </w:r>
      <w:r>
        <w:rPr/>
        <w:t>: “</w:t>
      </w:r>
      <w:r>
        <w:rPr>
          <w:rStyle w:val="wwc-pali"/>
        </w:rPr>
        <w:t>Rūpa</w:t>
      </w:r>
      <w:r>
        <w:rPr/>
        <w:t>: form, figure, appearance, principle of form, etc.”</w:t>
      </w:r>
    </w:p>
  </w:footnote>
  <w:footnote w:id="17">
    <w:p>
      <w:pPr>
        <w:pStyle w:val="WW-footnote"/>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DN 33:1.10.75–1.10.76</w:t>
      </w:r>
      <w:r>
        <w:rPr>
          <w:rStyle w:val="Hyperlink"/>
        </w:rPr>
        <w:fldChar w:fldCharType="end"/>
      </w:r>
      <w:r>
        <w:rPr/>
        <w:t xml:space="preserve"> </w:t>
      </w:r>
      <w:r>
        <w:rPr>
          <w:rStyle w:val="wwc-PTS-reference"/>
        </w:rPr>
        <w:t>D III 217</w:t>
      </w:r>
      <w:r>
        <w:rPr/>
        <w:t xml:space="preserve"> </w:t>
      </w:r>
      <w:r>
        <w:rPr>
          <w:rStyle w:val="wwc-pali"/>
        </w:rPr>
        <w:t>Tividhena</w:t>
      </w:r>
      <w:r>
        <w:rPr/>
        <w:t xml:space="preserve"> </w:t>
      </w:r>
      <w:r>
        <w:rPr>
          <w:rStyle w:val="wwc-pali"/>
        </w:rPr>
        <w:t>rūpasaṅgaho</w:t>
      </w:r>
      <w:r>
        <w:rPr/>
        <w:t xml:space="preserve">: </w:t>
      </w:r>
      <w:r>
        <w:rPr>
          <w:rStyle w:val="wwc-pali"/>
        </w:rPr>
        <w:t>sanidassanasappaṭighaṁ</w:t>
      </w:r>
      <w:r>
        <w:rPr/>
        <w:t xml:space="preserve"> </w:t>
      </w:r>
      <w:r>
        <w:rPr>
          <w:rStyle w:val="wwc-pali"/>
        </w:rPr>
        <w:t>rūpaṁ</w:t>
      </w:r>
      <w:r>
        <w:rPr/>
        <w:t xml:space="preserve">, </w:t>
      </w:r>
      <w:r>
        <w:rPr>
          <w:rStyle w:val="wwc-pali"/>
        </w:rPr>
        <w:t>anidassanasappaṭighaṁ</w:t>
      </w:r>
      <w:r>
        <w:rPr/>
        <w:t xml:space="preserve"> </w:t>
      </w:r>
      <w:r>
        <w:rPr>
          <w:rStyle w:val="wwc-pali"/>
        </w:rPr>
        <w:t>rūpaṁ</w:t>
      </w:r>
      <w:r>
        <w:rPr/>
        <w:t xml:space="preserve">, </w:t>
      </w:r>
      <w:r>
        <w:rPr>
          <w:rStyle w:val="wwc-pali"/>
        </w:rPr>
        <w:t>anidassanāppaṭighaṁ</w:t>
      </w:r>
      <w:r>
        <w:rPr/>
        <w:t xml:space="preserve"> </w:t>
      </w:r>
      <w:r>
        <w:rPr>
          <w:rStyle w:val="wwc-pali"/>
        </w:rPr>
        <w:t>rūpaṁ</w:t>
      </w:r>
      <w:r>
        <w:rPr/>
        <w:t>, “The threefold classification of form: visible tangible form, invisible tangible form, and invisible intangible form.”</w:t>
      </w:r>
    </w:p>
  </w:footnote>
  <w:footnote w:id="18">
    <w:p>
      <w:pPr>
        <w:pStyle w:val="WW-footnote"/>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MN 21:14.1–14.10</w:t>
      </w:r>
      <w:r>
        <w:rPr>
          <w:rStyle w:val="Hyperlink"/>
        </w:rPr>
        <w:fldChar w:fldCharType="end"/>
      </w:r>
    </w:p>
  </w:footnote>
  <w:footnote w:id="19">
    <w:p>
      <w:pPr>
        <w:pStyle w:val="WW-footnote"/>
        <w:spacing w:before="0" w:after="57"/>
        <w:rPr/>
      </w:pPr>
      <w:r>
        <w:rPr>
          <w:rStyle w:val="FootnoteCharacters"/>
        </w:rPr>
        <w:footnoteRef/>
      </w:r>
      <w:r>
        <w:rPr/>
        <w:t xml:space="preserve">Cf. </w:t>
      </w:r>
      <w:r>
        <w:rPr>
          <w:rStyle w:val="wwc-sesame-zot-reference"/>
        </w:rPr>
        <w:t>Anālayo 2017</w:t>
      </w:r>
      <w:r>
        <w:rPr/>
        <w:t xml:space="preserve"> p.13: “This [</w:t>
      </w:r>
      <w:r>
        <w:rPr>
          <w:rStyle w:val="wwc-pali"/>
        </w:rPr>
        <w:t>anidassana</w:t>
      </w:r>
      <w:r>
        <w:rPr/>
        <w:t xml:space="preserve">] also occurs in a description of space, which is said to be immaterial, </w:t>
      </w:r>
      <w:r>
        <w:rPr>
          <w:rStyle w:val="wwc-pali"/>
        </w:rPr>
        <w:t>arūpa</w:t>
      </w:r>
      <w:r>
        <w:rPr/>
        <w:t xml:space="preserve">, and invisible, </w:t>
      </w:r>
      <w:r>
        <w:rPr>
          <w:rStyle w:val="wwc-pali"/>
        </w:rPr>
        <w:t>anidassana</w:t>
      </w:r>
      <w:r>
        <w:rPr/>
        <w:t>, a context where the two terms seem to function as near synonyms.”</w:t>
      </w:r>
    </w:p>
  </w:footnote>
  <w:footnote w:id="20">
    <w:p>
      <w:pPr>
        <w:pStyle w:val="WW-footnote"/>
        <w:spacing w:before="0" w:after="57"/>
        <w:rPr/>
      </w:pPr>
      <w:r>
        <w:rPr>
          <w:rStyle w:val="FootnoteCharacters"/>
        </w:rPr>
        <w:footnoteRef/>
      </w:r>
      <w:r>
        <w:rPr>
          <w:rStyle w:val="wwc-sesame-zot-reference"/>
        </w:rPr>
        <w:t>Warder</w:t>
      </w:r>
      <w:r>
        <w:rPr/>
        <w:t xml:space="preserve"> p.354</w:t>
      </w:r>
    </w:p>
  </w:footnote>
  <w:footnote w:id="21">
    <w:p>
      <w:pPr>
        <w:pStyle w:val="WW-footnote"/>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AN 9.34:6.1–6.2</w:t>
      </w:r>
      <w:r>
        <w:rPr>
          <w:rStyle w:val="Hyperlink"/>
        </w:rPr>
        <w:fldChar w:fldCharType="end"/>
      </w:r>
    </w:p>
  </w:footnote>
  <w:footnote w:id="22">
    <w:p>
      <w:pPr>
        <w:pStyle w:val="WW-footnote"/>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c-sesame-zot-reference"/>
        </w:rPr>
        <w:t>Sujato 2011b</w:t>
      </w:r>
      <w:r>
        <w:rPr/>
        <w:t>.</w:t>
      </w:r>
    </w:p>
  </w:footnote>
  <w:footnote w:id="23">
    <w:p>
      <w:pPr>
        <w:pStyle w:val="WW-footnote"/>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Ud 8.1:3.1–3.4</w:t>
      </w:r>
      <w:r>
        <w:rPr>
          <w:rStyle w:val="Hyperlink"/>
        </w:rPr>
        <w:fldChar w:fldCharType="end"/>
      </w:r>
    </w:p>
  </w:footnote>
  <w:footnote w:id="24">
    <w:p>
      <w:pPr>
        <w:pStyle w:val="WW-footnote"/>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SN 1.27:2.5–2.6</w:t>
      </w:r>
      <w:r>
        <w:rPr>
          <w:rStyle w:val="Hyperlink"/>
        </w:rPr>
        <w:fldChar w:fldCharType="end"/>
      </w:r>
      <w:r>
        <w:rPr/>
        <w:t xml:space="preserve"> mentions the cessation of </w:t>
      </w:r>
      <w:r>
        <w:rPr>
          <w:rStyle w:val="wwc-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8">
        <w:r>
          <w:rPr>
            <w:rStyle w:val="Hyperlink"/>
          </w:rPr>
          <w:t>Dhp 409</w:t>
        </w:r>
      </w:hyperlink>
    </w:p>
  </w:footnote>
  <w:footnote w:id="26">
    <w:p>
      <w:pPr>
        <w:pStyle w:val="WW-footnote"/>
        <w:spacing w:before="0" w:after="57"/>
        <w:rPr/>
      </w:pPr>
      <w:r>
        <w:rPr>
          <w:rStyle w:val="FootnoteCharacters"/>
        </w:rPr>
        <w:footnoteRef/>
      </w:r>
      <w:r>
        <w:rPr>
          <w:rStyle w:val="wwc-pali"/>
        </w:rPr>
        <w:t>viññāṇanirodhā</w:t>
      </w:r>
      <w:r>
        <w:rPr/>
        <w:t xml:space="preserve"> </w:t>
      </w:r>
      <w:r>
        <w:rPr>
          <w:rStyle w:val="wwc-pali"/>
        </w:rPr>
        <w:t>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WW-footnote"/>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Snp 5.2:6.3–6.6</w:t>
      </w:r>
      <w:r>
        <w:rPr>
          <w:rStyle w:val="Hyperlink"/>
        </w:rPr>
        <w:fldChar w:fldCharType="end"/>
      </w:r>
      <w:r>
        <w:rPr/>
        <w:t xml:space="preserve">: </w:t>
      </w:r>
      <w:r>
        <w:rPr>
          <w:rStyle w:val="wwc-pali"/>
        </w:rPr>
        <w:t>yattha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uparujjhati</w:t>
      </w:r>
      <w:r>
        <w:rPr/>
        <w:t xml:space="preserve">; </w:t>
      </w:r>
      <w:r>
        <w:rPr>
          <w:rStyle w:val="wwc-pali"/>
        </w:rPr>
        <w:t>viññāṇassa</w:t>
      </w:r>
      <w:r>
        <w:rPr/>
        <w:t xml:space="preserve"> </w:t>
      </w:r>
      <w:r>
        <w:rPr>
          <w:rStyle w:val="wwc-pali"/>
        </w:rPr>
        <w:t>nirodhena</w:t>
      </w:r>
      <w:r>
        <w:rPr/>
        <w:t xml:space="preserve">, </w:t>
      </w:r>
      <w:r>
        <w:rPr>
          <w:rStyle w:val="wwc-pali"/>
        </w:rPr>
        <w:t>etthetaṁ</w:t>
      </w:r>
      <w:r>
        <w:rPr/>
        <w:t xml:space="preserve"> </w:t>
      </w:r>
      <w:r>
        <w:rPr>
          <w:rStyle w:val="wwc-pali"/>
        </w:rPr>
        <w:t>uparujjhati</w:t>
      </w:r>
      <w:r>
        <w:rPr/>
        <w:t>.</w:t>
      </w:r>
    </w:p>
  </w:footnote>
  <w:footnote w:id="28">
    <w:p>
      <w:pPr>
        <w:pStyle w:val="WW-footnote"/>
        <w:spacing w:before="0" w:after="57"/>
        <w:rPr/>
      </w:pPr>
      <w:r>
        <w:rPr>
          <w:rStyle w:val="FootnoteCharacters"/>
        </w:rPr>
        <w:footnoteRef/>
      </w:r>
      <w:hyperlink r:id="rId9">
        <w:r>
          <w:rPr>
            <w:rStyle w:val="Hyperlink"/>
          </w:rPr>
          <w:t>SN 35.28</w:t>
        </w:r>
      </w:hyperlink>
    </w:p>
  </w:footnote>
  <w:footnote w:id="29">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10">
        <w:r>
          <w:rPr>
            <w:rStyle w:val="Hyperlink"/>
          </w:rPr>
          <w:t>Dhp 409</w:t>
        </w:r>
      </w:hyperlink>
    </w:p>
  </w:footnote>
  <w:footnote w:id="30">
    <w:p>
      <w:pPr>
        <w:pStyle w:val="WW-footnote"/>
        <w:spacing w:before="0" w:after="57"/>
        <w:rPr/>
      </w:pPr>
      <w:r>
        <w:rPr>
          <w:rStyle w:val="FootnoteCharacters"/>
        </w:rPr>
        <w:footnoteRef/>
      </w:r>
      <w:r>
        <w:rPr>
          <w:rStyle w:val="wwc-sesame-zot-reference"/>
        </w:rPr>
        <w:t>Warder</w:t>
      </w:r>
      <w:r>
        <w:rPr/>
        <w:t xml:space="preserve"> p.354</w:t>
      </w:r>
    </w:p>
  </w:footnote>
  <w:footnote w:id="31">
    <w:p>
      <w:pPr>
        <w:pStyle w:val="WW-footnote"/>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SN 56.22:4.4, 6.4</w:t>
      </w:r>
      <w:r>
        <w:rPr>
          <w:rStyle w:val="Hyperlink"/>
        </w:rPr>
        <w:fldChar w:fldCharType="end"/>
      </w:r>
    </w:p>
  </w:footnote>
  <w:footnote w:id="32">
    <w:p>
      <w:pPr>
        <w:pStyle w:val="WW-footnote"/>
        <w:spacing w:before="0" w:after="57"/>
        <w:rPr/>
      </w:pPr>
      <w:r>
        <w:rPr>
          <w:rStyle w:val="FootnoteCharacters"/>
        </w:rPr>
        <w:footnoteRef/>
      </w:r>
      <w:r>
        <w:rPr/>
        <w:t xml:space="preserve">Cf. e.g. </w:t>
      </w:r>
      <w:r>
        <w:rPr>
          <w:rStyle w:val="wwc-sesame-zot-reference"/>
        </w:rPr>
        <w:t>Falk</w:t>
      </w:r>
      <w:r>
        <w:rPr/>
        <w:t xml:space="preserve"> p.15ff.</w:t>
      </w:r>
    </w:p>
  </w:footnote>
  <w:footnote w:id="33">
    <w:p>
      <w:pPr>
        <w:pStyle w:val="WW-footnote"/>
        <w:spacing w:before="0" w:after="57"/>
        <w:rPr/>
      </w:pPr>
      <w:r>
        <w:rPr>
          <w:rStyle w:val="FootnoteCharacters"/>
        </w:rPr>
        <w:footnoteRef/>
      </w:r>
      <w:r>
        <w:rPr/>
        <w:t xml:space="preserve">E.g. </w:t>
      </w:r>
      <w:r>
        <w:rPr>
          <w:rStyle w:val="wwc-sesame"/>
        </w:rPr>
        <w:t>Taittirīya Upaniṣad</w:t>
      </w:r>
      <w:r>
        <w:rPr/>
        <w:t xml:space="preserve"> 2.1.1: </w:t>
      </w:r>
      <w:r>
        <w:rPr>
          <w:rStyle w:val="wwc-sanskrit"/>
        </w:rPr>
        <w:t>satyaṁ jñānaṁ anantaṁ brahma, yo veda</w:t>
      </w:r>
      <w:r>
        <w:rPr/>
        <w:t>: “They who know Brahman as Truth, as knowledge, as boundless …”</w:t>
      </w:r>
    </w:p>
  </w:footnote>
  <w:footnote w:id="34">
    <w:p>
      <w:pPr>
        <w:pStyle w:val="WW-footnote"/>
        <w:spacing w:before="0" w:after="57"/>
        <w:rPr/>
      </w:pPr>
      <w:r>
        <w:rPr>
          <w:rStyle w:val="FootnoteCharacters"/>
        </w:rPr>
        <w:footnoteRef/>
      </w:r>
      <w:hyperlink r:id="rId11">
        <w:r>
          <w:rPr>
            <w:rStyle w:val="Hyperlink"/>
          </w:rPr>
          <w:t>MN 49</w:t>
        </w:r>
      </w:hyperlink>
    </w:p>
  </w:footnote>
  <w:footnote w:id="35">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49:25.1–25.3</w:t>
      </w:r>
      <w:r>
        <w:rPr>
          <w:rStyle w:val="Hyperlink"/>
        </w:rPr>
        <w:fldChar w:fldCharType="end"/>
      </w:r>
      <w:r>
        <w:rPr/>
        <w:t xml:space="preserve"> </w:t>
      </w:r>
      <w:r>
        <w:rPr>
          <w:rStyle w:val="wwc-PTS-reference"/>
        </w:rPr>
        <w:t>M I 329</w:t>
      </w:r>
    </w:p>
  </w:footnote>
  <w:footnote w:id="36">
    <w:p>
      <w:pPr>
        <w:pStyle w:val="WW-footnote"/>
        <w:spacing w:before="0" w:after="57"/>
        <w:rPr/>
      </w:pPr>
      <w:r>
        <w:rPr>
          <w:rStyle w:val="FootnoteCharacters"/>
        </w:rPr>
        <w:footnoteRef/>
      </w:r>
      <w:r>
        <w:rPr/>
        <w:t xml:space="preserve">Cf. </w:t>
      </w:r>
      <w:r>
        <w:rPr>
          <w:rStyle w:val="wwc-sesame"/>
        </w:rPr>
        <w:t>Bodhi in Ñāṇamoli n.509</w:t>
      </w:r>
      <w:r>
        <w:rPr/>
        <w:t>.</w:t>
      </w:r>
    </w:p>
  </w:footnote>
  <w:footnote w:id="37">
    <w:p>
      <w:pPr>
        <w:pStyle w:val="WW-footnote"/>
        <w:spacing w:before="0" w:after="57"/>
        <w:rPr/>
      </w:pPr>
      <w:r>
        <w:rPr>
          <w:rStyle w:val="FootnoteCharacters"/>
        </w:rPr>
        <w:footnoteRef/>
      </w:r>
      <w:hyperlink r:id="rId12">
        <w:r>
          <w:rPr>
            <w:rStyle w:val="Hyperlink"/>
          </w:rPr>
          <w:t>SN 35.23</w:t>
        </w:r>
      </w:hyperlink>
      <w:r>
        <w:rPr/>
        <w:t xml:space="preserve">. Cf. </w:t>
      </w:r>
      <w:hyperlink r:id="rId13">
        <w:r>
          <w:rPr>
            <w:rStyle w:val="Hyperlink"/>
          </w:rPr>
          <w:t>SN 35.28</w:t>
        </w:r>
      </w:hyperlink>
      <w:r>
        <w:rPr/>
        <w:t>.</w:t>
      </w:r>
    </w:p>
  </w:footnote>
  <w:footnote w:id="38">
    <w:p>
      <w:pPr>
        <w:pStyle w:val="WW-footnote"/>
        <w:spacing w:before="0" w:after="57"/>
        <w:rPr/>
      </w:pPr>
      <w:r>
        <w:rPr>
          <w:rStyle w:val="FootnoteCharacters"/>
        </w:rPr>
        <w:footnoteRef/>
      </w:r>
      <w:r>
        <w:rPr/>
        <w:t xml:space="preserve">I rely on </w:t>
      </w:r>
      <w:r>
        <w:rPr>
          <w:rStyle w:val="wwc-sesame-zot-reference"/>
        </w:rPr>
        <w:t>Anālayo 2010</w:t>
      </w:r>
      <w:r>
        <w:rPr/>
        <w:t xml:space="preserve"> p.297 n.158.</w:t>
      </w:r>
    </w:p>
  </w:footnote>
  <w:footnote w:id="39">
    <w:p>
      <w:pPr>
        <w:pStyle w:val="WW-footnote"/>
        <w:spacing w:before="0" w:after="57"/>
        <w:rPr/>
      </w:pPr>
      <w:r>
        <w:rPr>
          <w:rStyle w:val="FootnoteCharacters"/>
        </w:rPr>
        <w:footnoteRef/>
      </w:r>
      <w:hyperlink r:id="rId14">
        <w:r>
          <w:rPr>
            <w:rStyle w:val="Hyperlink"/>
          </w:rPr>
          <w:t>MĀ 78</w:t>
        </w:r>
      </w:hyperlink>
      <w:r>
        <w:rPr/>
        <w:t xml:space="preserve">. Cf. </w:t>
      </w:r>
      <w:r>
        <w:rPr>
          <w:rStyle w:val="wwc-sesame-zot-reference"/>
        </w:rPr>
        <w:t>Anālayo 2010</w:t>
      </w:r>
      <w:r>
        <w:rPr/>
        <w:t xml:space="preserve"> pp.296-297: “According to the </w:t>
      </w:r>
      <w:r>
        <w:rPr>
          <w:rStyle w:val="wwc-sesame"/>
        </w:rPr>
        <w:t>Madhyama-āgama</w:t>
      </w:r>
      <w:r>
        <w:rPr/>
        <w:t xml:space="preserve"> discourse, in reply to the Buddha's claim to superior knowledge, Brahmā affirmed to have infinite knowledge, an affirmation not recorded in the </w:t>
      </w:r>
      <w:r>
        <w:rPr>
          <w:rStyle w:val="wwc-sesame"/>
        </w:rPr>
        <w:t>Majjhima-nikāya</w:t>
      </w:r>
      <w:r>
        <w:rPr/>
        <w:t xml:space="preserve"> version. In this affirmation, Brahmā proclaims to be conscious of infinite [boundless] elements, to have infinite knowledge, and infinite vision.”</w:t>
      </w:r>
    </w:p>
  </w:footnote>
  <w:footnote w:id="40">
    <w:p>
      <w:pPr>
        <w:pStyle w:val="WW-footnote"/>
        <w:spacing w:before="0" w:after="57"/>
        <w:rPr/>
      </w:pPr>
      <w:r>
        <w:rPr>
          <w:rStyle w:val="FootnoteCharacters"/>
        </w:rPr>
        <w:footnoteRef/>
      </w:r>
      <w:r>
        <w:rPr/>
        <w:t xml:space="preserve">E.g. </w:t>
      </w:r>
      <w:r>
        <w:rPr>
          <w:rStyle w:val="wwc-sesame-zot-reference"/>
        </w:rPr>
        <w:t>Horner</w:t>
      </w:r>
      <w:r>
        <w:rPr/>
        <w:t xml:space="preserve"> and </w:t>
      </w:r>
      <w:r>
        <w:rPr>
          <w:rStyle w:val="wwc-sesame-zot-reference"/>
        </w:rPr>
        <w:t>Sujato 2018</w:t>
      </w:r>
      <w:r>
        <w:rPr/>
        <w:t>.</w:t>
      </w:r>
    </w:p>
  </w:footnote>
  <w:footnote w:id="41">
    <w:p>
      <w:pPr>
        <w:pStyle w:val="WW-footnote"/>
        <w:spacing w:before="0" w:after="57"/>
        <w:rPr/>
      </w:pPr>
      <w:r>
        <w:rPr>
          <w:rStyle w:val="FootnoteCharacters"/>
        </w:rPr>
        <w:footnoteRef/>
      </w:r>
      <w:r>
        <w:rPr/>
        <w:t xml:space="preserve">E.g. </w:t>
      </w:r>
      <w:r>
        <w:rPr>
          <w:rStyle w:val="wwc-sesame-zot-reference"/>
        </w:rPr>
        <w:t>Ñāṇamoli</w:t>
      </w:r>
      <w:r>
        <w:rPr/>
        <w:t xml:space="preserve"> and </w:t>
      </w:r>
      <w:r>
        <w:rPr>
          <w:rStyle w:val="wwc-sesame-zot-reference"/>
        </w:rPr>
        <w:t>Ṭhānissaro</w:t>
      </w:r>
      <w:r>
        <w:rPr/>
        <w:t>.</w:t>
      </w:r>
    </w:p>
  </w:footnote>
  <w:footnote w:id="42">
    <w:p>
      <w:pPr>
        <w:pStyle w:val="WW-footnote"/>
        <w:spacing w:before="0" w:after="57"/>
        <w:rPr/>
      </w:pPr>
      <w:r>
        <w:rPr>
          <w:rStyle w:val="FootnoteCharacters"/>
        </w:rPr>
        <w:footnoteRef/>
      </w:r>
      <w:r>
        <w:rPr>
          <w:rStyle w:val="wwc-PTS-reference"/>
        </w:rPr>
        <w:t>MN-A 2.134</w:t>
      </w:r>
    </w:p>
  </w:footnote>
  <w:footnote w:id="43">
    <w:p>
      <w:pPr>
        <w:pStyle w:val="WW-footnote"/>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MN 49:27.1–27.4</w:t>
      </w:r>
      <w:r>
        <w:rPr>
          <w:rStyle w:val="Hyperlink"/>
        </w:rPr>
        <w:fldChar w:fldCharType="end"/>
      </w:r>
      <w:r>
        <w:rPr/>
        <w:t xml:space="preserve"> </w:t>
      </w:r>
      <w:r>
        <w:rPr>
          <w:rStyle w:val="wwc-PTS-reference"/>
        </w:rPr>
        <w:t>M I 330</w:t>
      </w:r>
    </w:p>
  </w:footnote>
  <w:footnote w:id="44">
    <w:p>
      <w:pPr>
        <w:pStyle w:val="WW-footnote"/>
        <w:spacing w:before="0" w:after="57"/>
        <w:rPr/>
      </w:pPr>
      <w:r>
        <w:rPr>
          <w:rStyle w:val="FootnoteCharacters"/>
        </w:rPr>
        <w:footnoteRef/>
      </w:r>
      <w:r>
        <w:rPr>
          <w:rStyle w:val="wwc-sesame-zot-reference"/>
        </w:rPr>
        <w:t>Anālayo 2017</w:t>
      </w:r>
      <w:r>
        <w:rPr/>
        <w:t xml:space="preserve"> p.17</w:t>
      </w:r>
    </w:p>
  </w:footnote>
  <w:footnote w:id="45">
    <w:p>
      <w:pPr>
        <w:pStyle w:val="WW-footnote"/>
        <w:spacing w:before="0" w:after="57"/>
        <w:rPr/>
      </w:pPr>
      <w:r>
        <w:rPr>
          <w:rStyle w:val="FootnoteCharacters"/>
        </w:rPr>
        <w:footnoteRef/>
      </w:r>
      <w:r>
        <w:rPr>
          <w:rStyle w:val="wwc-sesame"/>
        </w:rPr>
        <w:t>Ñāṇamoli n.499</w:t>
      </w:r>
    </w:p>
  </w:footnote>
  <w:footnote w:id="46">
    <w:p>
      <w:pPr>
        <w:pStyle w:val="WW-footnote"/>
        <w:spacing w:before="0" w:after="57"/>
        <w:rPr/>
      </w:pPr>
      <w:r>
        <w:rPr>
          <w:rStyle w:val="FootnoteCharacters"/>
        </w:rPr>
        <w:footnoteRef/>
      </w:r>
      <w:hyperlink r:id="rId15">
        <w:r>
          <w:rPr>
            <w:rStyle w:val="Hyperlink"/>
          </w:rPr>
          <w:t>SN 6.4</w:t>
        </w:r>
      </w:hyperlink>
    </w:p>
  </w:footnote>
  <w:footnote w:id="47">
    <w:p>
      <w:pPr>
        <w:pStyle w:val="WW-footnote"/>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DN 16:4.8.1–4.11.15</w:t>
      </w:r>
      <w:r>
        <w:rPr>
          <w:rStyle w:val="Hyperlink"/>
        </w:rPr>
        <w:fldChar w:fldCharType="end"/>
      </w:r>
      <w:r>
        <w:rPr/>
        <w:t xml:space="preserve"> </w:t>
      </w:r>
      <w:r>
        <w:rPr>
          <w:rStyle w:val="wwc-PTS-reference"/>
        </w:rPr>
        <w:t>D II 125</w:t>
      </w:r>
    </w:p>
  </w:footnote>
  <w:footnote w:id="48">
    <w:p>
      <w:pPr>
        <w:pStyle w:val="WW-footnote"/>
        <w:spacing w:before="0" w:after="57"/>
        <w:rPr/>
      </w:pPr>
      <w:r>
        <w:rPr>
          <w:rStyle w:val="FootnoteCharacters"/>
        </w:rPr>
        <w:footnoteRef/>
      </w:r>
      <w:r>
        <w:rPr/>
        <w:t>The eight spheres of mastery (</w:t>
      </w:r>
      <w:r>
        <w:rPr>
          <w:rStyle w:val="wwc-pali"/>
        </w:rPr>
        <w:t>aṭṭha</w:t>
      </w:r>
      <w:r>
        <w:rPr/>
        <w:t xml:space="preserve"> </w:t>
      </w:r>
      <w:r>
        <w:rPr>
          <w:rStyle w:val="wwc-pali"/>
        </w:rPr>
        <w:t>abhibha</w:t>
      </w:r>
      <w:r>
        <w:rPr/>
        <w:t>-</w:t>
      </w:r>
      <w:r>
        <w:rPr>
          <w:rStyle w:val="wwc-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WW-footnote"/>
        <w:spacing w:before="0" w:after="57"/>
        <w:rPr/>
      </w:pPr>
      <w:r>
        <w:rPr>
          <w:rStyle w:val="FootnoteCharacters"/>
        </w:rPr>
        <w:footnoteRef/>
      </w:r>
      <w:r>
        <w:rPr>
          <w:rStyle w:val="wwc-sesame-zot-reference"/>
        </w:rPr>
        <w:t>Sujato 2018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WW-footnote"/>
        <w:spacing w:before="0" w:after="57"/>
        <w:rPr/>
      </w:pPr>
      <w:r>
        <w:rPr>
          <w:rStyle w:val="FootnoteCharacters"/>
        </w:rPr>
        <w:footnoteRef/>
      </w:r>
      <w:hyperlink r:id="rId26">
        <w:r>
          <w:rPr>
            <w:rStyle w:val="Hyperlink"/>
          </w:rPr>
          <w:t>SN 43.22</w:t>
        </w:r>
      </w:hyperlink>
    </w:p>
  </w:footnote>
  <w:footnote w:id="51">
    <w:p>
      <w:pPr>
        <w:pStyle w:val="WW-footnote"/>
        <w:spacing w:before="0" w:after="57"/>
        <w:rPr/>
      </w:pPr>
      <w:r>
        <w:rPr>
          <w:rStyle w:val="FootnoteCharacters"/>
        </w:rPr>
        <w:footnoteRef/>
      </w:r>
      <w:r>
        <w:rPr/>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WW-footnote"/>
        <w:spacing w:before="0" w:after="57"/>
        <w:rPr/>
      </w:pPr>
      <w:r>
        <w:rPr>
          <w:rStyle w:val="FootnoteCharacters"/>
        </w:rPr>
        <w:footnoteRef/>
      </w:r>
      <w:r>
        <w:rPr/>
        <w:t xml:space="preserve">See </w:t>
      </w:r>
      <w:r>
        <w:rPr>
          <w:rStyle w:val="wwc-sesame"/>
        </w:rPr>
        <w:t>Ñāṇamoli &amp; Bodhi n.513.</w:t>
      </w:r>
    </w:p>
  </w:footnote>
  <w:footnote w:id="53">
    <w:p>
      <w:pPr>
        <w:pStyle w:val="WW-footnote"/>
        <w:spacing w:before="0" w:after="57"/>
        <w:rPr/>
      </w:pPr>
      <w:r>
        <w:rPr>
          <w:rStyle w:val="FootnoteCharacters"/>
        </w:rPr>
        <w:footnoteRef/>
      </w:r>
      <w:r>
        <w:rPr>
          <w:rStyle w:val="wwc-sesame-zot-reference"/>
        </w:rPr>
        <w:t>Sunyo 2024</w:t>
      </w:r>
      <w:r>
        <w:rPr/>
        <w:t xml:space="preserve"> Ch.8, ‘Brahmanic beliefs in </w:t>
      </w:r>
      <w:r>
        <w:rPr>
          <w:rStyle w:val="wwc-pali"/>
        </w:rPr>
        <w:t>nāmarūpa</w:t>
      </w:r>
      <w:r>
        <w:rPr/>
        <w:t xml:space="preserve"> -less consciousness’</w:t>
      </w:r>
    </w:p>
  </w:footnote>
  <w:footnote w:id="54">
    <w:p>
      <w:pPr>
        <w:pStyle w:val="WW-footnote"/>
        <w:spacing w:before="0" w:after="57"/>
        <w:rPr/>
      </w:pPr>
      <w:r>
        <w:rPr>
          <w:rStyle w:val="FootnoteCharacters"/>
        </w:rPr>
        <w:footnoteRef/>
      </w:r>
      <w:r>
        <w:rPr>
          <w:rStyle w:val="wwc-sesame-zot-reference"/>
        </w:rPr>
        <w:t>Reat</w:t>
      </w:r>
      <w:r>
        <w:rPr/>
        <w:t xml:space="preserve"> p.287</w:t>
      </w:r>
    </w:p>
  </w:footnote>
  <w:footnote w:id="55">
    <w:p>
      <w:pPr>
        <w:pStyle w:val="WW-footnote"/>
        <w:spacing w:before="0" w:after="57"/>
        <w:rPr/>
      </w:pPr>
      <w:r>
        <w:rPr>
          <w:rStyle w:val="FootnoteCharacters"/>
        </w:rPr>
        <w:footnoteRef/>
      </w:r>
      <w:r>
        <w:rPr/>
        <w:t>BU 2.4.12</w:t>
      </w:r>
    </w:p>
  </w:footnote>
  <w:footnote w:id="56">
    <w:p>
      <w:pPr>
        <w:pStyle w:val="WW-footnote"/>
        <w:spacing w:before="0" w:after="57"/>
        <w:rPr/>
      </w:pPr>
      <w:r>
        <w:rPr>
          <w:rStyle w:val="FootnoteCharacters"/>
        </w:rPr>
        <w:footnoteRef/>
      </w:r>
      <w:r>
        <w:rPr>
          <w:rStyle w:val="wwc-sesame"/>
        </w:rPr>
        <w:t>MuṇU</w:t>
      </w:r>
      <w:r>
        <w:rPr/>
        <w:t xml:space="preserve"> 1.1, translation </w:t>
      </w:r>
      <w:r>
        <w:rPr>
          <w:rStyle w:val="wwc-sesame-zot-reference"/>
        </w:rPr>
        <w:t>Olivelle</w:t>
      </w:r>
      <w:r>
        <w:rPr/>
        <w:t>.</w:t>
      </w:r>
    </w:p>
  </w:footnote>
  <w:footnote w:id="57">
    <w:p>
      <w:pPr>
        <w:pStyle w:val="WW-footnote"/>
        <w:spacing w:before="0" w:after="57"/>
        <w:rPr/>
      </w:pPr>
      <w:r>
        <w:rPr>
          <w:rStyle w:val="FootnoteCharacters"/>
        </w:rPr>
        <w:footnoteRef/>
      </w:r>
      <w:r>
        <w:rPr/>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c-sesame-zot-reference"/>
        </w:rPr>
        <w:t>Sunyo 2023</w:t>
      </w:r>
      <w:r>
        <w:rPr/>
        <w:t>.</w:t>
      </w:r>
    </w:p>
  </w:footnote>
  <w:footnote w:id="58">
    <w:p>
      <w:pPr>
        <w:pStyle w:val="WW-footnote"/>
        <w:spacing w:before="0" w:after="57"/>
        <w:rPr/>
      </w:pPr>
      <w:r>
        <w:rPr>
          <w:rStyle w:val="FootnoteCharacters"/>
        </w:rPr>
        <w:footnoteRef/>
      </w:r>
      <w:r>
        <w:rPr>
          <w:rStyle w:val="wwc-sesame-zot-reference"/>
        </w:rPr>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FCE4EC"/>
      <w:shd w:fill="A1887F"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fals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Comment">
    <w:name w:val="Comment"/>
    <w:basedOn w:val="Normal"/>
    <w:qFormat/>
    <w:pPr>
      <w:spacing w:before="56" w:after="0"/>
      <w:ind w:start="56" w:end="56"/>
    </w:pPr>
    <w:rPr>
      <w:sz w:val="20"/>
      <w:szCs w:val="20"/>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4222</TotalTime>
  <Application>LibreOffice/24.8.5.2$Windows_X86_64 LibreOffice_project/fddf2685c70b461e7832239a0162a77216259f22</Application>
  <AppVersion>15.0000</AppVersion>
  <Pages>20</Pages>
  <Words>6991</Words>
  <Characters>35804</Characters>
  <CharactersWithSpaces>42533</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2025-03-13T16:25:58Z</dcterms:modified>
  <cp:revision>497</cp:revision>
  <dc:subject/>
  <dc:title/>
</cp:coreProperties>
</file>

<file path=docProps/custom.xml><?xml version="1.0" encoding="utf-8"?>
<Properties xmlns="http://schemas.openxmlformats.org/officeDocument/2006/custom-properties" xmlns:vt="http://schemas.openxmlformats.org/officeDocument/2006/docPropsVTypes"/>
</file>