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>#</w:t>
      </w:r>
      <w:r w:rsidRPr="00A8587A">
        <w:t>616</w:t>
      </w:r>
      <w:r w:rsidRPr="00A8587A">
        <w:t>- …</w:t>
      </w:r>
      <w:r w:rsidRPr="00A8587A">
        <w:t xml:space="preserve">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</w:t>
      </w:r>
      <w:r>
        <w:rPr>
          <w:color w:val="943634" w:themeColor="accent2" w:themeShade="BF"/>
        </w:rPr>
        <w:t>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 xml:space="preserve">The first three references are mentioned in notes </w:t>
      </w:r>
      <w:bookmarkStart w:id="0" w:name="_GoBack"/>
      <w:r>
        <w:rPr>
          <w:color w:val="943634" w:themeColor="accent2" w:themeShade="BF"/>
        </w:rPr>
        <w:t xml:space="preserve">directly </w:t>
      </w:r>
      <w:bookmarkEnd w:id="0"/>
      <w:r>
        <w:rPr>
          <w:color w:val="943634" w:themeColor="accent2" w:themeShade="BF"/>
        </w:rPr>
        <w:t>above so they may be superfluous here?</w:t>
      </w:r>
    </w:p>
    <w:p w:rsidR="00AA4DE7" w:rsidRDefault="00AA4DE7" w:rsidP="008E0D0D">
      <w:pPr>
        <w:rPr>
          <w:color w:val="943634" w:themeColor="accent2" w:themeShade="BF"/>
        </w:rPr>
      </w:pPr>
    </w:p>
    <w:p w:rsidR="00AA4DE7" w:rsidRDefault="00AA4DE7" w:rsidP="008E0D0D">
      <w:pPr>
        <w:rPr>
          <w:color w:val="943634" w:themeColor="accent2" w:themeShade="BF"/>
        </w:rPr>
      </w:pPr>
    </w:p>
    <w:p w:rsidR="00AA4DE7" w:rsidRPr="00867E9A" w:rsidRDefault="00AA4DE7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FA" w:rsidRDefault="00C200FA" w:rsidP="00AB2650">
      <w:pPr>
        <w:spacing w:after="0" w:line="240" w:lineRule="auto"/>
      </w:pPr>
      <w:r>
        <w:separator/>
      </w:r>
    </w:p>
  </w:endnote>
  <w:endnote w:type="continuationSeparator" w:id="0">
    <w:p w:rsidR="00C200FA" w:rsidRDefault="00C200FA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FA" w:rsidRDefault="00C200FA" w:rsidP="00AB2650">
      <w:pPr>
        <w:spacing w:after="0" w:line="240" w:lineRule="auto"/>
      </w:pPr>
      <w:r>
        <w:separator/>
      </w:r>
    </w:p>
  </w:footnote>
  <w:footnote w:type="continuationSeparator" w:id="0">
    <w:p w:rsidR="00C200FA" w:rsidRDefault="00C200FA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47C90"/>
    <w:rsid w:val="00F85858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16</cp:revision>
  <cp:lastPrinted>2023-03-08T11:35:00Z</cp:lastPrinted>
  <dcterms:created xsi:type="dcterms:W3CDTF">2023-06-17T10:27:00Z</dcterms:created>
  <dcterms:modified xsi:type="dcterms:W3CDTF">2023-07-07T10:28:00Z</dcterms:modified>
</cp:coreProperties>
</file>