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943634" w:themeColor="accent2" w:themeShade="BF"/>
              </w:rPr>
              <w:t xml:space="preserve">#39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#52-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BE3C18" w:rsidP="00BE3C18">
            <w:r>
              <w:t>#71 &amp; #72 are the same reference and quite close together.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AC1CAA" w:rsidP="00AC1CAA">
            <w:pPr>
              <w:rPr>
                <w:color w:val="943634" w:themeColor="accent2" w:themeShade="BF"/>
              </w:rPr>
            </w:pPr>
            <w:r>
              <w:t xml:space="preserve">#101-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</w:r>
            <w:r w:rsidRPr="00AC1CAA">
              <w:t xml:space="preserve">#101- </w:t>
            </w:r>
            <w:proofErr w:type="spellStart"/>
            <w:r w:rsidRPr="00AC1CAA">
              <w:rPr>
                <w:b/>
                <w:bCs/>
              </w:rPr>
              <w:t>Taittī</w:t>
            </w:r>
            <w:r w:rsidRPr="00AC1CAA">
              <w:rPr>
                <w:b/>
                <w:bCs/>
              </w:rPr>
              <w:t>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</w:tc>
      </w:tr>
      <w:tr w:rsidR="00C54FC0" w:rsidRPr="00425655" w:rsidTr="000B2046">
        <w:tc>
          <w:tcPr>
            <w:tcW w:w="9242" w:type="dxa"/>
          </w:tcPr>
          <w:p w:rsidR="00C54FC0" w:rsidRPr="00506527" w:rsidRDefault="00506527" w:rsidP="00FB7B85">
            <w:r w:rsidRPr="00506527">
              <w:t>#110- See Jain 2014 -&gt;</w:t>
            </w:r>
          </w:p>
          <w:p w:rsidR="00506527" w:rsidRPr="00425655" w:rsidRDefault="00506527" w:rsidP="00FB7B85">
            <w:pPr>
              <w:rPr>
                <w:color w:val="943634" w:themeColor="accent2" w:themeShade="BF"/>
              </w:rPr>
            </w:pPr>
            <w:r w:rsidRPr="00506527">
              <w:t xml:space="preserve">#110- See </w:t>
            </w:r>
            <w:proofErr w:type="spellStart"/>
            <w:r w:rsidRPr="00506527">
              <w:t>Jain</w:t>
            </w:r>
            <w:r w:rsidRPr="00506527">
              <w:t>i</w:t>
            </w:r>
            <w:proofErr w:type="spellEnd"/>
            <w:r w:rsidRPr="00506527">
              <w:t xml:space="preserve"> 2014</w:t>
            </w:r>
            <w:bookmarkStart w:id="0" w:name="_GoBack"/>
            <w:bookmarkEnd w:id="0"/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#138-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#380- Vin.I,301-302, -&gt; Vin.IV,301-302,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lastRenderedPageBreak/>
              <w:t xml:space="preserve">#399-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#401- Vin.IV,465 -&gt; Vin.IV,65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rFonts w:eastAsia="SimSun"/>
              </w:rPr>
            </w:pPr>
            <w:r w:rsidRPr="00425655">
              <w:t>#409-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#419- Vin.IV</w:t>
            </w:r>
            <w:proofErr w:type="gramStart"/>
            <w:r w:rsidRPr="00425655">
              <w:t>,189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#422- M.I,206; -&gt; M.III,206;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#433- S.V,450 -&gt; S.V,405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#444- also M.I</w:t>
            </w:r>
            <w:proofErr w:type="gramStart"/>
            <w:r w:rsidRPr="00425655">
              <w:t>,149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000000" w:themeColor="text1"/>
              </w:rPr>
              <w:t xml:space="preserve">#456-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#466-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>Is  Yājñavalkya</w:t>
            </w:r>
            <w:proofErr w:type="gramEnd"/>
            <w:r w:rsidRPr="00425655">
              <w:rPr>
                <w:color w:val="943634" w:themeColor="accent2" w:themeShade="BF"/>
              </w:rPr>
              <w:t xml:space="preserve"> Dharmasūtra in an Olivelle book or do you have another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#474-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#525- S.I,129 -&gt; Thi.42-44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#587-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#595- Ja.III,15 -&gt; Ja.II,15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 w:rsidRPr="00425655">
              <w:t xml:space="preserve">#616- … work will be reborn in a very unpleasant purgatory, Mvu.I, </w:t>
            </w:r>
            <w:r w:rsidRPr="00425655">
              <w:rPr>
                <w:b/>
                <w:bCs/>
              </w:rPr>
              <w:t>pp</w:t>
            </w:r>
            <w:r w:rsidRPr="00425655">
              <w:t>.18</w:t>
            </w:r>
            <w:proofErr w:type="gramStart"/>
            <w:r w:rsidRPr="00425655">
              <w:t>,22</w:t>
            </w:r>
            <w:proofErr w:type="gramEnd"/>
            <w:r w:rsidRPr="00425655">
              <w:t>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#624- </w:t>
            </w:r>
            <w:r w:rsidRPr="00425655">
              <w:rPr>
                <w:b/>
                <w:bCs/>
              </w:rPr>
              <w:t>S.I</w:t>
            </w:r>
            <w:proofErr w:type="gramStart"/>
            <w:r w:rsidRPr="00425655">
              <w:rPr>
                <w:b/>
                <w:bCs/>
              </w:rPr>
              <w:t>,81</w:t>
            </w:r>
            <w:proofErr w:type="gramEnd"/>
            <w:r w:rsidRPr="00425655">
              <w:rPr>
                <w:b/>
                <w:bCs/>
              </w:rPr>
              <w:t>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#644- A.IV</w:t>
            </w:r>
            <w:proofErr w:type="gramStart"/>
            <w:r w:rsidRPr="00425655">
              <w:t>,241</w:t>
            </w:r>
            <w:proofErr w:type="gramEnd"/>
            <w:r w:rsidRPr="00425655">
              <w:t xml:space="preserve">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#655- </w:t>
            </w:r>
            <w:proofErr w:type="spellStart"/>
            <w:r w:rsidRPr="00425655">
              <w:t>Mhv</w:t>
            </w:r>
            <w:proofErr w:type="spellEnd"/>
            <w:r w:rsidRPr="00425655">
              <w:t>. II</w:t>
            </w:r>
            <w:proofErr w:type="gramStart"/>
            <w:r w:rsidRPr="00425655">
              <w:t>,232</w:t>
            </w:r>
            <w:proofErr w:type="gramEnd"/>
            <w:r w:rsidRPr="00425655">
              <w:t>. -&gt; Mhv. II</w:t>
            </w:r>
            <w:proofErr w:type="gramStart"/>
            <w:r w:rsidRPr="00425655">
              <w:t>,32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#671- The Buddha’s half-brother Nanda used to paint his eyes, Vin. IV,173.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#680- D.II</w:t>
            </w:r>
            <w:proofErr w:type="gramStart"/>
            <w:r w:rsidRPr="00425655">
              <w:t>,101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Cunda had delicious fresh and cooked foods prepared in his own home…”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rPr>
                <w:color w:val="943634" w:themeColor="accent2" w:themeShade="BF"/>
              </w:rPr>
              <w:lastRenderedPageBreak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lastRenderedPageBreak/>
              <w:t xml:space="preserve">#700-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#714- </w:t>
            </w:r>
            <w:proofErr w:type="spellStart"/>
            <w:r w:rsidRPr="00425655">
              <w:rPr>
                <w:b/>
                <w:bCs/>
              </w:rPr>
              <w:t>Panedy</w:t>
            </w:r>
            <w:proofErr w:type="spellEnd"/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  <w:r w:rsidRPr="00425655">
              <w:t xml:space="preserve"> -&gt; </w:t>
            </w:r>
            <w:r w:rsidRPr="00425655">
              <w:rPr>
                <w:b/>
                <w:bCs/>
              </w:rPr>
              <w:t>Pandey</w:t>
            </w:r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#725- See </w:t>
            </w:r>
            <w:proofErr w:type="spellStart"/>
            <w:r w:rsidRPr="00425655">
              <w:rPr>
                <w:b/>
                <w:bCs/>
              </w:rPr>
              <w:t>Wangal</w:t>
            </w:r>
            <w:proofErr w:type="spellEnd"/>
            <w:r w:rsidRPr="00425655">
              <w:t xml:space="preserve"> 1995 -&gt; See </w:t>
            </w:r>
            <w:proofErr w:type="spellStart"/>
            <w:r w:rsidRPr="00425655">
              <w:rPr>
                <w:b/>
                <w:bCs/>
              </w:rPr>
              <w:t>Wagle</w:t>
            </w:r>
            <w:proofErr w:type="spellEnd"/>
            <w:r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 xml:space="preserve">#733 See </w:t>
            </w:r>
            <w:proofErr w:type="spellStart"/>
            <w:r w:rsidRPr="00425655">
              <w:rPr>
                <w:b/>
                <w:bCs/>
              </w:rPr>
              <w:t>Sinh</w:t>
            </w:r>
            <w:proofErr w:type="spellEnd"/>
            <w:r w:rsidRPr="00425655">
              <w:t xml:space="preserve"> pp.27-31.</w:t>
            </w:r>
            <w:proofErr w:type="gramEnd"/>
            <w:r w:rsidRPr="00425655">
              <w:t xml:space="preserve"> -&gt; See </w:t>
            </w:r>
            <w:r w:rsidRPr="00425655">
              <w:rPr>
                <w:b/>
                <w:bCs/>
              </w:rPr>
              <w:t>Sinha 2019</w:t>
            </w:r>
            <w:r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#737- [S.] III</w:t>
            </w:r>
            <w:proofErr w:type="gramStart"/>
            <w:r w:rsidRPr="00425655">
              <w:t>,126</w:t>
            </w:r>
            <w:proofErr w:type="gramEnd"/>
            <w:r w:rsidRPr="00425655">
              <w:t xml:space="preserve">; </w:t>
            </w:r>
            <w:r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#739-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10</w:t>
            </w:r>
            <w:proofErr w:type="gramEnd"/>
            <w:r w:rsidRPr="00425655">
              <w:rPr>
                <w:b/>
                <w:bCs/>
              </w:rPr>
              <w:t>-12</w:t>
            </w:r>
            <w:r w:rsidRPr="00425655">
              <w:t>. -&gt;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110</w:t>
            </w:r>
            <w:proofErr w:type="gramEnd"/>
            <w:r w:rsidRPr="00425655">
              <w:rPr>
                <w:b/>
                <w:bCs/>
              </w:rPr>
              <w:t>-112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#740- See Ireland, pp.114-117. -&gt; See Ireland </w:t>
            </w:r>
            <w:r w:rsidRPr="00425655">
              <w:rPr>
                <w:b/>
                <w:bCs/>
              </w:rPr>
              <w:t>1976</w:t>
            </w:r>
            <w:r w:rsidRPr="00425655">
              <w:t>, pp.114-117.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b/>
                <w:bCs/>
              </w:rPr>
            </w:pPr>
            <w:r w:rsidRPr="00425655">
              <w:t xml:space="preserve">#752- see </w:t>
            </w:r>
            <w:proofErr w:type="spellStart"/>
            <w:r w:rsidRPr="00425655">
              <w:rPr>
                <w:b/>
                <w:bCs/>
              </w:rPr>
              <w:t>Schingloff</w:t>
            </w:r>
            <w:proofErr w:type="spellEnd"/>
            <w:r w:rsidRPr="00425655">
              <w:t xml:space="preserve"> -&gt; see </w:t>
            </w:r>
            <w:proofErr w:type="spellStart"/>
            <w:r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#751- </w:t>
            </w:r>
            <w:r w:rsidRPr="00425655">
              <w:br/>
              <w:t xml:space="preserve">On the history of Buddhism in Madhurā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t xml:space="preserve">#754- </w:t>
            </w:r>
            <w:r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Pr="00425655">
              <w:t>1959</w:t>
            </w:r>
            <w:proofErr w:type="gramEnd"/>
            <w:r w:rsidRPr="00425655">
              <w:t xml:space="preserve">. </w:t>
            </w:r>
            <w:r w:rsidRPr="00425655">
              <w:br/>
              <w:t>-&gt;</w:t>
            </w:r>
            <w:r w:rsidRPr="00425655">
              <w:br/>
            </w:r>
            <w:r w:rsidRPr="00425655">
              <w:rPr>
                <w:lang w:val="en-SG"/>
              </w:rPr>
              <w:t xml:space="preserve">D. B. Spooner,  ‘Mr. Ratan Tata’s Excavations at Pataliputra’, </w:t>
            </w:r>
            <w:r w:rsidRPr="00425655">
              <w:rPr>
                <w:i/>
                <w:lang w:val="en-SG"/>
              </w:rPr>
              <w:t>Archaeological Survey of India Annual Report, 1912–13</w:t>
            </w:r>
            <w:r w:rsidRPr="00425655">
              <w:rPr>
                <w:lang w:val="en-SG"/>
              </w:rPr>
              <w:t xml:space="preserve">, 1916; A. S. Altekar and V. Mishra, </w:t>
            </w:r>
            <w:r w:rsidRPr="00425655">
              <w:rPr>
                <w:i/>
                <w:lang w:val="en-SG"/>
              </w:rPr>
              <w:t>Report on the Kumrahar Excavations, 1951-55</w:t>
            </w:r>
            <w:r w:rsidRPr="00425655">
              <w:rPr>
                <w:lang w:val="en-SG"/>
              </w:rPr>
              <w:t>, 1959.</w:t>
            </w:r>
            <w:r w:rsidRPr="00425655">
              <w:rPr>
                <w:lang w:val="en-SG"/>
              </w:rPr>
              <w:br/>
            </w:r>
            <w:r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#771-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288</w:t>
            </w:r>
            <w:r w:rsidRPr="00425655">
              <w:t>. -&gt;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228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#778-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S.II,1</w:t>
            </w:r>
            <w:r w:rsidRPr="00425655">
              <w:t>. -&gt;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S.III,1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>#781- A.</w:t>
            </w:r>
            <w:r w:rsidRPr="00425655">
              <w:rPr>
                <w:b/>
                <w:bCs/>
              </w:rPr>
              <w:t>IV</w:t>
            </w:r>
            <w:proofErr w:type="gramEnd"/>
            <w:r w:rsidRPr="00425655">
              <w:rPr>
                <w:b/>
                <w:bCs/>
              </w:rPr>
              <w:t>; IV,</w:t>
            </w:r>
            <w:r w:rsidRPr="00425655">
              <w:t xml:space="preserve"> 197-198. -&gt; A.</w:t>
            </w:r>
            <w:r w:rsidRPr="00425655">
              <w:rPr>
                <w:b/>
                <w:bCs/>
              </w:rPr>
              <w:t>IV</w:t>
            </w:r>
            <w:proofErr w:type="gramStart"/>
            <w:r w:rsidRPr="00425655">
              <w:t>,197</w:t>
            </w:r>
            <w:proofErr w:type="gramEnd"/>
            <w:r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#783- </w:t>
            </w:r>
            <w:proofErr w:type="spellStart"/>
            <w:r w:rsidRPr="00425655">
              <w:t>Sarao</w:t>
            </w:r>
            <w:proofErr w:type="spellEnd"/>
            <w:r w:rsidRPr="00425655">
              <w:t xml:space="preserve">, p.103. - </w:t>
            </w:r>
            <w:r w:rsidRPr="00425655">
              <w:rPr>
                <w:color w:val="943634" w:themeColor="accent2" w:themeShade="BF"/>
              </w:rPr>
              <w:t>Is this the right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rPr>
                <w:lang w:val="en-SG"/>
              </w:rPr>
              <w:t xml:space="preserve">#802-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76E" w:rsidRDefault="003B476E" w:rsidP="00AB2650">
      <w:pPr>
        <w:spacing w:after="0" w:line="240" w:lineRule="auto"/>
      </w:pPr>
      <w:r>
        <w:separator/>
      </w:r>
    </w:p>
  </w:endnote>
  <w:endnote w:type="continuationSeparator" w:id="0">
    <w:p w:rsidR="003B476E" w:rsidRDefault="003B476E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76E" w:rsidRDefault="003B476E" w:rsidP="00AB2650">
      <w:pPr>
        <w:spacing w:after="0" w:line="240" w:lineRule="auto"/>
      </w:pPr>
      <w:r>
        <w:separator/>
      </w:r>
    </w:p>
  </w:footnote>
  <w:footnote w:type="continuationSeparator" w:id="0">
    <w:p w:rsidR="003B476E" w:rsidRDefault="003B476E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B476E"/>
    <w:rsid w:val="003E52A5"/>
    <w:rsid w:val="00413667"/>
    <w:rsid w:val="004160BA"/>
    <w:rsid w:val="00421693"/>
    <w:rsid w:val="00425655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9FA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68C1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C0387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66</cp:revision>
  <cp:lastPrinted>2023-03-08T11:35:00Z</cp:lastPrinted>
  <dcterms:created xsi:type="dcterms:W3CDTF">2023-06-17T10:27:00Z</dcterms:created>
  <dcterms:modified xsi:type="dcterms:W3CDTF">2023-08-04T10:14:00Z</dcterms:modified>
</cp:coreProperties>
</file>