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A65FAA" w:rsidRDefault="00A65FAA" w:rsidP="008E0D0D">
      <w:pPr>
        <w:rPr>
          <w:color w:val="943634" w:themeColor="accent2" w:themeShade="BF"/>
        </w:rPr>
      </w:pPr>
    </w:p>
    <w:p w:rsidR="00004DCA" w:rsidRDefault="00A65FAA" w:rsidP="00004DCA">
      <w:pPr>
        <w:rPr>
          <w:lang w:val="en-SG"/>
        </w:rPr>
      </w:pPr>
      <w:r w:rsidRPr="00004DCA">
        <w:t xml:space="preserve">#754- </w:t>
      </w:r>
      <w:r w:rsidRPr="00004DCA">
        <w:br/>
        <w:t xml:space="preserve">D. B. Spooner, Annual Report of the Archaeological Survey of India, 1905-1906; ‘Mr. </w:t>
      </w:r>
      <w:proofErr w:type="spellStart"/>
      <w:r w:rsidRPr="00004DCA">
        <w:t>Ratan</w:t>
      </w:r>
      <w:proofErr w:type="spellEnd"/>
      <w:r w:rsidRPr="00004DCA">
        <w:t xml:space="preserve"> Tata’s Excavations at </w:t>
      </w:r>
      <w:proofErr w:type="spellStart"/>
      <w:r w:rsidRPr="00004DCA">
        <w:t>Pataliputra</w:t>
      </w:r>
      <w:proofErr w:type="spellEnd"/>
      <w:r w:rsidRPr="00004DCA">
        <w:t xml:space="preserve">’, Archaeological Survey of India Annual Report, 1912–13, 1916.) A. S. </w:t>
      </w:r>
      <w:proofErr w:type="spellStart"/>
      <w:r w:rsidRPr="00004DCA">
        <w:t>Altekar</w:t>
      </w:r>
      <w:proofErr w:type="spellEnd"/>
      <w:r w:rsidRPr="00004DCA">
        <w:t xml:space="preserve"> and V. Mishra, Report on the </w:t>
      </w:r>
      <w:proofErr w:type="spellStart"/>
      <w:r w:rsidRPr="00004DCA">
        <w:t>Kumrahar</w:t>
      </w:r>
      <w:proofErr w:type="spellEnd"/>
      <w:r w:rsidRPr="00004DCA">
        <w:t xml:space="preserve"> Excavations, 1951-55, </w:t>
      </w:r>
      <w:proofErr w:type="gramStart"/>
      <w:r w:rsidRPr="00004DCA">
        <w:t>1959</w:t>
      </w:r>
      <w:proofErr w:type="gramEnd"/>
      <w:r w:rsidRPr="00004DCA">
        <w:t xml:space="preserve">. </w:t>
      </w:r>
      <w:r w:rsidR="00004DCA">
        <w:br/>
      </w:r>
      <w:r w:rsidRPr="00004DCA">
        <w:t>-&gt;</w:t>
      </w:r>
      <w:r w:rsidR="00004DCA">
        <w:br/>
      </w:r>
      <w:r w:rsidRPr="00004DCA">
        <w:rPr>
          <w:lang w:val="en-SG"/>
        </w:rPr>
        <w:t xml:space="preserve">D. B. Spooner,  ‘Mr. </w:t>
      </w:r>
      <w:proofErr w:type="spellStart"/>
      <w:r w:rsidRPr="00004DCA">
        <w:rPr>
          <w:lang w:val="en-SG"/>
        </w:rPr>
        <w:t>Ratan</w:t>
      </w:r>
      <w:proofErr w:type="spellEnd"/>
      <w:r w:rsidRPr="00004DCA">
        <w:rPr>
          <w:lang w:val="en-SG"/>
        </w:rPr>
        <w:t xml:space="preserve"> Tata’s Excavations at </w:t>
      </w:r>
      <w:proofErr w:type="spellStart"/>
      <w:r w:rsidRPr="00004DCA">
        <w:rPr>
          <w:lang w:val="en-SG"/>
        </w:rPr>
        <w:t>Pataliputra</w:t>
      </w:r>
      <w:proofErr w:type="spellEnd"/>
      <w:r w:rsidRPr="00004DCA">
        <w:rPr>
          <w:lang w:val="en-SG"/>
        </w:rPr>
        <w:t xml:space="preserve">’, </w:t>
      </w:r>
      <w:r w:rsidRPr="00004DCA">
        <w:rPr>
          <w:i/>
          <w:lang w:val="en-SG"/>
        </w:rPr>
        <w:t>Archaeological Survey of India Annual Report, 1912–13</w:t>
      </w:r>
      <w:r w:rsidRPr="00004DCA">
        <w:rPr>
          <w:lang w:val="en-SG"/>
        </w:rPr>
        <w:t xml:space="preserve">, 1916; A. S. </w:t>
      </w:r>
      <w:proofErr w:type="spellStart"/>
      <w:r w:rsidRPr="00004DCA">
        <w:rPr>
          <w:lang w:val="en-SG"/>
        </w:rPr>
        <w:t>Altekar</w:t>
      </w:r>
      <w:proofErr w:type="spellEnd"/>
      <w:r w:rsidRPr="00004DCA">
        <w:rPr>
          <w:lang w:val="en-SG"/>
        </w:rPr>
        <w:t xml:space="preserve"> and V. Mishra, </w:t>
      </w:r>
      <w:r w:rsidRPr="00004DCA">
        <w:rPr>
          <w:i/>
          <w:lang w:val="en-SG"/>
        </w:rPr>
        <w:t xml:space="preserve">Report on the </w:t>
      </w:r>
      <w:proofErr w:type="spellStart"/>
      <w:r w:rsidRPr="00004DCA">
        <w:rPr>
          <w:i/>
          <w:lang w:val="en-SG"/>
        </w:rPr>
        <w:t>Kumrahar</w:t>
      </w:r>
      <w:proofErr w:type="spellEnd"/>
      <w:r w:rsidRPr="00004DCA">
        <w:rPr>
          <w:i/>
          <w:lang w:val="en-SG"/>
        </w:rPr>
        <w:t xml:space="preserve"> Excavations, 1951-55</w:t>
      </w:r>
      <w:r w:rsidRPr="00004DCA">
        <w:rPr>
          <w:lang w:val="en-SG"/>
        </w:rPr>
        <w:t>, 1959.</w:t>
      </w:r>
      <w:r w:rsidR="00004DCA">
        <w:rPr>
          <w:lang w:val="en-SG"/>
        </w:rPr>
        <w:br/>
      </w:r>
      <w:r w:rsidR="00004DCA" w:rsidRPr="00004DCA">
        <w:rPr>
          <w:color w:val="943634" w:themeColor="accent2" w:themeShade="BF"/>
          <w:lang w:val="en-SG"/>
        </w:rPr>
        <w:t>For online version I’ve moved references to Other References sections and note says</w:t>
      </w:r>
      <w:proofErr w:type="gramStart"/>
      <w:r w:rsidR="00004DCA" w:rsidRPr="00004DCA">
        <w:rPr>
          <w:color w:val="943634" w:themeColor="accent2" w:themeShade="BF"/>
          <w:lang w:val="en-SG"/>
        </w:rPr>
        <w:t>:</w:t>
      </w:r>
      <w:proofErr w:type="gramEnd"/>
      <w:r w:rsidR="00004DCA" w:rsidRPr="00004DCA">
        <w:rPr>
          <w:color w:val="943634" w:themeColor="accent2" w:themeShade="BF"/>
          <w:lang w:val="en-SG"/>
        </w:rPr>
        <w:br/>
        <w:t>#</w:t>
      </w:r>
      <w:r w:rsidR="00004DCA" w:rsidRPr="00004DCA">
        <w:rPr>
          <w:color w:val="943634" w:themeColor="accent2" w:themeShade="BF"/>
          <w:lang w:val="en-SG"/>
        </w:rPr>
        <w:t>754</w:t>
      </w:r>
      <w:r w:rsidR="00004DCA" w:rsidRPr="00004DCA">
        <w:rPr>
          <w:color w:val="943634" w:themeColor="accent2" w:themeShade="BF"/>
          <w:lang w:val="en-SG"/>
        </w:rPr>
        <w:t xml:space="preserve">- </w:t>
      </w:r>
      <w:r w:rsidR="00004DCA" w:rsidRPr="00004DCA">
        <w:rPr>
          <w:color w:val="943634" w:themeColor="accent2" w:themeShade="BF"/>
          <w:lang w:val="en-SG"/>
        </w:rPr>
        <w:t xml:space="preserve">Spooner; </w:t>
      </w:r>
      <w:proofErr w:type="spellStart"/>
      <w:r w:rsidR="00004DCA" w:rsidRPr="00004DCA">
        <w:rPr>
          <w:color w:val="943634" w:themeColor="accent2" w:themeShade="BF"/>
          <w:lang w:val="en-SG"/>
        </w:rPr>
        <w:t>Altekar</w:t>
      </w:r>
      <w:proofErr w:type="spellEnd"/>
      <w:r w:rsidR="00004DCA" w:rsidRPr="00004DCA">
        <w:rPr>
          <w:color w:val="943634" w:themeColor="accent2" w:themeShade="BF"/>
          <w:lang w:val="en-SG"/>
        </w:rPr>
        <w:t xml:space="preserve"> and Mishra.</w:t>
      </w:r>
    </w:p>
    <w:p w:rsidR="00004DCA" w:rsidRPr="00004DCA" w:rsidRDefault="00004DCA" w:rsidP="008E0D0D">
      <w:pPr>
        <w:rPr>
          <w:lang w:val="en-SG"/>
        </w:rPr>
      </w:pPr>
    </w:p>
    <w:p w:rsidR="00A65FAA" w:rsidRDefault="00A65FAA" w:rsidP="008E0D0D">
      <w:pPr>
        <w:rPr>
          <w:color w:val="943634" w:themeColor="accent2" w:themeShade="BF"/>
          <w:lang w:val="en-SG"/>
        </w:rPr>
      </w:pPr>
    </w:p>
    <w:p w:rsidR="00A65FAA" w:rsidRDefault="00A65FAA" w:rsidP="008E0D0D">
      <w:pPr>
        <w:rPr>
          <w:color w:val="943634" w:themeColor="accent2" w:themeShade="BF"/>
          <w:lang w:val="en-SG"/>
        </w:rPr>
      </w:pPr>
    </w:p>
    <w:p w:rsidR="00A65FAA" w:rsidRDefault="00A65FAA" w:rsidP="008E0D0D">
      <w:pPr>
        <w:rPr>
          <w:color w:val="943634" w:themeColor="accent2" w:themeShade="BF"/>
          <w:lang w:val="en-SG"/>
        </w:rPr>
      </w:pPr>
    </w:p>
    <w:p w:rsidR="00A65FAA" w:rsidRDefault="00A65FAA" w:rsidP="008E0D0D">
      <w:pPr>
        <w:rPr>
          <w:color w:val="943634" w:themeColor="accent2" w:themeShade="BF"/>
        </w:rPr>
      </w:pPr>
    </w:p>
    <w:p w:rsidR="00A65FAA" w:rsidRDefault="00A65FAA" w:rsidP="008E0D0D">
      <w:pPr>
        <w:rPr>
          <w:color w:val="943634" w:themeColor="accent2" w:themeShade="BF"/>
        </w:rPr>
      </w:pPr>
    </w:p>
    <w:p w:rsidR="00A65FAA" w:rsidRDefault="00A65FAA" w:rsidP="008E0D0D">
      <w:pPr>
        <w:rPr>
          <w:color w:val="943634" w:themeColor="accent2" w:themeShade="BF"/>
        </w:rPr>
      </w:pP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proofErr w:type="spellStart"/>
      <w:r w:rsidRPr="00032574">
        <w:rPr>
          <w:b/>
          <w:bCs/>
        </w:rPr>
        <w:t>Panedy</w:t>
      </w:r>
      <w:proofErr w:type="spellEnd"/>
      <w:r w:rsidRPr="00032574">
        <w:t xml:space="preserve"> thinks </w:t>
      </w:r>
      <w:proofErr w:type="spellStart"/>
      <w:r w:rsidRPr="00032574">
        <w:t>Aṅguttararāpa</w:t>
      </w:r>
      <w:proofErr w:type="spellEnd"/>
      <w:r w:rsidRPr="00032574">
        <w:t xml:space="preserve"> -&gt; </w:t>
      </w:r>
      <w:r w:rsidRPr="00032574">
        <w:rPr>
          <w:b/>
          <w:bCs/>
        </w:rPr>
        <w:t>Pandey</w:t>
      </w:r>
      <w:r w:rsidRPr="00032574">
        <w:t xml:space="preserve"> thinks </w:t>
      </w:r>
      <w:proofErr w:type="spellStart"/>
      <w:r w:rsidRPr="00032574">
        <w:t>Aṅguttararāpa</w:t>
      </w:r>
      <w:proofErr w:type="spellEnd"/>
    </w:p>
    <w:p w:rsidR="00FD1DDA" w:rsidRPr="00D57836" w:rsidRDefault="009570FB" w:rsidP="00673250">
      <w:r w:rsidRPr="00D57836">
        <w:t xml:space="preserve">#725- See </w:t>
      </w:r>
      <w:proofErr w:type="spellStart"/>
      <w:r w:rsidRPr="00D57836">
        <w:rPr>
          <w:b/>
          <w:bCs/>
        </w:rPr>
        <w:t>Wangal</w:t>
      </w:r>
      <w:proofErr w:type="spellEnd"/>
      <w:r w:rsidRPr="00D57836">
        <w:t xml:space="preserve"> 1995 -&gt; See </w:t>
      </w:r>
      <w:proofErr w:type="spellStart"/>
      <w:r w:rsidRPr="00D57836">
        <w:rPr>
          <w:b/>
          <w:bCs/>
        </w:rPr>
        <w:t>Wagle</w:t>
      </w:r>
      <w:proofErr w:type="spellEnd"/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proofErr w:type="spellStart"/>
      <w:r w:rsidRPr="00D57836">
        <w:rPr>
          <w:b/>
          <w:bCs/>
        </w:rPr>
        <w:t>Sinh</w:t>
      </w:r>
      <w:proofErr w:type="spellEnd"/>
      <w:r w:rsidRPr="00D57836">
        <w:t xml:space="preserve"> pp.27-31.</w:t>
      </w:r>
      <w:proofErr w:type="gramEnd"/>
      <w:r w:rsidRPr="00D57836">
        <w:t xml:space="preserve"> -&gt; See </w:t>
      </w:r>
      <w:r w:rsidRPr="00D57836">
        <w:rPr>
          <w:b/>
          <w:bCs/>
        </w:rPr>
        <w:t>Sinha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#737- [S.]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 xml:space="preserve">;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lastRenderedPageBreak/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>. -&gt; S.IV</w:t>
      </w:r>
      <w:proofErr w:type="gramStart"/>
      <w:r w:rsidRPr="00530F46">
        <w:t>,</w:t>
      </w:r>
      <w:r w:rsidRPr="00530F46">
        <w:rPr>
          <w:b/>
          <w:bCs/>
        </w:rPr>
        <w:t>110</w:t>
      </w:r>
      <w:proofErr w:type="gramEnd"/>
      <w:r w:rsidRPr="00530F46">
        <w:rPr>
          <w:b/>
          <w:bCs/>
        </w:rPr>
        <w:t>-112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#740- See Ireland, pp.114-117.</w:t>
      </w:r>
      <w:proofErr w:type="gramEnd"/>
      <w:r w:rsidRPr="00B61847">
        <w:t xml:space="preserve"> -&gt; See Ireland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Pr="00FD7671" w:rsidRDefault="00FD7671" w:rsidP="00673250">
      <w:r w:rsidRPr="00FD7671">
        <w:t xml:space="preserve">#752- see </w:t>
      </w:r>
      <w:proofErr w:type="spellStart"/>
      <w:r w:rsidRPr="00FD7671">
        <w:rPr>
          <w:b/>
          <w:bCs/>
        </w:rPr>
        <w:t>Schingloff</w:t>
      </w:r>
      <w:proofErr w:type="spellEnd"/>
      <w:r w:rsidRPr="00FD7671">
        <w:t xml:space="preserve"> -&gt; see </w:t>
      </w:r>
      <w:proofErr w:type="spellStart"/>
      <w:r w:rsidRPr="00FD7671">
        <w:rPr>
          <w:b/>
          <w:bCs/>
        </w:rPr>
        <w:t>Schlingloff</w:t>
      </w:r>
      <w:proofErr w:type="spellEnd"/>
    </w:p>
    <w:p w:rsidR="009F3F99" w:rsidRDefault="009F3F99" w:rsidP="00673250">
      <w:pPr>
        <w:rPr>
          <w:color w:val="943634" w:themeColor="accent2" w:themeShade="BF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proofErr w:type="spellStart"/>
      <w:r>
        <w:lastRenderedPageBreak/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="00DE5419">
        <w:br/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241035" w:rsidRDefault="00FD7671" w:rsidP="009642D6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proofErr w:type="spellStart"/>
      <w:r w:rsidRPr="00664086">
        <w:rPr>
          <w:b/>
          <w:bCs/>
        </w:rPr>
        <w:t>Setavya</w:t>
      </w:r>
      <w:proofErr w:type="spellEnd"/>
      <w:r w:rsidRPr="00664086">
        <w:t xml:space="preserve">, the Ancient City of </w:t>
      </w:r>
      <w:proofErr w:type="spellStart"/>
      <w:r w:rsidRPr="00664086">
        <w:t>Kosala</w:t>
      </w:r>
      <w:proofErr w:type="spellEnd"/>
      <w:r w:rsidRPr="00664086">
        <w:t xml:space="preserve"> with </w:t>
      </w:r>
      <w:proofErr w:type="spellStart"/>
      <w:r w:rsidRPr="00664086">
        <w:t>Siswania</w:t>
      </w:r>
      <w:proofErr w:type="spellEnd"/>
      <w:r w:rsidRPr="00664086">
        <w:t xml:space="preserve">,’ </w:t>
      </w:r>
      <w:proofErr w:type="spellStart"/>
      <w:r w:rsidRPr="00664086">
        <w:rPr>
          <w:b/>
          <w:bCs/>
        </w:rPr>
        <w:t>Puratavtta</w:t>
      </w:r>
      <w:proofErr w:type="spellEnd"/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proofErr w:type="spellStart"/>
      <w:r w:rsidRPr="00664086">
        <w:rPr>
          <w:b/>
          <w:bCs/>
        </w:rPr>
        <w:t>Setavyā</w:t>
      </w:r>
      <w:proofErr w:type="spellEnd"/>
      <w:r w:rsidRPr="00664086">
        <w:t xml:space="preserve">, the Ancient City of </w:t>
      </w:r>
      <w:proofErr w:type="spellStart"/>
      <w:r w:rsidRPr="00664086">
        <w:t>Kosala</w:t>
      </w:r>
      <w:proofErr w:type="spellEnd"/>
      <w:r w:rsidRPr="00664086">
        <w:t xml:space="preserve"> with </w:t>
      </w:r>
      <w:proofErr w:type="spellStart"/>
      <w:r w:rsidRPr="00664086">
        <w:t>Siswania</w:t>
      </w:r>
      <w:proofErr w:type="spellEnd"/>
      <w:r w:rsidRPr="00664086">
        <w:t xml:space="preserve">,’ </w:t>
      </w:r>
      <w:proofErr w:type="spellStart"/>
      <w:r w:rsidRPr="00664086">
        <w:rPr>
          <w:b/>
          <w:bCs/>
        </w:rPr>
        <w:t>Puratattva</w:t>
      </w:r>
      <w:proofErr w:type="spellEnd"/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664086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772" w:rsidRDefault="009D0772" w:rsidP="00AB2650">
      <w:pPr>
        <w:spacing w:after="0" w:line="240" w:lineRule="auto"/>
      </w:pPr>
      <w:r>
        <w:separator/>
      </w:r>
    </w:p>
  </w:endnote>
  <w:endnote w:type="continuationSeparator" w:id="0">
    <w:p w:rsidR="009D0772" w:rsidRDefault="009D0772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772" w:rsidRDefault="009D0772" w:rsidP="00AB2650">
      <w:pPr>
        <w:spacing w:after="0" w:line="240" w:lineRule="auto"/>
      </w:pPr>
      <w:r>
        <w:separator/>
      </w:r>
    </w:p>
  </w:footnote>
  <w:footnote w:type="continuationSeparator" w:id="0">
    <w:p w:rsidR="009D0772" w:rsidRDefault="009D0772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403D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47F2F"/>
    <w:rsid w:val="00365834"/>
    <w:rsid w:val="00370823"/>
    <w:rsid w:val="00373D28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0236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64086"/>
    <w:rsid w:val="00673250"/>
    <w:rsid w:val="006747C9"/>
    <w:rsid w:val="00696B44"/>
    <w:rsid w:val="006A561D"/>
    <w:rsid w:val="006D5C29"/>
    <w:rsid w:val="00713FE5"/>
    <w:rsid w:val="0071644D"/>
    <w:rsid w:val="0071718C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F3F99"/>
    <w:rsid w:val="00A04111"/>
    <w:rsid w:val="00A14959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61847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55D0E"/>
    <w:rsid w:val="00D57836"/>
    <w:rsid w:val="00D62632"/>
    <w:rsid w:val="00D67618"/>
    <w:rsid w:val="00D676B9"/>
    <w:rsid w:val="00D7216B"/>
    <w:rsid w:val="00D87A2A"/>
    <w:rsid w:val="00DA3977"/>
    <w:rsid w:val="00DD4B1F"/>
    <w:rsid w:val="00DE52A3"/>
    <w:rsid w:val="00DE5419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38</cp:revision>
  <cp:lastPrinted>2023-03-08T11:35:00Z</cp:lastPrinted>
  <dcterms:created xsi:type="dcterms:W3CDTF">2023-06-17T10:27:00Z</dcterms:created>
  <dcterms:modified xsi:type="dcterms:W3CDTF">2023-07-20T12:01:00Z</dcterms:modified>
</cp:coreProperties>
</file>