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E411CD" w:rsidRPr="00E411CD" w:rsidRDefault="00E411CD" w:rsidP="00E411CD">
      <w:r>
        <w:t>Done so far: Chapters I-V</w:t>
      </w:r>
    </w:p>
    <w:p w:rsidR="0031276E" w:rsidRDefault="0031276E" w:rsidP="0031276E">
      <w:pPr>
        <w:pStyle w:val="Heading2"/>
      </w:pPr>
      <w:r>
        <w:t>Main text:</w:t>
      </w:r>
    </w:p>
    <w:p w:rsidR="0031276E" w:rsidRDefault="0031276E" w:rsidP="0031276E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d?</w:t>
      </w:r>
    </w:p>
    <w:p w:rsidR="0031276E" w:rsidRDefault="0031276E" w:rsidP="0031276E">
      <w:r>
        <w:t xml:space="preserve">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31276E" w:rsidRDefault="0031276E" w:rsidP="0031276E">
      <w:r>
        <w:t xml:space="preserve">Pg.47 - </w:t>
      </w:r>
      <w:proofErr w:type="spellStart"/>
      <w:r w:rsidRPr="0031276E">
        <w:rPr>
          <w:b/>
        </w:rPr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31276E" w:rsidRDefault="0031276E" w:rsidP="0031276E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31276E" w:rsidRDefault="0031276E" w:rsidP="0031276E">
      <w:r>
        <w:t xml:space="preserve">Pg.67 -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Default="0031276E" w:rsidP="0031276E">
      <w:pPr>
        <w:rPr>
          <w:b/>
        </w:rPr>
      </w:pPr>
      <w:r>
        <w:t xml:space="preserve">Note #4 (Chapter I, Note 4) - Paul </w:t>
      </w:r>
      <w:proofErr w:type="spellStart"/>
      <w:r w:rsidRPr="00020F32">
        <w:rPr>
          <w:b/>
        </w:rPr>
        <w:t>Kitter</w:t>
      </w:r>
      <w:proofErr w:type="spellEnd"/>
      <w:r>
        <w:t xml:space="preserve"> – changed to Paul </w:t>
      </w:r>
      <w:r w:rsidRPr="00020F32">
        <w:rPr>
          <w:b/>
        </w:rPr>
        <w:t>Knitter</w:t>
      </w:r>
    </w:p>
    <w:p w:rsidR="0031276E" w:rsidRDefault="0031276E" w:rsidP="0031276E">
      <w:r>
        <w:t xml:space="preserve">Note #5 (I, 5) – changed published date from </w:t>
      </w:r>
      <w:r w:rsidRPr="00F22325">
        <w:rPr>
          <w:b/>
        </w:rPr>
        <w:t>2020</w:t>
      </w:r>
      <w:r>
        <w:t xml:space="preserve"> to </w:t>
      </w:r>
      <w:r w:rsidRPr="00F22325">
        <w:rPr>
          <w:b/>
        </w:rPr>
        <w:t>2016</w:t>
      </w:r>
    </w:p>
    <w:p w:rsidR="0031276E" w:rsidRDefault="0031276E" w:rsidP="0031276E">
      <w:r w:rsidRPr="00E83209">
        <w:t>Note #13</w:t>
      </w:r>
      <w:r>
        <w:t xml:space="preserve"> (I, 13)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 QUESTION: What is this referring to?</w:t>
      </w:r>
    </w:p>
    <w:p w:rsidR="0031276E" w:rsidRDefault="0031276E" w:rsidP="0031276E">
      <w:r>
        <w:t xml:space="preserve">Note #26 (Chapter: II, Note: 6) – changed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starts.</w:t>
      </w:r>
    </w:p>
    <w:p w:rsidR="0031276E" w:rsidRDefault="0031276E" w:rsidP="0031276E">
      <w:r>
        <w:t xml:space="preserve">Note #39 (Chapter: II, Note: 19) </w:t>
      </w:r>
      <w:r>
        <w:softHyphen/>
        <w:t xml:space="preserve">–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31276E" w:rsidRDefault="0031276E" w:rsidP="0031276E">
      <w:r>
        <w:t>Note #46 (Chapter: II, Note: 26) - A.IV</w:t>
      </w:r>
      <w:proofErr w:type="gramStart"/>
      <w:r>
        <w:t>,276</w:t>
      </w:r>
      <w:proofErr w:type="gramEnd"/>
      <w:r>
        <w:t xml:space="preserve"> doesn’t seem like an appropriate reference. I have: (</w:t>
      </w:r>
      <w:hyperlink r:id="rId6" w:anchor="pts-vp-pli4.276" w:history="1">
        <w:r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>
        <w:t xml:space="preserve">) </w:t>
      </w:r>
    </w:p>
    <w:p w:rsidR="0031276E" w:rsidRDefault="0031276E" w:rsidP="0031276E">
      <w:r>
        <w:t xml:space="preserve">Note #50 (II, 30)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31276E" w:rsidRDefault="0031276E" w:rsidP="0031276E">
      <w:r>
        <w:t xml:space="preserve">Note #53 (II, 33) – Changed: </w:t>
      </w:r>
      <w:r w:rsidRPr="00105107">
        <w:t xml:space="preserve">See </w:t>
      </w:r>
      <w:r w:rsidRPr="00105107">
        <w:rPr>
          <w:b/>
        </w:rPr>
        <w:t>Agrawal</w:t>
      </w:r>
      <w:r w:rsidRPr="00105107">
        <w:t xml:space="preserve"> pp.</w:t>
      </w:r>
      <w:r w:rsidRPr="00F22325">
        <w:rPr>
          <w:b/>
        </w:rPr>
        <w:t>143-144</w:t>
      </w:r>
      <w:r w:rsidRPr="00105107">
        <w:t>. To</w:t>
      </w:r>
      <w:r>
        <w:t>:</w:t>
      </w:r>
      <w:r w:rsidRPr="00105107">
        <w:t xml:space="preserve"> See </w:t>
      </w:r>
      <w:proofErr w:type="spellStart"/>
      <w:r w:rsidRPr="00105107">
        <w:rPr>
          <w:b/>
        </w:rPr>
        <w:t>Agrawala</w:t>
      </w:r>
      <w:proofErr w:type="spellEnd"/>
      <w:r w:rsidRPr="00105107">
        <w:t xml:space="preserve"> pp.</w:t>
      </w:r>
      <w:r w:rsidRPr="00F22325">
        <w:rPr>
          <w:b/>
        </w:rPr>
        <w:t>141-143</w:t>
      </w:r>
      <w:r w:rsidRPr="00105107">
        <w:t>.</w:t>
      </w:r>
    </w:p>
    <w:p w:rsidR="0031276E" w:rsidRDefault="0031276E" w:rsidP="0031276E">
      <w:r>
        <w:t>Note #71 (II, 51) and #72 (II, 52</w:t>
      </w:r>
      <w:proofErr w:type="gramStart"/>
      <w:r>
        <w:t>)  don’t</w:t>
      </w:r>
      <w:proofErr w:type="gramEnd"/>
      <w:r>
        <w:t xml:space="preserve">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31276E" w:rsidRDefault="0031276E" w:rsidP="0031276E">
      <w:r>
        <w:t>Note #77 (II, 57) - M.I.85 is mentioned twice (second one removed)</w:t>
      </w:r>
    </w:p>
    <w:p w:rsidR="0031276E" w:rsidRPr="0085097C" w:rsidRDefault="0031276E" w:rsidP="0031276E">
      <w:r>
        <w:t>Note #89 (II, 69) – Should we also have a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>
        <w:rPr>
          <w:i/>
        </w:rPr>
        <w:t xml:space="preserve">. </w:t>
      </w:r>
    </w:p>
    <w:p w:rsidR="0031276E" w:rsidRDefault="0031276E" w:rsidP="0031276E">
      <w:r>
        <w:t>Note #97 (Chapter: III, Note: 8</w:t>
      </w:r>
      <w:proofErr w:type="gramStart"/>
      <w:r>
        <w:t>) :</w:t>
      </w:r>
      <w:proofErr w:type="gramEnd"/>
      <w:r>
        <w:t xml:space="preserve"> </w:t>
      </w:r>
      <w:proofErr w:type="spellStart"/>
      <w:r w:rsidRPr="0085097C">
        <w:rPr>
          <w:i/>
        </w:rPr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>
        <w:t xml:space="preserve"> –I can’t find a reference for this online.  Is this a section in another book, maybe? </w:t>
      </w:r>
      <w:r>
        <w:br/>
        <w:t xml:space="preserve">We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31276E" w:rsidRDefault="0031276E" w:rsidP="0031276E">
      <w:r>
        <w:lastRenderedPageBreak/>
        <w:t xml:space="preserve">Note #113 (III, 24) – the reference says </w:t>
      </w:r>
      <w:r w:rsidRPr="0085097C">
        <w:rPr>
          <w:b/>
        </w:rPr>
        <w:t>XV</w:t>
      </w:r>
      <w:proofErr w:type="gramStart"/>
      <w:r w:rsidRPr="0085097C">
        <w:rPr>
          <w:b/>
        </w:rPr>
        <w:t>,23</w:t>
      </w:r>
      <w:proofErr w:type="gramEnd"/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31276E" w:rsidRDefault="0031276E" w:rsidP="0031276E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– changed to: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31276E" w:rsidRDefault="0031276E" w:rsidP="0031276E">
      <w:proofErr w:type="gramStart"/>
      <w:r>
        <w:t>Note #</w:t>
      </w:r>
      <w:r w:rsidRPr="00B133D9">
        <w:t>154</w:t>
      </w:r>
      <w:r>
        <w:t xml:space="preserve"> (IV, 25) – </w:t>
      </w:r>
      <w:r w:rsidRPr="00BB5D29">
        <w:rPr>
          <w:b/>
        </w:rPr>
        <w:t xml:space="preserve">Sn.322-4 </w:t>
      </w:r>
      <w:r>
        <w:t xml:space="preserve">change to </w:t>
      </w:r>
      <w:r w:rsidRPr="00BB5D29">
        <w:rPr>
          <w:b/>
        </w:rPr>
        <w:t>Sn.422-4</w:t>
      </w:r>
      <w:r>
        <w:t>?</w:t>
      </w:r>
      <w:proofErr w:type="gramEnd"/>
    </w:p>
    <w:p w:rsidR="0031276E" w:rsidRDefault="0031276E" w:rsidP="0031276E">
      <w:r>
        <w:t xml:space="preserve">Note #158 (IV, 29) - </w:t>
      </w:r>
      <w:r w:rsidRPr="00BB5D29">
        <w:rPr>
          <w:b/>
        </w:rPr>
        <w:t>M.I</w:t>
      </w:r>
      <w:proofErr w:type="gramStart"/>
      <w:r w:rsidRPr="00BB5D29">
        <w:rPr>
          <w:b/>
        </w:rPr>
        <w:t>,246</w:t>
      </w:r>
      <w:proofErr w:type="gramEnd"/>
      <w:r>
        <w:t xml:space="preserve"> change to </w:t>
      </w:r>
      <w:r w:rsidRPr="00BB5D29">
        <w:rPr>
          <w:b/>
        </w:rPr>
        <w:t>M.I,164</w:t>
      </w:r>
      <w: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proofErr w:type="spellStart"/>
      <w:r w:rsidRPr="00843CE0">
        <w:t>Ambalaṭṭhikarāhulovādasutta</w:t>
      </w:r>
      <w:proofErr w:type="spellEnd"/>
      <w:r>
        <w:t>) MN 62 (</w:t>
      </w:r>
      <w:proofErr w:type="spellStart"/>
      <w:r w:rsidRPr="00843CE0">
        <w:t>Mahārāhulovādasutta</w:t>
      </w:r>
      <w:proofErr w:type="spellEnd"/>
      <w:r>
        <w:t xml:space="preserve">)  and </w:t>
      </w:r>
      <w:proofErr w:type="spellStart"/>
      <w:r>
        <w:t>Snp</w:t>
      </w:r>
      <w:proofErr w:type="spellEnd"/>
      <w:r>
        <w:t xml:space="preserve"> 2.11 (</w:t>
      </w:r>
      <w:proofErr w:type="spellStart"/>
      <w:r w:rsidRPr="00843CE0">
        <w:t>Rāhulasutta</w:t>
      </w:r>
      <w:proofErr w:type="spellEnd"/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 xml:space="preserve">Note #199 (V, 31) – I’m not great with </w:t>
      </w:r>
      <w:proofErr w:type="spellStart"/>
      <w:r>
        <w:t>Jataka</w:t>
      </w:r>
      <w:proofErr w:type="spellEnd"/>
      <w:r>
        <w:t xml:space="preserve">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</w:t>
      </w:r>
      <w:proofErr w:type="gramStart"/>
      <w:r w:rsidRPr="004B2277">
        <w:t>,</w:t>
      </w:r>
      <w:r w:rsidRPr="004B092A">
        <w:rPr>
          <w:b/>
        </w:rPr>
        <w:t>81</w:t>
      </w:r>
      <w:proofErr w:type="gramEnd"/>
      <w:r w:rsidRPr="004B092A">
        <w:rPr>
          <w:b/>
        </w:rPr>
        <w:t>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</w:t>
      </w:r>
      <w:proofErr w:type="gramStart"/>
      <w:r w:rsidRPr="00CC5FB4">
        <w:t>,141</w:t>
      </w:r>
      <w:proofErr w:type="gramEnd"/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C66F73" w:rsidRDefault="00C66F73" w:rsidP="0031276E">
      <w:proofErr w:type="gramStart"/>
      <w:r>
        <w:t>Note  #</w:t>
      </w:r>
      <w:proofErr w:type="gramEnd"/>
      <w:r>
        <w:t xml:space="preserve">290 – No </w:t>
      </w:r>
      <w:proofErr w:type="spellStart"/>
      <w:r>
        <w:t>Dhammika</w:t>
      </w:r>
      <w:proofErr w:type="spellEnd"/>
      <w:r>
        <w:t xml:space="preserve"> 2018d in bibliography</w:t>
      </w:r>
    </w:p>
    <w:p w:rsidR="00F12213" w:rsidRDefault="00F12213" w:rsidP="00F12213">
      <w:bookmarkStart w:id="0" w:name="_GoBack"/>
      <w:bookmarkEnd w:id="0"/>
      <w:r>
        <w:t>Note #</w:t>
      </w:r>
      <w:r>
        <w:t>298</w:t>
      </w:r>
      <w:r>
        <w:t xml:space="preserve"> </w:t>
      </w:r>
      <w:proofErr w:type="spellStart"/>
      <w:r>
        <w:t>Bṛhadāraṇyaka</w:t>
      </w:r>
      <w:proofErr w:type="spellEnd"/>
      <w:r>
        <w:t xml:space="preserve"> </w:t>
      </w:r>
      <w:proofErr w:type="spellStart"/>
      <w:r>
        <w:t>Upaniṣad</w:t>
      </w:r>
      <w:proofErr w:type="spellEnd"/>
      <w:r>
        <w:t xml:space="preserve"> </w:t>
      </w:r>
      <w:r w:rsidRPr="00F12213">
        <w:rPr>
          <w:b/>
          <w:bCs/>
        </w:rPr>
        <w:t>4.11</w:t>
      </w:r>
      <w:r>
        <w:t xml:space="preserve">, change to </w:t>
      </w:r>
      <w:r w:rsidRPr="00F12213">
        <w:rPr>
          <w:b/>
          <w:bCs/>
        </w:rPr>
        <w:t>4.1.1</w:t>
      </w:r>
    </w:p>
    <w:p w:rsidR="0031276E" w:rsidRPr="008B2DB9" w:rsidRDefault="0031276E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K.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Narayanasvami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Travels in India by Jean Baptiste Tavernier, Baron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Aubonne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Prof.P.Y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George. ‘The Laws of Manu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Manusmṛti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George. ‘Sacred Laws of the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Aryas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Apastamba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-Gautama-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Vasishtha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Baudhayana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Buddhist Legends -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Dhammapada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Translation Committee (tr.)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Noble Great Vehicle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“The Play in Full”,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Śatapatha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Brāhamaṇa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according to the text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Mādhyandina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PartV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Books XI</w:t>
      </w: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,XII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2016.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Kisari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Dwaipayana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Mahāvaṁsa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Hymns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Atharva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Madhuratthavilasini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Jain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Katz, Judith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Saadon-Grosman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Noam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Arzy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Shahar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Keith, Arthur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Berriedale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Yajur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Veda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Taittiriya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Sanhita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Stella.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1981.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R.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Rudrapatna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),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Arthasastra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Taylor, </w:t>
      </w:r>
      <w:proofErr w:type="spellStart"/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McComas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Viṣṇu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Purāṇa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Vasu,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Śrīśa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Chandra.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Aṣṭādhyāyī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Pāṇini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interpreted according to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Kāśikāvṛtti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Jayāditya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and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Vāmana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  <w:proofErr w:type="gramEnd"/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7474"/>
    <w:rsid w:val="004B092A"/>
    <w:rsid w:val="004B2277"/>
    <w:rsid w:val="004C16B6"/>
    <w:rsid w:val="004D4D73"/>
    <w:rsid w:val="004F5A4C"/>
    <w:rsid w:val="00516994"/>
    <w:rsid w:val="00531641"/>
    <w:rsid w:val="005770B1"/>
    <w:rsid w:val="005A3CB3"/>
    <w:rsid w:val="005B5937"/>
    <w:rsid w:val="005D11A6"/>
    <w:rsid w:val="005F7F3F"/>
    <w:rsid w:val="006052A1"/>
    <w:rsid w:val="0063406F"/>
    <w:rsid w:val="00644D9C"/>
    <w:rsid w:val="006A561D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2AD2"/>
    <w:rsid w:val="00AF5E02"/>
    <w:rsid w:val="00B133D9"/>
    <w:rsid w:val="00B209FA"/>
    <w:rsid w:val="00BB5D29"/>
    <w:rsid w:val="00C02612"/>
    <w:rsid w:val="00C22E2C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F12213"/>
    <w:rsid w:val="00F21E4A"/>
    <w:rsid w:val="00F22325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4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87</cp:revision>
  <cp:lastPrinted>2023-03-08T11:35:00Z</cp:lastPrinted>
  <dcterms:created xsi:type="dcterms:W3CDTF">2023-01-25T13:03:00Z</dcterms:created>
  <dcterms:modified xsi:type="dcterms:W3CDTF">2023-04-21T09:02:00Z</dcterms:modified>
</cp:coreProperties>
</file>