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r>
        <w:t>sunyo</w:t>
      </w:r>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t>epub=yes</w:t>
      </w:r>
      <w:r>
        <w:br/>
        <w:t>azw3=yes</w:t>
      </w:r>
    </w:p>
    <w:p w14:paraId="2CCCF6F9" w14:textId="77777777" w:rsidR="00FE3964" w:rsidRDefault="00000000">
      <w:pPr>
        <w:pStyle w:val="WW-meta-heading"/>
      </w:pPr>
      <w:r>
        <w:t>Backcover:</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r>
        <w:rPr>
          <w:rStyle w:val="wwc-pali"/>
        </w:rPr>
        <w:t>appatiṭṭhita viññāṇa</w:t>
      </w:r>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Namo tassa bhagavato arahato sammāsambuddhassa.</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r>
        <w:rPr>
          <w:rStyle w:val="wwc-pali"/>
        </w:rPr>
        <w:t>viññāṇa anidassana</w:t>
      </w:r>
      <w:r>
        <w:t>.</w:t>
      </w:r>
      <w:r>
        <w:rPr>
          <w:rStyle w:val="FootnoteReference"/>
        </w:rPr>
        <w:footnoteReference w:id="2"/>
      </w:r>
      <w:r>
        <w:t xml:space="preserve"> These words are sometimes understood to describe a kind of consciousness of </w:t>
      </w:r>
      <w:r>
        <w:rPr>
          <w:rStyle w:val="wwc-sanskrit"/>
        </w:rPr>
        <w:t>nirvāṇa</w:t>
      </w:r>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r>
        <w:rPr>
          <w:rStyle w:val="wwc-pali"/>
        </w:rPr>
        <w:t>appatiṭṭhita viññāṇa</w:t>
      </w:r>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r>
        <w:t>Sunyo</w:t>
      </w:r>
      <w:r>
        <w:br/>
        <w:t>Bodhinyana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r>
        <w:rPr>
          <w:rStyle w:val="wwc-pali"/>
        </w:rPr>
        <w:t>appatiṭṭhita viññāṇa</w:t>
      </w:r>
      <w:r>
        <w:t xml:space="preserve">, the term which I intend to show does not refer to an unestablished consciousness of </w:t>
      </w:r>
      <w:r>
        <w:rPr>
          <w:rStyle w:val="wwc-sanskrit"/>
        </w:rPr>
        <w:t>nirvāṇa</w:t>
      </w:r>
      <w:r>
        <w:t xml:space="preserve"> (</w:t>
      </w:r>
      <w:r>
        <w:rPr>
          <w:rStyle w:val="wwc-pali"/>
        </w:rPr>
        <w:t>nibbāna</w:t>
      </w:r>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r>
        <w:rPr>
          <w:rStyle w:val="wwc-pali"/>
        </w:rPr>
        <w:t>rūpa, vedanā, saññā, saṇkhāra, viññāna</w:t>
      </w:r>
      <w:r>
        <w:t>). Most readers will be familiar with them, but many may not know why the Buddha called them ‘aggregates’ (</w:t>
      </w:r>
      <w:r>
        <w:rPr>
          <w:rStyle w:val="wwc-pali"/>
        </w:rPr>
        <w:t>khandhas</w:t>
      </w:r>
      <w:r>
        <w:t>). The suttas say they are so called because they include, or they “aggregate”, all the different types of the item in question.</w:t>
      </w:r>
      <w:r>
        <w:rPr>
          <w:rStyle w:val="FootnoteReference"/>
        </w:rPr>
        <w:footnoteReference w:id="5"/>
      </w:r>
      <w:r>
        <w:t xml:space="preserve"> A </w:t>
      </w:r>
      <w:r>
        <w:rPr>
          <w:rStyle w:val="wwc-pali"/>
        </w:rPr>
        <w:t>khandha</w:t>
      </w:r>
      <w:r>
        <w:t xml:space="preserve"> is literally a heap or a collection. The aggregate of perception, for example, is the collection of all perceptions. The same principle applies to the aggregate of consciousness (</w:t>
      </w:r>
      <w:r>
        <w:rPr>
          <w:rStyle w:val="wwc-pali"/>
        </w:rPr>
        <w:t>viññāṇa</w:t>
      </w:r>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r>
        <w:rPr>
          <w:rStyle w:val="wwc-sesame"/>
        </w:rPr>
        <w:t>Nidāna Saṁyutta</w:t>
      </w:r>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r>
        <w:rPr>
          <w:rStyle w:val="wwc-pali"/>
        </w:rPr>
        <w:t>appatiṭṭhita viññāṇa</w:t>
      </w:r>
      <w:r>
        <w:t xml:space="preserve">, ‘consciousness’ refers to this aggregate. We are not dealing with a special type of consciousness that is outside of this aggregate (or outside of this ‘aspect of existence’, as I will translate </w:t>
      </w:r>
      <w:r>
        <w:rPr>
          <w:rStyle w:val="wwc-pali"/>
        </w:rPr>
        <w:t>khandha</w:t>
      </w:r>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r>
        <w:rPr>
          <w:rStyle w:val="wwc-pali"/>
        </w:rPr>
        <w:t>nibbāna</w:t>
      </w:r>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r>
        <w:rPr>
          <w:rStyle w:val="wwc-pali"/>
        </w:rPr>
        <w:t>ariyasacca</w:t>
      </w:r>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Venerable Sāriputta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Sāriputta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Sāriputta’s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t>) also means ‘rebirth’.</w:t>
      </w:r>
      <w:r>
        <w:rPr>
          <w:rStyle w:val="FootnoteReference"/>
        </w:rPr>
        <w:footnoteReference w:id="21"/>
      </w:r>
      <w:r>
        <w:t xml:space="preserve"> Venerable Sujato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Sāriputta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Sāriputta’s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{SimpleNoRowBorders}Table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r>
              <w:rPr>
                <w:rStyle w:val="wwc-pali"/>
              </w:rPr>
              <w:t>Avijjā</w:t>
            </w:r>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r>
              <w:rPr>
                <w:rStyle w:val="wwc-pali"/>
              </w:rPr>
              <w:t>Saṅkhārā</w:t>
            </w:r>
          </w:p>
        </w:tc>
        <w:tc>
          <w:tcPr>
            <w:tcW w:w="4095" w:type="dxa"/>
            <w:vAlign w:val="center"/>
          </w:tcPr>
          <w:p w14:paraId="7CF31AC7" w14:textId="26384776" w:rsidR="00FE3964" w:rsidRDefault="00006E14">
            <w:pPr>
              <w:pStyle w:val="WW-paragraph"/>
            </w:pPr>
            <w:r>
              <w:t>Willful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r>
              <w:rPr>
                <w:rStyle w:val="wwc-pali"/>
              </w:rPr>
              <w:t>Viññāṇa</w:t>
            </w:r>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r>
              <w:rPr>
                <w:rStyle w:val="wwc-pali"/>
              </w:rPr>
              <w:t>Nāmarūpa</w:t>
            </w:r>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r>
              <w:rPr>
                <w:rStyle w:val="wwc-pali"/>
              </w:rPr>
              <w:t>Saḷāyatana</w:t>
            </w:r>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r>
              <w:rPr>
                <w:rStyle w:val="wwc-pali"/>
              </w:rPr>
              <w:t>Phassa</w:t>
            </w:r>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r>
              <w:rPr>
                <w:rStyle w:val="wwc-pali"/>
              </w:rPr>
              <w:t>Jarāmaraṇa</w:t>
            </w:r>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Mendicants, I, the Truth</w:t>
      </w:r>
      <w:r>
        <w:softHyphen/>
        <w:t>finder—with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r>
        <w:rPr>
          <w:rStyle w:val="wwc-pali"/>
        </w:rPr>
        <w:t>idap-paccayatā</w:t>
      </w:r>
      <w:r>
        <w:t>),</w:t>
      </w:r>
      <w:r>
        <w:rPr>
          <w:rStyle w:val="FootnoteReference"/>
        </w:rPr>
        <w:footnoteReference w:id="29"/>
      </w:r>
      <w:r>
        <w:t xml:space="preserve"> which explains the name ‘Dependent Arising’ (</w:t>
      </w:r>
      <w:r>
        <w:rPr>
          <w:rStyle w:val="wwc-pali"/>
        </w:rPr>
        <w:t>paṭicca-samuppāda</w:t>
      </w:r>
      <w:r>
        <w:t xml:space="preserve">). The words </w:t>
      </w:r>
      <w:r>
        <w:rPr>
          <w:rStyle w:val="wwc-pali"/>
        </w:rPr>
        <w:t>paccaya</w:t>
      </w:r>
      <w:r>
        <w:t xml:space="preserve"> and </w:t>
      </w:r>
      <w:r>
        <w:rPr>
          <w:rStyle w:val="wwc-pali"/>
        </w:rPr>
        <w:t>paṭicca</w:t>
      </w:r>
      <w:r>
        <w:t xml:space="preserve"> both come from the verb </w:t>
      </w:r>
      <w:r>
        <w:rPr>
          <w:rStyle w:val="wwc-pali"/>
        </w:rPr>
        <w:t>pacceti</w:t>
      </w:r>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So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2E9B0CDD">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1B17B9EF">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one of the backbones of Dependent Arising. Rebirth therefore is the primary issue this teaching addresses. As the Buddha said to Ānanda:</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r>
        <w:rPr>
          <w:rStyle w:val="wwc-pali"/>
        </w:rPr>
        <w:t>saṁsāra</w:t>
      </w:r>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14:paraId="66D7C75F" w14:textId="77777777" w:rsidR="00FE3964" w:rsidRDefault="00000000">
      <w:pPr>
        <w:pStyle w:val="WW-blockquote"/>
      </w:pPr>
      <w: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t>illful actions depend on ignorance.</w:t>
      </w:r>
    </w:p>
    <w:p w14:paraId="7F086984" w14:textId="77777777" w:rsidR="00FE3964" w:rsidRDefault="00000000">
      <w:pPr>
        <w:pStyle w:val="WW-blockquote"/>
      </w:pPr>
      <w: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14:paraId="49E17736" w14:textId="77777777" w:rsidR="00FE3964" w:rsidRDefault="00000000">
      <w:pPr>
        <w:pStyle w:val="WW-blockquote"/>
      </w:pPr>
      <w:r>
        <w:t xml:space="preserve">Then I thought: ‘There won’t be willful actions, if there isn’t what? </w:t>
      </w:r>
      <w:r>
        <w:rPr>
          <w:lang w:val="en-US"/>
        </w:rPr>
        <w:t>Willful</w:t>
      </w:r>
      <w:r>
        <w:t xml:space="preserve"> actions will cease, if what ceases?’ Then, by focusing properly, I comprehended it, understanding that there won’t be willful actions, if there is no ignorance. If ignorance ceases, willful actions will cease.</w:t>
      </w:r>
    </w:p>
    <w:p w14:paraId="69A73598" w14:textId="77777777" w:rsidR="00FE3964" w:rsidRDefault="00000000">
      <w:pPr>
        <w:pStyle w:val="WW-blockquote"/>
      </w:pPr>
      <w: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w:t>
      </w:r>
      <w:r>
        <w:lastRenderedPageBreak/>
        <w:t xml:space="preserve">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lastRenderedPageBreak/>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r>
        <w:rPr>
          <w:rStyle w:val="Strong"/>
        </w:rPr>
        <w:t>willful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All this can happen because there is no solid essence in any part of existence, no self involved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t xml:space="preserve">,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w:t>
      </w:r>
      <w:r>
        <w:lastRenderedPageBreak/>
        <w:t>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r w:rsidR="00006E14">
              <w:t>W</w:t>
            </w:r>
            <w:r>
              <w:t>illful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4. Imm.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r>
        <w:rPr>
          <w:rStyle w:val="wwc-sesame"/>
        </w:rPr>
        <w:t>Mahānidāna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{SimpleNoRowBorders}Table 3. Sequences in Mahānidāna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DN 15, Mahānidāna</w:t>
            </w:r>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r>
            <w:r>
              <w:lastRenderedPageBreak/>
              <w:t>• Sense impressions</w:t>
            </w:r>
            <w:r>
              <w:br/>
              <w:t>• (Six senses, T 52 only)</w:t>
            </w:r>
            <w:r>
              <w:br/>
              <w:t>• Imm.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Imm. aspects &amp; </w:t>
            </w:r>
            <w:r>
              <w:lastRenderedPageBreak/>
              <w:t>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Six senses</w:t>
            </w:r>
            <w:r>
              <w:br/>
            </w:r>
            <w:r>
              <w:lastRenderedPageBreak/>
              <w:t>• Imm. aspects &amp; body</w:t>
            </w:r>
            <w:r>
              <w:br/>
              <w:t>• Consciousness</w:t>
            </w:r>
            <w:r>
              <w:br/>
              <w:t xml:space="preserve">• </w:t>
            </w:r>
            <w:r w:rsidR="00006E14">
              <w:t>W</w:t>
            </w:r>
            <w:r>
              <w:t>illful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r>
        <w:rPr>
          <w:rStyle w:val="wwc-sesame"/>
        </w:rPr>
        <w:t>Udānavarga</w:t>
      </w:r>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lastRenderedPageBreak/>
        <w:t>Two sequential discourses in the Itivuttaka neatly illustrate the last point.</w:t>
      </w:r>
      <w:r>
        <w:rPr>
          <w:rStyle w:val="FootnoteReference"/>
        </w:rPr>
        <w:footnoteReference w:id="48"/>
      </w:r>
      <w:r>
        <w:t xml:space="preserve"> These discourses are included below, but first it will be helpful to know that transmigration (</w:t>
      </w:r>
      <w:r>
        <w:rPr>
          <w:rStyle w:val="Emphasis"/>
        </w:rPr>
        <w:t>saṁsāra</w:t>
      </w:r>
      <w:r>
        <w:t>) in the canon always means the cycle of repeated birth and death, never some sort of mental wandering, and that delusion (</w:t>
      </w:r>
      <w:r>
        <w:rPr>
          <w:rStyle w:val="Emphasis"/>
        </w:rPr>
        <w:t>moha</w:t>
      </w:r>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r>
        <w:rPr>
          <w:rStyle w:val="wwc-sesame"/>
        </w:rPr>
        <w:t>Itivuttaka</w:t>
      </w:r>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lastRenderedPageBreak/>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xml:space="preserve">: “The consciousness </w:t>
      </w:r>
      <w:r>
        <w:lastRenderedPageBreak/>
        <w:t>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r>
        <w:rPr>
          <w:rStyle w:val="wwc-sesame"/>
        </w:rPr>
        <w:t>Sangīti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r>
        <w:rPr>
          <w:rStyle w:val="wwc-pali"/>
        </w:rPr>
        <w:t>rāga</w:t>
      </w:r>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r>
      <w:r>
        <w:lastRenderedPageBreak/>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r>
        <w:rPr>
          <w:rStyle w:val="wwc-pali"/>
        </w:rPr>
        <w:t>nīvaraṇa</w:t>
      </w:r>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6A9E6F70">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52859E08">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t>) while the craving sequence may be more readily understood.</w:t>
      </w:r>
    </w:p>
    <w:p w14:paraId="268F865E" w14:textId="3CA89415" w:rsidR="00FE3964" w:rsidRDefault="00F53196">
      <w:pPr>
        <w:pStyle w:val="WW-figure"/>
      </w:pPr>
      <w:r>
        <w:rPr>
          <w:noProof/>
        </w:rPr>
        <w:drawing>
          <wp:inline distT="0" distB="0" distL="0" distR="0" wp14:anchorId="61EFDA28" wp14:editId="78937508">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r>
        <w:rPr>
          <w:rStyle w:val="wwc-pali"/>
        </w:rPr>
        <w:t>saṁsāra</w:t>
      </w:r>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r>
        <w:rPr>
          <w:rStyle w:val="wwc-pali"/>
        </w:rPr>
        <w:t>aññāṇa</w:t>
      </w:r>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78EA21BB">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322C4AB5">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7C67BA4">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610DEF37">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3999B4D6">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r>
        <w:rPr>
          <w:rStyle w:val="wwc-pali"/>
        </w:rPr>
        <w:t>appatiṭṭhita viññāṇa</w:t>
      </w:r>
      <w:r>
        <w:t>.</w:t>
      </w:r>
    </w:p>
    <w:p w14:paraId="7DA558F2" w14:textId="77777777" w:rsidR="00FE3964" w:rsidRDefault="00000000">
      <w:pPr>
        <w:pStyle w:val="WW-paragraph"/>
      </w:pPr>
      <w: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r>
        <w:rPr>
          <w:rStyle w:val="wwc-sesame"/>
        </w:rPr>
        <w:t>Nidāna Saṁyutta,</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It should be needless to say that states of mind don’t have broken teeth or gray hair, and are not the laying down of the body.</w:t>
      </w:r>
    </w:p>
    <w:p w14:paraId="4A6E58F5" w14:textId="77777777" w:rsidR="00FE3964" w:rsidRDefault="00000000">
      <w:pPr>
        <w:pStyle w:val="WW-paragraph"/>
      </w:pPr>
      <w:r>
        <w:t xml:space="preserve">Another important text to consider is the </w:t>
      </w:r>
      <w:r>
        <w:rPr>
          <w:rStyle w:val="wwc-sesame"/>
        </w:rPr>
        <w:t>Mahānidāna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r>
        <w:rPr>
          <w:rStyle w:val="wwc-sesame"/>
        </w:rPr>
        <w:t>Mahāpadāna Sutta</w:t>
      </w:r>
      <w:r>
        <w:t>, where the Buddha tells the story of the bodhisattva Vipassī leaving his palace in a chariot. (This story in later centuries got mistaken to be about Gotama’s own life.)</w:t>
      </w:r>
      <w:r>
        <w:rPr>
          <w:rStyle w:val="FootnoteReference"/>
        </w:rPr>
        <w:footnoteReference w:id="73"/>
      </w:r>
      <w: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Vipassī’s insights into Dependent Arising, which also shows that birth, old age, and death are not states of mind or other momentary processes.</w:t>
      </w:r>
    </w:p>
    <w:p w14:paraId="6EDFBAB0" w14:textId="77777777" w:rsidR="00FE3964" w:rsidRDefault="00000000">
      <w:pPr>
        <w:pStyle w:val="WW-paragraph"/>
      </w:pPr>
      <w: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Eviatar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Schmithausen,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r>
        <w:rPr>
          <w:rStyle w:val="wwc-sesame"/>
        </w:rPr>
        <w:t>Arthaviniścaya Sūtra</w:t>
      </w:r>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Madhyama Āgama</w:t>
      </w:r>
      <w:r>
        <w:t xml:space="preserve"> parallel to the </w:t>
      </w:r>
      <w:r>
        <w:rPr>
          <w:rStyle w:val="wwc-sesame"/>
        </w:rPr>
        <w:t>Mahānidāna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r>
        <w:rPr>
          <w:rStyle w:val="wwc-sesame"/>
        </w:rPr>
        <w:t>Aṅguttara Nikāya</w:t>
      </w:r>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r>
        <w:rPr>
          <w:rStyle w:val="wwc-pali"/>
        </w:rPr>
        <w:t>parinibbāna</w:t>
      </w:r>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Venerable Nāgārjuna, who held the same general interpretation of Dependent Arising as this book, wrote in the second century that for the liberated one there will be no further existence and that “existence (</w:t>
      </w:r>
      <w:r>
        <w:rPr>
          <w:rStyle w:val="wwc-pali"/>
        </w:rPr>
        <w:t>bhava</w:t>
      </w:r>
      <w:r>
        <w:t xml:space="preserve">) is the five </w:t>
      </w:r>
      <w:r>
        <w:rPr>
          <w:rStyle w:val="wwc-pali"/>
        </w:rPr>
        <w:t>khandhas</w:t>
      </w:r>
      <w:r>
        <w:t>”.</w:t>
      </w:r>
      <w:r>
        <w:rPr>
          <w:rStyle w:val="FootnoteReference"/>
        </w:rPr>
        <w:footnoteReference w:id="84"/>
      </w:r>
      <w:r>
        <w:t xml:space="preserve"> Nāgārjuna’s view is well-supported by the Pāli Canon. For example, Uttara says in the Therāgātha:</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r>
        <w:rPr>
          <w:rStyle w:val="wwc-pali"/>
        </w:rPr>
        <w:t>khandhas</w:t>
      </w:r>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bhava-upapatti</w:t>
      </w:r>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r>
        <w:rPr>
          <w:rStyle w:val="wwc-pali"/>
        </w:rPr>
        <w:t>appatiṭṭhita viññāṇa</w:t>
      </w:r>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r>
        <w:rPr>
          <w:rStyle w:val="wwc-pali"/>
        </w:rPr>
        <w:t>patiṭṭhita</w:t>
      </w:r>
      <w: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r>
        <w:rPr>
          <w:rStyle w:val="wwc-pali"/>
        </w:rPr>
        <w:t>appatiṭṭhita</w:t>
      </w:r>
      <w: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t xml:space="preserve">, which I normally translate as ‘next life’, but the expression </w:t>
      </w:r>
      <w:r>
        <w:rPr>
          <w:rStyle w:val="wwc-pali"/>
        </w:rPr>
        <w:t>ayatiṁ punabbhava</w:t>
      </w:r>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r>
        <w:t>Sāriputta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To clarify the connections between these three texts, the statement by Sāriputta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Development of willful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4. Imm.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Conception of imm. &amp; body</w:t>
            </w:r>
            <w:r>
              <w:br/>
              <w:t>• Development of willful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willful actions in the </w:t>
      </w:r>
      <w:r>
        <w:rPr>
          <w:rStyle w:val="wwc-sesame"/>
        </w:rPr>
        <w:t>If There is Desire Discourse</w:t>
      </w:r>
      <w:r>
        <w:t xml:space="preserve"> is not equal to the willful actions of the ignorance sequence, though. It is the </w:t>
      </w:r>
      <w:r>
        <w:rPr>
          <w:rStyle w:val="Emphasis"/>
        </w:rPr>
        <w:t>development</w:t>
      </w:r>
      <w:r>
        <w:t>, the outcome, of willful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r>
        <w:rPr>
          <w:rStyle w:val="wwc-pali"/>
        </w:rPr>
        <w:t>avakkanti</w:t>
      </w:r>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r>
        <w:rPr>
          <w:rStyle w:val="wwc-sesame"/>
        </w:rPr>
        <w:t>Mahānidāna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r>
        <w:rPr>
          <w:rStyle w:val="wwc-sesame"/>
        </w:rPr>
        <w:t>Sampasādanīya Sutta</w:t>
      </w:r>
      <w: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r>
        <w:rPr>
          <w:rStyle w:val="wwc-sesame"/>
        </w:rPr>
        <w:t>Aṅguttara Nikāya</w:t>
      </w:r>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r>
        <w:rPr>
          <w:rStyle w:val="wwc-pali"/>
        </w:rPr>
        <w:t>avakkanti</w:t>
      </w:r>
      <w:r>
        <w:t xml:space="preserve"> is also clarified by the Pāli Canon’s second-largest text on Dependent Arising, the </w:t>
      </w:r>
      <w:r>
        <w:rPr>
          <w:rStyle w:val="wwc-sesame"/>
        </w:rPr>
        <w:t>Longer Discourse on the Ending of Craving</w:t>
      </w:r>
      <w:r>
        <w:t>, which also mentions the conception of a fetus. It describes the birth of a child who, if he remains attached to sensations, will be reborn again. 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Mendicants, a fetus is conceived (</w:t>
      </w:r>
      <w:r>
        <w:rPr>
          <w:rStyle w:val="wwc-pali"/>
        </w:rPr>
        <w:t>avakkanti</w:t>
      </w:r>
      <w:r>
        <w:t xml:space="preserve">) when there is a combination of three things. No fetus is conceived when the mother is not in her fertile period, even though there is coitus of the mother and father, and a spirit to be reborn is awaiting. Nor is a fetus conceived when no spirit to be reborn </w:t>
      </w:r>
      <w:r>
        <w:lastRenderedPageBreak/>
        <w:t>is awaiting, even though the mother is in her fertile period, and there is coitus of the mother and father. But when there is coitus of the mother and father, the mother is in her fertile period, and a spirit to be reborn is awaiting, a fetus is conceived.</w:t>
      </w:r>
    </w:p>
    <w:p w14:paraId="62A4C430" w14:textId="77777777" w:rsidR="00FE3964" w:rsidRDefault="00000000">
      <w:pPr>
        <w:pStyle w:val="WW-blockquote"/>
      </w:pPr>
      <w: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14:paraId="41E1F822" w14:textId="77777777" w:rsidR="00FE3964" w:rsidRDefault="00000000">
      <w:pPr>
        <w:pStyle w:val="WW-blockquote"/>
      </w:pPr>
      <w: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Conception of fetus</w:t>
            </w:r>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r>
        <w:rPr>
          <w:rStyle w:val="wwc-pali"/>
        </w:rPr>
        <w:t>gandhabba</w:t>
      </w:r>
      <w:r>
        <w:t>. The term is rarely used in this context, and its meaning has been a matter of some debate.</w:t>
      </w:r>
      <w:r>
        <w:rPr>
          <w:rStyle w:val="FootnoteReference"/>
        </w:rPr>
        <w:footnoteReference w:id="100"/>
      </w:r>
      <w:r>
        <w:t xml:space="preserve"> The commentary understands it to refer to the being to be reborn. The </w:t>
      </w:r>
      <w:r>
        <w:rPr>
          <w:rStyle w:val="wwc-sesame"/>
        </w:rPr>
        <w:t>Ekottarika Āgama</w:t>
      </w:r>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r>
        <w:rPr>
          <w:rStyle w:val="wwc-sesame"/>
        </w:rPr>
        <w:t>Mahānidāna Sutta</w:t>
      </w:r>
      <w:r>
        <w:t xml:space="preserve"> (</w:t>
      </w:r>
      <w:hyperlink w:anchor="bqseg84">
        <w:r>
          <w:rPr>
            <w:rStyle w:val="Hyperlink"/>
          </w:rPr>
          <w:t>§84</w:t>
        </w:r>
      </w:hyperlink>
      <w:r>
        <w:t xml:space="preserve">). This is what in part makes Venerable Anālayo “allow for an identification of the </w:t>
      </w:r>
      <w:r>
        <w:rPr>
          <w:rStyle w:val="wwc-pali"/>
        </w:rPr>
        <w:t>gandhabba</w:t>
      </w:r>
      <w:r>
        <w:t xml:space="preserve"> with the </w:t>
      </w:r>
      <w:r>
        <w:rPr>
          <w:rStyle w:val="wwc-pali"/>
        </w:rPr>
        <w:t>viññāṇa</w:t>
      </w:r>
      <w:r>
        <w:t>” of Dependent Arising.</w:t>
      </w:r>
      <w:r>
        <w:rPr>
          <w:rStyle w:val="FootnoteReference"/>
        </w:rPr>
        <w:footnoteReference w:id="102"/>
      </w:r>
      <w:r>
        <w:t xml:space="preserve"> In a similar context in the </w:t>
      </w:r>
      <w:r>
        <w:rPr>
          <w:rStyle w:val="wwc-sesame"/>
        </w:rPr>
        <w:t>Assalāyana Sutta</w:t>
      </w:r>
      <w:r>
        <w:t xml:space="preserve">, the </w:t>
      </w:r>
      <w:r>
        <w:rPr>
          <w:rStyle w:val="wwc-pali"/>
        </w:rPr>
        <w:t>gandhabba</w:t>
      </w:r>
      <w:r>
        <w:t xml:space="preserve"> is said to be either a ruler, brahmin, merchant, or worker.</w:t>
      </w:r>
      <w:r>
        <w:rPr>
          <w:rStyle w:val="FootnoteReference"/>
        </w:rPr>
        <w:footnoteReference w:id="103"/>
      </w:r>
      <w:r>
        <w:t xml:space="preserve"> The </w:t>
      </w:r>
      <w:r>
        <w:rPr>
          <w:rStyle w:val="wwc-sesame"/>
        </w:rPr>
        <w:t>Madhyama Āgama</w:t>
      </w:r>
      <w:r>
        <w:t xml:space="preserve"> parallel clarifies that this refers to their past life and refers to the </w:t>
      </w:r>
      <w:r>
        <w:rPr>
          <w:rStyle w:val="wwc-pali"/>
        </w:rPr>
        <w:t>gandhabba</w:t>
      </w:r>
      <w:r>
        <w:t xml:space="preserve"> as “the one to be born”.</w:t>
      </w:r>
      <w:r>
        <w:rPr>
          <w:rStyle w:val="FootnoteReference"/>
        </w:rPr>
        <w:footnoteReference w:id="104"/>
      </w:r>
      <w: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t xml:space="preserve"> here in line with the Pāli commentaries and Āgamas,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fetus’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r>
        <w:rPr>
          <w:rStyle w:val="wwc-pali"/>
        </w:rPr>
        <w:t>gandhabba</w:t>
      </w:r>
      <w: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r>
        <w:rPr>
          <w:rStyle w:val="Emphasis"/>
        </w:rPr>
        <w:t>fetus › six senses</w:t>
      </w:r>
      <w:r>
        <w:t xml:space="preserve">, and </w:t>
      </w:r>
      <w:r>
        <w:rPr>
          <w:rStyle w:val="Emphasis"/>
        </w:rPr>
        <w:t>immaterial aspects and body › six senses</w:t>
      </w:r>
      <w:r>
        <w:t xml:space="preserve">. It is therefore logical to relate the immaterial aspects and body to the fetus also here, just as in </w:t>
      </w:r>
      <w:hyperlink w:anchor="bqseg25">
        <w:r>
          <w:rPr>
            <w:rStyle w:val="Hyperlink"/>
          </w:rPr>
          <w:t>§25</w:t>
        </w:r>
      </w:hyperlink>
      <w:r>
        <w:t xml:space="preserve">, which said, </w:t>
      </w:r>
      <w:r>
        <w:rPr>
          <w:rStyle w:val="Emphasis"/>
        </w:rPr>
        <w:t xml:space="preserve">fetus = immaterial </w:t>
      </w:r>
      <w:r>
        <w:rPr>
          <w:rStyle w:val="Emphasis"/>
        </w:rPr>
        <w:lastRenderedPageBreak/>
        <w:t>aspects and body › the six senses</w:t>
      </w:r>
      <w:r>
        <w:t>. In these instances, ‘fetus’ and ‘immaterial aspects and body’ are practically synonymous, both leading to the six senses.</w:t>
      </w:r>
    </w:p>
    <w:p w14:paraId="78D3ABDC" w14:textId="77777777" w:rsidR="00FE3964" w:rsidRDefault="00000000">
      <w:pPr>
        <w:pStyle w:val="WW-paragraph"/>
      </w:pPr>
      <w: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r>
        <w:rPr>
          <w:rStyle w:val="wwc-sesame"/>
        </w:rPr>
        <w:t>Mahānidāna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r>
        <w:rPr>
          <w:rStyle w:val="wwc-sesame"/>
        </w:rPr>
        <w:t>Mahānidāna Sutta</w:t>
      </w:r>
      <w:r>
        <w:t xml:space="preserve"> describes the same basic principles as the default sequence—and there is no reason not to—they must therefore be included under </w:t>
      </w:r>
      <w:r>
        <w:rPr>
          <w:rStyle w:val="wwc-pali"/>
        </w:rPr>
        <w:t>nāmarūpa</w:t>
      </w:r>
      <w:r>
        <w:t>.</w:t>
      </w:r>
      <w:r>
        <w:rPr>
          <w:rStyle w:val="FootnoteReference"/>
        </w:rPr>
        <w:footnoteReference w:id="108"/>
      </w:r>
      <w:r>
        <w:t xml:space="preserve"> This indicates that both the six senses and </w:t>
      </w:r>
      <w:r>
        <w:rPr>
          <w:rStyle w:val="wwc-pali"/>
        </w:rPr>
        <w:t>nāmarūpa</w:t>
      </w:r>
      <w:r>
        <w:t xml:space="preserve"> are part of the same thing, namely the being. As Bhikkhu Bodhi explained the link between them: “The sentient organism with its physical form (</w:t>
      </w:r>
      <w:r>
        <w:rPr>
          <w:rStyle w:val="wwc-pali"/>
        </w:rPr>
        <w:t>rūpa</w:t>
      </w:r>
      <w:r>
        <w:t>) and its sensitive and cognitive capacities (</w:t>
      </w:r>
      <w:r>
        <w:rPr>
          <w:rStyle w:val="wwc-pali"/>
        </w:rPr>
        <w:t>nāma</w:t>
      </w:r>
      <w:r>
        <w:t>) […] is equipped with six sense bases (</w:t>
      </w:r>
      <w:r>
        <w:rPr>
          <w:rStyle w:val="wwc-pali"/>
        </w:rPr>
        <w:t>saḷāyatana</w:t>
      </w:r>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{Simple}Table 6. Mahānidāna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r>
              <w:rPr>
                <w:rStyle w:val="Strong"/>
              </w:rPr>
              <w:t>Mahānidāna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r>
        <w:rPr>
          <w:rStyle w:val="wwc-sesame"/>
        </w:rPr>
        <w:t>Mahānidāna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lastRenderedPageBreak/>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r>
        <w:rPr>
          <w:rStyle w:val="wwc-pali"/>
        </w:rPr>
        <w:t>nāmarūpa</w:t>
      </w:r>
      <w:r>
        <w:t xml:space="preserve">) refers to rebirth. Before returning to this discourse, in the remainder of this chapter I will further clarify this </w:t>
      </w:r>
      <w:r>
        <w:rPr>
          <w:rStyle w:val="wwc-pali"/>
        </w:rPr>
        <w:t>nāmarūpa</w:t>
      </w:r>
      <w:r>
        <w:t>. Erich Frauwallner found the interpretation of this term “offers no difficulties”,</w:t>
      </w:r>
      <w:r>
        <w:rPr>
          <w:rStyle w:val="FootnoteReference"/>
        </w:rPr>
        <w:footnoteReference w:id="111"/>
      </w:r>
      <w:r>
        <w:t xml:space="preserve"> but I disagree, even though we arrived at similar conclusions. </w:t>
      </w:r>
      <w:r>
        <w:rPr>
          <w:rStyle w:val="wwc-pali"/>
        </w:rPr>
        <w:t>Nāmarūpa</w:t>
      </w:r>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r>
        <w:rPr>
          <w:rStyle w:val="wwc-pali"/>
        </w:rPr>
        <w:t>nāmarūpa</w:t>
      </w:r>
      <w:r>
        <w:t xml:space="preserve"> was not invented by the Buddha. It also occurs in the </w:t>
      </w:r>
      <w:r>
        <w:rPr>
          <w:rStyle w:val="wwc-sesame"/>
        </w:rPr>
        <w:t>Upaniṣads</w:t>
      </w:r>
      <w:r>
        <w:t xml:space="preserve">, and has precursors in the earlier Vedas. That does not necessarily make the term specific to the Brahmins, however. “It seems safe enough to assume that </w:t>
      </w:r>
      <w:r>
        <w:rPr>
          <w:rStyle w:val="wwc-sesame"/>
        </w:rPr>
        <w:t>Upaniṣadic</w:t>
      </w:r>
      <w: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2"/>
      </w:r>
      <w:r>
        <w:t xml:space="preserve"> In other words, </w:t>
      </w:r>
      <w:r>
        <w:rPr>
          <w:rStyle w:val="wwc-pali"/>
        </w:rPr>
        <w:t>nāmarūpa</w:t>
      </w:r>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r>
        <w:rPr>
          <w:rStyle w:val="wwc-pali"/>
        </w:rPr>
        <w:t>nāmarūpa</w:t>
      </w:r>
      <w:r>
        <w:t xml:space="preserve"> is a compound consisting of two words: </w:t>
      </w:r>
      <w:r>
        <w:rPr>
          <w:rStyle w:val="wwc-pali"/>
        </w:rPr>
        <w:t>nāma</w:t>
      </w:r>
      <w:r>
        <w:t xml:space="preserve"> and </w:t>
      </w:r>
      <w:r>
        <w:rPr>
          <w:rStyle w:val="wwc-pali"/>
        </w:rPr>
        <w:t>rūpa</w:t>
      </w:r>
      <w:r>
        <w:t xml:space="preserve">. It likely originated as a possessive adjective rather than noun, as Liudmila Olalde suggests in the excellent </w:t>
      </w:r>
      <w:r>
        <w:rPr>
          <w:rStyle w:val="Emphasis"/>
        </w:rPr>
        <w:t>Zum Begriff ‘nāmarūpa’: das Individuum im Pāli-Kanon</w:t>
      </w:r>
      <w:r>
        <w:t xml:space="preserve"> (</w:t>
      </w:r>
      <w:r>
        <w:rPr>
          <w:rStyle w:val="Emphasis"/>
        </w:rPr>
        <w:t>On the concept ‘nāmarūpa’: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w:t>
      </w:r>
      <w:r>
        <w:lastRenderedPageBreak/>
        <w:t xml:space="preserve">Likewise, the compound </w:t>
      </w:r>
      <w:r>
        <w:rPr>
          <w:rStyle w:val="wwc-pali"/>
        </w:rPr>
        <w:t>nāmarūpa</w:t>
      </w:r>
      <w:r>
        <w:t xml:space="preserve"> refers to an individual being </w:t>
      </w:r>
      <w:r>
        <w:rPr>
          <w:rStyle w:val="Emphasis"/>
        </w:rPr>
        <w:t>with</w:t>
      </w:r>
      <w:r>
        <w:t xml:space="preserve"> a certain name (</w:t>
      </w:r>
      <w:r>
        <w:rPr>
          <w:rStyle w:val="wwc-pali"/>
        </w:rPr>
        <w:t>nāma</w:t>
      </w:r>
      <w:r>
        <w:t>) and form (</w:t>
      </w:r>
      <w:r>
        <w:rPr>
          <w:rStyle w:val="wwc-pali"/>
        </w:rPr>
        <w:t>rūpa</w:t>
      </w:r>
      <w:r>
        <w:t>).</w:t>
      </w:r>
    </w:p>
    <w:p w14:paraId="543CA362" w14:textId="77777777" w:rsidR="00FE3964" w:rsidRDefault="00000000">
      <w:pPr>
        <w:pStyle w:val="WW-paragraph"/>
      </w:pPr>
      <w:r>
        <w:t xml:space="preserve">As to the component of </w:t>
      </w:r>
      <w:r>
        <w:rPr>
          <w:rStyle w:val="wwc-pali"/>
        </w:rPr>
        <w:t>rūpa</w:t>
      </w:r>
      <w: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r>
        <w:rPr>
          <w:rStyle w:val="wwc-pali"/>
        </w:rPr>
        <w:t>rūpa</w:t>
      </w:r>
      <w:r>
        <w:t xml:space="preserve">. By extent </w:t>
      </w:r>
      <w:r>
        <w:rPr>
          <w:rStyle w:val="wwc-pali"/>
        </w:rPr>
        <w:t>rūpa</w:t>
      </w:r>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r>
        <w:rPr>
          <w:rStyle w:val="wwc-pali"/>
        </w:rPr>
        <w:t>rūpa</w:t>
      </w:r>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t xml:space="preserve"> is a good example of this.</w:t>
      </w:r>
    </w:p>
    <w:p w14:paraId="3554C0AB" w14:textId="77777777" w:rsidR="00FE3964" w:rsidRDefault="00000000">
      <w:pPr>
        <w:pStyle w:val="WW-paragraph"/>
      </w:pPr>
      <w:r>
        <w:t xml:space="preserve">In the compound </w:t>
      </w:r>
      <w:r>
        <w:rPr>
          <w:rStyle w:val="wwc-pali"/>
        </w:rPr>
        <w:t>nāmarūpa</w:t>
      </w:r>
      <w:r>
        <w:t xml:space="preserve"> as it is ordinarily used, </w:t>
      </w:r>
      <w:r>
        <w:rPr>
          <w:rStyle w:val="wwc-pali"/>
        </w:rPr>
        <w:t>rūpa</w:t>
      </w:r>
      <w:r>
        <w:t xml:space="preserve"> refers specifically to the physical form of the being, which is why I translate it as ‘body’ in this context. The word </w:t>
      </w:r>
      <w:r>
        <w:rPr>
          <w:rStyle w:val="wwc-pali"/>
        </w:rPr>
        <w:t>rūpa</w:t>
      </w:r>
      <w:r>
        <w:t xml:space="preserve"> has this meaning in other places too. One discourse says, “the form (</w:t>
      </w:r>
      <w:r>
        <w:rPr>
          <w:rStyle w:val="wwc-pali"/>
        </w:rPr>
        <w:t>rūpa</w:t>
      </w:r>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r>
        <w:rPr>
          <w:rStyle w:val="wwc-pali"/>
        </w:rPr>
        <w:t>rūpa</w:t>
      </w:r>
      <w:r>
        <w:t xml:space="preserve"> far from always refers to the body, it does mean the body in some instances, and one of these instances is </w:t>
      </w:r>
      <w:r>
        <w:rPr>
          <w:rStyle w:val="wwc-pali"/>
        </w:rPr>
        <w:t>nāmarūpa</w:t>
      </w:r>
      <w:r>
        <w:t xml:space="preserve">. The </w:t>
      </w:r>
      <w:r>
        <w:rPr>
          <w:rStyle w:val="wwc-sesame"/>
        </w:rPr>
        <w:t>Upaniṣads</w:t>
      </w:r>
      <w:r>
        <w:t xml:space="preserve"> also mention “my name (</w:t>
      </w:r>
      <w:r>
        <w:rPr>
          <w:rStyle w:val="wwc-pali"/>
        </w:rPr>
        <w:t>nāma</w:t>
      </w:r>
      <w:r>
        <w:t>) and my body (</w:t>
      </w:r>
      <w:r>
        <w:rPr>
          <w:rStyle w:val="wwc-sanskrit"/>
        </w:rPr>
        <w:t>śarīra</w:t>
      </w:r>
      <w:r>
        <w:t xml:space="preserve">)”, where </w:t>
      </w:r>
      <w:r>
        <w:rPr>
          <w:rStyle w:val="wwc-pali"/>
        </w:rPr>
        <w:t>rūpa</w:t>
      </w:r>
      <w:r>
        <w:t xml:space="preserve"> seems to be replaced with </w:t>
      </w:r>
      <w:r>
        <w:rPr>
          <w:rStyle w:val="wwc-sanskrit"/>
        </w:rPr>
        <w:t>śarīra</w:t>
      </w:r>
      <w:r>
        <w:t>, a more literal term for body.</w:t>
      </w:r>
      <w:r>
        <w:rPr>
          <w:rStyle w:val="FootnoteReference"/>
        </w:rPr>
        <w:footnoteReference w:id="118"/>
      </w:r>
    </w:p>
    <w:p w14:paraId="0F702057" w14:textId="77777777" w:rsidR="00FE3964" w:rsidRDefault="00000000">
      <w:pPr>
        <w:pStyle w:val="WW-paragraph"/>
      </w:pPr>
      <w:r>
        <w:rPr>
          <w:rStyle w:val="wwc-pali"/>
        </w:rPr>
        <w:t>Nāma</w:t>
      </w:r>
      <w:r>
        <w:t xml:space="preserve">, which literally means ‘name’, will require a longer explanation. As part of </w:t>
      </w:r>
      <w:r>
        <w:rPr>
          <w:rStyle w:val="wwc-pali"/>
        </w:rPr>
        <w:t>nāmarūpa</w:t>
      </w:r>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r>
        <w:rPr>
          <w:rStyle w:val="wwc-pali"/>
        </w:rPr>
        <w:t>nāma</w:t>
      </w:r>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r>
        <w:rPr>
          <w:rStyle w:val="wwc-pali"/>
        </w:rPr>
        <w:t>nāmarūpa</w:t>
      </w:r>
      <w:r>
        <w:t xml:space="preserve"> was used to refer to individual beings, who all had their own specific names and forms (or ‘visible appearances’, per </w:t>
      </w:r>
      <w:r w:rsidRPr="00F803AB">
        <w:rPr>
          <w:rStyle w:val="wwc-sesame-zot-reference"/>
        </w:rPr>
        <w:t>Olivelle</w:t>
      </w:r>
      <w:r>
        <w:t xml:space="preserve">).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w:t>
      </w:r>
      <w:r>
        <w:lastRenderedPageBreak/>
        <w:t>called ‘frog’.</w:t>
      </w:r>
      <w:r>
        <w:rPr>
          <w:rStyle w:val="FootnoteReference"/>
        </w:rPr>
        <w:footnoteReference w:id="121"/>
      </w:r>
      <w:r>
        <w:t xml:space="preserve"> The </w:t>
      </w:r>
      <w:r>
        <w:rPr>
          <w:rStyle w:val="wwc-sesame"/>
        </w:rPr>
        <w:t>Bṛhadāraṇyaka Upaniṣad</w:t>
      </w:r>
      <w:r>
        <w:t xml:space="preserve"> also shows that the term </w:t>
      </w:r>
      <w:r>
        <w:rPr>
          <w:rStyle w:val="wwc-pali"/>
        </w:rPr>
        <w:t>nāmarūpa</w:t>
      </w:r>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r>
        <w:rPr>
          <w:rStyle w:val="wwc-sesame"/>
        </w:rPr>
        <w:t>Upaniṣads</w:t>
      </w:r>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r>
        <w:rPr>
          <w:rStyle w:val="wwc-pali"/>
        </w:rPr>
        <w:t>nāmarūpa</w:t>
      </w:r>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r>
        <w:rPr>
          <w:rStyle w:val="wwc-pali"/>
        </w:rPr>
        <w:t>nāma</w:t>
      </w:r>
      <w: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t xml:space="preserve"> in Brahmanic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 xml:space="preserve">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w:t>
      </w:r>
      <w:r>
        <w:lastRenderedPageBreak/>
        <w:t>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r>
        <w:rPr>
          <w:rStyle w:val="wwc-sesame"/>
        </w:rPr>
        <w:t>Bṛhadāraṇyaka Upaniṣad</w:t>
      </w:r>
      <w:r>
        <w:t xml:space="preserve">, the brahmin sage </w:t>
      </w:r>
      <w:r>
        <w:rPr>
          <w:rStyle w:val="wwc-sesame"/>
        </w:rPr>
        <w:t>Yājñavalkya</w:t>
      </w:r>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r>
        <w:rPr>
          <w:rStyle w:val="wwc-sesame"/>
        </w:rPr>
        <w:t>Bṛhadāraṇyaka Upaniṣad</w:t>
      </w:r>
      <w:r>
        <w:t xml:space="preserve"> contains a verse which is particularly interesting for our discussion, since it speaks of a fetus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lastRenderedPageBreak/>
        <w:t>May Viṣṇu prepare your womb,</w:t>
      </w:r>
      <w:r>
        <w:br/>
        <w:t>and Tvaṣṭṛ mold the forms;</w:t>
      </w:r>
      <w:r>
        <w:br/>
        <w:t>May Prajāpati impregnate you,</w:t>
      </w:r>
      <w:r>
        <w:br/>
        <w:t>and Dhātṛ lay the fetus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r w:rsidRPr="000440B7">
        <w:rPr>
          <w:rStyle w:val="wwc-sesame"/>
        </w:rPr>
        <w:t>Upaniṣads</w:t>
      </w:r>
      <w:r>
        <w:t xml:space="preserve"> also contain a process of conception and birth, using the terms ‘womb’, ‘fetus’, ‘name’, and ‘form’—with the Sanskrit words all being equivalent to the Pāli: </w:t>
      </w:r>
      <w:r>
        <w:rPr>
          <w:rStyle w:val="wwc-pali"/>
        </w:rPr>
        <w:t>yoni</w:t>
      </w:r>
      <w:r>
        <w:t xml:space="preserve">, </w:t>
      </w:r>
      <w:r>
        <w:rPr>
          <w:rStyle w:val="wwc-pali"/>
        </w:rPr>
        <w:t>garbha</w:t>
      </w:r>
      <w:r>
        <w:t xml:space="preserve">, </w:t>
      </w:r>
      <w:r>
        <w:rPr>
          <w:rStyle w:val="wwc-pali"/>
        </w:rPr>
        <w:t>nāma</w:t>
      </w:r>
      <w:r>
        <w:t xml:space="preserve">, and </w:t>
      </w:r>
      <w:r>
        <w:rPr>
          <w:rStyle w:val="wwc-pali"/>
        </w:rPr>
        <w:t>rūpa</w:t>
      </w:r>
      <w:r>
        <w:t xml:space="preserve"> respectively. There is a clear linguistic connection with Dependent Arising here, however distant, especially when we consider the </w:t>
      </w:r>
      <w:r>
        <w:rPr>
          <w:rStyle w:val="wwc-sesame"/>
        </w:rPr>
        <w:t>Mahānidāna Sutta</w:t>
      </w:r>
      <w:r>
        <w:t>’s passage on the conception of “name and form” in the mother’s womb. (</w:t>
      </w:r>
      <w:hyperlink w:anchor="bqseg84">
        <w:r>
          <w:rPr>
            <w:rStyle w:val="Hyperlink"/>
          </w:rPr>
          <w:t>§84</w:t>
        </w:r>
      </w:hyperlink>
      <w:r>
        <w:t xml:space="preserve">) Jurewicz believes the connection could explain the Buddha’s choice of “the term </w:t>
      </w:r>
      <w:r>
        <w:rPr>
          <w:rStyle w:val="wwc-pali"/>
        </w:rPr>
        <w:t>nāmarūpa</w:t>
      </w:r>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t xml:space="preserve"> and </w:t>
      </w:r>
      <w:r>
        <w:rPr>
          <w:rStyle w:val="wwc-pali"/>
        </w:rPr>
        <w:t>rūpa</w:t>
      </w:r>
      <w:r>
        <w:t xml:space="preserve"> in a similar fashion as the Brahmins. These words seem to have been a common way to refer to an individual.</w:t>
      </w:r>
    </w:p>
    <w:p w14:paraId="553FDAA8" w14:textId="77777777" w:rsidR="00FE3964" w:rsidRDefault="00000000">
      <w:pPr>
        <w:pStyle w:val="WW-chapter-section-1"/>
      </w:pPr>
      <w:r>
        <w:t>The Buddha’s definition of nāma</w:t>
      </w:r>
    </w:p>
    <w:p w14:paraId="0DB43B1F" w14:textId="77777777" w:rsidR="00FE3964" w:rsidRDefault="00000000">
      <w:pPr>
        <w:pStyle w:val="WW-paragraph"/>
      </w:pPr>
      <w:r>
        <w:t xml:space="preserve">The belief that one’s name was an essential part of one’s being may have prompted the Buddha’s definition of </w:t>
      </w:r>
      <w:r>
        <w:rPr>
          <w:rStyle w:val="wwc-pali"/>
        </w:rPr>
        <w:t>nāma</w:t>
      </w:r>
      <w:r>
        <w:t xml:space="preserve">, which he defined as sensation, perception, intention, sense impression, and attention. Initially he used the word </w:t>
      </w:r>
      <w:r>
        <w:rPr>
          <w:rStyle w:val="wwc-pali"/>
        </w:rPr>
        <w:t>nāmarūpa</w:t>
      </w:r>
      <w:r>
        <w:t xml:space="preserve"> as it was used in common speech: to refer to the individual. The specific definition of </w:t>
      </w:r>
      <w:r>
        <w:rPr>
          <w:rStyle w:val="wwc-pali"/>
        </w:rPr>
        <w:t>nāma</w:t>
      </w:r>
      <w: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r>
        <w:rPr>
          <w:rStyle w:val="wwc-pali"/>
        </w:rPr>
        <w:t>nāma</w:t>
      </w:r>
      <w:r>
        <w:t xml:space="preserve"> could easily have been identified with the core of a person or with a component subsisting after death may explain why its reinterpretation became necessary”, concluded also Olalde.</w:t>
      </w:r>
      <w:r>
        <w:rPr>
          <w:rStyle w:val="FootnoteReference"/>
        </w:rPr>
        <w:footnoteReference w:id="136"/>
      </w:r>
      <w:r>
        <w:t xml:space="preserve"> The Buddha’s definition (or, rather, </w:t>
      </w:r>
      <w:r>
        <w:rPr>
          <w:rStyle w:val="Emphasis"/>
        </w:rPr>
        <w:t>reinterpretation</w:t>
      </w:r>
      <w:r>
        <w:t xml:space="preserve">) of </w:t>
      </w:r>
      <w:r>
        <w:rPr>
          <w:rStyle w:val="wwc-pali"/>
        </w:rPr>
        <w:t>nāma</w:t>
      </w:r>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lastRenderedPageBreak/>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t>’s interpretation of ‘bending (</w:t>
      </w:r>
      <w:r>
        <w:rPr>
          <w:rStyle w:val="wwc-pali"/>
        </w:rPr>
        <w:t>namana</w:t>
      </w:r>
      <w:r>
        <w:t xml:space="preserve">) towards things’ is based on a playful but false etymology of </w:t>
      </w:r>
      <w:r>
        <w:rPr>
          <w:rStyle w:val="wwc-pali"/>
        </w:rPr>
        <w:t>nāma</w:t>
      </w:r>
      <w:r>
        <w:t xml:space="preserve"> and cannot be taken seriously.</w:t>
      </w:r>
      <w:r>
        <w:rPr>
          <w:rStyle w:val="FootnoteReference"/>
        </w:rPr>
        <w:footnoteReference w:id="137"/>
      </w:r>
      <w:r>
        <w:t xml:space="preserve"> The </w:t>
      </w:r>
      <w:r>
        <w:rPr>
          <w:rStyle w:val="wwc-sesame"/>
        </w:rPr>
        <w:t>Śāriputra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r>
        <w:rPr>
          <w:rStyle w:val="wwc-pali"/>
        </w:rPr>
        <w:t>nāma</w:t>
      </w:r>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r>
        <w:rPr>
          <w:rStyle w:val="wwc-sesame"/>
        </w:rPr>
        <w:t>Mahānidāna Sutta</w:t>
      </w:r>
      <w:r>
        <w:t xml:space="preserve"> on “designation contact” (</w:t>
      </w:r>
      <w:hyperlink w:anchor="bqseg109">
        <w:r>
          <w:rPr>
            <w:rStyle w:val="Hyperlink"/>
          </w:rPr>
          <w:t>§109</w:t>
        </w:r>
      </w:hyperlink>
      <w:r>
        <w:t xml:space="preserve">) may hint at such ideas, but it leaves almost all of the factors of the definition of </w:t>
      </w:r>
      <w:r>
        <w:rPr>
          <w:rStyle w:val="wwc-pali"/>
        </w:rPr>
        <w:t>nāma</w:t>
      </w:r>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r>
        <w:rPr>
          <w:rStyle w:val="wwc-pali"/>
        </w:rPr>
        <w:t>nāmarūpa</w:t>
      </w:r>
      <w:r>
        <w:t xml:space="preserve">. With this in mind, let me propose another possible reason for the specific factors in the definition of </w:t>
      </w:r>
      <w:r>
        <w:rPr>
          <w:rStyle w:val="wwc-pali"/>
        </w:rPr>
        <w:t>nāma</w:t>
      </w:r>
      <w:r>
        <w:t>. It could be that the factors emphasize specific things consciousness depends on.</w:t>
      </w:r>
      <w:r>
        <w:rPr>
          <w:rStyle w:val="FootnoteReference"/>
        </w:rPr>
        <w:footnoteReference w:id="140"/>
      </w:r>
      <w:r>
        <w:t xml:space="preserve"> Some passages say it relies on sense impressions and mental engagement (</w:t>
      </w:r>
      <w:r>
        <w:rPr>
          <w:rStyle w:val="wwc-pali"/>
        </w:rPr>
        <w:t>samannāhāra</w:t>
      </w:r>
      <w: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r>
        <w:rPr>
          <w:rStyle w:val="wwc-pali"/>
        </w:rPr>
        <w:t>rūpa</w:t>
      </w:r>
      <w:r>
        <w:t>.</w:t>
      </w:r>
    </w:p>
    <w:p w14:paraId="298636A6" w14:textId="77777777" w:rsidR="00FE3964" w:rsidRDefault="00000000">
      <w:pPr>
        <w:pStyle w:val="WW-paragraph"/>
      </w:pPr>
      <w:r>
        <w:t xml:space="preserve">But whatever the Buddha’s exact intentions behind the definition of </w:t>
      </w:r>
      <w:r>
        <w:rPr>
          <w:rStyle w:val="wwc-pali"/>
        </w:rPr>
        <w:t>nāma</w:t>
      </w:r>
      <w:r>
        <w:t xml:space="preserve"> may have been, this definition is only a minor teaching in the suttas, one which plays no critical role in the standard teachings on Dependent Arising, where </w:t>
      </w:r>
      <w:r>
        <w:rPr>
          <w:rStyle w:val="wwc-pali"/>
        </w:rPr>
        <w:t>nāmarūpa</w:t>
      </w:r>
      <w:r>
        <w:t xml:space="preserve"> conventionally refers to the individual. The </w:t>
      </w:r>
      <w:r>
        <w:lastRenderedPageBreak/>
        <w:t xml:space="preserve">definition of </w:t>
      </w:r>
      <w:r>
        <w:rPr>
          <w:rStyle w:val="wwc-pali"/>
        </w:rPr>
        <w:t>nāma</w:t>
      </w:r>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The definition of nāma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r>
        <w:rPr>
          <w:rStyle w:val="wwc-pali"/>
        </w:rPr>
        <w:t>nāma</w:t>
      </w:r>
      <w:r>
        <w:t xml:space="preserve"> more strictly. It did so differently than the suttas, in the </w:t>
      </w:r>
      <w:r>
        <w:rPr>
          <w:rStyle w:val="wwc-sesame"/>
        </w:rPr>
        <w:t>Dhammasaṅgaṇī</w:t>
      </w:r>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Gombrich said about this: “The later Buddhist tradition did not understand how the Buddha had appropriated this term </w:t>
      </w:r>
      <w:r>
        <w:rPr>
          <w:rStyle w:val="wwc-pali"/>
        </w:rPr>
        <w:t>nāmarūpa</w:t>
      </w:r>
      <w:r>
        <w:t xml:space="preserve"> from the </w:t>
      </w:r>
      <w:r>
        <w:rPr>
          <w:rStyle w:val="wwc-sesame"/>
        </w:rPr>
        <w:t>Upaniṣads</w:t>
      </w:r>
      <w: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t xml:space="preserve"> equivalent to the five </w:t>
      </w:r>
      <w:r>
        <w:rPr>
          <w:rStyle w:val="wwc-pali"/>
        </w:rPr>
        <w:t>khandhas</w:t>
      </w:r>
      <w:r>
        <w:t xml:space="preserve">” (with </w:t>
      </w:r>
      <w:r>
        <w:rPr>
          <w:rStyle w:val="wwc-pali"/>
        </w:rPr>
        <w:t>nāma</w:t>
      </w:r>
      <w:r>
        <w:t xml:space="preserve"> encompassing four of them, </w:t>
      </w:r>
      <w:r>
        <w:rPr>
          <w:rStyle w:val="wwc-pali"/>
        </w:rPr>
        <w:t>rūpa</w:t>
      </w:r>
      <w:r>
        <w:t xml:space="preserve"> being the fifth).</w:t>
      </w:r>
      <w:r>
        <w:rPr>
          <w:rStyle w:val="FootnoteReference"/>
        </w:rPr>
        <w:footnoteReference w:id="143"/>
      </w:r>
      <w:r>
        <w:t xml:space="preserve"> Gombrich then correctly states that the </w:t>
      </w:r>
      <w:r>
        <w:rPr>
          <w:rStyle w:val="wwc-sesame"/>
        </w:rPr>
        <w:t>Abhidhamma</w:t>
      </w:r>
      <w:r>
        <w:t xml:space="preserve">’s definition is not in accordance with the suttas, where the consciousness is always separate from </w:t>
      </w:r>
      <w:r>
        <w:rPr>
          <w:rStyle w:val="wwc-pali"/>
        </w:rPr>
        <w:t>nāmarūpa</w:t>
      </w:r>
      <w:r>
        <w:t xml:space="preserve">. This definition seems to be relatively early, though, for it was also used by the </w:t>
      </w:r>
      <w:r>
        <w:rPr>
          <w:rStyle w:val="wwc-sesame"/>
        </w:rPr>
        <w:t>Sarvāstivādins</w:t>
      </w:r>
      <w:r>
        <w:t xml:space="preserve"> in the </w:t>
      </w:r>
      <w:r w:rsidRPr="00B52FC4">
        <w:rPr>
          <w:rStyle w:val="wwc-sesame"/>
        </w:rPr>
        <w:t>Saṁyukta Āgama</w:t>
      </w:r>
      <w:r>
        <w:t xml:space="preserve">, who thus shared the same general interpretation as the </w:t>
      </w:r>
      <w:r w:rsidRPr="007022FE">
        <w:rPr>
          <w:rStyle w:val="wwc-sesame"/>
        </w:rPr>
        <w:t>Theravādins</w:t>
      </w:r>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r>
        <w:rPr>
          <w:rStyle w:val="wwc-sesame"/>
        </w:rPr>
        <w:t>Vibhaṅga</w:t>
      </w:r>
      <w:r>
        <w:t xml:space="preserve">, defined </w:t>
      </w:r>
      <w:r>
        <w:rPr>
          <w:rStyle w:val="wwc-pali"/>
        </w:rPr>
        <w:t>nāma</w:t>
      </w:r>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r>
        <w:rPr>
          <w:rStyle w:val="wwc-sesame"/>
        </w:rPr>
        <w:t>Vibhaṅga</w:t>
      </w:r>
      <w:r>
        <w:t xml:space="preserve"> realized that the aspect of existence of will (</w:t>
      </w:r>
      <w:r>
        <w:rPr>
          <w:rStyle w:val="wwc-pali"/>
        </w:rPr>
        <w:t>saṅkhāra</w:t>
      </w:r>
      <w:r>
        <w:t xml:space="preserve">) is effectively equal to intention. The Majjhima Nikāya commentary further suggests that alongside intention, sense impression and attention should also be seen as part of </w:t>
      </w:r>
      <w:r>
        <w:rPr>
          <w:rStyle w:val="wwc-pali"/>
        </w:rPr>
        <w:t>saṅkhāra</w:t>
      </w:r>
      <w:r>
        <w:t>.</w:t>
      </w:r>
      <w:r>
        <w:rPr>
          <w:rStyle w:val="FootnoteReference"/>
        </w:rPr>
        <w:footnoteReference w:id="146"/>
      </w:r>
      <w:r>
        <w:t xml:space="preserve"> This seems to me somewhat of a stretch, but with intention being equivalent to </w:t>
      </w:r>
      <w:r>
        <w:rPr>
          <w:rStyle w:val="wwc-pali"/>
        </w:rPr>
        <w:t>saṅkhāra</w:t>
      </w:r>
      <w:r>
        <w:t xml:space="preserve">, the Buddha’s definition of </w:t>
      </w:r>
      <w:r>
        <w:rPr>
          <w:rStyle w:val="wwc-pali"/>
        </w:rPr>
        <w:t>nāma</w:t>
      </w:r>
      <w:r>
        <w:t xml:space="preserve"> does contain three of the five aspects of existence (sensation and perception being the other two). And since </w:t>
      </w:r>
      <w:r>
        <w:rPr>
          <w:rStyle w:val="wwc-pali"/>
        </w:rPr>
        <w:t>nāmarūpa</w:t>
      </w:r>
      <w:r>
        <w:t xml:space="preserve"> also includes the aspect of existence of form (</w:t>
      </w:r>
      <w:r>
        <w:rPr>
          <w:rStyle w:val="wwc-pali"/>
        </w:rPr>
        <w:t>rūpa</w:t>
      </w:r>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r>
        <w:rPr>
          <w:rStyle w:val="wwc-sesame"/>
        </w:rPr>
        <w:t>Śāriputra Abhidharma</w:t>
      </w:r>
      <w:r>
        <w:t xml:space="preserve">, which according to Frauwallner has an ancient core, seems to define </w:t>
      </w:r>
      <w:r>
        <w:rPr>
          <w:rStyle w:val="Emphasis"/>
        </w:rPr>
        <w:t>nāma</w:t>
      </w:r>
      <w:r>
        <w:t xml:space="preserve"> with the same factors as the Pāli suttas, as do some parallels in the </w:t>
      </w:r>
      <w:r>
        <w:rPr>
          <w:rStyle w:val="wwc-sesame"/>
        </w:rPr>
        <w:t>Ekottarika Āgama</w:t>
      </w:r>
      <w:r>
        <w:t>.</w:t>
      </w:r>
      <w:r>
        <w:rPr>
          <w:rStyle w:val="FootnoteReference"/>
        </w:rPr>
        <w:footnoteReference w:id="147"/>
      </w:r>
      <w:r>
        <w:t xml:space="preserve"> The </w:t>
      </w:r>
      <w:r>
        <w:rPr>
          <w:rStyle w:val="wwc-sesame"/>
        </w:rPr>
        <w:t>Paṭisambhidāmagga</w:t>
      </w:r>
      <w:r>
        <w:t xml:space="preserve">, an early Pāli commentary, defines it with these factors as well, although it also </w:t>
      </w:r>
      <w:r>
        <w:lastRenderedPageBreak/>
        <w:t>adds some other observations.</w:t>
      </w:r>
      <w:r>
        <w:rPr>
          <w:rStyle w:val="FootnoteReference"/>
        </w:rPr>
        <w:footnoteReference w:id="148"/>
      </w:r>
      <w:r>
        <w:t xml:space="preserve"> This definition of </w:t>
      </w:r>
      <w:r>
        <w:rPr>
          <w:rStyle w:val="wwc-pali"/>
        </w:rPr>
        <w:t>nāma</w:t>
      </w:r>
      <w:r>
        <w:t xml:space="preserve"> seems to be the earliest one, in part also because it is the most difficult reading. As Gombrich stated, later traditions tried to fit the unfamiliar concept of </w:t>
      </w:r>
      <w:r>
        <w:rPr>
          <w:rStyle w:val="wwc-pali"/>
        </w:rPr>
        <w:t>nāma</w:t>
      </w:r>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{Simple}Table 7. Various definitions of nāma</w:t>
      </w:r>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t>Śāriputra Abhidharma</w:t>
            </w:r>
            <w:r>
              <w:rPr>
                <w:rStyle w:val="Strong"/>
              </w:rPr>
              <w:br/>
              <w:t>Ekottarika Āgama</w:t>
            </w:r>
            <w:r>
              <w:rPr>
                <w:rStyle w:val="Strong"/>
              </w:rPr>
              <w:br/>
              <w:t>Paṭisambhidāmagga</w:t>
            </w:r>
          </w:p>
        </w:tc>
        <w:tc>
          <w:tcPr>
            <w:tcW w:w="2457" w:type="dxa"/>
          </w:tcPr>
          <w:p w14:paraId="730E980E" w14:textId="77777777" w:rsidR="00FE3964" w:rsidRDefault="00000000">
            <w:pPr>
              <w:pStyle w:val="WW-paragraph"/>
            </w:pPr>
            <w:r>
              <w:rPr>
                <w:rStyle w:val="Strong"/>
              </w:rPr>
              <w:t>Dhammasaṅgaṇī</w:t>
            </w:r>
            <w:r>
              <w:rPr>
                <w:rStyle w:val="Strong"/>
              </w:rPr>
              <w:br/>
              <w:t>Saṁyukta Āgama</w:t>
            </w:r>
          </w:p>
        </w:tc>
        <w:tc>
          <w:tcPr>
            <w:tcW w:w="2551" w:type="dxa"/>
          </w:tcPr>
          <w:p w14:paraId="11EC3D49" w14:textId="77777777" w:rsidR="00FE3964" w:rsidRDefault="00000000">
            <w:pPr>
              <w:pStyle w:val="WW-paragraph"/>
            </w:pPr>
            <w:r>
              <w:rPr>
                <w:rStyle w:val="Strong"/>
              </w:rPr>
              <w:t>Abhidhamma Vibhaṅga</w:t>
            </w:r>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r>
              <w:rPr>
                <w:rStyle w:val="wwc-pali"/>
              </w:rPr>
              <w:t>saṅkhāra</w:t>
            </w:r>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The Buddha’s definition of rūpa</w:t>
      </w:r>
    </w:p>
    <w:p w14:paraId="785BA435" w14:textId="77777777" w:rsidR="00FE3964" w:rsidRDefault="00000000">
      <w:pPr>
        <w:pStyle w:val="WW-paragraph"/>
      </w:pPr>
      <w:r>
        <w:t xml:space="preserve">The </w:t>
      </w:r>
      <w:r>
        <w:rPr>
          <w:rStyle w:val="wwc-pali"/>
        </w:rPr>
        <w:t>rūpa</w:t>
      </w:r>
      <w:r>
        <w:t xml:space="preserve"> part of </w:t>
      </w:r>
      <w:r>
        <w:rPr>
          <w:rStyle w:val="wwc-pali"/>
        </w:rPr>
        <w:t>nāmarūpa</w:t>
      </w:r>
      <w:r>
        <w:t xml:space="preserve"> is defined by the Buddha as, “the four elements, along with form (</w:t>
      </w:r>
      <w:r>
        <w:rPr>
          <w:rStyle w:val="wwc-pali"/>
        </w:rPr>
        <w:t>rūpa</w:t>
      </w:r>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r>
        <w:rPr>
          <w:rStyle w:val="wwc-pali"/>
        </w:rPr>
        <w:t>nāmarūpa</w:t>
      </w:r>
      <w:r>
        <w:t xml:space="preserve"> in the standard sequence of Dependent Arising refers to the being, which means that </w:t>
      </w:r>
      <w:r>
        <w:rPr>
          <w:rStyle w:val="wwc-pali"/>
        </w:rPr>
        <w:t>rūpa</w:t>
      </w:r>
      <w:r>
        <w:t xml:space="preserve"> here refers to the internal (or ‘personal’, </w:t>
      </w:r>
      <w:r>
        <w:rPr>
          <w:rStyle w:val="wwc-pali"/>
        </w:rPr>
        <w:t>ajjhattaṁ</w:t>
      </w:r>
      <w:r>
        <w:t>) elements, not the external.</w:t>
      </w:r>
    </w:p>
    <w:p w14:paraId="109BF5DC" w14:textId="0527681D" w:rsidR="00FE3964" w:rsidRDefault="00000000">
      <w:pPr>
        <w:pStyle w:val="WW-paragraph"/>
      </w:pPr>
      <w:r>
        <w:lastRenderedPageBreak/>
        <w:t>This is akin to how the factor of the six senses (</w:t>
      </w:r>
      <w:r>
        <w:rPr>
          <w:rStyle w:val="wwc-pali"/>
        </w:rPr>
        <w:t>saḷāyatana</w:t>
      </w:r>
      <w:r>
        <w:t xml:space="preserve">) refers to the internal six sense faculties of the eyes, ears, and so on, not to the external objects of sights, sounds, etc. Although in some texts the term </w:t>
      </w:r>
      <w:r>
        <w:rPr>
          <w:rStyle w:val="wwc-pali"/>
        </w:rPr>
        <w:t>saḷāyatana</w:t>
      </w:r>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r>
        <w:rPr>
          <w:rStyle w:val="wwc-pali"/>
        </w:rPr>
        <w:t>cakkhāyatana</w:t>
      </w:r>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r>
        <w:rPr>
          <w:rStyle w:val="wwc-pali"/>
        </w:rPr>
        <w:t>rūpāyatana</w:t>
      </w:r>
      <w:r>
        <w:t>), sounds, smells, flavors,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r>
        <w:rPr>
          <w:rStyle w:val="wwc-pali"/>
        </w:rPr>
        <w:t>saḷāyatana</w:t>
      </w:r>
      <w:r>
        <w:t>)? The sense of sight (</w:t>
      </w:r>
      <w:r>
        <w:rPr>
          <w:rStyle w:val="wwc-pali"/>
        </w:rPr>
        <w:t>cakkhāyatana</w:t>
      </w:r>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r>
        <w:rPr>
          <w:rStyle w:val="wwc-pali"/>
        </w:rPr>
        <w:t>saḷāyatana</w:t>
      </w:r>
      <w:r>
        <w:t xml:space="preserve"> in Dependent Arising.</w:t>
      </w:r>
      <w:r>
        <w:rPr>
          <w:rStyle w:val="FootnoteReference"/>
        </w:rPr>
        <w:footnoteReference w:id="156"/>
      </w:r>
      <w:r>
        <w:t xml:space="preserve"> While sometimes the six sense faculties are specifically called ‘internal’, when </w:t>
      </w:r>
      <w:r>
        <w:rPr>
          <w:rStyle w:val="wwc-pali"/>
        </w:rPr>
        <w:t>saḷāyatana</w:t>
      </w:r>
      <w:r>
        <w:t xml:space="preserve"> is used as a </w:t>
      </w:r>
      <w:r>
        <w:lastRenderedPageBreak/>
        <w:t xml:space="preserve">factor of Dependent Arising, it is assumed that the audience understands it refers to these internal senses, not to external objects. The same applies to </w:t>
      </w:r>
      <w:r>
        <w:rPr>
          <w:rStyle w:val="wwc-pali"/>
        </w:rPr>
        <w:t>rūpa</w:t>
      </w:r>
      <w:r>
        <w:t xml:space="preserve"> in </w:t>
      </w:r>
      <w:r>
        <w:rPr>
          <w:rStyle w:val="wwc-pali"/>
        </w:rPr>
        <w:t>nāmarūpa</w:t>
      </w:r>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r>
        <w:rPr>
          <w:rStyle w:val="wwc-pali"/>
        </w:rPr>
        <w:t>rūpa</w:t>
      </w:r>
      <w:r>
        <w:t xml:space="preserve"> is defined as the four elements. Direct connections between the body and the four elements are also made throughout the Nikāyas. A common phrase says “this body (</w:t>
      </w:r>
      <w:r>
        <w:rPr>
          <w:rStyle w:val="wwc-pali"/>
        </w:rPr>
        <w:t>kāya</w:t>
      </w:r>
      <w:r>
        <w:t>) consists of form (</w:t>
      </w:r>
      <w:r>
        <w:rPr>
          <w:rStyle w:val="wwc-pali"/>
        </w:rPr>
        <w:t>rūpa</w:t>
      </w:r>
      <w:r>
        <w:t>), is made up of the four elements”.</w:t>
      </w:r>
      <w:r>
        <w:rPr>
          <w:rStyle w:val="FootnoteReference"/>
        </w:rPr>
        <w:footnoteReference w:id="157"/>
      </w:r>
      <w:r>
        <w:t xml:space="preserve"> The </w:t>
      </w:r>
      <w:r>
        <w:rPr>
          <w:rStyle w:val="wwc-sesame"/>
        </w:rPr>
        <w:t>Satippaṭṭhāna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r>
        <w:rPr>
          <w:rStyle w:val="wwc-pali"/>
        </w:rPr>
        <w:t>rūpa</w:t>
      </w:r>
      <w:r>
        <w:t xml:space="preserve"> in context of Dependent Arising. Earlier I argued that the Buddha’s definition of </w:t>
      </w:r>
      <w:r>
        <w:rPr>
          <w:rStyle w:val="wwc-pali"/>
        </w:rPr>
        <w:t>nāma</w:t>
      </w:r>
      <w:r>
        <w:t xml:space="preserve"> is not an exact classification of parts of the being but a means to contemplate the absence of a self. With </w:t>
      </w:r>
      <w:r>
        <w:rPr>
          <w:rStyle w:val="wwc-pali"/>
        </w:rPr>
        <w:t>rūpa</w:t>
      </w:r>
      <w:r>
        <w:t xml:space="preserve"> the situation is similar. Its definition is not a metaphysical statement on what ‘form’ really is, but a way to contemplate that the body is a part of nature. As with </w:t>
      </w:r>
      <w:r>
        <w:rPr>
          <w:rStyle w:val="wwc-pali"/>
        </w:rPr>
        <w:t>nāma</w:t>
      </w:r>
      <w:r>
        <w:t xml:space="preserve">, the Buddha is not saying “this is what I </w:t>
      </w:r>
      <w:r>
        <w:rPr>
          <w:rStyle w:val="Emphasis"/>
        </w:rPr>
        <w:t>mean</w:t>
      </w:r>
      <w:r>
        <w:t xml:space="preserve"> by </w:t>
      </w:r>
      <w:r>
        <w:rPr>
          <w:rStyle w:val="wwc-pali"/>
        </w:rPr>
        <w:t>rūpa</w:t>
      </w:r>
      <w:r>
        <w:t xml:space="preserve">” but “this is how this </w:t>
      </w:r>
      <w:r>
        <w:rPr>
          <w:rStyle w:val="wwc-pali"/>
        </w:rPr>
        <w:t>rūpa</w:t>
      </w:r>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r>
        <w:rPr>
          <w:rStyle w:val="wwc-pali"/>
        </w:rPr>
        <w:t>rūpa</w:t>
      </w:r>
      <w:r>
        <w:t xml:space="preserve"> is used rather than </w:t>
      </w:r>
      <w:r>
        <w:rPr>
          <w:rStyle w:val="wwc-pali"/>
        </w:rPr>
        <w:t>kāya</w:t>
      </w:r>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r>
        <w:rPr>
          <w:rStyle w:val="wwc-pali"/>
        </w:rPr>
        <w:t>rūpa</w:t>
      </w:r>
      <w:r>
        <w:t xml:space="preserve">, at least in this context. (I should note again that the term </w:t>
      </w:r>
      <w:r>
        <w:rPr>
          <w:rStyle w:val="wwc-pali"/>
        </w:rPr>
        <w:t>rūpa</w:t>
      </w:r>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And what is craving? There are six kinds of craving: craving for sights, craving for sounds, craving for smells, craving for flavors,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t>
      </w:r>
      <w:r>
        <w:lastRenderedPageBreak/>
        <w:t xml:space="preserve">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t xml:space="preserve"> and </w:t>
      </w:r>
      <w:r>
        <w:rPr>
          <w:rStyle w:val="wwc-pali"/>
        </w:rPr>
        <w:t>rūpa</w:t>
      </w:r>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r>
        <w:rPr>
          <w:rStyle w:val="wwc-pali"/>
        </w:rPr>
        <w:t>nāmarūpa</w:t>
      </w:r>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r>
        <w:rPr>
          <w:rStyle w:val="wwc-pali"/>
        </w:rPr>
        <w:t>nāmarūpa</w:t>
      </w:r>
      <w:r>
        <w:t xml:space="preserve"> from the </w:t>
      </w:r>
      <w:r>
        <w:rPr>
          <w:rStyle w:val="wwc-sesame"/>
        </w:rPr>
        <w:t>Upaniṣadic</w:t>
      </w:r>
      <w:r>
        <w:t xml:space="preserve"> Brahmins, or more likely from general society, to whom it meant the individual with their visible form and intrinsic name. His definition of </w:t>
      </w:r>
      <w:r>
        <w:rPr>
          <w:rStyle w:val="wwc-pali"/>
        </w:rPr>
        <w:t>nāma</w:t>
      </w:r>
      <w:r>
        <w:t xml:space="preserve"> was meant to challenge traditional ideas about names being part of oneself, and his definition of </w:t>
      </w:r>
      <w:r>
        <w:rPr>
          <w:rStyle w:val="wwc-pali"/>
        </w:rPr>
        <w:t>rūpa</w:t>
      </w:r>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r>
        <w:rPr>
          <w:rStyle w:val="wwc-pali"/>
        </w:rPr>
        <w:t>nāmarūpa</w:t>
      </w:r>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Olivelle in the introduction to his translations of the </w:t>
      </w:r>
      <w:r>
        <w:rPr>
          <w:rStyle w:val="wwc-sesame"/>
        </w:rPr>
        <w:t>Upaniṣads</w:t>
      </w:r>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t xml:space="preserve"> refers to external objects with some regularity in the </w:t>
      </w:r>
      <w:r>
        <w:rPr>
          <w:rStyle w:val="wwc-sesame"/>
        </w:rPr>
        <w:t>Upaniṣads</w:t>
      </w:r>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r>
        <w:rPr>
          <w:rStyle w:val="wwc-pali"/>
        </w:rPr>
        <w:t>nāmarūpa</w:t>
      </w:r>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Development of willful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willful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t xml:space="preserve"> of willful actions’. This refers to the </w:t>
      </w:r>
      <w:r>
        <w:lastRenderedPageBreak/>
        <w:t>outcome of the actions, not the actions themselves. The outcome of willful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{SimpleNoRowBorders}Table 8. Function of ‘development of willful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3. Conception of nāmarūpa</w:t>
            </w:r>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4. Development of willful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t xml:space="preserve">) in “producing a complete figure of a man or woman” refers to the bodily part of </w:t>
      </w:r>
      <w:r>
        <w:rPr>
          <w:rStyle w:val="wwc-pali"/>
        </w:rPr>
        <w:t>nāmarūpa</w:t>
      </w:r>
      <w:r>
        <w:t>. Even ‘producing’ (</w:t>
      </w:r>
      <w:r>
        <w:rPr>
          <w:rStyle w:val="wwc-pali"/>
        </w:rPr>
        <w:t>abhinibbatti</w:t>
      </w:r>
      <w:r>
        <w:t xml:space="preserve">) refers to rebirth. It is also used in the </w:t>
      </w:r>
      <w:r>
        <w:rPr>
          <w:rStyle w:val="wwc-sesame"/>
        </w:rPr>
        <w:t>Mahānidāna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62E8062E">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18EDE974">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r>
        <w:rPr>
          <w:rStyle w:val="wwc-pali"/>
        </w:rPr>
        <w:t>saṁsāra</w:t>
      </w:r>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r>
        <w:rPr>
          <w:rStyle w:val="wwc-sesame"/>
        </w:rPr>
        <w:t>Saṁyutta Nikāya</w:t>
      </w:r>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r>
        <w:rPr>
          <w:rStyle w:val="wwc-pali"/>
        </w:rPr>
        <w:t>caraṇa</w:t>
      </w:r>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First we will have a further look at the factors of willful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As the title of this section indicates, I will show here that willful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r>
        <w:rPr>
          <w:rStyle w:val="wwc-pali"/>
        </w:rPr>
        <w:t>kamma</w:t>
      </w:r>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r>
        <w:rPr>
          <w:rStyle w:val="wwc-pali"/>
        </w:rPr>
        <w:t>kamma</w:t>
      </w:r>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r>
        <w:rPr>
          <w:rStyle w:val="wwc-pali"/>
        </w:rPr>
        <w:t>saṁsāra</w:t>
      </w:r>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40805200">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willful actions. </w:t>
      </w:r>
      <w:r>
        <w:lastRenderedPageBreak/>
        <w:t xml:space="preserve">(By ‘willful’ I mean ‘intentional/volitional’, not ‘stubborn’.) The Pāli for ‘willful actions’ is </w:t>
      </w:r>
      <w:r>
        <w:rPr>
          <w:rStyle w:val="wwc-pali"/>
        </w:rPr>
        <w:t>saṅkhāra</w:t>
      </w:r>
      <w:r>
        <w:t xml:space="preserve">. It is linguistically connected to </w:t>
      </w:r>
      <w:r>
        <w:rPr>
          <w:rStyle w:val="wwc-pali"/>
        </w:rPr>
        <w:t>kamma</w:t>
      </w:r>
      <w:r>
        <w:t xml:space="preserve">, which is a bit more apparent in the Sanskrit form </w:t>
      </w:r>
      <w:r>
        <w:rPr>
          <w:rStyle w:val="wwc-pali"/>
        </w:rPr>
        <w:t>karma</w:t>
      </w:r>
      <w:r>
        <w:t>. (</w:t>
      </w:r>
      <w:r>
        <w:rPr>
          <w:rStyle w:val="wwc-pali"/>
        </w:rPr>
        <w:t>Saṅkhāra = saṁ+√kar+a. Kamma/karma = √kar+ma</w:t>
      </w:r>
      <w:r>
        <w:t>.)</w:t>
      </w:r>
    </w:p>
    <w:p w14:paraId="27FB6247" w14:textId="77777777" w:rsidR="00FE3964" w:rsidRDefault="00000000">
      <w:pPr>
        <w:pStyle w:val="WW-paragraph"/>
      </w:pPr>
      <w:r>
        <w:t xml:space="preserve">In the context of Dependent Arising </w:t>
      </w:r>
      <w:r>
        <w:rPr>
          <w:rStyle w:val="wwc-pali"/>
        </w:rPr>
        <w:t>saṅkhāra</w:t>
      </w:r>
      <w:r>
        <w:t xml:space="preserve"> and </w:t>
      </w:r>
      <w:r>
        <w:rPr>
          <w:rStyle w:val="wwc-pali"/>
        </w:rPr>
        <w:t>kamma</w:t>
      </w:r>
      <w:r>
        <w:t xml:space="preserve"> are effectively synonymous. The following extracts bear witness to this, showing the close connection between the two. The first extract gives the definition of </w:t>
      </w:r>
      <w:r>
        <w:rPr>
          <w:rStyle w:val="wwc-pali"/>
        </w:rPr>
        <w:t>saṅkhāra</w:t>
      </w:r>
      <w: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 xml:space="preserve">And what is will [or ‘willful actions’, </w:t>
      </w:r>
      <w:r>
        <w:rPr>
          <w:rStyle w:val="wwc-pali"/>
        </w:rPr>
        <w:t>saṅkhāras</w:t>
      </w:r>
      <w: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r>
        <w:rPr>
          <w:rStyle w:val="wwc-pali"/>
        </w:rPr>
        <w:t>kamma</w:t>
      </w:r>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And what are willful actions (</w:t>
      </w:r>
      <w:r>
        <w:rPr>
          <w:rStyle w:val="wwc-pali"/>
        </w:rPr>
        <w:t>saṅkhāras</w:t>
      </w:r>
      <w:r>
        <w:t>)? There are three kinds of willful actions: physical, verbal, and mental willful actions. That is what’s called willful actions.</w:t>
      </w:r>
      <w:r>
        <w:rPr>
          <w:rStyle w:val="FootnoteReference"/>
        </w:rPr>
        <w:footnoteReference w:id="175"/>
      </w:r>
    </w:p>
    <w:p w14:paraId="4BA10953" w14:textId="77777777" w:rsidR="00FE3964" w:rsidRDefault="00000000">
      <w:pPr>
        <w:pStyle w:val="WW-paragraph"/>
      </w:pPr>
      <w:r>
        <w:t xml:space="preserve">The last extract is the definition of </w:t>
      </w:r>
      <w:r>
        <w:rPr>
          <w:rStyle w:val="wwc-pali"/>
        </w:rPr>
        <w:t>saṅkhāra</w:t>
      </w:r>
      <w:r>
        <w:t xml:space="preserve"> in the context of Dependent Arising. In this context </w:t>
      </w:r>
      <w:r>
        <w:rPr>
          <w:rStyle w:val="wwc-pali"/>
        </w:rPr>
        <w:t>saṅkhāra</w:t>
      </w:r>
      <w:r>
        <w:t xml:space="preserve"> depends on ignorance, so it only concerns the intentional actions performed by the unenlightened. Enlightened beings still have intentions, so the general aggregate of </w:t>
      </w:r>
      <w:r>
        <w:rPr>
          <w:rStyle w:val="wwc-pali"/>
        </w:rPr>
        <w:t>saṅkhāra</w:t>
      </w:r>
      <w:r>
        <w:t xml:space="preserve"> (the will) still exists. But these intentions are not based on ignorance and will not lead to rebirth, so they are not part of the </w:t>
      </w:r>
      <w:r>
        <w:rPr>
          <w:rStyle w:val="wwc-pali"/>
        </w:rPr>
        <w:t>saṅkhāra</w:t>
      </w:r>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r>
        <w:rPr>
          <w:rStyle w:val="wwc-pali"/>
        </w:rPr>
        <w:t>saṅkhāra</w:t>
      </w:r>
      <w:r>
        <w:t xml:space="preserve"> and </w:t>
      </w:r>
      <w:r>
        <w:rPr>
          <w:rStyle w:val="wwc-pali"/>
        </w:rPr>
        <w:t>kamma</w:t>
      </w:r>
      <w:r>
        <w:t xml:space="preserve"> are both said to be based on intention (</w:t>
      </w:r>
      <w:r>
        <w:rPr>
          <w:rStyle w:val="wwc-pali"/>
        </w:rPr>
        <w:t>cetanā</w:t>
      </w:r>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r>
        <w:rPr>
          <w:rStyle w:val="wwc-pali"/>
        </w:rPr>
        <w:t>kamma</w:t>
      </w:r>
      <w:r>
        <w:t>) with dark results? Then someone performs harmful physical, verbal, and mental willful actions (</w:t>
      </w:r>
      <w:r>
        <w:rPr>
          <w:rStyle w:val="wwc-pali"/>
        </w:rPr>
        <w:t>saṅkhāras</w:t>
      </w:r>
      <w:r>
        <w:t>). That is what’s called dark deeds with dark results.</w:t>
      </w:r>
    </w:p>
    <w:p w14:paraId="2D8E8E57" w14:textId="77777777" w:rsidR="00FE3964" w:rsidRDefault="00000000">
      <w:pPr>
        <w:pStyle w:val="WW-blockquote"/>
      </w:pPr>
      <w:r>
        <w:t>And what are bright deeds with bright results? Then someone performs pleasing physical, verbal, and mental willful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√kar+ta</w:t>
      </w:r>
      <w:r>
        <w:t xml:space="preserve">), is also linguistically connected to </w:t>
      </w:r>
      <w:r>
        <w:rPr>
          <w:rStyle w:val="wwc-pali"/>
        </w:rPr>
        <w:t>kamma</w:t>
      </w:r>
      <w:r>
        <w:t xml:space="preserve"> and </w:t>
      </w:r>
      <w:r>
        <w:rPr>
          <w:rStyle w:val="wwc-pali"/>
        </w:rPr>
        <w:t>saṅkhāra</w:t>
      </w:r>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t xml:space="preserve"> says the same thing.</w:t>
      </w:r>
      <w:r>
        <w:rPr>
          <w:rStyle w:val="FootnoteReference"/>
        </w:rPr>
        <w:footnoteReference w:id="181"/>
      </w:r>
      <w:r>
        <w:t xml:space="preserve"> Such statements are of course generalizations, but the basic idea is clear: willful actions determine the quality of the being’s rebirth.</w:t>
      </w:r>
    </w:p>
    <w:p w14:paraId="3F757AAF" w14:textId="77777777" w:rsidR="00FE3964" w:rsidRDefault="00000000">
      <w:pPr>
        <w:pStyle w:val="WW-paragraph"/>
      </w:pPr>
      <w:r>
        <w:t>The ways in which this happens fall outside the scope of this work. What matters for the current discussion is that since willful actions lead to rebirth, the link between willful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r>
        <w:rPr>
          <w:rStyle w:val="wwc-pali"/>
        </w:rPr>
        <w:t>upapatti</w:t>
      </w:r>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r>
        <w:rPr>
          <w:rStyle w:val="wwc-sesame"/>
        </w:rPr>
        <w:t>Cūḷavedalla Sutta</w:t>
      </w:r>
      <w:r>
        <w:t xml:space="preserve"> the bhikkhuni Dhammadinnā also speaks of three types of activities (</w:t>
      </w:r>
      <w:r>
        <w:rPr>
          <w:rStyle w:val="wwc-pali"/>
        </w:rPr>
        <w:t>saṅkhāras</w:t>
      </w:r>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t xml:space="preserve"> in Dependent Arising.</w:t>
      </w:r>
      <w:r>
        <w:rPr>
          <w:rStyle w:val="FootnoteReference"/>
        </w:rPr>
        <w:footnoteReference w:id="183"/>
      </w:r>
      <w:r>
        <w:t xml:space="preserve"> She is using the three types of </w:t>
      </w:r>
      <w:r>
        <w:rPr>
          <w:rStyle w:val="wwc-pali"/>
        </w:rPr>
        <w:t>saṅkhāra</w:t>
      </w:r>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There are three kinds of willful actions: physical willful actions, verbal willful actions, and mental willful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r>
        <w:rPr>
          <w:rStyle w:val="wwc-pali"/>
        </w:rPr>
        <w:t>kamma</w:t>
      </w:r>
      <w:r>
        <w:t xml:space="preserve"> (deeds) focuses on ethical conduct of this sort. </w:t>
      </w:r>
      <w:r>
        <w:rPr>
          <w:rStyle w:val="wwc-pali"/>
        </w:rPr>
        <w:t>Saṅkhāra</w:t>
      </w:r>
      <w:r>
        <w:t xml:space="preserve"> (willful actions) often has a somewhat more technical slant, being more closely connected to the rebirth process itself. For example, there are so-called undisturbable (or ‘imperturbable’) </w:t>
      </w:r>
      <w:r>
        <w:rPr>
          <w:rStyle w:val="wwc-pali"/>
        </w:rPr>
        <w:t>saṅkhāras</w:t>
      </w:r>
      <w:r>
        <w:t xml:space="preserve"> that lead to the rebirth in mental realms of pure and stable equanimity (hence the name ‘undisturbable’).</w:t>
      </w:r>
      <w:r>
        <w:rPr>
          <w:rStyle w:val="FootnoteReference"/>
        </w:rPr>
        <w:footnoteReference w:id="188"/>
      </w:r>
      <w:r>
        <w:t xml:space="preserve"> There is also a discourse on determining one’s particular rebirth using will (</w:t>
      </w:r>
      <w:r>
        <w:rPr>
          <w:rStyle w:val="wwc-pali"/>
        </w:rPr>
        <w:t>saṅkhāra</w:t>
      </w:r>
      <w:r>
        <w:t xml:space="preserve">), the </w:t>
      </w:r>
      <w:r>
        <w:rPr>
          <w:rStyle w:val="wwc-sesame"/>
        </w:rPr>
        <w:t>Saṅkhāra-upapatti Sutta</w:t>
      </w:r>
      <w:r>
        <w:t>.</w:t>
      </w:r>
      <w:r>
        <w:rPr>
          <w:rStyle w:val="FootnoteReference"/>
        </w:rPr>
        <w:footnoteReference w:id="189"/>
      </w:r>
      <w:r>
        <w:t xml:space="preserve"> The term </w:t>
      </w:r>
      <w:r>
        <w:rPr>
          <w:rStyle w:val="wwc-pali"/>
        </w:rPr>
        <w:t>kamma</w:t>
      </w:r>
      <w:r>
        <w:t xml:space="preserve"> is never used in such nuanced ways. It also seems that, while </w:t>
      </w:r>
      <w:r>
        <w:rPr>
          <w:rStyle w:val="wwc-pali"/>
        </w:rPr>
        <w:t>kamma</w:t>
      </w:r>
      <w:r>
        <w:t xml:space="preserve"> refers to the general actions one does throughout life, </w:t>
      </w:r>
      <w:r>
        <w:rPr>
          <w:rStyle w:val="wwc-pali"/>
        </w:rPr>
        <w:t>saṅkhāra</w:t>
      </w:r>
      <w:r>
        <w:t xml:space="preserve"> also includes the will that happens around the time of death itself, which would not be called </w:t>
      </w:r>
      <w:r>
        <w:rPr>
          <w:rStyle w:val="wwc-pali"/>
        </w:rPr>
        <w:t>kamma</w:t>
      </w:r>
      <w:r>
        <w:t>.</w:t>
      </w:r>
      <w:r>
        <w:rPr>
          <w:rStyle w:val="FootnoteReference"/>
        </w:rPr>
        <w:footnoteReference w:id="190"/>
      </w:r>
      <w:r>
        <w:t xml:space="preserve"> This difference in usage may explain in part why not </w:t>
      </w:r>
      <w:r>
        <w:rPr>
          <w:rStyle w:val="wwc-pali"/>
        </w:rPr>
        <w:t>kamma</w:t>
      </w:r>
      <w:r>
        <w:t xml:space="preserve"> but </w:t>
      </w:r>
      <w:r>
        <w:rPr>
          <w:rStyle w:val="wwc-pali"/>
        </w:rPr>
        <w:t>saṅkhāra</w:t>
      </w:r>
      <w:r>
        <w:t xml:space="preserve"> is employed in Dependent Arising, where the factor is directly connected to the actual rebirth process. </w:t>
      </w:r>
      <w:r>
        <w:rPr>
          <w:rStyle w:val="wwc-pali"/>
        </w:rPr>
        <w:t>Saṅkhāra</w:t>
      </w:r>
      <w:r>
        <w:t xml:space="preserve"> also does not seem to imply results of actions that occur in this life, unlike </w:t>
      </w:r>
      <w:r>
        <w:rPr>
          <w:rStyle w:val="wwc-pali"/>
        </w:rPr>
        <w:t>kamma</w:t>
      </w:r>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Showing another link between willful actions and deeds in context of rebirth, the following verse talks about ‘meritorious deeds’ (</w:t>
      </w:r>
      <w:r>
        <w:rPr>
          <w:rStyle w:val="wwc-pali"/>
        </w:rPr>
        <w:t>puñña-kamma</w:t>
      </w:r>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willful actions may not be immediately clear, but instead of meritorious deeds leading to a good rebirth, </w:t>
      </w:r>
      <w:hyperlink w:anchor="bqseg55">
        <w:r>
          <w:rPr>
            <w:rStyle w:val="Hyperlink"/>
          </w:rPr>
          <w:t>§55</w:t>
        </w:r>
      </w:hyperlink>
      <w:r>
        <w:t xml:space="preserve"> mentions meritorious willful actions doing so: “If people influenced by ignorance perform meritorious willful actions, [after death] their consciousness will travel on to a place of merit.”</w:t>
      </w:r>
    </w:p>
    <w:p w14:paraId="22B9749D" w14:textId="77777777" w:rsidR="00FE3964" w:rsidRDefault="00000000">
      <w:pPr>
        <w:pStyle w:val="WW-paragraph"/>
      </w:pPr>
      <w:r>
        <w:t>There are still more discourses that show a connection between karma and willful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[i.e. out of ignorance you do bad willful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7"/>
      </w:r>
      <w:r>
        <w:t xml:space="preserve"> The Jains thought </w:t>
      </w:r>
      <w:r>
        <w:rPr>
          <w:rStyle w:val="Emphasis"/>
        </w:rPr>
        <w:t>all</w:t>
      </w:r>
      <w:r>
        <w:t xml:space="preserve"> actions bind one to </w:t>
      </w:r>
      <w:r>
        <w:rPr>
          <w:rStyle w:val="wwc-pali"/>
        </w:rPr>
        <w:t>saṁsāra</w:t>
      </w:r>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Vappa also believed karma to attract physical particles that flow into and stick to the soul. These particles (also called </w:t>
      </w:r>
      <w:r>
        <w:rPr>
          <w:rStyle w:val="wwc-pali"/>
        </w:rPr>
        <w:t>āsavas</w:t>
      </w:r>
      <w:r>
        <w:t>, ‘defilements’)</w:t>
      </w:r>
      <w:r>
        <w:rPr>
          <w:rStyle w:val="FootnoteReference"/>
        </w:rPr>
        <w:footnoteReference w:id="198"/>
      </w:r>
      <w: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r>
        <w:rPr>
          <w:rStyle w:val="wwc-pali"/>
        </w:rPr>
        <w:t>phussa</w:t>
      </w:r>
      <w:r>
        <w:t xml:space="preserve">, which is related to </w:t>
      </w:r>
      <w:r>
        <w:rPr>
          <w:rStyle w:val="wwc-pali"/>
        </w:rPr>
        <w:t>phassa</w:t>
      </w:r>
      <w:r>
        <w:t xml:space="preserve"> (sense impression). With this in mind, the </w:t>
      </w:r>
      <w:r>
        <w:rPr>
          <w:rStyle w:val="wwc-sesame"/>
        </w:rPr>
        <w:t>Vappa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{Simple}Table 10. Vappa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r>
              <w:rPr>
                <w:rStyle w:val="Strong"/>
              </w:rPr>
              <w:t>Vappa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r>
        <w:rPr>
          <w:rStyle w:val="wwc-pali"/>
        </w:rPr>
        <w:t>kamma</w:t>
      </w:r>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r>
        <w:rPr>
          <w:rStyle w:val="wwc-sesame"/>
        </w:rPr>
        <w:t>Nidāna Saṁyutta</w:t>
      </w:r>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r>
        <w:rPr>
          <w:rStyle w:val="wwc-pali"/>
        </w:rPr>
        <w:t>kāya</w:t>
      </w:r>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Dependent on ignorance, there are willful actions. Dependent on willful actions, consciousness. Dependent on consciousness, the individual’s immaterial aspects and body. … That is how this whole mass of suffering originates.</w:t>
      </w:r>
    </w:p>
    <w:p w14:paraId="16225CD9" w14:textId="77777777" w:rsidR="00FE3964" w:rsidRDefault="00000000">
      <w:pPr>
        <w:pStyle w:val="WW-blockquote"/>
      </w:pPr>
      <w: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r>
        <w:rPr>
          <w:rStyle w:val="wwc-pali"/>
        </w:rPr>
        <w:t>abhisaṅkhata</w:t>
      </w:r>
      <w:r>
        <w:t xml:space="preserve">, a verb connected to the noun </w:t>
      </w:r>
      <w:r>
        <w:rPr>
          <w:rStyle w:val="wwc-pali"/>
        </w:rPr>
        <w:t>saṅkhāra</w:t>
      </w:r>
      <w:r>
        <w:t xml:space="preserve">. So when the Buddha says the six senses and body should be seen as created, this also means they are the result of willful actions. Hence I used the compound expression ‘created by will’ for </w:t>
      </w:r>
      <w:r>
        <w:rPr>
          <w:rStyle w:val="wwc-pali"/>
        </w:rPr>
        <w:t>abhisaṅkhata</w:t>
      </w:r>
      <w:r>
        <w:t>, following Venerable Sujato’s example.</w:t>
      </w:r>
      <w:r>
        <w:rPr>
          <w:rStyle w:val="FootnoteReference"/>
        </w:rPr>
        <w:footnoteReference w:id="204"/>
      </w:r>
    </w:p>
    <w:p w14:paraId="52FE43A6" w14:textId="77777777" w:rsidR="00FE3964" w:rsidRDefault="00000000">
      <w:pPr>
        <w:pStyle w:val="WW-paragraph"/>
      </w:pPr>
      <w:r>
        <w:t xml:space="preserve">Translating </w:t>
      </w:r>
      <w:r>
        <w:rPr>
          <w:rStyle w:val="wwc-pali"/>
        </w:rPr>
        <w:t>saṅkhāra</w:t>
      </w:r>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t>, ‘all that is created [through rebirth] is suffering’,</w:t>
      </w:r>
      <w:r>
        <w:rPr>
          <w:rStyle w:val="FootnoteReference"/>
        </w:rPr>
        <w:footnoteReference w:id="205"/>
      </w:r>
      <w:r>
        <w:t xml:space="preserve"> but it does not apply to </w:t>
      </w:r>
      <w:r>
        <w:rPr>
          <w:rStyle w:val="wwc-pali"/>
        </w:rPr>
        <w:t>saṅkhāra</w:t>
      </w:r>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r>
        <w:rPr>
          <w:rStyle w:val="wwc-pali"/>
        </w:rPr>
        <w:t>saṅkhāra</w:t>
      </w:r>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And why do you call them willful actions (</w:t>
      </w:r>
      <w:r>
        <w:rPr>
          <w:rStyle w:val="wwc-pali"/>
        </w:rPr>
        <w:t>saṅkhāras</w:t>
      </w:r>
      <w:r>
        <w:t>)?</w:t>
      </w:r>
      <w:r>
        <w:rPr>
          <w:rStyle w:val="FootnoteReference"/>
        </w:rPr>
        <w:footnoteReference w:id="207"/>
      </w:r>
      <w:r>
        <w:t xml:space="preserve"> They willfully create (</w:t>
      </w:r>
      <w:r>
        <w:rPr>
          <w:rStyle w:val="wwc-pali"/>
        </w:rPr>
        <w:t>abhisaṅkharonti</w:t>
      </w:r>
      <w:r>
        <w:t>) the created (</w:t>
      </w:r>
      <w:r>
        <w:rPr>
          <w:rStyle w:val="wwc-pali"/>
        </w:rPr>
        <w:t>saṅkhata</w:t>
      </w:r>
      <w:r>
        <w:t>),</w:t>
      </w:r>
      <w:r>
        <w:rPr>
          <w:rStyle w:val="FootnoteReference"/>
        </w:rPr>
        <w:footnoteReference w:id="208"/>
      </w:r>
      <w:r>
        <w:t xml:space="preserve"> that is why you call them willful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r>
        <w:rPr>
          <w:rStyle w:val="wwc-pali"/>
        </w:rPr>
        <w:t>saṅkhāra</w:t>
      </w:r>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t>: “The aspects of existence, elements, and senses are created (</w:t>
      </w:r>
      <w:r>
        <w:rPr>
          <w:rStyle w:val="wwc-pali"/>
        </w:rPr>
        <w:t>saṅkhata</w:t>
      </w:r>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willful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willful actions directly to birth is the </w:t>
      </w:r>
      <w:r>
        <w:rPr>
          <w:rStyle w:val="wwc-sesame"/>
        </w:rPr>
        <w:t>Precipice Discourse</w:t>
      </w:r>
      <w:r>
        <w:t>. This discourse also serves as a great example of the Buddha’s skillful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At one time the Buddha was staying at Rājagaha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w:t>
      </w:r>
      <w:r>
        <w:lastRenderedPageBreak/>
        <w:t>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18BCDD4">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Figure 10. Walking over a precipice as a simile for willful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4. Imm.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lastRenderedPageBreak/>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t xml:space="preserve"> speaks of someone falling seriously ill, reflecting on their bad deeds, and deciding that after death they must go to a bad place. The </w:t>
      </w:r>
      <w:r>
        <w:rPr>
          <w:rStyle w:val="wwc-sesame"/>
        </w:rPr>
        <w:t>Discourse on the Foolish and Wise</w:t>
      </w:r>
      <w:r>
        <w:t xml:space="preserve"> in the </w:t>
      </w:r>
      <w:r>
        <w:rPr>
          <w:rStyle w:val="wwc-sesame"/>
        </w:rPr>
        <w:t>Majjhima Nikāya</w:t>
      </w:r>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r>
        <w:rPr>
          <w:rStyle w:val="wwc-sesame"/>
        </w:rPr>
        <w:t>Saṅkhāra-upapatti Sutta</w:t>
      </w:r>
      <w:r>
        <w:t xml:space="preserve">), a text which also brings out the connection between </w:t>
      </w:r>
      <w:r>
        <w:rPr>
          <w:rStyle w:val="wwc-pali"/>
        </w:rPr>
        <w:t>saṅkhāras</w:t>
      </w:r>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r>
        <w:rPr>
          <w:rStyle w:val="wwc-pali"/>
        </w:rPr>
        <w:t>anusaya</w:t>
      </w:r>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r>
        <w:rPr>
          <w:rStyle w:val="wwc-sesame"/>
        </w:rPr>
        <w:t>Nidāna Saṁyutta</w:t>
      </w:r>
      <w:r>
        <w:t xml:space="preserve">, the connected discourses on Dependent Arising, so we should compare it to the standard sequence. The discourse effectively follows another route through the factors: willful actions (2) › consciousness (3) › existence (10) › </w:t>
      </w:r>
      <w:r>
        <w:lastRenderedPageBreak/>
        <w:t>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4. Imm.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4" w:name="bqseg54"/>
      <w:bookmarkEnd w:id="6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4. Imm.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r>
        <w:rPr>
          <w:rStyle w:val="wwc-sesame"/>
        </w:rPr>
        <w:t>Saṁyukta Āgama</w:t>
      </w:r>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r>
        <w:rPr>
          <w:rStyle w:val="wwc-pali"/>
        </w:rPr>
        <w:t>nāmarūpa</w:t>
      </w:r>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willful actions, and consciousness are also explained in another discourse in the </w:t>
      </w:r>
      <w:r>
        <w:rPr>
          <w:rStyle w:val="wwc-sesame"/>
        </w:rPr>
        <w:t>Nidāna Saṁyutta</w:t>
      </w:r>
      <w: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5" w:name="bqseg55"/>
      <w:bookmarkEnd w:id="65"/>
      <w:r>
        <w:t xml:space="preserve">If people influenced by ignorance perform meritorious willful actions, their consciousness will travel on to a place of merit. If they perform demeritorious willful actions, their consciousness will </w:t>
      </w:r>
      <w:r>
        <w:lastRenderedPageBreak/>
        <w:t>travel on to a place of demerit. If they perform undisturbable willful actions, their consciousness will travel on to an undisturbable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r>
        <w:rPr>
          <w:rStyle w:val="wwc-pali"/>
        </w:rPr>
        <w:t>abhinibbati</w:t>
      </w:r>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r>
        <w:rPr>
          <w:rStyle w:val="wwc-pali"/>
        </w:rPr>
        <w:t>upaga</w:t>
      </w:r>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‘willful actions’ and the ‘traveling on’ of consciousness in the above passage.</w:t>
      </w:r>
    </w:p>
    <w:p w14:paraId="6FAA54B4" w14:textId="77777777" w:rsidR="00FE3964" w:rsidRDefault="00000000">
      <w:pPr>
        <w:pStyle w:val="WW-paragraph"/>
      </w:pPr>
      <w:r>
        <w:t xml:space="preserve">The </w:t>
      </w:r>
      <w:r w:rsidRPr="00EE6553">
        <w:rPr>
          <w:rStyle w:val="wwc-sesame"/>
        </w:rPr>
        <w:t>Way to the Undisturbable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6" w:name="bqseg56"/>
      <w:bookmarkEnd w:id="66"/>
      <w: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r>
        <w:rPr>
          <w:rStyle w:val="wwc-sesame"/>
        </w:rPr>
        <w:t>Mahānidāna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7" w:name="bqseg57"/>
      <w:bookmarkEnd w:id="67"/>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Brahmā Gods produced [or ‘reborn’, </w:t>
      </w:r>
      <w:r>
        <w:rPr>
          <w:rStyle w:val="wwc-pali"/>
        </w:rPr>
        <w:t>abhinibbatti</w:t>
      </w:r>
      <w:r>
        <w:t>] through the first jhāna.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r>
        <w:rPr>
          <w:rStyle w:val="Emphasis"/>
        </w:rPr>
        <w:t>traveled on</w:t>
      </w:r>
      <w:r>
        <w:t xml:space="preserve"> [from their last life] to the state of unbounded space. That is the fifth abode for consciousness.</w:t>
      </w:r>
    </w:p>
    <w:p w14:paraId="6439338B" w14:textId="77777777" w:rsidR="00FE3964" w:rsidRDefault="00000000">
      <w:pPr>
        <w:pStyle w:val="WW-blockquote"/>
      </w:pPr>
      <w:r>
        <w:t>There are beings who, after the complete transcendence of the state of unbounded space, aware of unbounded consciousness, had traveled on to the state of unbounded consciousness. That is the sixth abode for consciousness.</w:t>
      </w:r>
    </w:p>
    <w:p w14:paraId="017B3E08" w14:textId="77777777" w:rsidR="00FE3964" w:rsidRDefault="00000000">
      <w:pPr>
        <w:pStyle w:val="WW-blockquote"/>
      </w:pPr>
      <w:r>
        <w:t>There are beings who, after the complete transcendence of the state of unbounded consciousness, aware of there being nothing, had traveled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r>
        <w:rPr>
          <w:rStyle w:val="wwc-pali"/>
        </w:rPr>
        <w:t>nāmarūpa</w:t>
      </w:r>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r>
        <w:rPr>
          <w:rStyle w:val="wwc-pali"/>
        </w:rPr>
        <w:t>saṅkhāras</w:t>
      </w:r>
      <w:r>
        <w:t>) are intentional deeds that together with craving lead to rebirth in a certain place.</w:t>
      </w:r>
    </w:p>
    <w:p w14:paraId="73CA289D" w14:textId="77777777" w:rsidR="00FE3964" w:rsidRDefault="00000000">
      <w:pPr>
        <w:pStyle w:val="WW-paragraph"/>
        <w:numPr>
          <w:ilvl w:val="0"/>
          <w:numId w:val="13"/>
        </w:numPr>
      </w:pPr>
      <w:r>
        <w:t>The arising of consciousness as a result of willful actions also refers to rebirth.</w:t>
      </w:r>
    </w:p>
    <w:p w14:paraId="0758A78D" w14:textId="40A669CC" w:rsidR="00031B70" w:rsidRPr="00020B24" w:rsidRDefault="00000000" w:rsidP="00020B24">
      <w:pPr>
        <w:pStyle w:val="WW-paragraph"/>
      </w:pPr>
      <w:r w:rsidRPr="00020B24">
        <w:t>The next part discusses the arising of consciousness in more detail, centered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r>
        <w:rPr>
          <w:rStyle w:val="wwc-pali"/>
        </w:rPr>
        <w:t>patiṭṭhita</w:t>
      </w:r>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r>
        <w:rPr>
          <w:rStyle w:val="wwc-pali"/>
        </w:rPr>
        <w:t>āhāras</w:t>
      </w:r>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r>
        <w:rPr>
          <w:rStyle w:val="wwc-pali"/>
        </w:rPr>
        <w:t>upapatti</w:t>
      </w:r>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{SimpleNoRowBorders}Table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8" w:name="bqseg58"/>
      <w:bookmarkEnd w:id="68"/>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w:t>
      </w:r>
      <w:r>
        <w:lastRenderedPageBreak/>
        <w:t xml:space="preserve">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9" w:name="bqseg59"/>
      <w:bookmarkEnd w:id="69"/>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willful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70" w:name="bqseg60"/>
      <w:bookmarkEnd w:id="70"/>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66604B90">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7"/>
      </w:r>
      <w:r>
        <w:t xml:space="preserve"> These willful actions lead to rebirth, as illustrated in the previous chapter. Being thrown in the pit stands </w:t>
      </w:r>
      <w:r>
        <w:lastRenderedPageBreak/>
        <w:t>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1" w:name="bqseg61"/>
      <w:bookmarkEnd w:id="71"/>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r>
        <w:rPr>
          <w:rStyle w:val="wwc-pali"/>
        </w:rPr>
        <w:t>puna-bhava</w:t>
      </w:r>
      <w:r>
        <w:t>) also understands how intentions (i.e. willful actions) lead to rebirth.</w:t>
      </w:r>
    </w:p>
    <w:p w14:paraId="1F6E4636" w14:textId="77777777" w:rsidR="00FE3964" w:rsidRDefault="00000000">
      <w:pPr>
        <w:pStyle w:val="WW-paragraph"/>
      </w:pPr>
      <w:r>
        <w:t xml:space="preserve">A comparable simile of a charcoal pit occurs in the </w:t>
      </w:r>
      <w:r>
        <w:rPr>
          <w:rStyle w:val="wwc-sesame"/>
        </w:rPr>
        <w:t>The Longer Discourse on the Lion’s Roar</w:t>
      </w:r>
      <w:r>
        <w:t>, where it more clearly represents rebirth, in particular rebirth in a low realm.</w:t>
      </w:r>
      <w:r>
        <w:rPr>
          <w:rStyle w:val="FootnoteReference"/>
        </w:rPr>
        <w:footnoteReference w:id="239"/>
      </w:r>
      <w:r>
        <w:t xml:space="preserve"> The simile is also referred to in verse by Venerable Migajāla, who connects it directly to Dependent Arising and deeds (</w:t>
      </w:r>
      <w:r>
        <w:rPr>
          <w:rStyle w:val="wwc-pali"/>
        </w:rPr>
        <w:t>kamma</w:t>
      </w:r>
      <w:r>
        <w:t>), and hence to intentions. More specifically, he mentions “the mechanism of deeds”, which is the process that creates rebirth through intentions.</w:t>
      </w:r>
      <w:r>
        <w:rPr>
          <w:rStyle w:val="FootnoteReference"/>
        </w:rPr>
        <w:footnoteReference w:id="240"/>
      </w:r>
      <w:r>
        <w:t xml:space="preserve"> Migajāla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2" w:name="bqseg62"/>
      <w:bookmarkEnd w:id="72"/>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lastRenderedPageBreak/>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3" w:name="bqseg63"/>
      <w:bookmarkEnd w:id="73"/>
      <w: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11CC253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r>
        <w:rPr>
          <w:rStyle w:val="wwc-sesame"/>
        </w:rPr>
        <w:t>Therīgāth</w:t>
      </w:r>
      <w:r w:rsidR="00130605">
        <w:rPr>
          <w:rStyle w:val="wwc-sesame"/>
        </w:rPr>
        <w:t>ā</w:t>
      </w:r>
      <w:r>
        <w:t xml:space="preserve">, Venerable Sumedhā also refers to this simile. She says one should take the deal, because those who stay in </w:t>
      </w:r>
      <w:r>
        <w:rPr>
          <w:rStyle w:val="wwc-pali"/>
        </w:rPr>
        <w:t>saṁsāra</w:t>
      </w:r>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r>
        <w:rPr>
          <w:rStyle w:val="wwc-pali"/>
        </w:rPr>
        <w:t>nāmarūpa</w:t>
      </w:r>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4" w:name="bqseg64"/>
      <w:bookmarkEnd w:id="74"/>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r>
        <w:rPr>
          <w:rStyle w:val="wwc-pali"/>
        </w:rPr>
        <w:t>nāmarūpa</w:t>
      </w:r>
      <w:r>
        <w:t xml:space="preserve">). Just as the robber in the simile did not die despite three hundred strokes, so, despite all the suffering of </w:t>
      </w:r>
      <w:r>
        <w:rPr>
          <w:rStyle w:val="wwc-pali"/>
        </w:rPr>
        <w:t>saṁsāra</w:t>
      </w:r>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r>
        <w:rPr>
          <w:rStyle w:val="wwc-sesame"/>
        </w:rPr>
        <w:t>Nidāna Saṁyutta</w:t>
      </w:r>
      <w:r>
        <w:t>:</w:t>
      </w:r>
    </w:p>
    <w:p w14:paraId="74B207F7" w14:textId="77777777" w:rsidR="00FE3964" w:rsidRDefault="00000000">
      <w:pPr>
        <w:pStyle w:val="WW-named-section"/>
      </w:pPr>
      <w:r>
        <w:t>§65</w:t>
      </w:r>
    </w:p>
    <w:p w14:paraId="6CE89453" w14:textId="77777777" w:rsidR="00FE3964" w:rsidRDefault="00000000">
      <w:pPr>
        <w:pStyle w:val="WW-blockquote"/>
      </w:pPr>
      <w:bookmarkStart w:id="75" w:name="bqseg65"/>
      <w:bookmarkEnd w:id="75"/>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r>
        <w:rPr>
          <w:rStyle w:val="wwc-pali"/>
        </w:rPr>
        <w:t>nāmarūpa</w:t>
      </w:r>
      <w:r>
        <w:t xml:space="preserve">): between consciousness and </w:t>
      </w:r>
      <w:r>
        <w:lastRenderedPageBreak/>
        <w:t xml:space="preserve">the six senses. This confirms the ideas of </w:t>
      </w:r>
      <w:hyperlink w:anchor="chapter3">
        <w:r>
          <w:rPr>
            <w:rStyle w:val="Hyperlink"/>
          </w:rPr>
          <w:t>Chapter 3</w:t>
        </w:r>
      </w:hyperlink>
      <w:r>
        <w:t xml:space="preserve">, where </w:t>
      </w:r>
      <w:r>
        <w:rPr>
          <w:rStyle w:val="wwc-pali"/>
        </w:rPr>
        <w:t>nāmarūpa</w:t>
      </w:r>
      <w:r>
        <w:t xml:space="preserve"> was shown to refer to the being.</w:t>
      </w:r>
    </w:p>
    <w:p w14:paraId="051F96A2" w14:textId="77777777" w:rsidR="00FE3964" w:rsidRDefault="00000000">
      <w:pPr>
        <w:pStyle w:val="WW-paragraph"/>
      </w:pPr>
      <w:r>
        <w:t xml:space="preserve">The discussion in that chapter also included a passage from the Aṅguttara Nikāya where the conception of a fetus was connected directly to </w:t>
      </w:r>
      <w:r>
        <w:rPr>
          <w:rStyle w:val="wwc-pali"/>
        </w:rPr>
        <w:t>nāmarūpa</w:t>
      </w:r>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6" w:name="bqseg66"/>
      <w:bookmarkEnd w:id="76"/>
      <w: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fetus, i.e. the person. The four standard elements together with space make up the body or form (</w:t>
      </w:r>
      <w:r>
        <w:rPr>
          <w:rStyle w:val="wwc-pali"/>
        </w:rPr>
        <w:t>rūpa</w:t>
      </w:r>
      <w:r>
        <w:t xml:space="preserve">) of the fetus. Relevant is the </w:t>
      </w:r>
      <w:r>
        <w:rPr>
          <w:rStyle w:val="wwc-sesame"/>
        </w:rPr>
        <w:t>Longer Discourse on Advice to Rāhula</w:t>
      </w:r>
      <w:r>
        <w:t>, which explains the four elements as various body parts and the “internal” space as the holes in the ears, the nose, the mouth, and so on.</w:t>
      </w:r>
      <w:r>
        <w:rPr>
          <w:rStyle w:val="FootnoteReference"/>
        </w:rPr>
        <w:footnoteReference w:id="254"/>
      </w:r>
      <w:r>
        <w:t xml:space="preserve"> While </w:t>
      </w:r>
      <w:r>
        <w:rPr>
          <w:rStyle w:val="wwc-pali"/>
        </w:rPr>
        <w:t>rūpa</w:t>
      </w:r>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4. Imm.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Conception of fetus</w:t>
            </w:r>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r>
        <w:rPr>
          <w:rStyle w:val="wwc-pali"/>
        </w:rPr>
        <w:t>āhāra</w:t>
      </w:r>
      <w:r>
        <w:t>) of edible food is physical food that beings need to consume to stay alive. The idea is simple: “The body depends on food (</w:t>
      </w:r>
      <w:r>
        <w:rPr>
          <w:rStyle w:val="wwc-pali"/>
        </w:rPr>
        <w:t>āhāra</w:t>
      </w:r>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The nutriment of intention stands for willful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t>.</w:t>
      </w:r>
    </w:p>
    <w:p w14:paraId="4C258A55" w14:textId="39A3C09D" w:rsidR="00FE3964" w:rsidRDefault="0095428E">
      <w:pPr>
        <w:pStyle w:val="WW-figure"/>
      </w:pPr>
      <w:r>
        <w:rPr>
          <w:noProof/>
        </w:rPr>
        <w:drawing>
          <wp:inline distT="0" distB="0" distL="0" distR="0" wp14:anchorId="34D07D9B" wp14:editId="2DB80B94">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7" w:name="bqseg67"/>
      <w:bookmarkEnd w:id="77"/>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t>hungerless,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8" w:name="bqseg68"/>
      <w:bookmarkEnd w:id="78"/>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r>
        <w:rPr>
          <w:rStyle w:val="wwc-sesame"/>
        </w:rPr>
        <w:t>Upaniṣads</w:t>
      </w:r>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9" w:name="bqseg69"/>
      <w:bookmarkEnd w:id="79"/>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r>
        <w:rPr>
          <w:rStyle w:val="wwc-sesame"/>
        </w:rPr>
        <w:t>Upaniṣads</w:t>
      </w:r>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t xml:space="preserve"> [ancestors] needed offerings to continue their existence […]. The Buddha, however, speaks of four sorts of food [</w:t>
      </w:r>
      <w:r>
        <w:rPr>
          <w:rStyle w:val="wwc-pali"/>
        </w:rPr>
        <w:t>āhāra</w:t>
      </w:r>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80" w:name="bqseg70"/>
      <w:bookmarkEnd w:id="80"/>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64120164">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308B669B">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bookmarkStart w:id="81" w:name="chapter7"/>
      <w:bookmarkEnd w:id="81"/>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r>
        <w:rPr>
          <w:rStyle w:val="wwc-pali"/>
        </w:rPr>
        <w:t>patiṭṭhita viññāṇa</w:t>
      </w:r>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2" w:name="bqseg71"/>
      <w:bookmarkEnd w:id="82"/>
      <w:r>
        <w:t>Venerable Ānanda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“Ānanda,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r>
        <w:lastRenderedPageBreak/>
        <w:t>Ānanda, that is how existence comes to be.”</w:t>
      </w:r>
      <w:r>
        <w:rPr>
          <w:rStyle w:val="FootnoteReference"/>
        </w:rPr>
        <w:footnoteReference w:id="266"/>
      </w:r>
    </w:p>
    <w:p w14:paraId="45AE8699" w14:textId="77777777" w:rsidR="00FE3964" w:rsidRDefault="00000000">
      <w:pPr>
        <w:pStyle w:val="WW-paragraph"/>
      </w:pPr>
      <w:r>
        <w:t>The word I translate as ‘planted’ (</w:t>
      </w:r>
      <w:r>
        <w:rPr>
          <w:rStyle w:val="wwc-pali"/>
        </w:rPr>
        <w:t>patiṭṭhita</w:t>
      </w:r>
      <w: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t>-ed” there. It is said, for example, that a farmer first ploughs his field and then plants (</w:t>
      </w:r>
      <w:r>
        <w:rPr>
          <w:rStyle w:val="wwc-pali"/>
        </w:rPr>
        <w:t>patiṭṭha</w:t>
      </w:r>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r>
        <w:rPr>
          <w:rStyle w:val="wwc-pali"/>
        </w:rPr>
        <w:t>virūḷhi</w:t>
      </w:r>
      <w: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t>)”.</w:t>
      </w:r>
      <w:r>
        <w:rPr>
          <w:rStyle w:val="FootnoteReference"/>
        </w:rPr>
        <w:footnoteReference w:id="269"/>
      </w:r>
      <w:r>
        <w:t xml:space="preserve"> Although in other contexts ‘growth’ might be a more suitable translation for </w:t>
      </w:r>
      <w:r>
        <w:rPr>
          <w:rStyle w:val="wwc-pali"/>
        </w:rPr>
        <w:t>virūḷhi</w:t>
      </w:r>
      <w:r>
        <w:t>, considering this passage, ‘sprouting’ must be the intended meaning in the seed simile.</w:t>
      </w:r>
    </w:p>
    <w:p w14:paraId="4E42916D" w14:textId="77777777" w:rsidR="00FE3964" w:rsidRDefault="00000000">
      <w:pPr>
        <w:pStyle w:val="WW-paragraph"/>
      </w:pPr>
      <w: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7C1645A">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A5EE666">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A23D7FC">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62395558">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06751CBC">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3" w:name="bqseg72"/>
      <w:bookmarkEnd w:id="83"/>
      <w:r>
        <w:t>The king [Milinda] said: “Venerable Nāgasena, you speak of this ‘transmigration’ (</w:t>
      </w:r>
      <w:r>
        <w:rPr>
          <w:rStyle w:val="wwc-pali"/>
        </w:rPr>
        <w:t>saṁsāra</w:t>
      </w:r>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reminding us there is no self involved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Throughout the Pāli Canon there are a number of verses that refer to the seed simile, in each case connecting it directly to rebirth. The first example is a set of verses spoken by the nun Selā:</w:t>
      </w:r>
    </w:p>
    <w:p w14:paraId="70F61E44" w14:textId="77777777" w:rsidR="00FE3964" w:rsidRDefault="00000000">
      <w:pPr>
        <w:pStyle w:val="WW-named-section"/>
      </w:pPr>
      <w:r>
        <w:t>§73</w:t>
      </w:r>
    </w:p>
    <w:p w14:paraId="2CF3F99C" w14:textId="77777777" w:rsidR="00FE3964" w:rsidRDefault="00000000">
      <w:pPr>
        <w:pStyle w:val="WW-line-block"/>
      </w:pPr>
      <w:bookmarkStart w:id="84" w:name="bqseg73"/>
      <w:bookmarkEnd w:id="84"/>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Selā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5" w:name="bqseg74"/>
      <w:bookmarkEnd w:id="85"/>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r>
        <w:rPr>
          <w:rStyle w:val="wwc-sesame"/>
        </w:rPr>
        <w:t>Suttanipāta</w:t>
      </w:r>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6" w:name="bqseg75"/>
      <w:bookmarkEnd w:id="86"/>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Another text which equates consciousness to a seed is the Seeds Discourse. It has the same basic simile as the exchange with Ānanda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r>
        <w:rPr>
          <w:rStyle w:val="wwc-pali"/>
        </w:rPr>
        <w:t>appatiṭṭhita</w:t>
      </w:r>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7" w:name="bqseg76"/>
      <w:bookmarkEnd w:id="87"/>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And not willfully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91" w:name="figure18"/>
      <w:bookmarkEnd w:id="91"/>
      <w:r>
        <w:rPr>
          <w:noProof/>
          <w:lang w:val="en-US"/>
        </w:rPr>
        <w:drawing>
          <wp:inline distT="0" distB="0" distL="0" distR="0" wp14:anchorId="058A558B" wp14:editId="08D2974F">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C65C01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The discourse is centered around rebirth, which is particularly evident when it mentions “the departing or arriving of consciousness, its passing on or rebirth”. The words ‘passing on’ (</w:t>
      </w:r>
      <w:r>
        <w:rPr>
          <w:rStyle w:val="Emphasis"/>
        </w:rPr>
        <w:t>cuti</w:t>
      </w:r>
      <w:r>
        <w:t>) and ‘rebirth’ (</w:t>
      </w:r>
      <w:r>
        <w:rPr>
          <w:rStyle w:val="wwc-pali"/>
        </w:rPr>
        <w:t>upapatti</w:t>
      </w:r>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2" w:name="bqseg77"/>
      <w:bookmarkEnd w:id="92"/>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r>
        <w:rPr>
          <w:rStyle w:val="Emphasis"/>
        </w:rPr>
        <w:t>gati</w:t>
      </w:r>
      <w:r>
        <w:t>) and ‘arriving’ (</w:t>
      </w:r>
      <w:r>
        <w:rPr>
          <w:rStyle w:val="Emphasis"/>
        </w:rPr>
        <w:t>āgati</w:t>
      </w:r>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r>
        <w:rPr>
          <w:rStyle w:val="wwc-pali"/>
        </w:rPr>
        <w:t>samaṇas</w:t>
      </w:r>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Paṭācārā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3" w:name="bqseg78"/>
      <w:bookmarkEnd w:id="93"/>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r>
        <w:t>Willful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5266325C" w:rsidR="00FE3964" w:rsidRDefault="00000000">
      <w:pPr>
        <w:pStyle w:val="WW-paragraph"/>
      </w:pPr>
      <w:r>
        <w:t xml:space="preserve">To return to my main point, there are many indications </w:t>
      </w:r>
      <w:r w:rsidR="005275D3">
        <w:t xml:space="preserve">that </w:t>
      </w:r>
      <w:r>
        <w:t xml:space="preserve">the </w:t>
      </w:r>
      <w:r>
        <w:rPr>
          <w:rStyle w:val="wwc-sesame"/>
        </w:rPr>
        <w:t>Seeds Discourse</w:t>
      </w:r>
      <w:r>
        <w:t xml:space="preserve"> is about rebirth: the similarity with the exchange with Ānanda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r>
        <w:rPr>
          <w:rStyle w:val="wwc-pali"/>
        </w:rPr>
        <w:t>khandhas</w:t>
      </w:r>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07B824D7">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r>
        <w:rPr>
          <w:rStyle w:val="wwc-pali"/>
        </w:rPr>
        <w:t>appatiṭṭhita viññāṇa</w:t>
      </w:r>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‘one-seeders’.</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4" w:name="bqseg79"/>
      <w:bookmarkEnd w:id="94"/>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r>
        <w:rPr>
          <w:rStyle w:val="wwc-pali"/>
        </w:rPr>
        <w:t>saṁsāra</w:t>
      </w:r>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1CF7E014">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D8B1E1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r>
        <w:rPr>
          <w:rStyle w:val="wwc-pali"/>
        </w:rPr>
        <w:t>upādiyati</w:t>
      </w:r>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5" w:name="bqseg80"/>
      <w:bookmarkEnd w:id="95"/>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6" w:name="bqseg81"/>
      <w:bookmarkEnd w:id="96"/>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lastRenderedPageBreak/>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D9B0BF9">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1F47C3E9">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62177010" w:rsidR="00FE3964" w:rsidRDefault="00597E30">
      <w:pPr>
        <w:pStyle w:val="WW-table-caption"/>
      </w:pPr>
      <w:r>
        <w:t>{</w:t>
      </w:r>
      <w:r w:rsidR="00B60D88">
        <w:t>S</w:t>
      </w:r>
      <w:r>
        <w:t>imple}Table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Conception of imm.</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lastRenderedPageBreak/>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r>
        <w:rPr>
          <w:rStyle w:val="wwc-pali"/>
        </w:rPr>
        <w:t>patiṭṭhita</w:t>
      </w:r>
      <w:r>
        <w:t>) of the seed of consciousness stands for taking rebirth in a certain place, and it not being planted (</w:t>
      </w:r>
      <w:r>
        <w:rPr>
          <w:rStyle w:val="wwc-pali"/>
        </w:rPr>
        <w:t>appatiṭṭhita</w:t>
      </w:r>
      <w:r>
        <w:t xml:space="preserve">) means not being reborn. Similarly, the conception of consciousness and </w:t>
      </w:r>
      <w:r>
        <w:rPr>
          <w:rStyle w:val="wwc-pali"/>
        </w:rPr>
        <w:t>nāmarūpa</w:t>
      </w:r>
      <w:r>
        <w:t xml:space="preserve"> refers to the start of a life, and when they are not conceived again, it means they will both cease.</w:t>
      </w:r>
      <w:r>
        <w:br w:type="page"/>
      </w:r>
    </w:p>
    <w:p w14:paraId="3B7D19D1" w14:textId="77777777" w:rsidR="00FE3964" w:rsidRDefault="00000000">
      <w:pPr>
        <w:pStyle w:val="WW-Chapter"/>
      </w:pPr>
      <w:bookmarkStart w:id="97" w:name="chapter8"/>
      <w:bookmarkEnd w:id="97"/>
      <w:r>
        <w:lastRenderedPageBreak/>
        <w:t>8. Consciousness and nāmarūpa</w:t>
      </w:r>
    </w:p>
    <w:p w14:paraId="49542EDB" w14:textId="77777777" w:rsidR="00FE3964" w:rsidRDefault="00000000">
      <w:pPr>
        <w:pStyle w:val="WW-chapter-section-1"/>
      </w:pPr>
      <w:r>
        <w:t>The dependency of consciousness on the khandhas</w:t>
      </w:r>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8" w:name="bqseg82"/>
      <w:bookmarkEnd w:id="98"/>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The Truth</w:t>
      </w:r>
      <w:r>
        <w:softHyphen/>
        <w:t>finder (</w:t>
      </w:r>
      <w:r>
        <w:rPr>
          <w:rStyle w:val="wwc-pali"/>
        </w:rPr>
        <w:t>tathāgata</w:t>
      </w:r>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r>
        <w:t xml:space="preserve">Wijesekara already concluded that in this passage consciousness is “the surviving factor of an individual [which produces] repeated births resulting in what is generally known as </w:t>
      </w:r>
      <w:r>
        <w:rPr>
          <w:rStyle w:val="wwc-pali"/>
        </w:rPr>
        <w:t>saṁsāra</w:t>
      </w:r>
      <w:r>
        <w:t>.”</w:t>
      </w:r>
      <w:r>
        <w:rPr>
          <w:rStyle w:val="FootnoteReference"/>
        </w:rPr>
        <w:footnoteReference w:id="298"/>
      </w:r>
      <w:r>
        <w:t xml:space="preserve"> But he does not note that the word </w:t>
      </w:r>
      <w:r>
        <w:rPr>
          <w:rStyle w:val="wwc-pali"/>
        </w:rPr>
        <w:t>sārin</w:t>
      </w:r>
      <w:r>
        <w:t xml:space="preserve"> (migrant) comes from the same root as </w:t>
      </w:r>
      <w:r>
        <w:rPr>
          <w:rStyle w:val="wwc-pali"/>
        </w:rPr>
        <w:t>saṁsāra</w:t>
      </w:r>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r>
        <w:rPr>
          <w:rStyle w:val="wwc-pali"/>
        </w:rPr>
        <w:t>dhātus</w:t>
      </w:r>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The mutual dependency of consciousness and nāmarūpa</w:t>
      </w:r>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r>
        <w:rPr>
          <w:rStyle w:val="wwc-pali"/>
        </w:rPr>
        <w:t>nāmarūpa</w:t>
      </w:r>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9" w:name="bqseg83"/>
      <w:bookmarkEnd w:id="99"/>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r>
        <w:rPr>
          <w:rStyle w:val="wwc-pali"/>
        </w:rPr>
        <w:t>nāmarūpa</w:t>
      </w:r>
      <w:r>
        <w:t xml:space="preserve">, which means wherever it exists or is reborn, there are always other aspects of existence. Afterwards he goes through the cessation sequence, concluding that </w:t>
      </w:r>
      <w:r>
        <w:rPr>
          <w:rStyle w:val="wwc-pali"/>
        </w:rPr>
        <w:t>nāmarūpa</w:t>
      </w:r>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100" w:name="bqseg84"/>
      <w:bookmarkEnd w:id="100"/>
      <w:r>
        <w:rPr>
          <w:rStyle w:val="wwc-list-margin"/>
        </w:rPr>
        <w:t>[1]</w:t>
      </w:r>
      <w: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Ānanda, I said the individual’s immaterial aspects and body depend on consciousness, which is to be understood as follows: If consciousness is not conceived in [or ‘does not enter’, </w:t>
      </w:r>
      <w:r>
        <w:rPr>
          <w:rStyle w:val="wwc-pali"/>
        </w:rPr>
        <w:t>avakkanti</w:t>
      </w:r>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r>
        <w:rPr>
          <w:rStyle w:val="wwc-sesame"/>
        </w:rPr>
        <w:t>Mahānidāna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r>
        <w:rPr>
          <w:rStyle w:val="wwc-pali"/>
        </w:rPr>
        <w:t>nāmarūpa</w:t>
      </w:r>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r>
        <w:rPr>
          <w:rStyle w:val="wwc-pali"/>
        </w:rPr>
        <w:t>nāmarūpa</w:t>
      </w:r>
      <w:r>
        <w:t>, they are the extent to which there is birth and death, “the extent to which the cycle of rebirth continues so life here (</w:t>
      </w:r>
      <w:r>
        <w:rPr>
          <w:rStyle w:val="wwc-pali"/>
        </w:rPr>
        <w:t>itthatta</w:t>
      </w:r>
      <w:r>
        <w:t xml:space="preserve">) manifests”. This statement links back to an earlier sentence in the passage: “Would the individual’s immaterial aspects and body be produced further (or ‘be reborn’, </w:t>
      </w:r>
      <w:r>
        <w:rPr>
          <w:rStyle w:val="wwc-pali"/>
        </w:rPr>
        <w:t>abhinibbatti</w:t>
      </w:r>
      <w:r>
        <w:t>) so as to start the life here (</w:t>
      </w:r>
      <w:r>
        <w:rPr>
          <w:rStyle w:val="wwc-pali"/>
        </w:rPr>
        <w:t>itthatta</w:t>
      </w:r>
      <w:r>
        <w:t xml:space="preserve">)?” The term </w:t>
      </w:r>
      <w:r>
        <w:rPr>
          <w:rStyle w:val="wwc-pali"/>
        </w:rPr>
        <w:t>itthatta</w:t>
      </w:r>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r>
        <w:rPr>
          <w:rStyle w:val="wwc-sesame"/>
        </w:rPr>
        <w:t>Mahānidāna Sutta</w:t>
      </w:r>
      <w:r>
        <w:t xml:space="preserve"> contains two more abstract statements as well. The Buddha says that outside of consciousness and </w:t>
      </w:r>
      <w:r>
        <w:rPr>
          <w:rStyle w:val="wwc-pali"/>
        </w:rPr>
        <w:t>nāmarūpa</w:t>
      </w:r>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r>
        <w:rPr>
          <w:rStyle w:val="wwc-pali"/>
        </w:rPr>
        <w:t>nāmarūpa</w:t>
      </w:r>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r>
        <w:rPr>
          <w:rStyle w:val="wwc-sesame"/>
        </w:rPr>
        <w:t>Mahānidāna Sutta</w:t>
      </w:r>
      <w:r>
        <w:t xml:space="preserve">, they do not occur in the </w:t>
      </w:r>
      <w:r>
        <w:rPr>
          <w:rStyle w:val="wwc-sesame"/>
        </w:rPr>
        <w:t>City Discourse</w:t>
      </w:r>
      <w:r>
        <w:t xml:space="preserve">, which only mentions that consciousness with </w:t>
      </w:r>
      <w:r>
        <w:rPr>
          <w:rStyle w:val="wwc-pali"/>
        </w:rPr>
        <w:t>nāmarūpa</w:t>
      </w:r>
      <w:r>
        <w:t xml:space="preserve"> is the extent to which there is rebirth and death. A virtually identical passage in the </w:t>
      </w:r>
      <w:r>
        <w:rPr>
          <w:rStyle w:val="wwc-sesame"/>
        </w:rPr>
        <w:t>Mahāpadāna Sutta</w:t>
      </w:r>
      <w:r>
        <w:t xml:space="preserve"> does the same.</w:t>
      </w:r>
      <w:r>
        <w:rPr>
          <w:rStyle w:val="FootnoteReference"/>
        </w:rPr>
        <w:footnoteReference w:id="307"/>
      </w:r>
      <w:r>
        <w:t xml:space="preserve"> The Dharmaguptaka parallel to the </w:t>
      </w:r>
      <w:r>
        <w:rPr>
          <w:rStyle w:val="wwc-sesame"/>
        </w:rPr>
        <w:t>Mahānidāna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‘truth</w:t>
      </w:r>
      <w:r>
        <w:softHyphen/>
        <w:t>finder’ (</w:t>
      </w:r>
      <w:r>
        <w:rPr>
          <w:rStyle w:val="wwc-pali"/>
        </w:rPr>
        <w:t>tathāgata</w:t>
      </w:r>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r>
        <w:rPr>
          <w:rStyle w:val="wwc-pali"/>
        </w:rPr>
        <w:t>nāmarūpa</w:t>
      </w:r>
      <w:r>
        <w:t xml:space="preserve"> there simply is no existence at all. Outside of them there is only the cessation of existence, also known as </w:t>
      </w:r>
      <w:r>
        <w:rPr>
          <w:rStyle w:val="wwc-pali"/>
        </w:rPr>
        <w:t>parinibbāna</w:t>
      </w:r>
      <w:r>
        <w:t xml:space="preserve"> (full extinguishment). With this in mind, I think there are two possible interpretations of statement </w:t>
      </w:r>
      <w:r>
        <w:rPr>
          <w:rStyle w:val="Emphasis"/>
        </w:rPr>
        <w:t>a</w:t>
      </w:r>
      <w:r>
        <w:t xml:space="preserve">, on there being no way for language without consciousness and </w:t>
      </w:r>
      <w:r>
        <w:rPr>
          <w:rStyle w:val="wwc-pali"/>
        </w:rPr>
        <w:t>nāmarūpa</w:t>
      </w:r>
      <w:r>
        <w:t>.</w:t>
      </w:r>
    </w:p>
    <w:p w14:paraId="6436F568" w14:textId="77777777" w:rsidR="00FE3964" w:rsidRDefault="00000000">
      <w:pPr>
        <w:pStyle w:val="WW-paragraph"/>
      </w:pPr>
      <w:r>
        <w:lastRenderedPageBreak/>
        <w:t xml:space="preserve">The first option takes what we could call a third-person perspective on </w:t>
      </w:r>
      <w:r>
        <w:rPr>
          <w:rStyle w:val="wwc-pali"/>
        </w:rPr>
        <w:t>parinibbāna</w:t>
      </w:r>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r>
        <w:rPr>
          <w:rStyle w:val="wwc-pali"/>
        </w:rPr>
        <w:t>parinibbāna</w:t>
      </w:r>
      <w:r>
        <w:t xml:space="preserve"> in various ways—the cessation of consciousness along with </w:t>
      </w:r>
      <w:r>
        <w:rPr>
          <w:rStyle w:val="wwc-pali"/>
        </w:rPr>
        <w:t>nāmarūpa</w:t>
      </w:r>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r>
        <w:rPr>
          <w:rStyle w:val="wwc-pali"/>
        </w:rPr>
        <w:t>nāmarūpa</w:t>
      </w:r>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r>
        <w:rPr>
          <w:rStyle w:val="wwc-pali"/>
        </w:rPr>
        <w:t>paññā</w:t>
      </w:r>
      <w:r>
        <w:t xml:space="preserve">) outside of consciousness and </w:t>
      </w:r>
      <w:r>
        <w:rPr>
          <w:rStyle w:val="wwc-pali"/>
        </w:rPr>
        <w:t>nāmarūpa</w:t>
      </w:r>
      <w:r>
        <w:t xml:space="preserve">. We can’t take the third-person perspective here. That is to say, this can't mean that understanding only reaches as far as consciousness and </w:t>
      </w:r>
      <w:r>
        <w:rPr>
          <w:rStyle w:val="wwc-pali"/>
        </w:rPr>
        <w:t>nāmarūpa</w:t>
      </w:r>
      <w:r>
        <w:t xml:space="preserve"> go, because what lies beyond them—i.e. </w:t>
      </w:r>
      <w:r>
        <w:rPr>
          <w:rStyle w:val="wwc-pali"/>
        </w:rPr>
        <w:t>parinibbāna</w:t>
      </w:r>
      <w:r>
        <w:t xml:space="preserve">—can also be understood. In this case it must mean that after the cessation of consciousness and </w:t>
      </w:r>
      <w:r>
        <w:rPr>
          <w:rStyle w:val="wwc-pali"/>
        </w:rPr>
        <w:t>nāmarūpa</w:t>
      </w:r>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r>
        <w:rPr>
          <w:rStyle w:val="wwc-pali"/>
        </w:rPr>
        <w:t>nāmarūpa</w:t>
      </w:r>
      <w:r>
        <w:t xml:space="preserve"> exist. This is supported by </w:t>
      </w:r>
      <w:hyperlink w:anchor="bqseg92">
        <w:r>
          <w:rPr>
            <w:rStyle w:val="Hyperlink"/>
          </w:rPr>
          <w:t>§92</w:t>
        </w:r>
      </w:hyperlink>
      <w:r>
        <w:t xml:space="preserve">, where it is said that understanding ceases when consciousness and </w:t>
      </w:r>
      <w:r>
        <w:rPr>
          <w:rStyle w:val="wwc-pali"/>
        </w:rPr>
        <w:t>nāmarūpa</w:t>
      </w:r>
      <w:r>
        <w:t xml:space="preserve"> cease. The </w:t>
      </w:r>
      <w:r>
        <w:rPr>
          <w:rStyle w:val="wwc-sesame"/>
        </w:rPr>
        <w:t>Cūḷaniddesa</w:t>
      </w:r>
      <w:r>
        <w:t xml:space="preserve"> comments on this: “When the enlightened one is fully extinguished by the kind of extinguishment which leaves no remnant (</w:t>
      </w:r>
      <w:r>
        <w:rPr>
          <w:rStyle w:val="wwc-pali"/>
        </w:rPr>
        <w:t>anupādisesa nibbānadhātu</w:t>
      </w:r>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t xml:space="preserve"> are the extent to which beings can exist, and with the passage on the womb which contains these statements, where </w:t>
      </w:r>
      <w:r>
        <w:rPr>
          <w:rStyle w:val="wwc-pali"/>
        </w:rPr>
        <w:t>nāmarūpa</w:t>
      </w:r>
      <w:r>
        <w:t xml:space="preserve"> refers to the being, not to concepts or </w:t>
      </w:r>
      <w:r>
        <w:lastRenderedPageBreak/>
        <w:t xml:space="preserve">cognitive processes. The idea is simple: life, including language and understanding, only exists as long as there is consciousness and </w:t>
      </w:r>
      <w:r>
        <w:rPr>
          <w:rStyle w:val="wwc-pali"/>
        </w:rPr>
        <w:t>nāmarūpa</w:t>
      </w:r>
      <w:r>
        <w:t xml:space="preserve">. When consciousness and </w:t>
      </w:r>
      <w:r>
        <w:rPr>
          <w:rStyle w:val="wwc-pali"/>
        </w:rPr>
        <w:t>nāmarūpa</w:t>
      </w:r>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The dependency of consciousness on nāmarūpa</w:t>
      </w:r>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t>.</w:t>
      </w:r>
      <w:r>
        <w:rPr>
          <w:rStyle w:val="FootnoteReference"/>
        </w:rPr>
        <w:footnoteReference w:id="317"/>
      </w:r>
      <w: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t xml:space="preserve"> and </w:t>
      </w:r>
      <w:r>
        <w:rPr>
          <w:rStyle w:val="wwc-pali"/>
        </w:rPr>
        <w:t>viññāṇa</w:t>
      </w:r>
      <w:r>
        <w:t xml:space="preserve"> […] is established in order to prevent independent existence being ascribed to </w:t>
      </w:r>
      <w:r>
        <w:rPr>
          <w:rStyle w:val="wwc-pali"/>
        </w:rPr>
        <w:t>viññāṇa</w:t>
      </w:r>
      <w:r>
        <w:t>.”</w:t>
      </w:r>
      <w:r>
        <w:rPr>
          <w:rStyle w:val="FootnoteReference"/>
        </w:rPr>
        <w:footnoteReference w:id="319"/>
      </w:r>
      <w:r>
        <w:t xml:space="preserve"> This is why consciousness together with </w:t>
      </w:r>
      <w:r>
        <w:rPr>
          <w:rStyle w:val="wwc-pali"/>
        </w:rPr>
        <w:t>nāmarūpa</w:t>
      </w:r>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r>
        <w:rPr>
          <w:rStyle w:val="wwc-sesame"/>
        </w:rPr>
        <w:t>Mahānidāna Sutta</w:t>
      </w:r>
      <w:r>
        <w:t xml:space="preserve"> explains the </w:t>
      </w:r>
      <w:r>
        <w:rPr>
          <w:rStyle w:val="Emphasis"/>
        </w:rPr>
        <w:t>origination</w:t>
      </w:r>
      <w:r>
        <w:t xml:space="preserve"> of consciousness along with </w:t>
      </w:r>
      <w:r>
        <w:rPr>
          <w:rStyle w:val="wwc-pali"/>
        </w:rPr>
        <w:t>nāmarūpa</w:t>
      </w:r>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r>
        <w:rPr>
          <w:rStyle w:val="wwc-pali"/>
        </w:rPr>
        <w:lastRenderedPageBreak/>
        <w:t>nāmarūpa</w:t>
      </w:r>
      <w:r>
        <w:t xml:space="preserve"> continues after birth as well. Venerable Bodhi stated: “Consciousness requires mentality-materiality [</w:t>
      </w:r>
      <w:r>
        <w:rPr>
          <w:rStyle w:val="wwc-pali"/>
        </w:rPr>
        <w:t>nāmarūpa</w:t>
      </w:r>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r>
        <w:rPr>
          <w:rStyle w:val="wwc-pali"/>
        </w:rPr>
        <w:t>viññāṇa</w:t>
      </w:r>
      <w:r>
        <w:t xml:space="preserve"> on </w:t>
      </w:r>
      <w:r>
        <w:rPr>
          <w:rStyle w:val="wwc-pali"/>
        </w:rPr>
        <w:t>nāmarūpa</w:t>
      </w:r>
      <w:r>
        <w:t xml:space="preserve"> is that—at least in the sensual realm—the process of consciousness takes place with the sense organs as its basis […] and therefore a functioning </w:t>
      </w:r>
      <w:r>
        <w:rPr>
          <w:rStyle w:val="wwc-pali"/>
        </w:rPr>
        <w:t>viññāṇa</w:t>
      </w:r>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101" w:name="bqseg85"/>
      <w:bookmarkEnd w:id="101"/>
      <w: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t>) which is made of form (</w:t>
      </w:r>
      <w:r>
        <w:rPr>
          <w:rStyle w:val="wwc-pali"/>
        </w:rPr>
        <w:t>rūpa</w:t>
      </w:r>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757B48A5">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r>
        <w:rPr>
          <w:rStyle w:val="wwc-pali"/>
        </w:rPr>
        <w:t>nāmarūpa</w:t>
      </w:r>
      <w:r>
        <w:t xml:space="preserve"> throughout life. However, in the origination sequence, which describes its </w:t>
      </w:r>
      <w:r>
        <w:rPr>
          <w:rStyle w:val="Emphasis"/>
        </w:rPr>
        <w:t>arising</w:t>
      </w:r>
      <w:r>
        <w:t>, the terms refer specifically to rebirth, which is why the Buddha explains the dependency by describing the conception of a fetus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2" w:name="bqseg86"/>
      <w:bookmarkEnd w:id="102"/>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r>
        <w:rPr>
          <w:rStyle w:val="wwc-pali"/>
        </w:rPr>
        <w:t>nāmarūpa</w:t>
      </w:r>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r>
        <w:t>Brahmanic beliefs in nāmarūpa-less consciousness</w:t>
      </w:r>
    </w:p>
    <w:p w14:paraId="70AED156" w14:textId="77777777" w:rsidR="00FE3964" w:rsidRDefault="00000000">
      <w:pPr>
        <w:pStyle w:val="WW-paragraph"/>
      </w:pPr>
      <w:r>
        <w:t xml:space="preserve">Before addressing the other dependency—depencency 1, that of </w:t>
      </w:r>
      <w:r>
        <w:rPr>
          <w:rStyle w:val="wwc-pali"/>
        </w:rPr>
        <w:t>nāmarūpa</w:t>
      </w:r>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r>
        <w:rPr>
          <w:rStyle w:val="wwc-pali"/>
        </w:rPr>
        <w:t>nāmarūpa</w:t>
      </w:r>
      <w: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Sujato as follows:</w:t>
      </w:r>
    </w:p>
    <w:p w14:paraId="7DA1D6A9" w14:textId="77777777" w:rsidR="00FE3964" w:rsidRDefault="00000000">
      <w:pPr>
        <w:pStyle w:val="WW-blockquote"/>
      </w:pPr>
      <w:r>
        <w:t xml:space="preserve">The terminology of </w:t>
      </w:r>
      <w:r>
        <w:rPr>
          <w:rStyle w:val="wwc-pali"/>
        </w:rPr>
        <w:t>nāmarūpa</w:t>
      </w:r>
      <w:r>
        <w:t xml:space="preserve"> was adopted by the Buddha from the pre-Buddhist Upaniṣadic philosophy. In the </w:t>
      </w:r>
      <w:r w:rsidRPr="000440B7">
        <w:rPr>
          <w:rStyle w:val="wwc-sesame"/>
        </w:rPr>
        <w:t>Upaniṣads</w:t>
      </w:r>
      <w:r>
        <w:t xml:space="preserve">, </w:t>
      </w:r>
      <w:r>
        <w:rPr>
          <w:rStyle w:val="wwc-pali"/>
        </w:rPr>
        <w:t>nāmarūpa</w:t>
      </w:r>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t>, the Buddha was turning this Upaniṣadic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t>, Maryla Falk explained that the process was believed to happen in two steps. First one’s form, one’s body, was abandoned, thereafter one’s name:</w:t>
      </w:r>
    </w:p>
    <w:p w14:paraId="70AD751F" w14:textId="77777777" w:rsidR="00FE3964" w:rsidRDefault="00000000">
      <w:pPr>
        <w:pStyle w:val="WW-blockquote"/>
      </w:pPr>
      <w: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7"/>
      </w:r>
    </w:p>
    <w:p w14:paraId="4973124F" w14:textId="77777777" w:rsidR="00FE3964" w:rsidRDefault="00000000">
      <w:pPr>
        <w:pStyle w:val="WW-paragraph"/>
      </w:pPr>
      <w:r>
        <w:t xml:space="preserve">Unlike Buddhism, the </w:t>
      </w:r>
      <w:r w:rsidRPr="000440B7">
        <w:rPr>
          <w:rStyle w:val="wwc-sesame"/>
        </w:rPr>
        <w:t>Upaniṣads</w:t>
      </w:r>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r w:rsidRPr="000440B7">
        <w:rPr>
          <w:rStyle w:val="wwc-sesame"/>
        </w:rPr>
        <w:t>Upaniṣads</w:t>
      </w:r>
      <w:r>
        <w:t xml:space="preserve">. Not all Brahmins aimed for the absolution of </w:t>
      </w:r>
      <w:r>
        <w:rPr>
          <w:rStyle w:val="wwc-pali"/>
        </w:rPr>
        <w:t>nāmarūpa</w:t>
      </w:r>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w:t>
      </w:r>
      <w:r>
        <w:lastRenderedPageBreak/>
        <w:t xml:space="preserve">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t>.</w:t>
      </w:r>
    </w:p>
    <w:p w14:paraId="5E9237D7" w14:textId="77777777" w:rsidR="00FE3964" w:rsidRDefault="00000000">
      <w:pPr>
        <w:pStyle w:val="WW-paragraph"/>
      </w:pPr>
      <w:r>
        <w:t xml:space="preserve">For clarification, here are some relevant passages from the </w:t>
      </w:r>
      <w:r w:rsidRPr="000440B7">
        <w:rPr>
          <w:rStyle w:val="wwc-sesame"/>
        </w:rPr>
        <w:t>Upaniṣads</w:t>
      </w:r>
      <w:r>
        <w:t>, translated by Patrick Olivelle:</w:t>
      </w:r>
    </w:p>
    <w:p w14:paraId="2A751676" w14:textId="77777777" w:rsidR="00FE3964" w:rsidRDefault="00000000">
      <w:pPr>
        <w:pStyle w:val="WW-named-section"/>
      </w:pPr>
      <w:r>
        <w:t>§87</w:t>
      </w:r>
    </w:p>
    <w:p w14:paraId="68EB8129" w14:textId="77777777" w:rsidR="00FE3964" w:rsidRDefault="00000000">
      <w:pPr>
        <w:pStyle w:val="WW-line-block"/>
      </w:pPr>
      <w:bookmarkStart w:id="103" w:name="bqseg87"/>
      <w:bookmarkEnd w:id="103"/>
      <w:r>
        <w:t>As the rivers flow on and enter into the ocean</w:t>
      </w:r>
      <w:r>
        <w:br/>
        <w:t>giving up their names and appearances [</w:t>
      </w:r>
      <w:r>
        <w:rPr>
          <w:rStyle w:val="wwc-pali"/>
        </w:rPr>
        <w:t>nāmarūpa</w:t>
      </w:r>
      <w:r>
        <w:t>];</w:t>
      </w:r>
      <w:r>
        <w:br/>
        <w:t>So the knower [i.e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4" w:name="bqseg88"/>
      <w:bookmarkEnd w:id="104"/>
      <w: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5" w:name="bqseg89"/>
      <w:bookmarkEnd w:id="105"/>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t>).</w:t>
      </w:r>
      <w:r>
        <w:rPr>
          <w:rStyle w:val="FootnoteReference"/>
        </w:rPr>
        <w:footnoteReference w:id="331"/>
      </w:r>
    </w:p>
    <w:p w14:paraId="371282D6" w14:textId="77777777" w:rsidR="00FE3964" w:rsidRDefault="00000000">
      <w:pPr>
        <w:pStyle w:val="WW-paragraph"/>
      </w:pPr>
      <w:r>
        <w:t xml:space="preserve">After introducing </w:t>
      </w:r>
      <w:r>
        <w:rPr>
          <w:rStyle w:val="wwc-pali"/>
        </w:rPr>
        <w:t>nāmarūpa</w:t>
      </w:r>
      <w:r>
        <w:t xml:space="preserve"> in </w:t>
      </w:r>
      <w:hyperlink w:anchor="chapter3">
        <w:r>
          <w:rPr>
            <w:rStyle w:val="Hyperlink"/>
          </w:rPr>
          <w:t>Chapter 3</w:t>
        </w:r>
      </w:hyperlink>
      <w:r>
        <w:t xml:space="preserve">, I mentioned that in the </w:t>
      </w:r>
      <w:r w:rsidRPr="000440B7">
        <w:rPr>
          <w:rStyle w:val="wwc-sesame"/>
        </w:rPr>
        <w:t>Upaniṣads</w:t>
      </w:r>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t xml:space="preserve">, the </w:t>
      </w:r>
      <w:r>
        <w:rPr>
          <w:rStyle w:val="wwc-sesame"/>
        </w:rPr>
        <w:t>Chāndogya</w:t>
      </w:r>
      <w:r>
        <w:t xml:space="preserve">. Since </w:t>
      </w:r>
      <w:r>
        <w:rPr>
          <w:rStyle w:val="wwc-pali"/>
        </w:rPr>
        <w:t>nāmarūpa</w:t>
      </w:r>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r>
        <w:rPr>
          <w:rStyle w:val="wwc-sesame"/>
        </w:rPr>
        <w:t>Upaniṣads</w:t>
      </w:r>
      <w: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t>) instead of a universal consciousness.</w:t>
      </w:r>
      <w:r>
        <w:rPr>
          <w:rStyle w:val="FootnoteReference"/>
        </w:rPr>
        <w:footnoteReference w:id="333"/>
      </w:r>
      <w:r>
        <w:t xml:space="preserve"> About the supposed conscious self which constitutes the whole world (or ‘universe’, </w:t>
      </w:r>
      <w:r>
        <w:rPr>
          <w:rStyle w:val="wwc-pali"/>
        </w:rPr>
        <w:t>loka</w:t>
      </w:r>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6" w:name="bqseg90"/>
      <w:bookmarkEnd w:id="106"/>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r>
        <w:rPr>
          <w:rStyle w:val="wwc-pali"/>
        </w:rPr>
        <w:t>nāmarūpa</w:t>
      </w:r>
      <w:r>
        <w:t xml:space="preserve"> the Buddha was also addressing such ideas. While Brahmins believed that the abandonment of </w:t>
      </w:r>
      <w:r>
        <w:rPr>
          <w:rStyle w:val="wwc-pali"/>
        </w:rPr>
        <w:t>nāmarūpa</w:t>
      </w:r>
      <w:r>
        <w:t xml:space="preserve"> would result in a state of transcendent consciousness, the Buddha taught that consciousness is intrinsically dependent on </w:t>
      </w:r>
      <w:r>
        <w:rPr>
          <w:rStyle w:val="wwc-pali"/>
        </w:rPr>
        <w:t>nāma</w:t>
      </w:r>
      <w:r>
        <w:t xml:space="preserve"> and </w:t>
      </w:r>
      <w:r>
        <w:rPr>
          <w:rStyle w:val="wwc-pali"/>
        </w:rPr>
        <w:t>rūpa</w:t>
      </w:r>
      <w:r>
        <w:t xml:space="preserve">, so that their abandonment results in the cessation of consciousness. Existence is always a combination of consciousness </w:t>
      </w:r>
      <w:r>
        <w:rPr>
          <w:rStyle w:val="Strong"/>
        </w:rPr>
        <w:t>and</w:t>
      </w:r>
      <w:r>
        <w:t xml:space="preserve"> </w:t>
      </w:r>
      <w:r>
        <w:rPr>
          <w:rStyle w:val="wwc-pali"/>
        </w:rPr>
        <w:t>nāmarūpa</w:t>
      </w:r>
      <w:r>
        <w:t>. Hence it is said, in the words of a deity named Ghaṭikara:</w:t>
      </w:r>
    </w:p>
    <w:p w14:paraId="2965C6F9" w14:textId="77777777" w:rsidR="00FE3964" w:rsidRDefault="00000000">
      <w:pPr>
        <w:pStyle w:val="WW-named-section"/>
      </w:pPr>
      <w:r>
        <w:t>§91</w:t>
      </w:r>
    </w:p>
    <w:p w14:paraId="408F0989" w14:textId="77777777" w:rsidR="00FE3964" w:rsidRDefault="00000000">
      <w:pPr>
        <w:pStyle w:val="WW-line-block"/>
      </w:pPr>
      <w:bookmarkStart w:id="107" w:name="bqseg91"/>
      <w:bookmarkEnd w:id="107"/>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Ghaṭikara the Buddha says that those who understand this statement bear their final body, meaning the life of the enlightened being is their final </w:t>
      </w:r>
      <w:r>
        <w:rPr>
          <w:rStyle w:val="wwc-pali"/>
        </w:rPr>
        <w:t>nāmarūpa</w:t>
      </w:r>
      <w:r>
        <w:t>.</w:t>
      </w:r>
    </w:p>
    <w:p w14:paraId="6BA34015" w14:textId="77777777" w:rsidR="00FE3964" w:rsidRDefault="00000000">
      <w:pPr>
        <w:pStyle w:val="WW-paragraph"/>
      </w:pPr>
      <w:r>
        <w:t xml:space="preserve">The </w:t>
      </w:r>
      <w:r>
        <w:rPr>
          <w:rStyle w:val="wwc-sesame"/>
        </w:rPr>
        <w:t>Pārāyana Vagga</w:t>
      </w:r>
      <w:r>
        <w:t xml:space="preserve"> confirms that these teachings specifically addressed Brahmanical ideas. In this text a Brahmin student named Ajita asks the Buddha how to end </w:t>
      </w:r>
      <w:r>
        <w:rPr>
          <w:rStyle w:val="wwc-pali"/>
        </w:rPr>
        <w:t>nāmarūpa</w:t>
      </w:r>
      <w:r>
        <w:t xml:space="preserve">. By this he meant, </w:t>
      </w:r>
      <w:r>
        <w:lastRenderedPageBreak/>
        <w:t xml:space="preserve">according to Lauren Bausch, “a conditioned form of existence [which is] an idea already found in the </w:t>
      </w:r>
      <w:r>
        <w:rPr>
          <w:rStyle w:val="wwc-sesame"/>
        </w:rPr>
        <w:t>Kāṇva Śatapatha Brāhmaṇa</w:t>
      </w:r>
      <w:r>
        <w:t xml:space="preserve">”, a text preceding the </w:t>
      </w:r>
      <w:r>
        <w:rPr>
          <w:rStyle w:val="wwc-sesame"/>
        </w:rPr>
        <w:t>Upaniṣads</w:t>
      </w:r>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8" w:name="bqseg92"/>
      <w:bookmarkEnd w:id="108"/>
      <w:r>
        <w:t>&lt;Ajita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“The question you asked, Ajita,</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r>
        <w:rPr>
          <w:rStyle w:val="wwc-sesame"/>
        </w:rPr>
        <w:t>Kevaddha Sutta</w:t>
      </w:r>
      <w:r>
        <w:t>, which I discussed at length in a previous essay, although without detailing its connections to Brahmanism.</w:t>
      </w:r>
      <w:r>
        <w:rPr>
          <w:rStyle w:val="FootnoteReference"/>
        </w:rPr>
        <w:footnoteReference w:id="338"/>
      </w:r>
      <w:r>
        <w:t xml:space="preserve"> The discourse stems from the first section of </w:t>
      </w:r>
      <w:r>
        <w:rPr>
          <w:rStyle w:val="wwc-sesame"/>
        </w:rPr>
        <w:t>Dīgha Nikāya</w:t>
      </w:r>
      <w:r>
        <w:t xml:space="preserve">, the </w:t>
      </w:r>
      <w:r>
        <w:rPr>
          <w:rStyle w:val="wwc-sesame"/>
        </w:rPr>
        <w:t>Sīlakkhandha Vagga</w:t>
      </w:r>
      <w:r>
        <w:t>, which is aimed at converting outsiders, Brahmins in particular.</w:t>
      </w:r>
      <w:r>
        <w:rPr>
          <w:rStyle w:val="FootnoteReference"/>
        </w:rPr>
        <w:footnoteReference w:id="339"/>
      </w:r>
      <w: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9" w:name="bqseg93"/>
      <w:bookmarkEnd w:id="109"/>
      <w:r>
        <w:rPr>
          <w:rStyle w:val="wwc-list-margin"/>
        </w:rPr>
        <w:lastRenderedPageBreak/>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r>
        <w:rPr>
          <w:rStyle w:val="wwc-pali"/>
        </w:rPr>
        <w:t>nāmarūpa</w:t>
      </w:r>
      <w:r>
        <w:t xml:space="preserve"> ceases too. This reflects the standard dependency of </w:t>
      </w:r>
      <w:r>
        <w:rPr>
          <w:rStyle w:val="wwc-pali"/>
        </w:rPr>
        <w:t>nāmarūpa</w:t>
      </w:r>
      <w:r>
        <w:t xml:space="preserve"> on consciousness, just as taught to Ajita.</w:t>
      </w:r>
    </w:p>
    <w:p w14:paraId="1C687A17" w14:textId="77777777" w:rsidR="00FE3964" w:rsidRDefault="00000000">
      <w:pPr>
        <w:pStyle w:val="WW-paragraph"/>
      </w:pPr>
      <w:r>
        <w:t xml:space="preserve">Richard Gombrich already observed that “the opening statement of the answer seems </w:t>
      </w:r>
      <w:r>
        <w:rPr>
          <w:rStyle w:val="Emphasis"/>
        </w:rPr>
        <w:t>prima facie</w:t>
      </w:r>
      <w:r>
        <w:t xml:space="preserve"> to reify consciousness and the language sounds as if it could come from an </w:t>
      </w:r>
      <w:r>
        <w:rPr>
          <w:rStyle w:val="wwc-sesame"/>
        </w:rPr>
        <w:t>Upaniṣad</w:t>
      </w:r>
      <w:r>
        <w:t>”.</w:t>
      </w:r>
      <w:r>
        <w:rPr>
          <w:rStyle w:val="FootnoteReference"/>
        </w:rPr>
        <w:footnoteReference w:id="342"/>
      </w:r>
      <w:r>
        <w:t xml:space="preserve"> He did not provide further sources, but I have no doubt these verses indeed reference Brahmanic ideas. In the </w:t>
      </w:r>
      <w:r>
        <w:rPr>
          <w:rStyle w:val="wwc-sesame"/>
        </w:rPr>
        <w:t>Bṛhadāraṇyaka Upaniṣad</w:t>
      </w:r>
      <w: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r w:rsidRPr="003B5BCE">
        <w:rPr>
          <w:rStyle w:val="wwc-sesame"/>
        </w:rPr>
        <w:t>Taittirīya Upaniṣad</w:t>
      </w:r>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r>
        <w:rPr>
          <w:rStyle w:val="wwc-pali"/>
        </w:rPr>
        <w:t>sabbato pabhaṁ</w:t>
      </w:r>
      <w:r>
        <w:t xml:space="preserve">) might have a link with a statement from the </w:t>
      </w:r>
      <w:r>
        <w:rPr>
          <w:rStyle w:val="wwc-sesame"/>
        </w:rPr>
        <w:t>Chāndogya Upaniṣad</w:t>
      </w:r>
      <w:r>
        <w:t xml:space="preserve">: “Far above here [is </w:t>
      </w:r>
      <w:r>
        <w:rPr>
          <w:rStyle w:val="wwc-pali"/>
        </w:rPr>
        <w:t>brahman</w:t>
      </w:r>
      <w:r>
        <w:t>] the light that shines from heaven on the backs of everything, on the backs of all (</w:t>
      </w:r>
      <w:r>
        <w:rPr>
          <w:rStyle w:val="wwc-pali"/>
        </w:rPr>
        <w:t>sabba</w:t>
      </w:r>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r>
        <w:t xml:space="preserve">Yājñavalkya’s unbounded consciousness likely differed from the Buddha’s, not only philosophically but also in practice, because the </w:t>
      </w:r>
      <w:r>
        <w:rPr>
          <w:rStyle w:val="wwc-sesame"/>
        </w:rPr>
        <w:t>Upaniṣads</w:t>
      </w:r>
      <w:r>
        <w:t xml:space="preserve"> seem to indicate Yājñavalkya arrived at it through reason rather than meditation.</w:t>
      </w:r>
      <w:r>
        <w:rPr>
          <w:rStyle w:val="FootnoteReference"/>
        </w:rPr>
        <w:footnoteReference w:id="348"/>
      </w:r>
      <w:r>
        <w:t xml:space="preserve"> But regardless, the Buddha did use the exact same terminology, which indicates he (or whoever composed the </w:t>
      </w:r>
      <w:r>
        <w:rPr>
          <w:rStyle w:val="wwc-sesame"/>
        </w:rPr>
        <w:t>Kevaddha Sutta</w:t>
      </w:r>
      <w:r>
        <w:t>) was very familiar with these Brahmanic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r>
        <w:rPr>
          <w:rStyle w:val="wwc-pali"/>
        </w:rPr>
        <w:t>ātman</w:t>
      </w:r>
      <w:r>
        <w:t xml:space="preserve">), this did not mean that the person continued forever as a separate individual, a personal self. The term </w:t>
      </w:r>
      <w:r>
        <w:rPr>
          <w:rStyle w:val="wwc-pali"/>
        </w:rPr>
        <w:t>ātman</w:t>
      </w:r>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r>
        <w:t xml:space="preserve">Gombrich also commented on the </w:t>
      </w:r>
      <w:r>
        <w:rPr>
          <w:rStyle w:val="wwc-sesame"/>
        </w:rPr>
        <w:t>Kevaddha Sutta</w:t>
      </w:r>
      <w:r>
        <w:t xml:space="preserve"> that “it is a bit risky to take a riddle or its solution as a philosophical tenet or argument”.</w:t>
      </w:r>
      <w:r>
        <w:rPr>
          <w:rStyle w:val="FootnoteReference"/>
        </w:rPr>
        <w:footnoteReference w:id="351"/>
      </w:r>
      <w:r>
        <w:t xml:space="preserve"> I wholeheartedly embrace this sentiment in </w:t>
      </w:r>
      <w:r>
        <w:lastRenderedPageBreak/>
        <w:t xml:space="preserve">general, but in this particular case the overall meaning seems clear enough to me. My interpretation of these verses is also a safe one, for rather than taking them as a unique statement on the nature of </w:t>
      </w:r>
      <w:r>
        <w:rPr>
          <w:rStyle w:val="wwc-pali"/>
        </w:rPr>
        <w:t>nibbāna</w:t>
      </w:r>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t xml:space="preserve"> those come to cease”. While Yājñavalkya’s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r>
        <w:rPr>
          <w:rStyle w:val="wwc-pali"/>
        </w:rPr>
        <w:t>nāmarūpa</w:t>
      </w:r>
      <w:r>
        <w:t>.</w:t>
      </w:r>
    </w:p>
    <w:p w14:paraId="7C29B443" w14:textId="77777777" w:rsidR="00FE3964" w:rsidRDefault="00000000">
      <w:pPr>
        <w:pStyle w:val="WW-chapter-section-1"/>
      </w:pPr>
      <w:r>
        <w:lastRenderedPageBreak/>
        <w:t>The dependency of nāmarūpa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r>
        <w:rPr>
          <w:rStyle w:val="wwc-pali"/>
        </w:rPr>
        <w:t>nāmarūpa</w:t>
      </w:r>
      <w: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t>).” In isolation this statement is rather non-explanatory, so how should it be understood?</w:t>
      </w:r>
    </w:p>
    <w:p w14:paraId="6E3777EB" w14:textId="77777777" w:rsidR="00FE3964" w:rsidRDefault="00000000">
      <w:pPr>
        <w:pStyle w:val="WW-paragraph"/>
      </w:pPr>
      <w:r>
        <w:t xml:space="preserve">The passage of the </w:t>
      </w:r>
      <w:r>
        <w:rPr>
          <w:rStyle w:val="wwc-sesame"/>
        </w:rPr>
        <w:t>Mahānidāna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t xml:space="preserve">), which is to be understood </w:t>
      </w:r>
      <w:r>
        <w:rPr>
          <w:rStyle w:val="Emphasis"/>
        </w:rPr>
        <w:t>as follows</w:t>
      </w:r>
      <w:r>
        <w:t xml:space="preserve">.” This indicates that whenever the phrase </w:t>
      </w:r>
      <w:r>
        <w:rPr>
          <w:rStyle w:val="wwc-pali"/>
        </w:rPr>
        <w:t>viññāṇapaccayā nāmarūpaṁ</w:t>
      </w:r>
      <w:r>
        <w:t xml:space="preserve"> occurs, such as in the standard sequence, it should be understood in line with the explanation given in the </w:t>
      </w:r>
      <w:r w:rsidRPr="00F91189">
        <w:rPr>
          <w:rStyle w:val="wwc-sesame"/>
        </w:rPr>
        <w:t>Mahānidāna Sutta</w:t>
      </w:r>
      <w:r>
        <w:t xml:space="preserve">. Since there is no other direct explanation of this dependency in the canon, this passage should not be lightly swept aside. It is not merely an example of the dependency of </w:t>
      </w:r>
      <w:r>
        <w:rPr>
          <w:rStyle w:val="wwc-pali"/>
        </w:rPr>
        <w:t>nāmarūpa</w:t>
      </w:r>
      <w:r>
        <w:t xml:space="preserve"> on consciousness,</w:t>
      </w:r>
      <w:r>
        <w:rPr>
          <w:rStyle w:val="FootnoteReference"/>
        </w:rPr>
        <w:footnoteReference w:id="353"/>
      </w:r>
      <w:r>
        <w:t xml:space="preserve"> but the foremost explanation in the canon.</w:t>
      </w:r>
    </w:p>
    <w:p w14:paraId="61005247" w14:textId="07B583BB" w:rsidR="00FE3964" w:rsidRDefault="00000000">
      <w:pPr>
        <w:pStyle w:val="WW-paragraph"/>
      </w:pPr>
      <w:r>
        <w:t xml:space="preserve">In </w:t>
      </w:r>
      <w:hyperlink w:anchor="chapter3">
        <w:r>
          <w:rPr>
            <w:rStyle w:val="Hyperlink"/>
          </w:rPr>
          <w:t>Chapter 3</w:t>
        </w:r>
      </w:hyperlink>
      <w:r>
        <w:t xml:space="preserve"> I showed that </w:t>
      </w:r>
      <w:r>
        <w:rPr>
          <w:rStyle w:val="wwc-pali"/>
        </w:rPr>
        <w:t>nāmarūpa</w:t>
      </w:r>
      <w:r>
        <w:t xml:space="preserve"> refers to the individual being, and in the </w:t>
      </w:r>
      <w:hyperlink w:anchor="chapter7" w:history="1">
        <w:r w:rsidRPr="004C6A33">
          <w:rPr>
            <w:rStyle w:val="Hyperlink"/>
          </w:rPr>
          <w:t>last chapter</w:t>
        </w:r>
      </w:hyperlink>
      <w:r>
        <w:t xml:space="preserve"> I discussed the rebirth of consciousness. In this passage these two ideas come together. The Buddha describes the “entry” (or ‘conception’, </w:t>
      </w:r>
      <w:r>
        <w:rPr>
          <w:rStyle w:val="wwc-pali"/>
        </w:rPr>
        <w:t>avakkanti</w:t>
      </w:r>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t xml:space="preserve"> has a wider meaning than just consciousness in the sense of awareness.</w:t>
      </w:r>
    </w:p>
    <w:p w14:paraId="4DA9566B" w14:textId="77777777" w:rsidR="00FE3964" w:rsidRDefault="00000000">
      <w:pPr>
        <w:pStyle w:val="WW-paragraph"/>
      </w:pPr>
      <w:r>
        <w:t xml:space="preserve">First of all, </w:t>
      </w:r>
      <w:r>
        <w:rPr>
          <w:rStyle w:val="wwc-pali"/>
        </w:rPr>
        <w:t>viññāṇa</w:t>
      </w:r>
      <w:r>
        <w:t xml:space="preserve"> can also stand for the mind more generally. In some instances it is used as a direct synonym for </w:t>
      </w:r>
      <w:r>
        <w:rPr>
          <w:rStyle w:val="wwc-pali"/>
        </w:rPr>
        <w:t>citta</w:t>
      </w:r>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t xml:space="preserve"> where other editions have </w:t>
      </w:r>
      <w:r>
        <w:rPr>
          <w:rStyle w:val="wwc-pali"/>
        </w:rPr>
        <w:t>citta</w:t>
      </w:r>
      <w:r>
        <w:t>.</w:t>
      </w:r>
      <w:r>
        <w:rPr>
          <w:rStyle w:val="FootnoteReference"/>
        </w:rPr>
        <w:footnoteReference w:id="357"/>
      </w:r>
      <w:r>
        <w:t xml:space="preserve"> The Āgamas sometimes also use ‘mind’ (</w:t>
      </w:r>
      <w:r>
        <w:t>心</w:t>
      </w:r>
      <w:r>
        <w:t xml:space="preserve">) as a translation for what must in the original have been </w:t>
      </w:r>
      <w:r>
        <w:rPr>
          <w:rStyle w:val="wwc-pali"/>
        </w:rPr>
        <w:t>viññāṇa</w:t>
      </w:r>
      <w:r>
        <w:t xml:space="preserve"> or its Sanskrit equivalent </w:t>
      </w:r>
      <w:r>
        <w:rPr>
          <w:rStyle w:val="wwc-sanskrit"/>
        </w:rPr>
        <w:t>vijñāna</w:t>
      </w:r>
      <w:r>
        <w:t>.</w:t>
      </w:r>
      <w:r>
        <w:rPr>
          <w:rStyle w:val="FootnoteReference"/>
        </w:rPr>
        <w:footnoteReference w:id="358"/>
      </w:r>
      <w:r>
        <w:t xml:space="preserve"> Also deserving consideration is a discourse in the </w:t>
      </w:r>
      <w:r>
        <w:rPr>
          <w:rStyle w:val="wwc-sesame"/>
        </w:rPr>
        <w:t>Satipaṭṭhāna Saṁyutta</w:t>
      </w:r>
      <w:r>
        <w:t xml:space="preserve"> where not </w:t>
      </w:r>
      <w:r>
        <w:rPr>
          <w:rStyle w:val="wwc-pali"/>
        </w:rPr>
        <w:t>viññāṇa</w:t>
      </w:r>
      <w:r>
        <w:t xml:space="preserve"> but </w:t>
      </w:r>
      <w:r>
        <w:rPr>
          <w:rStyle w:val="wwc-pali"/>
        </w:rPr>
        <w:t>citta</w:t>
      </w:r>
      <w:r>
        <w:t xml:space="preserve"> is said to depend on </w:t>
      </w:r>
      <w:r>
        <w:rPr>
          <w:rStyle w:val="wwc-pali"/>
        </w:rPr>
        <w:t>nāmarūpa</w:t>
      </w:r>
      <w:r>
        <w:t>: “The mind (</w:t>
      </w:r>
      <w:r>
        <w:rPr>
          <w:rStyle w:val="wwc-pali"/>
        </w:rPr>
        <w:t>citta</w:t>
      </w:r>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r>
        <w:rPr>
          <w:rStyle w:val="wwc-pali"/>
        </w:rPr>
        <w:t>nāmarūpa</w:t>
      </w:r>
      <w:r>
        <w:t xml:space="preserve">, with </w:t>
      </w:r>
      <w:r>
        <w:rPr>
          <w:rStyle w:val="wwc-pali"/>
        </w:rPr>
        <w:t>citta</w:t>
      </w:r>
      <w:r>
        <w:t xml:space="preserve"> being a synonym for </w:t>
      </w:r>
      <w:r>
        <w:rPr>
          <w:rStyle w:val="wwc-pali"/>
        </w:rPr>
        <w:t>viññāṇa</w:t>
      </w:r>
      <w:r>
        <w:t>.</w:t>
      </w:r>
    </w:p>
    <w:p w14:paraId="74652607" w14:textId="77777777" w:rsidR="00FE3964" w:rsidRDefault="00000000">
      <w:pPr>
        <w:pStyle w:val="WW-paragraph"/>
      </w:pPr>
      <w:r>
        <w:t xml:space="preserve">Aside from referring to the mind in general, </w:t>
      </w:r>
      <w:r>
        <w:rPr>
          <w:rStyle w:val="wwc-pali"/>
        </w:rPr>
        <w:t>viññāṇa</w:t>
      </w:r>
      <w:r>
        <w:t xml:space="preserve"> was also a name for the surviving aspect of the being, or as Venerable Anālayo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r>
        <w:rPr>
          <w:rStyle w:val="wwc-pali"/>
        </w:rPr>
        <w:t>saṁsāra</w:t>
      </w:r>
      <w:r>
        <w:t xml:space="preserve">; that it </w:t>
      </w:r>
      <w:r>
        <w:lastRenderedPageBreak/>
        <w:t xml:space="preserve">passes on and gets reborn; that it travels on after death; and, in the </w:t>
      </w:r>
      <w:r>
        <w:rPr>
          <w:rStyle w:val="wwc-sesame"/>
        </w:rPr>
        <w:t>Mahānidāna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r>
        <w:rPr>
          <w:rStyle w:val="wwc-pali"/>
        </w:rPr>
        <w:t>viññāṇa</w:t>
      </w:r>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Kalupahana summarized: “At least three important uses of </w:t>
      </w:r>
      <w:r>
        <w:rPr>
          <w:rStyle w:val="wwc-pali"/>
        </w:rPr>
        <w:t>viññāṇa</w:t>
      </w:r>
      <w:r>
        <w:t xml:space="preserve"> can be clearly distinguished. First, it is used to denote psychic phenomena in general, synonymous with the terms </w:t>
      </w:r>
      <w:r>
        <w:rPr>
          <w:rStyle w:val="wwc-pali"/>
        </w:rPr>
        <w:t>citta</w:t>
      </w:r>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r>
        <w:rPr>
          <w:rStyle w:val="wwc-pali"/>
        </w:rPr>
        <w:t>viññāṇa</w:t>
      </w:r>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t xml:space="preserve">, he did not introduce the term </w:t>
      </w:r>
      <w:r>
        <w:rPr>
          <w:rStyle w:val="wwc-pali"/>
        </w:rPr>
        <w:t>viññāṇa</w:t>
      </w:r>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7"/>
      </w:r>
      <w:r>
        <w:t xml:space="preserve"> In this case, the audience was already familiar with using </w:t>
      </w:r>
      <w:r>
        <w:rPr>
          <w:rStyle w:val="wwc-pali"/>
        </w:rPr>
        <w:t>viññāṇa</w:t>
      </w:r>
      <w:r>
        <w:t xml:space="preserve"> to refer to what survives death.</w:t>
      </w:r>
    </w:p>
    <w:p w14:paraId="05E42D6D" w14:textId="77777777" w:rsidR="00FE3964" w:rsidRDefault="00000000">
      <w:pPr>
        <w:pStyle w:val="WW-paragraph"/>
      </w:pPr>
      <w:r>
        <w:t xml:space="preserve">The Thai nowadays also use </w:t>
      </w:r>
      <w:r>
        <w:rPr>
          <w:rStyle w:val="wwc-pali"/>
        </w:rPr>
        <w:t>viññāṇa</w:t>
      </w:r>
      <w:r>
        <w:t xml:space="preserve"> (วิญญาณ) to refer to the surviving spirit. The English word ‘consciousness’ ill fits such contexts,</w:t>
      </w:r>
      <w:r>
        <w:rPr>
          <w:rStyle w:val="FootnoteReference"/>
        </w:rPr>
        <w:footnoteReference w:id="368"/>
      </w:r>
      <w:r>
        <w:t xml:space="preserve"> and according to Schmithausen might even be considered </w:t>
      </w:r>
      <w:r>
        <w:lastRenderedPageBreak/>
        <w:t xml:space="preserve">misleading: “This </w:t>
      </w:r>
      <w:r>
        <w:rPr>
          <w:rStyle w:val="wwc-pali"/>
        </w:rPr>
        <w:t>viññāṇa</w:t>
      </w:r>
      <w:r>
        <w:t xml:space="preserve"> [of Dependent Arising] is somewhat misleadingly rendered as ‘Wahrnehmung’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r>
        <w:rPr>
          <w:rStyle w:val="wwc-pali"/>
        </w:rPr>
        <w:t>nāmarūpa</w:t>
      </w:r>
      <w:r>
        <w:t xml:space="preserve"> but also to its link with willful actions. As Frauwallner stated: “Out of these passages we get the valuable information that knowledge [Frauwallner’s translation of </w:t>
      </w:r>
      <w:r>
        <w:rPr>
          <w:rStyle w:val="wwc-pali"/>
        </w:rPr>
        <w:t>viññāṇa</w:t>
      </w:r>
      <w: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t>) as the cause of knowledge (</w:t>
      </w:r>
      <w:r>
        <w:rPr>
          <w:rStyle w:val="wwc-pali"/>
        </w:rPr>
        <w:t>viññāṇa</w:t>
      </w:r>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willful actions. This rebirth of consciousness is what Frauwallner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r>
        <w:rPr>
          <w:rStyle w:val="wwc-pali"/>
        </w:rPr>
        <w:t>viññāṇa</w:t>
      </w:r>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2"/>
      </w:r>
      <w:r>
        <w:t xml:space="preserve"> Therefore, the phrase “if willful actions cease, consciousness will cease” means that consciousness will cease </w:t>
      </w:r>
      <w:r>
        <w:rPr>
          <w:rStyle w:val="Emphasis"/>
        </w:rPr>
        <w:t>at death</w:t>
      </w:r>
      <w: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r>
        <w:rPr>
          <w:rStyle w:val="wwc-pali"/>
        </w:rPr>
        <w:t>paṭisandhi-viññāṇa</w:t>
      </w:r>
      <w:r>
        <w:t>), by which they mean it links the past life to the new one.</w:t>
      </w:r>
      <w:r>
        <w:rPr>
          <w:rStyle w:val="FootnoteReference"/>
        </w:rPr>
        <w:footnoteReference w:id="374"/>
      </w:r>
      <w:r>
        <w:t xml:space="preserve"> The commentaries correctly understand that the factor of </w:t>
      </w:r>
      <w:r>
        <w:rPr>
          <w:rStyle w:val="wwc-pali"/>
        </w:rPr>
        <w:t>viññāṇa</w:t>
      </w:r>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r>
        <w:lastRenderedPageBreak/>
        <w:t>willful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t xml:space="preserve">. However, such technical considerations about the in-between state are not what the standard sequence intends to convey, where the arising of consciousness and </w:t>
      </w:r>
      <w:r>
        <w:rPr>
          <w:rStyle w:val="wwc-pali"/>
        </w:rPr>
        <w:t>nāmarūpa</w:t>
      </w:r>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t xml:space="preserve"> tradition took the </w:t>
      </w:r>
      <w:r>
        <w:rPr>
          <w:rStyle w:val="wwc-pali"/>
        </w:rPr>
        <w:t>vijñāna</w:t>
      </w:r>
      <w:r>
        <w:t xml:space="preserve"> as the surviving factor at death in the metaphysical sense of an </w:t>
      </w:r>
      <w:r>
        <w:rPr>
          <w:rStyle w:val="wwc-pali"/>
        </w:rPr>
        <w:t>ātman</w:t>
      </w:r>
      <w:r>
        <w:t xml:space="preserve"> [self] that leaves the body at death”, wrote Wijesekera. “Thus it is easy to see how the Buddhist theory of </w:t>
      </w:r>
      <w:r>
        <w:rPr>
          <w:rStyle w:val="wwc-pali"/>
        </w:rPr>
        <w:t>viññāṇa</w:t>
      </w:r>
      <w:r>
        <w:t xml:space="preserve"> as the surviving factor shows a distinct difference from the parallel Upaniṣadic concept.”</w:t>
      </w:r>
      <w:r>
        <w:rPr>
          <w:rStyle w:val="FootnoteReference"/>
        </w:rPr>
        <w:footnoteReference w:id="375"/>
      </w:r>
      <w:r>
        <w:t xml:space="preserve"> The difference being that the Buddhist </w:t>
      </w:r>
      <w:r>
        <w:rPr>
          <w:rStyle w:val="wwc-pali"/>
        </w:rPr>
        <w:t>viññāṇa</w:t>
      </w:r>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r>
        <w:rPr>
          <w:rStyle w:val="wwc-sesame"/>
        </w:rPr>
        <w:t>Upaniṣads</w:t>
      </w:r>
      <w:r>
        <w:t>:</w:t>
      </w:r>
    </w:p>
    <w:p w14:paraId="59917202" w14:textId="77777777" w:rsidR="00FE3964" w:rsidRDefault="00000000">
      <w:pPr>
        <w:pStyle w:val="WW-named-section"/>
      </w:pPr>
      <w:r>
        <w:t>§94</w:t>
      </w:r>
    </w:p>
    <w:p w14:paraId="3BCF9E94" w14:textId="77777777" w:rsidR="00FE3964" w:rsidRDefault="00000000">
      <w:pPr>
        <w:pStyle w:val="WW-blockquote"/>
      </w:pPr>
      <w:bookmarkStart w:id="111" w:name="bqseg94"/>
      <w:bookmarkEnd w:id="111"/>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Sāti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Sāti,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r>
        <w:rPr>
          <w:rStyle w:val="wwc-pali"/>
        </w:rPr>
        <w:t>viññāṇa</w:t>
      </w:r>
      <w: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14:paraId="4210FE14" w14:textId="77777777" w:rsidR="00FE3964" w:rsidRDefault="00000000">
      <w:pPr>
        <w:pStyle w:val="WW-paragraph"/>
      </w:pPr>
      <w:r>
        <w:t xml:space="preserve">In the </w:t>
      </w:r>
      <w:r>
        <w:rPr>
          <w:rStyle w:val="wwc-sesame"/>
        </w:rPr>
        <w:t>Sampasādanīya Sutta</w:t>
      </w:r>
      <w:r>
        <w:t>, although the passage is abstract and lacks context, Sāriputta indeed mentions a stream of consciousness (</w:t>
      </w:r>
      <w:r>
        <w:rPr>
          <w:rStyle w:val="wwc-pali"/>
        </w:rPr>
        <w:t>viññāṇasota</w:t>
      </w:r>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3"/>
      </w:r>
      <w:r>
        <w:t xml:space="preserve"> As already observed by the PTS Pāli-English Dictionary more than a century ago: “It was [by Sāti] also held to be an immutable, persistent substance, a view strongly condemned [by the Buddha]. Since, however, the </w:t>
      </w:r>
      <w:r>
        <w:lastRenderedPageBreak/>
        <w:t xml:space="preserve">persistence of </w:t>
      </w:r>
      <w:r>
        <w:rPr>
          <w:rStyle w:val="wwc-pali"/>
        </w:rPr>
        <w:t>viññāṇa</w:t>
      </w:r>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t xml:space="preserve"> similar in function to the definitions of </w:t>
      </w:r>
      <w:r>
        <w:rPr>
          <w:rStyle w:val="wwc-pali"/>
        </w:rPr>
        <w:t>nāma</w:t>
      </w:r>
      <w:r>
        <w:t xml:space="preserve"> and </w:t>
      </w:r>
      <w:r>
        <w:rPr>
          <w:rStyle w:val="wwc-pali"/>
        </w:rPr>
        <w:t>rūpa</w:t>
      </w:r>
      <w:r>
        <w:t xml:space="preserve">. Rather than being a technical explanation of the word, it was meant to challenge existing notions about what a person is. As Olalde summarized: “[The Buddha’s] reinterpretation of </w:t>
      </w:r>
      <w:r>
        <w:rPr>
          <w:rStyle w:val="wwc-pali"/>
        </w:rPr>
        <w:t>nāma</w:t>
      </w:r>
      <w:r>
        <w:t xml:space="preserve"> mirrors that of </w:t>
      </w:r>
      <w:r>
        <w:rPr>
          <w:rStyle w:val="wwc-pali"/>
        </w:rPr>
        <w:t>viññāṇa</w:t>
      </w:r>
      <w:r>
        <w:t xml:space="preserve">, in which the older notion of </w:t>
      </w:r>
      <w:r>
        <w:rPr>
          <w:rStyle w:val="wwc-pali"/>
        </w:rPr>
        <w:t>viññāṇa</w:t>
      </w:r>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t>.</w:t>
      </w:r>
    </w:p>
    <w:p w14:paraId="3DD76061" w14:textId="77777777" w:rsidR="00FE3964" w:rsidRDefault="00000000">
      <w:pPr>
        <w:pStyle w:val="WW-named-section"/>
      </w:pPr>
      <w:r>
        <w:t>§95</w:t>
      </w:r>
    </w:p>
    <w:p w14:paraId="0A993D76" w14:textId="77777777" w:rsidR="00FE3964" w:rsidRDefault="00000000">
      <w:pPr>
        <w:pStyle w:val="WW-blockquote"/>
      </w:pPr>
      <w:bookmarkStart w:id="112" w:name="bqseg95"/>
      <w:bookmarkEnd w:id="112"/>
      <w:r>
        <w:t>[Koṭṭhita the Great:] “Tell me, Venerable Sāriputta,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7"/>
      </w:r>
      <w:r>
        <w:t xml:space="preserve"> So again these teachings on consciousness and </w:t>
      </w:r>
      <w:r>
        <w:rPr>
          <w:rStyle w:val="wwc-pali"/>
        </w:rPr>
        <w:t>nāmarūpa</w:t>
      </w:r>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Sāriputta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t>, however, if one ends, the other also completely ceases.</w:t>
      </w:r>
    </w:p>
    <w:p w14:paraId="0A64588A" w14:textId="7BA553F6" w:rsidR="00FE3964" w:rsidRDefault="006C328E">
      <w:pPr>
        <w:pStyle w:val="WW-figure"/>
      </w:pPr>
      <w:r>
        <w:rPr>
          <w:noProof/>
        </w:rPr>
        <w:drawing>
          <wp:inline distT="0" distB="0" distL="0" distR="0" wp14:anchorId="642FB2F8" wp14:editId="778394AF">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7301E7FF">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17736FF5">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r>
        <w:rPr>
          <w:rStyle w:val="wwc-pali"/>
        </w:rPr>
        <w:t>nāmarūpa</w:t>
      </w:r>
      <w:r>
        <w:t xml:space="preserve"> on willful actions</w:t>
      </w:r>
    </w:p>
    <w:p w14:paraId="08849386" w14:textId="77777777" w:rsidR="00FE3964" w:rsidRDefault="00000000">
      <w:pPr>
        <w:pStyle w:val="WW-chapter-section-1"/>
      </w:pPr>
      <w:r>
        <w:t>The cessation of nāmarūpa</w:t>
      </w:r>
    </w:p>
    <w:p w14:paraId="611C1E25" w14:textId="77777777" w:rsidR="00FE3964" w:rsidRDefault="00000000">
      <w:pPr>
        <w:pStyle w:val="WW-paragraph"/>
      </w:pPr>
      <w: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3" w:name="bqseg96"/>
      <w:bookmarkEnd w:id="113"/>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they are hungerless,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4" w:name="bqseg97"/>
      <w:bookmarkEnd w:id="114"/>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r>
        <w:rPr>
          <w:rStyle w:val="wwc-pali"/>
        </w:rPr>
        <w:t>nāmarūpa</w:t>
      </w:r>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r>
        <w:rPr>
          <w:rStyle w:val="wwc-pali"/>
        </w:rPr>
        <w:t>nāmarūpa</w:t>
      </w:r>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5" w:name="bqseg98"/>
      <w:bookmarkEnd w:id="115"/>
      <w:r>
        <w:t>The brahmin Bhāradvāja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I ask you this, Gotama:</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t xml:space="preserve"> refers to this, saying people are entangled like string, knotted like a ball of thread, being stuck in </w:t>
      </w:r>
      <w:r>
        <w:rPr>
          <w:rStyle w:val="wwc-pali"/>
        </w:rPr>
        <w:t>saṁsāra</w:t>
      </w:r>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r>
        <w:t xml:space="preserve">Bhāradvāja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r>
        <w:rPr>
          <w:rStyle w:val="wwc-pali"/>
        </w:rPr>
        <w:t>parinibbāna</w:t>
      </w:r>
      <w:r>
        <w:t xml:space="preserve">, the end of existence, when </w:t>
      </w:r>
      <w:r>
        <w:rPr>
          <w:rStyle w:val="wwc-pali"/>
        </w:rPr>
        <w:t>nāmarūpa</w:t>
      </w:r>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r>
        <w:rPr>
          <w:rStyle w:val="wwc-sesame"/>
        </w:rPr>
        <w:t>Saṁyukta Āgama</w:t>
      </w:r>
      <w:r>
        <w:t xml:space="preserve"> parallel indeed more simply says that along with </w:t>
      </w:r>
      <w:r>
        <w:rPr>
          <w:rStyle w:val="wwc-pali"/>
        </w:rPr>
        <w:t>nāmarūpa</w:t>
      </w:r>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Summary on consciousness and nāmarūpa</w:t>
      </w:r>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w:t>
      </w:r>
      <w:r>
        <w:lastRenderedPageBreak/>
        <w:t>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Das Bewußtsein als Träger des Leben</w:t>
      </w:r>
      <w:r>
        <w:t xml:space="preserve"> (</w:t>
      </w:r>
      <w:r>
        <w:rPr>
          <w:rStyle w:val="Emphasis"/>
        </w:rPr>
        <w:t>Consciousness as the Carrier of Life</w:t>
      </w:r>
      <w:r>
        <w:t xml:space="preserve">): “At conception </w:t>
      </w:r>
      <w:r>
        <w:rPr>
          <w:rStyle w:val="wwc-pali"/>
        </w:rPr>
        <w:t>viññāṇa</w:t>
      </w:r>
      <w:r>
        <w:t xml:space="preserve"> acts as the animating and life-carrying principle, which is why it is called the condition for the living body (</w:t>
      </w:r>
      <w:r>
        <w:rPr>
          <w:rStyle w:val="wwc-pali"/>
        </w:rPr>
        <w:t>nāmarūpa</w:t>
      </w:r>
      <w:r>
        <w:t xml:space="preserve">). Vice versa, the living body is a condition for </w:t>
      </w:r>
      <w:r>
        <w:rPr>
          <w:rStyle w:val="wwc-pali"/>
        </w:rPr>
        <w:t>viññāṇa</w:t>
      </w:r>
      <w:r>
        <w:t>: on the one hand because it functions as a support for the life-carrying principle (</w:t>
      </w:r>
      <w:r>
        <w:rPr>
          <w:rStyle w:val="wwc-pali"/>
        </w:rPr>
        <w:t>viññāṇa</w:t>
      </w:r>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r>
        <w:rPr>
          <w:rStyle w:val="wwc-pali"/>
        </w:rPr>
        <w:t>nāmarūpa</w:t>
      </w:r>
      <w:r>
        <w:t>. It is never just one of the two.</w:t>
      </w:r>
      <w:r>
        <w:rPr>
          <w:rStyle w:val="FootnoteReference"/>
        </w:rPr>
        <w:footnoteReference w:id="400"/>
      </w:r>
      <w:r>
        <w:br w:type="page"/>
      </w:r>
    </w:p>
    <w:p w14:paraId="3C6602D8" w14:textId="77777777" w:rsidR="00FE3964" w:rsidRDefault="00000000">
      <w:pPr>
        <w:pStyle w:val="WW-Chapter"/>
      </w:pPr>
      <w:bookmarkStart w:id="116" w:name="chapter9"/>
      <w:bookmarkEnd w:id="116"/>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r>
        <w:rPr>
          <w:rStyle w:val="wwc-pali"/>
        </w:rPr>
        <w:t>viññāṇa</w:t>
      </w:r>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r>
        <w:rPr>
          <w:rStyle w:val="wwc-pali"/>
        </w:rPr>
        <w:t>viññāṇa</w:t>
      </w:r>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Sujato already responded to such views, this is not the only use of the prefix.</w:t>
      </w:r>
      <w:r>
        <w:rPr>
          <w:rStyle w:val="FootnoteReference"/>
        </w:rPr>
        <w:footnoteReference w:id="402"/>
      </w:r>
      <w:r>
        <w:t xml:space="preserve"> The word </w:t>
      </w:r>
      <w:r>
        <w:rPr>
          <w:rStyle w:val="wwc-pali"/>
        </w:rPr>
        <w:t>visuddhi</w:t>
      </w:r>
      <w:r>
        <w:t xml:space="preserve"> for example, literally means ‘very pure’, not ‘divided pure’, although it is more fitting to regard the prefix as effectively meaningless here. In </w:t>
      </w:r>
      <w:r>
        <w:rPr>
          <w:rStyle w:val="wwc-pali"/>
        </w:rPr>
        <w:t>viññāṇa</w:t>
      </w:r>
      <w:r>
        <w:t xml:space="preserve"> the prefix likewise has no distinct meaning. Secondly, ‘divided knowing’ does not fit the use of the word in various texts, including the non-Buddhist. In the </w:t>
      </w:r>
      <w:r w:rsidRPr="000440B7">
        <w:rPr>
          <w:rStyle w:val="wwc-sesame"/>
        </w:rPr>
        <w:t>Upaniṣads</w:t>
      </w:r>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r>
        <w:rPr>
          <w:rStyle w:val="wwc-pali"/>
        </w:rPr>
        <w:t>samādhi</w:t>
      </w:r>
      <w:r>
        <w:t xml:space="preserve"> (unification) is called ‘unbounded </w:t>
      </w:r>
      <w:r>
        <w:rPr>
          <w:rStyle w:val="wwc-pali"/>
        </w:rPr>
        <w:t>viññāṇa</w:t>
      </w:r>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r>
        <w:rPr>
          <w:rStyle w:val="wwc-pali"/>
        </w:rPr>
        <w:t>saññā</w:t>
      </w:r>
      <w:r>
        <w:t xml:space="preserve"> instead, although the term has some more nuanced meanings too. </w:t>
      </w:r>
      <w:r>
        <w:rPr>
          <w:rStyle w:val="wwc-pali"/>
        </w:rPr>
        <w:t>Viññāṇa</w:t>
      </w:r>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content is nothing but “an artificial abstraction”, as Venerable Ñānamoli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willful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45CC599A" w:rsidR="00FE3964" w:rsidRDefault="00000000">
      <w:pPr>
        <w:pStyle w:val="WW-table-caption"/>
      </w:pPr>
      <w:r>
        <w:t>{Simple</w:t>
      </w:r>
      <w:r w:rsidR="00093655">
        <w:t>NoRowBorders</w:t>
      </w:r>
      <w:r>
        <w:t>}Table 17. Different uses of ‘the arising of consciousness’</w:t>
      </w:r>
    </w:p>
    <w:tbl>
      <w:tblPr>
        <w:tblStyle w:val="TableGrid"/>
        <w:tblW w:w="9067" w:type="dxa"/>
        <w:tblLayout w:type="fixed"/>
        <w:tblLook w:val="0480" w:firstRow="0" w:lastRow="0" w:firstColumn="1" w:lastColumn="0" w:noHBand="0" w:noVBand="1"/>
      </w:tblPr>
      <w:tblGrid>
        <w:gridCol w:w="4531"/>
        <w:gridCol w:w="4536"/>
      </w:tblGrid>
      <w:tr w:rsidR="00FE3964" w14:paraId="21EEABEE" w14:textId="77777777" w:rsidTr="003F2D4A">
        <w:tc>
          <w:tcPr>
            <w:tcW w:w="4531" w:type="dxa"/>
          </w:tcPr>
          <w:p w14:paraId="7091F97F" w14:textId="77777777" w:rsidR="00FE3964" w:rsidRDefault="00000000">
            <w:pPr>
              <w:pStyle w:val="WW-paragraph"/>
            </w:pPr>
            <w:r>
              <w:rPr>
                <w:rStyle w:val="Strong"/>
              </w:rPr>
              <w:t>Factor in Dependent Arising</w:t>
            </w:r>
          </w:p>
        </w:tc>
        <w:tc>
          <w:tcPr>
            <w:tcW w:w="4536" w:type="dxa"/>
          </w:tcPr>
          <w:p w14:paraId="2B1D666A" w14:textId="77777777" w:rsidR="00FE3964" w:rsidRDefault="00000000">
            <w:pPr>
              <w:pStyle w:val="WW-paragraph"/>
            </w:pPr>
            <w:r>
              <w:rPr>
                <w:rStyle w:val="Strong"/>
              </w:rPr>
              <w:t>‘Arising of consciousness’ refers to:</w:t>
            </w:r>
          </w:p>
        </w:tc>
      </w:tr>
      <w:tr w:rsidR="000B513C" w14:paraId="396A6F1C" w14:textId="77777777" w:rsidTr="003F2D4A">
        <w:tc>
          <w:tcPr>
            <w:tcW w:w="4531" w:type="dxa"/>
          </w:tcPr>
          <w:p w14:paraId="12FF6094" w14:textId="4DED126A" w:rsidR="000B513C" w:rsidRDefault="000B513C">
            <w:pPr>
              <w:pStyle w:val="WW-paragraph"/>
            </w:pPr>
            <w:r>
              <w:lastRenderedPageBreak/>
              <w:t>1. Ignorance</w:t>
            </w:r>
          </w:p>
        </w:tc>
        <w:tc>
          <w:tcPr>
            <w:tcW w:w="4536" w:type="dxa"/>
          </w:tcPr>
          <w:p w14:paraId="6A28C715" w14:textId="77777777" w:rsidR="000B513C" w:rsidRDefault="000B513C">
            <w:pPr>
              <w:pStyle w:val="WW-paragraph"/>
            </w:pPr>
          </w:p>
        </w:tc>
      </w:tr>
      <w:tr w:rsidR="000B513C" w14:paraId="745BB337" w14:textId="77777777" w:rsidTr="003F2D4A">
        <w:tc>
          <w:tcPr>
            <w:tcW w:w="4531" w:type="dxa"/>
          </w:tcPr>
          <w:p w14:paraId="4D1BA319" w14:textId="2CAD0EB1" w:rsidR="000B513C" w:rsidRDefault="000B513C">
            <w:pPr>
              <w:pStyle w:val="WW-paragraph"/>
            </w:pPr>
            <w:r>
              <w:t>2. Willful actions</w:t>
            </w:r>
          </w:p>
        </w:tc>
        <w:tc>
          <w:tcPr>
            <w:tcW w:w="4536" w:type="dxa"/>
          </w:tcPr>
          <w:p w14:paraId="384CC62E" w14:textId="77777777" w:rsidR="000B513C" w:rsidRDefault="000B513C">
            <w:pPr>
              <w:pStyle w:val="WW-paragraph"/>
            </w:pPr>
          </w:p>
        </w:tc>
      </w:tr>
      <w:tr w:rsidR="00FE3964" w14:paraId="46408504" w14:textId="77777777" w:rsidTr="003F2D4A">
        <w:tc>
          <w:tcPr>
            <w:tcW w:w="4531" w:type="dxa"/>
          </w:tcPr>
          <w:p w14:paraId="5C467E82" w14:textId="2EE58471" w:rsidR="00FE3964" w:rsidRDefault="00000000">
            <w:pPr>
              <w:pStyle w:val="WW-paragraph"/>
            </w:pPr>
            <w:r>
              <w:t>3. Consciousness</w:t>
            </w:r>
          </w:p>
        </w:tc>
        <w:tc>
          <w:tcPr>
            <w:tcW w:w="4536" w:type="dxa"/>
          </w:tcPr>
          <w:p w14:paraId="17703225" w14:textId="53D509CB" w:rsidR="00FE3964" w:rsidRDefault="00000000">
            <w:pPr>
              <w:pStyle w:val="WW-paragraph"/>
            </w:pPr>
            <w:r>
              <w:t>– Overall aggregate of consciousness</w:t>
            </w:r>
          </w:p>
        </w:tc>
      </w:tr>
      <w:tr w:rsidR="003F2D4A" w14:paraId="364FA4D0" w14:textId="77777777" w:rsidTr="003F2D4A">
        <w:tc>
          <w:tcPr>
            <w:tcW w:w="4531" w:type="dxa"/>
          </w:tcPr>
          <w:p w14:paraId="1783923D" w14:textId="07D2926E" w:rsidR="003F2D4A" w:rsidRDefault="003F2D4A">
            <w:pPr>
              <w:pStyle w:val="WW-paragraph"/>
            </w:pPr>
            <w:r>
              <w:t>4. Immaterial aspects &amp; body</w:t>
            </w:r>
          </w:p>
        </w:tc>
        <w:tc>
          <w:tcPr>
            <w:tcW w:w="4536" w:type="dxa"/>
          </w:tcPr>
          <w:p w14:paraId="2D8DDC78" w14:textId="77777777" w:rsidR="003F2D4A" w:rsidRDefault="003F2D4A">
            <w:pPr>
              <w:pStyle w:val="WW-paragraph"/>
            </w:pPr>
          </w:p>
        </w:tc>
      </w:tr>
      <w:tr w:rsidR="003F2D4A" w14:paraId="48DAF92C" w14:textId="77777777" w:rsidTr="003F2D4A">
        <w:tc>
          <w:tcPr>
            <w:tcW w:w="4531" w:type="dxa"/>
          </w:tcPr>
          <w:p w14:paraId="595DA8EB" w14:textId="77F2177F" w:rsidR="003F2D4A" w:rsidRDefault="003F2D4A">
            <w:pPr>
              <w:pStyle w:val="WW-paragraph"/>
            </w:pPr>
            <w:r>
              <w:t>5. Six senses</w:t>
            </w:r>
          </w:p>
        </w:tc>
        <w:tc>
          <w:tcPr>
            <w:tcW w:w="4536" w:type="dxa"/>
          </w:tcPr>
          <w:p w14:paraId="79262EB6" w14:textId="77777777" w:rsidR="003F2D4A" w:rsidRDefault="003F2D4A">
            <w:pPr>
              <w:pStyle w:val="WW-paragraph"/>
            </w:pPr>
          </w:p>
        </w:tc>
      </w:tr>
      <w:tr w:rsidR="003F2D4A" w14:paraId="0F7D4FD9" w14:textId="77777777" w:rsidTr="003F2D4A">
        <w:tc>
          <w:tcPr>
            <w:tcW w:w="4531" w:type="dxa"/>
          </w:tcPr>
          <w:p w14:paraId="03BE5FAD" w14:textId="62784CA0" w:rsidR="003F2D4A" w:rsidRDefault="003F2D4A" w:rsidP="003F2D4A">
            <w:pPr>
              <w:pStyle w:val="WW-paragraph"/>
            </w:pPr>
            <w:r>
              <w:t>6. Sense impressions</w:t>
            </w:r>
          </w:p>
        </w:tc>
        <w:tc>
          <w:tcPr>
            <w:tcW w:w="4536" w:type="dxa"/>
          </w:tcPr>
          <w:p w14:paraId="396915FD" w14:textId="03A8E496" w:rsidR="003F2D4A" w:rsidRDefault="003F2D4A" w:rsidP="003F2D4A">
            <w:pPr>
              <w:pStyle w:val="WW-paragraph"/>
            </w:pPr>
          </w:p>
        </w:tc>
      </w:tr>
      <w:tr w:rsidR="003F2D4A" w14:paraId="237F114B" w14:textId="77777777" w:rsidTr="003F2D4A">
        <w:tc>
          <w:tcPr>
            <w:tcW w:w="4531" w:type="dxa"/>
          </w:tcPr>
          <w:p w14:paraId="4541D460" w14:textId="05BF13C1" w:rsidR="003F2D4A" w:rsidRDefault="003F2D4A" w:rsidP="003F2D4A">
            <w:pPr>
              <w:pStyle w:val="WW-paragraph"/>
            </w:pPr>
            <w:r>
              <w:t>7. Sensations / Six types of consciousness</w:t>
            </w:r>
          </w:p>
        </w:tc>
        <w:tc>
          <w:tcPr>
            <w:tcW w:w="4536" w:type="dxa"/>
          </w:tcPr>
          <w:p w14:paraId="097D35A1" w14:textId="01560A10" w:rsidR="003F2D4A" w:rsidRDefault="003F2D4A" w:rsidP="003F2D4A">
            <w:pPr>
              <w:pStyle w:val="WW-paragraph"/>
            </w:pPr>
            <w:r>
              <w:t>– Instances of consciousness</w:t>
            </w:r>
          </w:p>
        </w:tc>
      </w:tr>
      <w:tr w:rsidR="003F2D4A" w14:paraId="28B6F342" w14:textId="77777777" w:rsidTr="003F2D4A">
        <w:tc>
          <w:tcPr>
            <w:tcW w:w="4531" w:type="dxa"/>
          </w:tcPr>
          <w:p w14:paraId="0A03427E" w14:textId="0E6579B4" w:rsidR="003F2D4A" w:rsidRDefault="003F2D4A" w:rsidP="003F2D4A">
            <w:pPr>
              <w:pStyle w:val="WW-paragraph"/>
            </w:pPr>
            <w:r>
              <w:t>8. …</w:t>
            </w:r>
          </w:p>
        </w:tc>
        <w:tc>
          <w:tcPr>
            <w:tcW w:w="4536" w:type="dxa"/>
          </w:tcPr>
          <w:p w14:paraId="3A1A9445" w14:textId="77777777" w:rsidR="003F2D4A" w:rsidRDefault="003F2D4A" w:rsidP="003F2D4A">
            <w:pPr>
              <w:pStyle w:val="WW-paragraph"/>
            </w:pP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Sāriputta explains:</w:t>
      </w:r>
    </w:p>
    <w:p w14:paraId="73568962" w14:textId="77777777" w:rsidR="00FE3964" w:rsidRDefault="00000000">
      <w:pPr>
        <w:pStyle w:val="WW-named-section"/>
      </w:pPr>
      <w:r>
        <w:t>§99</w:t>
      </w:r>
    </w:p>
    <w:p w14:paraId="59E15C3A" w14:textId="77777777" w:rsidR="00FE3964" w:rsidRDefault="00000000">
      <w:pPr>
        <w:pStyle w:val="WW-blockquote"/>
      </w:pPr>
      <w:bookmarkStart w:id="117" w:name="bqseg99"/>
      <w:bookmarkEnd w:id="117"/>
      <w:r>
        <w:t>[Koṭṭhita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lastRenderedPageBreak/>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r>
        <w:rPr>
          <w:rStyle w:val="wwc-pali"/>
        </w:rPr>
        <w:t>nāmarūpa</w:t>
      </w:r>
      <w:r>
        <w:t xml:space="preserve">. The dependency of consciousness on sense impressions teaches a similar principle, but it has a different focus. While the dependency of consciousness on </w:t>
      </w:r>
      <w:r>
        <w:rPr>
          <w:rStyle w:val="wwc-pali"/>
        </w:rPr>
        <w:t>nāmarūpa</w:t>
      </w:r>
      <w:r>
        <w:t xml:space="preserve"> primarily teaches us there is no realm where consciousness can be 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r>
        <w:rPr>
          <w:rStyle w:val="wwc-pali"/>
        </w:rPr>
        <w:t>phassa</w:t>
      </w:r>
      <w:r>
        <w:t>. It is usually translated as ‘contact’, but more literally means ‘touch’. Just like the body touches external objects, in Pāli the nose “touches” smells, the tongue “touches” flavors,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8" w:name="bqseg100"/>
      <w:bookmarkEnd w:id="118"/>
      <w: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9" w:name="bqseg101"/>
      <w:bookmarkEnd w:id="119"/>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The corresponding sections of consciousness mentioned by Sāriputta are the types of consciousness corresponding to the particular types of sense impression: sight-consciousness, hearing-</w:t>
      </w:r>
      <w:r>
        <w:lastRenderedPageBreak/>
        <w:t>consciousness, and so forth. For each of the six senses, a different type of consciousness arises, as listed in the table below.</w:t>
      </w:r>
    </w:p>
    <w:p w14:paraId="2C7AD590" w14:textId="77777777" w:rsidR="00FE3964" w:rsidRDefault="00000000">
      <w:pPr>
        <w:pStyle w:val="WW-table-caption"/>
      </w:pPr>
      <w:r>
        <w:t>{SimpleNoRowBorders}Table 18. The six types of consciousness with their senses and objects</w:t>
      </w:r>
    </w:p>
    <w:tbl>
      <w:tblPr>
        <w:tblStyle w:val="TableGrid"/>
        <w:tblW w:w="8217" w:type="dxa"/>
        <w:tblLayout w:type="fixed"/>
        <w:tblLook w:val="0480" w:firstRow="0" w:lastRow="0" w:firstColumn="1" w:lastColumn="0" w:noHBand="0" w:noVBand="1"/>
      </w:tblPr>
      <w:tblGrid>
        <w:gridCol w:w="1459"/>
        <w:gridCol w:w="2789"/>
        <w:gridCol w:w="3969"/>
      </w:tblGrid>
      <w:tr w:rsidR="00FE3964" w14:paraId="6CD739FA" w14:textId="77777777" w:rsidTr="005E485B">
        <w:tc>
          <w:tcPr>
            <w:tcW w:w="1459" w:type="dxa"/>
          </w:tcPr>
          <w:p w14:paraId="7F5FD31F" w14:textId="77777777" w:rsidR="00FE3964" w:rsidRDefault="00000000">
            <w:pPr>
              <w:pStyle w:val="WW-paragraph"/>
            </w:pPr>
            <w:r>
              <w:rPr>
                <w:rStyle w:val="Strong"/>
              </w:rPr>
              <w:t>Sense faculty</w:t>
            </w:r>
          </w:p>
        </w:tc>
        <w:tc>
          <w:tcPr>
            <w:tcW w:w="2789" w:type="dxa"/>
          </w:tcPr>
          <w:p w14:paraId="1A3335FD" w14:textId="77777777" w:rsidR="00FE3964" w:rsidRDefault="00000000">
            <w:pPr>
              <w:pStyle w:val="WW-paragraph"/>
            </w:pPr>
            <w:r>
              <w:rPr>
                <w:rStyle w:val="Strong"/>
              </w:rPr>
              <w:t>Object</w:t>
            </w:r>
          </w:p>
        </w:tc>
        <w:tc>
          <w:tcPr>
            <w:tcW w:w="3969" w:type="dxa"/>
          </w:tcPr>
          <w:p w14:paraId="39AAE9C7" w14:textId="77777777" w:rsidR="00FE3964" w:rsidRDefault="00000000">
            <w:pPr>
              <w:pStyle w:val="WW-paragraph"/>
            </w:pPr>
            <w:r>
              <w:rPr>
                <w:rStyle w:val="Strong"/>
              </w:rPr>
              <w:t>Section of consciousness</w:t>
            </w:r>
          </w:p>
        </w:tc>
      </w:tr>
      <w:tr w:rsidR="00FE3964" w14:paraId="7124AE53" w14:textId="77777777" w:rsidTr="005E485B">
        <w:tc>
          <w:tcPr>
            <w:tcW w:w="1459" w:type="dxa"/>
          </w:tcPr>
          <w:p w14:paraId="17D81EFD" w14:textId="77777777" w:rsidR="00FE3964" w:rsidRDefault="00000000">
            <w:pPr>
              <w:pStyle w:val="WW-paragraph"/>
            </w:pPr>
            <w:r>
              <w:t>Sight</w:t>
            </w:r>
          </w:p>
        </w:tc>
        <w:tc>
          <w:tcPr>
            <w:tcW w:w="2789" w:type="dxa"/>
          </w:tcPr>
          <w:p w14:paraId="59298A6E" w14:textId="77777777" w:rsidR="00FE3964" w:rsidRDefault="00000000">
            <w:pPr>
              <w:pStyle w:val="WW-paragraph"/>
            </w:pPr>
            <w:r>
              <w:t>Sights</w:t>
            </w:r>
          </w:p>
        </w:tc>
        <w:tc>
          <w:tcPr>
            <w:tcW w:w="3969" w:type="dxa"/>
          </w:tcPr>
          <w:p w14:paraId="29B0727B" w14:textId="77777777" w:rsidR="00FE3964" w:rsidRDefault="00000000">
            <w:pPr>
              <w:pStyle w:val="WW-paragraph"/>
            </w:pPr>
            <w:r>
              <w:t>Sight-consciousness</w:t>
            </w:r>
          </w:p>
        </w:tc>
      </w:tr>
      <w:tr w:rsidR="00FE3964" w14:paraId="503BAF5D" w14:textId="77777777" w:rsidTr="005E485B">
        <w:tc>
          <w:tcPr>
            <w:tcW w:w="1459" w:type="dxa"/>
          </w:tcPr>
          <w:p w14:paraId="27409798" w14:textId="77777777" w:rsidR="00FE3964" w:rsidRDefault="00000000">
            <w:pPr>
              <w:pStyle w:val="WW-paragraph"/>
            </w:pPr>
            <w:r>
              <w:t>Hearing</w:t>
            </w:r>
          </w:p>
        </w:tc>
        <w:tc>
          <w:tcPr>
            <w:tcW w:w="2789" w:type="dxa"/>
          </w:tcPr>
          <w:p w14:paraId="74047C5B" w14:textId="77777777" w:rsidR="00FE3964" w:rsidRDefault="00000000">
            <w:pPr>
              <w:pStyle w:val="WW-paragraph"/>
            </w:pPr>
            <w:r>
              <w:t>Sounds</w:t>
            </w:r>
          </w:p>
        </w:tc>
        <w:tc>
          <w:tcPr>
            <w:tcW w:w="3969" w:type="dxa"/>
          </w:tcPr>
          <w:p w14:paraId="6B239C9A" w14:textId="77777777" w:rsidR="00FE3964" w:rsidRDefault="00000000">
            <w:pPr>
              <w:pStyle w:val="WW-paragraph"/>
            </w:pPr>
            <w:r>
              <w:t>Hearing-consciousness</w:t>
            </w:r>
          </w:p>
        </w:tc>
      </w:tr>
      <w:tr w:rsidR="00FE3964" w14:paraId="09BB5546" w14:textId="77777777" w:rsidTr="005E485B">
        <w:tc>
          <w:tcPr>
            <w:tcW w:w="1459" w:type="dxa"/>
          </w:tcPr>
          <w:p w14:paraId="1CC36086" w14:textId="77777777" w:rsidR="00FE3964" w:rsidRDefault="00000000">
            <w:pPr>
              <w:pStyle w:val="WW-paragraph"/>
            </w:pPr>
            <w:r>
              <w:t>Smell</w:t>
            </w:r>
          </w:p>
        </w:tc>
        <w:tc>
          <w:tcPr>
            <w:tcW w:w="2789" w:type="dxa"/>
          </w:tcPr>
          <w:p w14:paraId="0E5AB113" w14:textId="77777777" w:rsidR="00FE3964" w:rsidRDefault="00000000">
            <w:pPr>
              <w:pStyle w:val="WW-paragraph"/>
            </w:pPr>
            <w:r>
              <w:t>Smells</w:t>
            </w:r>
          </w:p>
        </w:tc>
        <w:tc>
          <w:tcPr>
            <w:tcW w:w="3969" w:type="dxa"/>
          </w:tcPr>
          <w:p w14:paraId="4847E8D0" w14:textId="77777777" w:rsidR="00FE3964" w:rsidRDefault="00000000">
            <w:pPr>
              <w:pStyle w:val="WW-paragraph"/>
            </w:pPr>
            <w:r>
              <w:t>Smell-consciousness</w:t>
            </w:r>
          </w:p>
        </w:tc>
      </w:tr>
      <w:tr w:rsidR="00FE3964" w14:paraId="2EC10646" w14:textId="77777777" w:rsidTr="005E485B">
        <w:tc>
          <w:tcPr>
            <w:tcW w:w="1459" w:type="dxa"/>
          </w:tcPr>
          <w:p w14:paraId="72C30C82" w14:textId="77777777" w:rsidR="00FE3964" w:rsidRDefault="00000000">
            <w:pPr>
              <w:pStyle w:val="WW-paragraph"/>
            </w:pPr>
            <w:r>
              <w:t>Taste</w:t>
            </w:r>
          </w:p>
        </w:tc>
        <w:tc>
          <w:tcPr>
            <w:tcW w:w="2789" w:type="dxa"/>
          </w:tcPr>
          <w:p w14:paraId="3FC3CC44" w14:textId="77777777" w:rsidR="00FE3964" w:rsidRDefault="00000000">
            <w:pPr>
              <w:pStyle w:val="WW-paragraph"/>
            </w:pPr>
            <w:r>
              <w:t>Flavors</w:t>
            </w:r>
          </w:p>
        </w:tc>
        <w:tc>
          <w:tcPr>
            <w:tcW w:w="3969" w:type="dxa"/>
          </w:tcPr>
          <w:p w14:paraId="55801C0D" w14:textId="77777777" w:rsidR="00FE3964" w:rsidRDefault="00000000">
            <w:pPr>
              <w:pStyle w:val="WW-paragraph"/>
            </w:pPr>
            <w:r>
              <w:t>Taste-consciousness</w:t>
            </w:r>
          </w:p>
        </w:tc>
      </w:tr>
      <w:tr w:rsidR="00FE3964" w14:paraId="06DB20CA" w14:textId="77777777" w:rsidTr="005E485B">
        <w:tc>
          <w:tcPr>
            <w:tcW w:w="1459" w:type="dxa"/>
          </w:tcPr>
          <w:p w14:paraId="3E1A8651" w14:textId="77777777" w:rsidR="00FE3964" w:rsidRDefault="00000000">
            <w:pPr>
              <w:pStyle w:val="WW-paragraph"/>
            </w:pPr>
            <w:r>
              <w:t>Touch</w:t>
            </w:r>
          </w:p>
        </w:tc>
        <w:tc>
          <w:tcPr>
            <w:tcW w:w="2789" w:type="dxa"/>
          </w:tcPr>
          <w:p w14:paraId="1A9FB7EE" w14:textId="77777777" w:rsidR="00FE3964" w:rsidRDefault="00000000">
            <w:pPr>
              <w:pStyle w:val="WW-paragraph"/>
            </w:pPr>
            <w:r>
              <w:t>Tangibles</w:t>
            </w:r>
          </w:p>
        </w:tc>
        <w:tc>
          <w:tcPr>
            <w:tcW w:w="3969" w:type="dxa"/>
          </w:tcPr>
          <w:p w14:paraId="7C5FEB84" w14:textId="77777777" w:rsidR="00FE3964" w:rsidRDefault="00000000">
            <w:pPr>
              <w:pStyle w:val="WW-paragraph"/>
            </w:pPr>
            <w:r>
              <w:t>Touch-consciousness</w:t>
            </w:r>
          </w:p>
        </w:tc>
      </w:tr>
      <w:tr w:rsidR="00FE3964" w14:paraId="72317C64" w14:textId="77777777" w:rsidTr="005E485B">
        <w:tc>
          <w:tcPr>
            <w:tcW w:w="1459" w:type="dxa"/>
          </w:tcPr>
          <w:p w14:paraId="1F85A659" w14:textId="77777777" w:rsidR="00FE3964" w:rsidRDefault="00000000">
            <w:pPr>
              <w:pStyle w:val="WW-paragraph"/>
            </w:pPr>
            <w:r>
              <w:t>Mind</w:t>
            </w:r>
          </w:p>
        </w:tc>
        <w:tc>
          <w:tcPr>
            <w:tcW w:w="2789" w:type="dxa"/>
          </w:tcPr>
          <w:p w14:paraId="654B6A50" w14:textId="77777777" w:rsidR="00FE3964" w:rsidRDefault="00000000">
            <w:pPr>
              <w:pStyle w:val="WW-paragraph"/>
            </w:pPr>
            <w:r>
              <w:t>Mental phenomena</w:t>
            </w:r>
          </w:p>
        </w:tc>
        <w:tc>
          <w:tcPr>
            <w:tcW w:w="3969"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20" w:name="bqseg102"/>
      <w:bookmarkEnd w:id="120"/>
      <w: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21" w:name="bqseg103"/>
      <w:bookmarkEnd w:id="121"/>
      <w:r>
        <w:lastRenderedPageBreak/>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Without nutriment, without fuel, there can be no fire. As Sāriputta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35BA6797">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Venerable Nandaka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2" w:name="bqseg104"/>
      <w:bookmarkEnd w:id="122"/>
      <w:r>
        <w:t>“Venerable [Nandaka], by correctly understanding things in line with reality, we have seen that the six types of consciousness are temporary (</w:t>
      </w:r>
      <w:r>
        <w:rPr>
          <w:rStyle w:val="wwc-pali"/>
        </w:rPr>
        <w:t>anicca</w:t>
      </w:r>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lastRenderedPageBreak/>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r>
        <w:rPr>
          <w:rStyle w:val="wwc-pali"/>
        </w:rPr>
        <w:t>dvaya</w:t>
      </w:r>
      <w:r>
        <w:t>):</w:t>
      </w:r>
    </w:p>
    <w:p w14:paraId="52042086" w14:textId="77777777" w:rsidR="00FE3964" w:rsidRDefault="00000000">
      <w:pPr>
        <w:pStyle w:val="WW-named-section"/>
      </w:pPr>
      <w:r>
        <w:t>§105</w:t>
      </w:r>
    </w:p>
    <w:p w14:paraId="03608F20" w14:textId="77777777" w:rsidR="00FE3964" w:rsidRDefault="00000000">
      <w:pPr>
        <w:pStyle w:val="WW-blockquote"/>
      </w:pPr>
      <w:bookmarkStart w:id="123" w:name="bqseg105"/>
      <w:bookmarkEnd w:id="123"/>
      <w: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4" w:name="bqseg106"/>
      <w:bookmarkEnd w:id="124"/>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lastRenderedPageBreak/>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r>
        <w:rPr>
          <w:rStyle w:val="wwc-sesame"/>
        </w:rPr>
        <w:t>Sappurisa Sutta</w:t>
      </w:r>
      <w:r>
        <w:t xml:space="preserve"> also says that a worthy person </w:t>
      </w:r>
      <w:r>
        <w:lastRenderedPageBreak/>
        <w:t>reflects: “The Buddha has said to not identify with the attainment of the first jhāna.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Sense impressions depending on external nāmarūpa</w:t>
      </w:r>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6" w:name="bqseg107"/>
      <w:bookmarkEnd w:id="126"/>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r>
        <w:rPr>
          <w:rStyle w:val="wwc-sesame"/>
        </w:rPr>
        <w:t>Nidāna Saṁyutta</w:t>
      </w:r>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t xml:space="preserve">”, the latter half of which contains a unique use of the word </w:t>
      </w:r>
      <w:r>
        <w:rPr>
          <w:rStyle w:val="wwc-pali"/>
        </w:rPr>
        <w:t>nāmarūpa</w:t>
      </w:r>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7" w:name="bqseg108"/>
      <w:bookmarkEnd w:id="127"/>
      <w:r>
        <w:lastRenderedPageBreak/>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r>
        <w:rPr>
          <w:rStyle w:val="wwc-pali"/>
        </w:rPr>
        <w:t>bahiddhā sabbanimittā</w:t>
      </w:r>
      <w:r>
        <w:t>), with a mark here being “a sign […] by which something or someone is recognised or identified”.</w:t>
      </w:r>
      <w:r>
        <w:rPr>
          <w:rStyle w:val="FootnoteReference"/>
        </w:rPr>
        <w:footnoteReference w:id="428"/>
      </w:r>
      <w:r>
        <w:t xml:space="preserve"> This </w:t>
      </w:r>
      <w:r>
        <w:rPr>
          <w:rStyle w:val="wwc-pali"/>
        </w:rPr>
        <w:t>bahiddhā sabbanimittā</w:t>
      </w:r>
      <w:r>
        <w:t xml:space="preserve"> is synonymous to </w:t>
      </w:r>
      <w:r>
        <w:rPr>
          <w:rStyle w:val="wwc-pali"/>
        </w:rPr>
        <w:t>bahiddhā nāmarūpa</w:t>
      </w:r>
      <w:r>
        <w:t xml:space="preserve">, because the names and forms are </w:t>
      </w:r>
      <w:r>
        <w:lastRenderedPageBreak/>
        <w:t xml:space="preserve">certain “marks” by which the objects are recognized. In his translations of the </w:t>
      </w:r>
      <w:r>
        <w:rPr>
          <w:rStyle w:val="wwc-sesame"/>
        </w:rPr>
        <w:t>Aṅguttara Nikāya</w:t>
      </w:r>
      <w:r>
        <w:t xml:space="preserve">, Bhikkhu Bodhi therefore translates </w:t>
      </w:r>
      <w:r>
        <w:rPr>
          <w:rStyle w:val="wwc-pali"/>
        </w:rPr>
        <w:t>bahiddhā sabbanimittā</w:t>
      </w:r>
      <w:r>
        <w:t xml:space="preserve"> simply as ‘all external objects’, akin to how I translate </w:t>
      </w:r>
      <w:r>
        <w:rPr>
          <w:rStyle w:val="wwc-pali"/>
        </w:rPr>
        <w:t>bahiddhā nāmarūpa</w:t>
      </w:r>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{SimpleNoRowBorders}Table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r>
              <w:rPr>
                <w:rStyle w:val="wwc-pali"/>
              </w:rPr>
              <w:t>bahiddhā nimitta</w:t>
            </w:r>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r>
              <w:rPr>
                <w:rStyle w:val="wwc-pali"/>
              </w:rPr>
              <w:t>bahiddhā nāmarūpa</w:t>
            </w:r>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r>
        <w:rPr>
          <w:rStyle w:val="wwc-pali"/>
        </w:rPr>
        <w:t>nāmarūpa</w:t>
      </w:r>
      <w:r>
        <w:t xml:space="preserve"> in a way that is unique, namely as </w:t>
      </w:r>
      <w:r>
        <w:rPr>
          <w:rStyle w:val="wwc-pali"/>
        </w:rPr>
        <w:t>bahiddhā nāmarūpa</w:t>
      </w:r>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r>
        <w:rPr>
          <w:rStyle w:val="wwc-pali"/>
        </w:rPr>
        <w:t>nāmarūpa</w:t>
      </w:r>
      <w:r>
        <w:t xml:space="preserve"> is very uncommon in the early Buddhist texts, where the term usually refers to individual beings, not objects. Venerable Bhikkhu Bodhi describes </w:t>
      </w:r>
      <w:r>
        <w:rPr>
          <w:rStyle w:val="wwc-pali"/>
        </w:rPr>
        <w:t>bahiddhā nāmarūpa</w:t>
      </w:r>
      <w:r>
        <w:t xml:space="preserve"> as “a rare example of the term </w:t>
      </w:r>
      <w:r>
        <w:rPr>
          <w:rStyle w:val="Emphasis"/>
        </w:rPr>
        <w:t>nāmarūpa</w:t>
      </w:r>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r>
        <w:rPr>
          <w:rStyle w:val="wwc-pali"/>
        </w:rPr>
        <w:t>nāmarūpa</w:t>
      </w:r>
      <w:r>
        <w:t xml:space="preserve"> is indicated by sense impression (or ‘contact’) arising from the conscious body and this external </w:t>
      </w:r>
      <w:r>
        <w:rPr>
          <w:rStyle w:val="wwc-pali"/>
        </w:rPr>
        <w:t>nāmarūpa</w:t>
      </w:r>
      <w:r>
        <w:t xml:space="preserve"> instead of the usual six </w:t>
      </w:r>
      <w:r>
        <w:lastRenderedPageBreak/>
        <w:t xml:space="preserve">senses and their objects. This is not how the term </w:t>
      </w:r>
      <w:r>
        <w:rPr>
          <w:rStyle w:val="wwc-pali"/>
        </w:rPr>
        <w:t>nāmarūpa</w:t>
      </w:r>
      <w:r>
        <w:t xml:space="preserve"> is normally used. Hamilton stated: “In principle </w:t>
      </w:r>
      <w:r>
        <w:rPr>
          <w:rStyle w:val="wwc-pali"/>
        </w:rPr>
        <w:t>nāmarūpa</w:t>
      </w:r>
      <w:r>
        <w:t xml:space="preserve"> might apply to that which is external to the human being [as in </w:t>
      </w:r>
      <w:r>
        <w:rPr>
          <w:rStyle w:val="wwc-pali"/>
        </w:rPr>
        <w:t>bahiddhā</w:t>
      </w:r>
      <w:r>
        <w:rPr>
          <w:rStyle w:val="Emphasis"/>
        </w:rPr>
        <w:t xml:space="preserve"> </w:t>
      </w:r>
      <w:r>
        <w:rPr>
          <w:rStyle w:val="wwc-pali"/>
        </w:rPr>
        <w:t>nāmarūpa</w:t>
      </w:r>
      <w:r>
        <w:t xml:space="preserve">]. But when it is found in the context of the </w:t>
      </w:r>
      <w:r>
        <w:rPr>
          <w:rStyle w:val="wwc-pali"/>
        </w:rPr>
        <w:t>paṭiccasamuppāda</w:t>
      </w:r>
      <w:r>
        <w:t xml:space="preserve"> [Dependent Arising] formula it applies to the human being […] In its most common context, the </w:t>
      </w:r>
      <w:r>
        <w:rPr>
          <w:rStyle w:val="wwc-pali"/>
        </w:rPr>
        <w:t>paṭiccasamuppāda</w:t>
      </w:r>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r>
        <w:rPr>
          <w:rStyle w:val="wwc-pali"/>
        </w:rPr>
        <w:t>nāmarūpa</w:t>
      </w:r>
      <w:r>
        <w:t xml:space="preserve"> of Dependent Arising.</w:t>
      </w:r>
    </w:p>
    <w:p w14:paraId="795B2211" w14:textId="77777777" w:rsidR="00FE3964" w:rsidRDefault="00000000">
      <w:pPr>
        <w:pStyle w:val="WW-paragraph"/>
      </w:pPr>
      <w:r>
        <w:t xml:space="preserve">The </w:t>
      </w:r>
      <w:r>
        <w:rPr>
          <w:rStyle w:val="wwc-pali"/>
        </w:rPr>
        <w:t>bahiddhā nāmarūpa</w:t>
      </w:r>
      <w:r>
        <w:t xml:space="preserve"> of the </w:t>
      </w:r>
      <w:r>
        <w:rPr>
          <w:rStyle w:val="wwc-sesame"/>
        </w:rPr>
        <w:t>Discourse on the Foolish and Wise</w:t>
      </w:r>
      <w:r>
        <w:t xml:space="preserve"> are specified to be </w:t>
      </w:r>
      <w:r>
        <w:rPr>
          <w:rStyle w:val="Emphasis"/>
        </w:rPr>
        <w:t>external</w:t>
      </w:r>
      <w:r>
        <w:t xml:space="preserve">. This opposes them to the usual </w:t>
      </w:r>
      <w:r>
        <w:rPr>
          <w:rStyle w:val="wwc-pali"/>
        </w:rPr>
        <w:t>nāmarūpa</w:t>
      </w:r>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t>’s]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r>
        <w:rPr>
          <w:rStyle w:val="wwc-pali"/>
        </w:rPr>
        <w:t>nāmarūpa</w:t>
      </w:r>
      <w:r>
        <w:t xml:space="preserve"> has not. This makes sense, since external objects are not created by ignorance. In contrast, the standard </w:t>
      </w:r>
      <w:r>
        <w:rPr>
          <w:rStyle w:val="wwc-pali"/>
        </w:rPr>
        <w:t>nāmarūpa</w:t>
      </w:r>
      <w:r>
        <w:t xml:space="preserve"> in Dependent Arising does have its roots in ignorance.</w:t>
      </w:r>
    </w:p>
    <w:p w14:paraId="3836E2C8" w14:textId="77777777" w:rsidR="00FE3964" w:rsidRDefault="00000000">
      <w:pPr>
        <w:pStyle w:val="WW-paragraph"/>
      </w:pPr>
      <w:r>
        <w:t xml:space="preserve">However, some interpreters understand </w:t>
      </w:r>
      <w:r>
        <w:rPr>
          <w:rStyle w:val="wwc-pali"/>
        </w:rPr>
        <w:t>nāmarūpa</w:t>
      </w:r>
      <w:r>
        <w:t xml:space="preserve"> in the standard twelvefold sequence to also refer to external objects, not to the sentient being.</w:t>
      </w:r>
      <w:r>
        <w:rPr>
          <w:rStyle w:val="FootnoteReference"/>
        </w:rPr>
        <w:footnoteReference w:id="435"/>
      </w:r>
      <w:r>
        <w:t xml:space="preserve"> Others take </w:t>
      </w:r>
      <w:r>
        <w:rPr>
          <w:rStyle w:val="wwc-pali"/>
        </w:rPr>
        <w:t>nāmarūpa</w:t>
      </w:r>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r>
        <w:rPr>
          <w:rStyle w:val="wwc-pali"/>
        </w:rPr>
        <w:t>nāmarūpa</w:t>
      </w:r>
      <w:r>
        <w:t xml:space="preserve">, be it of the external type. On top of that, </w:t>
      </w:r>
      <w:r>
        <w:rPr>
          <w:rStyle w:val="wwc-pali"/>
        </w:rPr>
        <w:t>rūpa</w:t>
      </w:r>
      <w:r>
        <w:t xml:space="preserve"> ceases at the passing away of an enlightened being, not at the moment of enlightenment, and the same goes for feelings and perceptions, which are part of the definition of </w:t>
      </w:r>
      <w:r>
        <w:rPr>
          <w:rStyle w:val="wwc-pali"/>
        </w:rPr>
        <w:t>nāma</w:t>
      </w:r>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r>
        <w:rPr>
          <w:rStyle w:val="wwc-pali"/>
        </w:rPr>
        <w:t>nāma</w:t>
      </w:r>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t xml:space="preserve"> does not apply to external </w:t>
      </w:r>
      <w:r>
        <w:rPr>
          <w:rStyle w:val="wwc-pali"/>
        </w:rPr>
        <w:t>nāmarūpa</w:t>
      </w:r>
      <w:r>
        <w:t>.</w:t>
      </w:r>
    </w:p>
    <w:p w14:paraId="1B331128" w14:textId="77777777" w:rsidR="00FE3964" w:rsidRDefault="00000000">
      <w:pPr>
        <w:pStyle w:val="WW-paragraph"/>
        <w:numPr>
          <w:ilvl w:val="0"/>
          <w:numId w:val="2"/>
        </w:numPr>
      </w:pPr>
      <w:r>
        <w:rPr>
          <w:rStyle w:val="wwc-pali"/>
        </w:rPr>
        <w:t>Nāmarūpa</w:t>
      </w:r>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r>
        <w:rPr>
          <w:rStyle w:val="wwc-pali"/>
        </w:rPr>
        <w:t>nāmarūpa</w:t>
      </w:r>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lastRenderedPageBreak/>
        <w:t>The external objects or cognitions also do not depend on willful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r>
        <w:rPr>
          <w:rStyle w:val="wwc-pali"/>
        </w:rPr>
        <w:t>nāmarūpa</w:t>
      </w:r>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r>
        <w:rPr>
          <w:rStyle w:val="wwc-pali"/>
        </w:rPr>
        <w:t>abhinibbati</w:t>
      </w:r>
      <w:r>
        <w:t xml:space="preserve">), both of which </w:t>
      </w:r>
      <w:r>
        <w:rPr>
          <w:rStyle w:val="wwc-pali"/>
        </w:rPr>
        <w:t>nāmarūpa</w:t>
      </w:r>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r>
        <w:rPr>
          <w:rStyle w:val="wwc-pali"/>
        </w:rPr>
        <w:t>nāmarūpa</w:t>
      </w:r>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On the last point Schmithausen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r>
        <w:rPr>
          <w:rStyle w:val="wwc-pali"/>
        </w:rPr>
        <w:t>viññāṇa</w:t>
      </w:r>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t>
      </w:r>
      <w:r>
        <w:lastRenderedPageBreak/>
        <w:t>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4"/>
      </w:r>
      <w:r>
        <w:t xml:space="preserve"> I point this out just to emphasize that </w:t>
      </w:r>
      <w:r>
        <w:rPr>
          <w:rStyle w:val="wwc-pali"/>
        </w:rPr>
        <w:t>nāmarūpa</w:t>
      </w:r>
      <w:r>
        <w:t xml:space="preserve"> in the standard teachings of Dependent Arising does not refer to the objects of consciousness, since </w:t>
      </w:r>
      <w:r>
        <w:rPr>
          <w:rStyle w:val="wwc-pali"/>
        </w:rPr>
        <w:t>nāmarūpa</w:t>
      </w:r>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r>
        <w:rPr>
          <w:rStyle w:val="wwc-pali"/>
        </w:rPr>
        <w:t>nāmarūpa</w:t>
      </w:r>
      <w:r>
        <w:t xml:space="preserve">—but in the list of twelve factors it refers to the being, to the “internal” </w:t>
      </w:r>
      <w:r>
        <w:rPr>
          <w:rStyle w:val="wwc-pali"/>
        </w:rPr>
        <w:t>nāmarūpa</w:t>
      </w:r>
      <w:r>
        <w:t>.</w:t>
      </w:r>
    </w:p>
    <w:p w14:paraId="55D6A2F4" w14:textId="77777777" w:rsidR="00FE3964" w:rsidRDefault="00000000">
      <w:pPr>
        <w:pStyle w:val="WW-paragraph"/>
      </w:pPr>
      <w:r>
        <w:t xml:space="preserve">The reader may wonder why </w:t>
      </w:r>
      <w:r>
        <w:rPr>
          <w:rStyle w:val="wwc-pali"/>
        </w:rPr>
        <w:t>nāmarūpa</w:t>
      </w:r>
      <w:r>
        <w:t xml:space="preserve"> in the standard teachings is not specifically called internal, but, as discussed in </w:t>
      </w:r>
      <w:hyperlink w:anchor="chapter3">
        <w:r>
          <w:rPr>
            <w:rStyle w:val="Hyperlink"/>
          </w:rPr>
          <w:t>Chapter 3</w:t>
        </w:r>
      </w:hyperlink>
      <w:r>
        <w:t>, this is analogous to the six senses (</w:t>
      </w:r>
      <w:r>
        <w:rPr>
          <w:rStyle w:val="wwc-pali"/>
        </w:rPr>
        <w:t>saḷāyatana</w:t>
      </w:r>
      <w:r>
        <w:t xml:space="preserve">) not being called internal. In context of Dependent Arising the </w:t>
      </w:r>
      <w:r>
        <w:rPr>
          <w:rStyle w:val="wwc-pali"/>
        </w:rPr>
        <w:t>salāyatana</w:t>
      </w:r>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t xml:space="preserve"> in Dependent Arising refers to the “internal” being, not to the external objects.</w:t>
      </w:r>
    </w:p>
    <w:p w14:paraId="26363F76" w14:textId="77777777" w:rsidR="00FE3964" w:rsidRDefault="00000000">
      <w:pPr>
        <w:pStyle w:val="WW-chapter-section-1"/>
      </w:pPr>
      <w:r>
        <w:t>Sense impressions depending on internal nāmarūpa</w:t>
      </w:r>
    </w:p>
    <w:p w14:paraId="0A2D5D06" w14:textId="77777777" w:rsidR="00FE3964" w:rsidRDefault="00000000">
      <w:pPr>
        <w:pStyle w:val="WW-paragraph"/>
      </w:pPr>
      <w:r>
        <w:t xml:space="preserve">Continuing our discussion on sense impressions, the </w:t>
      </w:r>
      <w:r>
        <w:rPr>
          <w:rStyle w:val="wwc-sesame"/>
        </w:rPr>
        <w:t>Mahānidāna Sutta</w:t>
      </w:r>
      <w:r>
        <w:t xml:space="preserve"> contains a passage which multiple intelligent scholars consider to be very cryptic or even close to nonsensical. It describes a dependency of sense impressions (</w:t>
      </w:r>
      <w:r>
        <w:rPr>
          <w:rStyle w:val="wwc-pali"/>
        </w:rPr>
        <w:t>phassa</w:t>
      </w:r>
      <w:r>
        <w:t xml:space="preserve">) on </w:t>
      </w:r>
      <w:r>
        <w:rPr>
          <w:rStyle w:val="wwc-pali"/>
        </w:rPr>
        <w:t>nāmarūpa</w:t>
      </w:r>
      <w: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r>
        <w:rPr>
          <w:rStyle w:val="wwc-pali"/>
        </w:rPr>
        <w:t>adhivacana-samphassa</w:t>
      </w:r>
      <w:r>
        <w:t xml:space="preserve">) there is likely a connection with the literal meaning of </w:t>
      </w:r>
      <w:r>
        <w:rPr>
          <w:rStyle w:val="wwc-pali"/>
        </w:rPr>
        <w:t>nāma</w:t>
      </w:r>
      <w:r>
        <w:t xml:space="preserve"> of ‘name’. However, this does not mean that we should see the two as synonyms, that we should take </w:t>
      </w:r>
      <w:r>
        <w:rPr>
          <w:rStyle w:val="wwc-pali"/>
        </w:rPr>
        <w:t>nāma</w:t>
      </w:r>
      <w:r>
        <w:t xml:space="preserve"> to be identical to this designating impression. First off, </w:t>
      </w:r>
      <w:r>
        <w:rPr>
          <w:rStyle w:val="wwc-pali"/>
        </w:rPr>
        <w:t>nāma</w:t>
      </w:r>
      <w:r>
        <w:t xml:space="preserve"> is a noun, </w:t>
      </w:r>
      <w:r>
        <w:lastRenderedPageBreak/>
        <w:t>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r>
        <w:rPr>
          <w:rStyle w:val="wwc-pali"/>
        </w:rPr>
        <w:t>nāma</w:t>
      </w:r>
      <w:r>
        <w:t xml:space="preserve"> to designating impression; it only says </w:t>
      </w:r>
      <w:r>
        <w:rPr>
          <w:rStyle w:val="wwc-pali"/>
        </w:rPr>
        <w:t>nāma</w:t>
      </w:r>
      <w:r>
        <w:t xml:space="preserve"> is a necessary condition for it to occur. It does not even mention </w:t>
      </w:r>
      <w:r>
        <w:rPr>
          <w:rStyle w:val="wwc-pali"/>
        </w:rPr>
        <w:t>nāma</w:t>
      </w:r>
      <w:r>
        <w:t xml:space="preserve"> itself, but refers to it in the compound </w:t>
      </w:r>
      <w:r>
        <w:rPr>
          <w:rStyle w:val="wwc-pali"/>
        </w:rPr>
        <w:t>nāmakāya</w:t>
      </w:r>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30" w:name="bqseg109"/>
      <w:bookmarkEnd w:id="130"/>
      <w:r>
        <w:t>“Ānanda,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r>
        <w:rPr>
          <w:rStyle w:val="wwc-pali"/>
        </w:rPr>
        <w:t>nāmakāya</w:t>
      </w:r>
      <w:r>
        <w:t>), could there be designating impressions inside the collection of bodily aspects (</w:t>
      </w:r>
      <w:r>
        <w:rPr>
          <w:rStyle w:val="wwc-pali"/>
        </w:rPr>
        <w:t>rūpakāya</w:t>
      </w:r>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lastRenderedPageBreak/>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r>
        <w:rPr>
          <w:rStyle w:val="wwc-sesame"/>
        </w:rPr>
        <w:t>Mahāvedalla Sutta</w:t>
      </w:r>
      <w:r>
        <w:t xml:space="preserve"> says: “The five faculties have different fields, different domains, and they do not experience each others’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r>
        <w:rPr>
          <w:rStyle w:val="wwc-pali"/>
        </w:rPr>
        <w:t>nāma</w:t>
      </w:r>
      <w:r>
        <w:t xml:space="preserve"> and </w:t>
      </w:r>
      <w:r>
        <w:rPr>
          <w:rStyle w:val="wwc-pali"/>
        </w:rPr>
        <w:t>rūpa</w:t>
      </w:r>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r>
        <w:rPr>
          <w:rStyle w:val="wwc-pali"/>
        </w:rPr>
        <w:t>nāmakāya</w:t>
      </w:r>
      <w:r>
        <w:t xml:space="preserve"> in the early Pāli corpus, which is about the passing away of an enlightened being, when body and mind disappear.</w:t>
      </w:r>
      <w:r>
        <w:rPr>
          <w:rStyle w:val="FootnoteReference"/>
        </w:rPr>
        <w:footnoteReference w:id="454"/>
      </w:r>
      <w:r>
        <w:t xml:space="preserve"> It is also supported by the </w:t>
      </w:r>
      <w:r>
        <w:rPr>
          <w:rStyle w:val="wwc-sesame"/>
        </w:rPr>
        <w:t>Dīrgha Āgama</w:t>
      </w:r>
      <w:r>
        <w:t xml:space="preserve"> parallel to the </w:t>
      </w:r>
      <w:r>
        <w:rPr>
          <w:rStyle w:val="wwc-sesame"/>
        </w:rPr>
        <w:t>Mahānidāna Sutta</w:t>
      </w:r>
      <w:r>
        <w:t xml:space="preserve">, which overall is very similar to the Pāli version but at this specific passage is significantly different. The following translation is by Charles Patton, who translates </w:t>
      </w:r>
      <w:r>
        <w:rPr>
          <w:rStyle w:val="wwc-pali"/>
        </w:rPr>
        <w:t>phassa</w:t>
      </w:r>
      <w:r>
        <w:t xml:space="preserve"> (</w:t>
      </w:r>
      <w:r>
        <w:t>觸</w:t>
      </w:r>
      <w:r>
        <w:t>) as ‘contact’:</w:t>
      </w:r>
    </w:p>
    <w:p w14:paraId="000CC6B7" w14:textId="77777777" w:rsidR="00430CF2" w:rsidRDefault="00430CF2" w:rsidP="00430CF2">
      <w:pPr>
        <w:pStyle w:val="WW-named-section"/>
      </w:pPr>
      <w:r>
        <w:t>§110</w:t>
      </w:r>
    </w:p>
    <w:p w14:paraId="729C5F33" w14:textId="77777777" w:rsidR="00FE3964" w:rsidRDefault="00000000">
      <w:pPr>
        <w:pStyle w:val="WW-blockquote"/>
      </w:pPr>
      <w:bookmarkStart w:id="131" w:name="bqseg110"/>
      <w:bookmarkEnd w:id="131"/>
      <w:r>
        <w:lastRenderedPageBreak/>
        <w:t>“Ānanda,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“Ānanda, suppose that there were no name and form. Would there be contact?”</w:t>
      </w:r>
    </w:p>
    <w:p w14:paraId="1241CC3F" w14:textId="77777777" w:rsidR="00FE3964" w:rsidRDefault="00000000">
      <w:pPr>
        <w:pStyle w:val="WW-blockquote"/>
      </w:pPr>
      <w:r>
        <w:t>“There wouldn’t be.”</w:t>
      </w:r>
    </w:p>
    <w:p w14:paraId="01453B7F" w14:textId="77777777" w:rsidR="00FE3964" w:rsidRDefault="00000000">
      <w:pPr>
        <w:pStyle w:val="WW-blockquote"/>
      </w:pPr>
      <w:r>
        <w:t>“Ānanda,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r>
        <w:rPr>
          <w:rStyle w:val="wwc-pali"/>
        </w:rPr>
        <w:t>nāmarūpa</w:t>
      </w:r>
      <w:r>
        <w:t xml:space="preserve"> in the mother’s womb, where it clearly refers to the organism—for one, because it talks about the rebirth (</w:t>
      </w:r>
      <w:r>
        <w:rPr>
          <w:rStyle w:val="wwc-pali"/>
        </w:rPr>
        <w:t>abhinibbati</w:t>
      </w:r>
      <w:r>
        <w:t xml:space="preserve">) of </w:t>
      </w:r>
      <w:r>
        <w:rPr>
          <w:rStyle w:val="wwc-pali"/>
        </w:rPr>
        <w:t>nāmarūpa</w:t>
      </w:r>
      <w:r>
        <w:t xml:space="preserve">. Since there is no indication that the meaning of </w:t>
      </w:r>
      <w:r>
        <w:rPr>
          <w:rStyle w:val="wwc-pali"/>
        </w:rPr>
        <w:t>nāmarūpa</w:t>
      </w:r>
      <w:r>
        <w:t xml:space="preserve"> shifts between these two passages, we can conclude that in both cases it refers to the being.</w:t>
      </w:r>
    </w:p>
    <w:p w14:paraId="0916D3B4" w14:textId="77777777" w:rsidR="00FE3964" w:rsidRDefault="00000000">
      <w:pPr>
        <w:pStyle w:val="WW-paragraph"/>
      </w:pPr>
      <w:r>
        <w:t xml:space="preserve">But even though </w:t>
      </w:r>
      <w:r>
        <w:rPr>
          <w:rStyle w:val="wwc-pali"/>
        </w:rPr>
        <w:t>nāmarūpa</w:t>
      </w:r>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r>
        <w:rPr>
          <w:rStyle w:val="wwc-pali"/>
        </w:rPr>
        <w:t>nāmarūpa</w:t>
      </w:r>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favoring this view also tend to emphasize the previous passage on </w:t>
      </w:r>
      <w:r>
        <w:rPr>
          <w:rStyle w:val="wwc-pali"/>
        </w:rPr>
        <w:t>nāmarūpa</w:t>
      </w:r>
      <w:r>
        <w:t xml:space="preserve"> and </w:t>
      </w:r>
      <w:r>
        <w:rPr>
          <w:rStyle w:val="Strong"/>
        </w:rPr>
        <w:t>sense impressions</w:t>
      </w:r>
      <w:r>
        <w:t xml:space="preserve">, using it to interpret the dependency between </w:t>
      </w:r>
      <w:r>
        <w:rPr>
          <w:rStyle w:val="wwc-pali"/>
        </w:rPr>
        <w:t>nāmarūpa</w:t>
      </w:r>
      <w:r>
        <w:t xml:space="preserve"> and </w:t>
      </w:r>
      <w:r>
        <w:rPr>
          <w:rStyle w:val="Strong"/>
        </w:rPr>
        <w:t>consciousness</w:t>
      </w:r>
      <w:r>
        <w:t xml:space="preserve">. </w:t>
      </w:r>
      <w:r>
        <w:lastRenderedPageBreak/>
        <w:t xml:space="preserve">They sideline the one passage that actually describes the dependency between </w:t>
      </w:r>
      <w:r>
        <w:rPr>
          <w:rStyle w:val="wwc-pali"/>
        </w:rPr>
        <w:t>nāmarūpa</w:t>
      </w:r>
      <w: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t>.</w:t>
      </w:r>
      <w:r>
        <w:rPr>
          <w:rStyle w:val="FootnoteReference"/>
        </w:rPr>
        <w:footnoteReference w:id="458"/>
      </w:r>
    </w:p>
    <w:p w14:paraId="48112374" w14:textId="77777777" w:rsidR="00FE3964" w:rsidRDefault="00000000">
      <w:pPr>
        <w:pStyle w:val="WW-paragraph"/>
      </w:pPr>
      <w:r>
        <w:t xml:space="preserve">On top of this, in all four Chinese parallels of the </w:t>
      </w:r>
      <w:r>
        <w:rPr>
          <w:rStyle w:val="wwc-sesame"/>
        </w:rPr>
        <w:t>Mahānidāna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r>
        <w:rPr>
          <w:rStyle w:val="wwc-pali"/>
        </w:rPr>
        <w:t>nāmarūpa</w:t>
      </w:r>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r>
        <w:rPr>
          <w:rStyle w:val="wwc-pali"/>
        </w:rPr>
        <w:t>nāmarūpa</w:t>
      </w:r>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r>
        <w:rPr>
          <w:rStyle w:val="wwc-pali"/>
        </w:rPr>
        <w:t>sabba</w:t>
      </w:r>
      <w:r>
        <w:t>):</w:t>
      </w:r>
    </w:p>
    <w:p w14:paraId="1E7CE6D2" w14:textId="77777777" w:rsidR="00FE3964" w:rsidRDefault="00000000">
      <w:pPr>
        <w:pStyle w:val="WW-named-section"/>
      </w:pPr>
      <w:r>
        <w:t>§111</w:t>
      </w:r>
    </w:p>
    <w:p w14:paraId="38AFB7D1" w14:textId="77777777" w:rsidR="00FE3964" w:rsidRDefault="00000000">
      <w:pPr>
        <w:pStyle w:val="WW-blockquote"/>
      </w:pPr>
      <w:bookmarkStart w:id="132" w:name="bqseg111"/>
      <w:bookmarkEnd w:id="132"/>
      <w:r>
        <w:t>And what is all? The sense of sight and sights, the sense of hearing and sounds, the sense of smell and smells, the sense of taste and flavors, the sense of touch and tangibles, the mind and mental phenomena. That is what’s called all.</w:t>
      </w:r>
    </w:p>
    <w:p w14:paraId="482BA93D" w14:textId="77777777" w:rsidR="00FE3964" w:rsidRDefault="00000000">
      <w:pPr>
        <w:pStyle w:val="WW-blockquote"/>
      </w:pPr>
      <w:r>
        <w:lastRenderedPageBreak/>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r>
        <w:rPr>
          <w:rStyle w:val="wwc-sesame"/>
        </w:rPr>
        <w:t>Upaniṣadic</w:t>
      </w:r>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3" w:name="bqseg112"/>
      <w:bookmarkEnd w:id="133"/>
      <w: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Another exchange between Koṭṭhita and Sāriputta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4" w:name="bqseg113"/>
      <w:bookmarkEnd w:id="134"/>
      <w:r>
        <w:t>Once Venerable Koṭṭhika the Great […] asked: “Venerable, after the six senses completely fade away and cease, does something else still exist?”</w:t>
      </w:r>
    </w:p>
    <w:p w14:paraId="57347E11" w14:textId="77777777" w:rsidR="00FE3964" w:rsidRDefault="00000000">
      <w:pPr>
        <w:pStyle w:val="WW-blockquote"/>
      </w:pPr>
      <w:r>
        <w:t>[Sāriputta:] “Don’t say so, venerable.”</w:t>
      </w:r>
      <w:r>
        <w:rPr>
          <w:rStyle w:val="FootnoteReference"/>
        </w:rPr>
        <w:footnoteReference w:id="467"/>
      </w:r>
    </w:p>
    <w:p w14:paraId="13D5366F" w14:textId="77777777" w:rsidR="00FE3964" w:rsidRDefault="00000000">
      <w:pPr>
        <w:pStyle w:val="WW-blockquote"/>
      </w:pPr>
      <w:r>
        <w:lastRenderedPageBreak/>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r>
        <w:t xml:space="preserve">Koṭṭhika then asks why Sāriputta replied the way he did. Sāriputta explains that each statement elaborates (or ‘proliferates’, </w:t>
      </w:r>
      <w:r>
        <w:rPr>
          <w:rStyle w:val="wwc-pali"/>
        </w:rPr>
        <w:t>papañceti</w:t>
      </w:r>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5" w:name="bqseg114"/>
      <w:bookmarkEnd w:id="135"/>
      <w:r>
        <w:lastRenderedPageBreak/>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Paṭiccasamuppāda </w:t>
      </w:r>
      <w:r w:rsidRPr="00A613D5">
        <w:rPr>
          <w:rStyle w:val="wwc-sesame"/>
        </w:rPr>
        <w:t>Vibhaṅga</w:t>
      </w:r>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r>
        <w:rPr>
          <w:rStyle w:val="wwc-pali"/>
        </w:rPr>
        <w:t>patiṭṭhita</w:t>
      </w:r>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r>
        <w:rPr>
          <w:rStyle w:val="wwc-pali"/>
        </w:rPr>
        <w:t>patiṭṭhita</w:t>
      </w:r>
      <w:r>
        <w:t>.</w:t>
      </w:r>
    </w:p>
    <w:p w14:paraId="360BE3B7" w14:textId="77777777" w:rsidR="00FE3964" w:rsidRDefault="00000000">
      <w:pPr>
        <w:pStyle w:val="WW-paragraph"/>
        <w:numPr>
          <w:ilvl w:val="0"/>
          <w:numId w:val="17"/>
        </w:numPr>
      </w:pPr>
      <w:r>
        <w:lastRenderedPageBreak/>
        <w:t xml:space="preserve">The dependency between consciousness and </w:t>
      </w:r>
      <w:r>
        <w:rPr>
          <w:rStyle w:val="wwc-pali"/>
        </w:rPr>
        <w:t>nāmarūpa</w:t>
      </w:r>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t>, so I will leave most of the practical applications to speak for themselves.</w:t>
      </w:r>
    </w:p>
    <w:p w14:paraId="566BD28C" w14:textId="77777777" w:rsidR="00FE3964" w:rsidRDefault="00000000">
      <w:pPr>
        <w:pStyle w:val="WW-paragraph"/>
      </w:pPr>
      <w: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6" w:name="bqseg115"/>
      <w:bookmarkEnd w:id="136"/>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Mun-keat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r w:rsidRPr="00484A4A">
        <w:rPr>
          <w:rStyle w:val="wwc-sesame"/>
        </w:rPr>
        <w:t>Nidāna Saṁyutta</w:t>
      </w:r>
      <w:r>
        <w:t xml:space="preserve">. As Choong Mun-keat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willful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Nikāyas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7" w:name="bqseg116"/>
      <w:bookmarkEnd w:id="137"/>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t xml:space="preserve"> and the commentaries argue against the existence of an </w:t>
      </w:r>
      <w:r>
        <w:rPr>
          <w:rStyle w:val="wwc-pali"/>
        </w:rPr>
        <w:t>antarabhava</w:t>
      </w:r>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9" w:name="bqseg117"/>
      <w:bookmarkEnd w:id="139"/>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r>
        <w:rPr>
          <w:rStyle w:val="wwc-sesame"/>
        </w:rPr>
        <w:t>Saṁyutta Nikāya</w:t>
      </w:r>
      <w:r>
        <w:t xml:space="preserve"> omits the simile of the seed but otherwise is nearly identical. It starts with this ‘attraction’ (</w:t>
      </w:r>
      <w:r>
        <w:rPr>
          <w:rStyle w:val="wwc-pali"/>
        </w:rPr>
        <w:t>upaya</w:t>
      </w:r>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40" w:name="bqseg118"/>
      <w:bookmarkEnd w:id="140"/>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To not willfully create anything refers to the absence of willful actions (</w:t>
      </w:r>
      <w:r>
        <w:rPr>
          <w:rStyle w:val="wwc-pali"/>
        </w:rPr>
        <w:t>saṅkhāras</w:t>
      </w:r>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14:paraId="7F805187" w14:textId="77777777" w:rsidR="00FE3964" w:rsidRDefault="00000000">
      <w:pPr>
        <w:pStyle w:val="WW-chapter-section-1"/>
      </w:pPr>
      <w:r>
        <w:t>No willful actions, no taking up</w:t>
      </w:r>
    </w:p>
    <w:p w14:paraId="78C4AED6" w14:textId="77777777" w:rsidR="00FE3964" w:rsidRDefault="00000000">
      <w:pPr>
        <w:pStyle w:val="WW-paragraph"/>
      </w:pPr>
      <w: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14:paraId="2C743F41" w14:textId="77777777" w:rsidR="00FE3964" w:rsidRDefault="00000000">
      <w:pPr>
        <w:pStyle w:val="WW-named-section"/>
      </w:pPr>
      <w:r>
        <w:t>§119</w:t>
      </w:r>
    </w:p>
    <w:p w14:paraId="02AB6FAB" w14:textId="197D05DE" w:rsidR="00FE3964" w:rsidRDefault="00000000">
      <w:pPr>
        <w:pStyle w:val="WW-blockquote"/>
      </w:pPr>
      <w:bookmarkStart w:id="141" w:name="bqseg119"/>
      <w:bookmarkEnd w:id="141"/>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sidR="00464EA1">
        <w:t>ife is finished, that the work is done, that rebirth has ended, so there won’t be another life.</w:t>
      </w:r>
      <w:r>
        <w:rPr>
          <w:rStyle w:val="FootnoteReference"/>
        </w:rPr>
        <w:footnoteReference w:id="484"/>
      </w:r>
    </w:p>
    <w:p w14:paraId="05E79870" w14:textId="77777777" w:rsidR="00FE3964" w:rsidRDefault="00000000">
      <w:pPr>
        <w:pStyle w:val="WW-paragraph"/>
      </w:pPr>
      <w:r>
        <w:lastRenderedPageBreak/>
        <w:t>The next passage makes a direct connection between willful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2" w:name="bqseg120"/>
      <w:bookmarkEnd w:id="142"/>
      <w: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“What do you think, mendicants? If you have no more defilements, can you still perform meritorious, demeritorious, or undisturbable willful actions?”</w:t>
      </w:r>
    </w:p>
    <w:p w14:paraId="6A046B16" w14:textId="77777777" w:rsidR="00FE3964" w:rsidRDefault="00000000">
      <w:pPr>
        <w:pStyle w:val="WW-blockquote"/>
      </w:pPr>
      <w:r>
        <w:t>“No, sir.”</w:t>
      </w:r>
    </w:p>
    <w:p w14:paraId="468D08BA" w14:textId="77777777" w:rsidR="00FE3964" w:rsidRDefault="00000000">
      <w:pPr>
        <w:pStyle w:val="WW-blockquote"/>
      </w:pPr>
      <w:r>
        <w:t>“If willful actions cease, if there are no more willful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4565652E" w:rsidR="00FE3964" w:rsidRDefault="00000000">
      <w:pPr>
        <w:pStyle w:val="WW-table-caption"/>
      </w:pPr>
      <w:r>
        <w:t>{Simple}Table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2. No willful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No willful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4. No nāmarūpa</w:t>
            </w:r>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No nāmarūpa</w:t>
            </w:r>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t>] in a new psychophysical personality [</w:t>
      </w:r>
      <w:r>
        <w:rPr>
          <w:rStyle w:val="wwc-pali"/>
        </w:rPr>
        <w:t>nāmarūpa</w:t>
      </w:r>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7DE26E2F">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3" w:name="chapter11"/>
      <w:bookmarkEnd w:id="143"/>
      <w:r>
        <w:lastRenderedPageBreak/>
        <w:t>11. A fading beam of light</w:t>
      </w:r>
    </w:p>
    <w:p w14:paraId="2FF1E704" w14:textId="77777777" w:rsidR="00FE3964" w:rsidRDefault="00000000">
      <w:pPr>
        <w:pStyle w:val="WW-chapter-section-1"/>
      </w:pPr>
      <w:r>
        <w:t>Appatiṭṭhita viññāṇa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4" w:name="bqseg121"/>
      <w:bookmarkEnd w:id="144"/>
      <w:r>
        <w:t>“Mendicants, imagine a house or a hall with windows facing the north, south, and east. When the sun rises and a beam of light enters through a window, where would that beam plant down (</w:t>
      </w:r>
      <w:r>
        <w:rPr>
          <w:rStyle w:val="wwc-pali"/>
        </w:rPr>
        <w:t>patiṭṭhita</w:t>
      </w:r>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r>
        <w:rPr>
          <w:rStyle w:val="wwc-pali"/>
        </w:rPr>
        <w:t>appatiṭṭhita</w:t>
      </w:r>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r>
        <w:rPr>
          <w:rStyle w:val="wwc-pali"/>
        </w:rPr>
        <w:t>appatiṭṭhita</w:t>
      </w:r>
      <w: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5" w:name="bqseg122"/>
      <w:bookmarkEnd w:id="145"/>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6" w:name="bqseg123"/>
      <w:bookmarkEnd w:id="146"/>
      <w: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r>
        <w:rPr>
          <w:rStyle w:val="wwc-pali"/>
        </w:rPr>
        <w:t>appatiṭṭhita viññāṇa</w:t>
      </w:r>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r>
        <w:rPr>
          <w:rStyle w:val="wwc-pali"/>
        </w:rPr>
        <w:t>appatiṭṭhita viññāṇa</w:t>
      </w:r>
      <w: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t xml:space="preserve">, ‘there is </w:t>
      </w:r>
      <w:r>
        <w:rPr>
          <w:rStyle w:val="Emphasis"/>
        </w:rPr>
        <w:t>no</w:t>
      </w:r>
      <w:r>
        <w:t xml:space="preserve"> planting of consciousness’. Therefore, </w:t>
      </w:r>
      <w:r>
        <w:rPr>
          <w:rStyle w:val="wwc-pali"/>
        </w:rPr>
        <w:t>appatiṭṭhita viññāṇa</w:t>
      </w:r>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r>
        <w:rPr>
          <w:rStyle w:val="wwc-pali"/>
        </w:rPr>
        <w:t>appatiṭṭhita</w:t>
      </w:r>
      <w:r>
        <w:t xml:space="preserve"> indicates what </w:t>
      </w:r>
      <w:r>
        <w:rPr>
          <w:rStyle w:val="Emphasis"/>
        </w:rPr>
        <w:t>happens</w:t>
      </w:r>
      <w:r>
        <w:t xml:space="preserve"> to consciousness. Semantically the word </w:t>
      </w:r>
      <w:r>
        <w:rPr>
          <w:rStyle w:val="wwc-pali"/>
        </w:rPr>
        <w:t>appatiṭṭhita</w:t>
      </w:r>
      <w:r>
        <w:t>, which is a past participle, functions as a verb rather than an adjective. Venerable Anālayo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r>
        <w:rPr>
          <w:rStyle w:val="wwc-pali"/>
        </w:rPr>
        <w:lastRenderedPageBreak/>
        <w:t>Appatiṭṭhita viññāṇa</w:t>
      </w:r>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r>
        <w:rPr>
          <w:rStyle w:val="wwc-pali"/>
        </w:rPr>
        <w:t>parinibbāna</w:t>
      </w:r>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r>
        <w:rPr>
          <w:rStyle w:val="wwc-pali"/>
        </w:rPr>
        <w:t>appatiṭṭhita viññāṇa</w:t>
      </w:r>
      <w:r>
        <w:t xml:space="preserve"> and the cessation of consciousness becomes particularly apparent when comparing the above three passages, as in the next table.</w:t>
      </w:r>
    </w:p>
    <w:p w14:paraId="77B9838E" w14:textId="57B8AF9B" w:rsidR="00FE3964" w:rsidRDefault="00000000">
      <w:pPr>
        <w:pStyle w:val="WW-table-caption"/>
      </w:pPr>
      <w:r>
        <w:t>{Simple}Table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2. No willful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4. No nāmarūpa</w:t>
            </w:r>
          </w:p>
        </w:tc>
        <w:tc>
          <w:tcPr>
            <w:tcW w:w="2919" w:type="dxa"/>
          </w:tcPr>
          <w:p w14:paraId="47928975" w14:textId="77777777" w:rsidR="00FE3964" w:rsidRDefault="00000000" w:rsidP="00803136">
            <w:pPr>
              <w:pStyle w:val="WW-paragraph"/>
            </w:pPr>
            <w:r>
              <w:t>• Not planting consciousness</w:t>
            </w:r>
            <w:r>
              <w:br/>
              <w:t>• No conception of nāmarūpa</w:t>
            </w:r>
          </w:p>
        </w:tc>
        <w:tc>
          <w:tcPr>
            <w:tcW w:w="2966" w:type="dxa"/>
          </w:tcPr>
          <w:p w14:paraId="5BB01E5A" w14:textId="77777777" w:rsidR="00FE3964" w:rsidRDefault="00000000" w:rsidP="00803136">
            <w:pPr>
              <w:pStyle w:val="WW-paragraph"/>
            </w:pPr>
            <w:r>
              <w:t>• Not planting consciousness</w:t>
            </w:r>
            <w:r>
              <w:br/>
              <w:t>• No conception of nāmarūpa</w:t>
            </w:r>
            <w:r>
              <w:br/>
              <w:t>• No willful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6. No sense impr.</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t xml:space="preserve"> implies.</w:t>
      </w:r>
    </w:p>
    <w:p w14:paraId="502E80DA" w14:textId="77777777" w:rsidR="00FE3964" w:rsidRDefault="00000000">
      <w:pPr>
        <w:pStyle w:val="WW-chapter-section-1"/>
      </w:pPr>
      <w:r>
        <w:t>Interpreting the simile of the light beam</w:t>
      </w:r>
    </w:p>
    <w:p w14:paraId="23120B08" w14:textId="77777777" w:rsidR="00FE3964" w:rsidRDefault="00000000">
      <w:pPr>
        <w:pStyle w:val="WW-paragraph"/>
      </w:pPr>
      <w:r>
        <w:t xml:space="preserve">But we can wonder, if </w:t>
      </w:r>
      <w:r>
        <w:rPr>
          <w:rStyle w:val="wwc-pali"/>
        </w:rPr>
        <w:t>appatiṭṭhita viññāṇa</w:t>
      </w:r>
      <w:r>
        <w:t xml:space="preserve"> refers to the cessation of consciousness, how does this fit the simile of the light beam? To start answering that question, let’s recall the metaphor of the </w:t>
      </w:r>
      <w:r>
        <w:lastRenderedPageBreak/>
        <w:t xml:space="preserve">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7" w:name="bqseg124"/>
      <w:bookmarkEnd w:id="147"/>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drawing>
          <wp:inline distT="0" distB="0" distL="0" distR="0" wp14:anchorId="1D11AD84" wp14:editId="4322A560">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49915950">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 xml:space="preserve">It would be wrong to assume the Buddha intended the beam of light, and therefore consciousness, to continue forever. As Langer criticized Harvey, this is “over-interpreting the simile of the sun </w:t>
      </w:r>
      <w:r>
        <w:lastRenderedPageBreak/>
        <w:t>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r>
        <w:rPr>
          <w:rStyle w:val="wwc-sesame"/>
        </w:rPr>
        <w:t>Saṁyukta Āgama</w:t>
      </w:r>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drawing>
          <wp:inline distT="0" distB="0" distL="0" distR="0" wp14:anchorId="25F0C44A" wp14:editId="2AC5E8EF">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508C951">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r>
        <w:rPr>
          <w:rStyle w:val="wwc-pali"/>
        </w:rPr>
        <w:t>parinibbāna</w:t>
      </w:r>
      <w:r>
        <w:t xml:space="preserve">, still suggest </w:t>
      </w:r>
      <w:r>
        <w:rPr>
          <w:rStyle w:val="wwc-pali"/>
        </w:rPr>
        <w:t>appatiṭṭhita viññāṇa</w:t>
      </w:r>
      <w:r>
        <w:t xml:space="preserve"> could be some sort of unestablished consciousness of </w:t>
      </w:r>
      <w:r>
        <w:rPr>
          <w:rStyle w:val="Emphasis"/>
        </w:rPr>
        <w:t>living</w:t>
      </w:r>
      <w:r>
        <w:t xml:space="preserve"> enlightened </w:t>
      </w:r>
      <w:r>
        <w:lastRenderedPageBreak/>
        <w:t>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t xml:space="preserve">). As Langer explains: “The </w:t>
      </w:r>
      <w:r>
        <w:rPr>
          <w:rStyle w:val="wwc-pali"/>
        </w:rPr>
        <w:t>viññāṇa</w:t>
      </w:r>
      <w:r>
        <w:t xml:space="preserve"> of an arahant is still </w:t>
      </w:r>
      <w:r>
        <w:rPr>
          <w:rStyle w:val="wwc-pali"/>
        </w:rPr>
        <w:t>patiṭṭha</w:t>
      </w:r>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t xml:space="preserve">. As explained, the non-establishment of consciousness refers to its cessation, and this only happens when the enlightened one passes away. </w:t>
      </w:r>
      <w:r>
        <w:rPr>
          <w:rStyle w:val="wwc-pali"/>
        </w:rPr>
        <w:t>Appatiṭṭhita viññāṇa</w:t>
      </w:r>
      <w:r>
        <w:t xml:space="preserve"> specifically implies the cessation of existence, not an undetached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defense, Langer relies largely on the </w:t>
      </w:r>
      <w:r w:rsidRPr="00A8736A">
        <w:rPr>
          <w:rStyle w:val="wwc-sesame"/>
        </w:rPr>
        <w:t>Seeds Discourse</w:t>
      </w:r>
      <w:r>
        <w:t xml:space="preserv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lastRenderedPageBreak/>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9" w:name="bqseg125"/>
      <w:bookmarkEnd w:id="149"/>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50" w:name="bqseg126"/>
      <w:bookmarkEnd w:id="150"/>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lastRenderedPageBreak/>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51" w:name="bqseg127"/>
      <w:bookmarkEnd w:id="151"/>
      <w:r>
        <w:t>[Moḷiyaphagguna:]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 xml:space="preserve">Certain interpretations of Dependent Arising also suggest that ignorance creates a certain duality between subject and object. This duality is said to disappear at enlightenment, quite similar if not </w:t>
      </w:r>
      <w:r>
        <w:lastRenderedPageBreak/>
        <w:t>identical to the teachings of Advaita (‘nondual’) Vedanta.</w:t>
      </w:r>
      <w:r>
        <w:rPr>
          <w:rStyle w:val="FootnoteReference"/>
        </w:rPr>
        <w:footnoteReference w:id="513"/>
      </w:r>
      <w:r>
        <w:t xml:space="preserve"> Venerable Anālayo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2" w:name="bqseg128"/>
      <w:bookmarkEnd w:id="152"/>
      <w: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w:t>
      </w:r>
      <w:r>
        <w:lastRenderedPageBreak/>
        <w:t>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3" w:name="bqseg129"/>
      <w:bookmarkEnd w:id="153"/>
      <w:r>
        <w:t xml:space="preserve">Any kind of form … sensation … perception … will … consciousness in terms of which you might declare there to be </w:t>
      </w:r>
      <w:r>
        <w:rPr>
          <w:rStyle w:val="Emphasis"/>
        </w:rPr>
        <w:t>a truth</w:t>
      </w:r>
      <w:r>
        <w:rPr>
          <w:rStyle w:val="Emphasis"/>
        </w:rPr>
        <w:softHyphen/>
        <w:t>finder</w:t>
      </w:r>
      <w:r>
        <w:t>, truth</w:t>
      </w:r>
      <w:r>
        <w:softHyphen/>
        <w:t>finders have let go of. They cut it off at its roots, made it like a palm stump, put an end to it, so that it will not rearise in the future. Truth</w:t>
      </w:r>
      <w:r>
        <w:softHyphen/>
        <w:t>finders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The passage is a bit cryptic. Notice first that the Buddha says truth</w:t>
      </w:r>
      <w:r>
        <w:softHyphen/>
        <w:t xml:space="preserve">finders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r>
        <w:rPr>
          <w:rStyle w:val="Emphasis"/>
        </w:rPr>
        <w:t>truth</w:t>
      </w:r>
      <w:r>
        <w:rPr>
          <w:rStyle w:val="Emphasis"/>
        </w:rPr>
        <w:softHyphen/>
        <w:t>finder</w:t>
      </w:r>
      <w:r>
        <w:t xml:space="preserve"> in terms of consciousness, that there is </w:t>
      </w:r>
      <w:r>
        <w:rPr>
          <w:rStyle w:val="Emphasis"/>
        </w:rPr>
        <w:t>a truth</w:t>
      </w:r>
      <w:r>
        <w:rPr>
          <w:rStyle w:val="Emphasis"/>
        </w:rPr>
        <w:softHyphen/>
        <w:t>finder</w:t>
      </w:r>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‘truth</w:t>
      </w:r>
      <w:r>
        <w:softHyphen/>
        <w:t>finder’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truth</w:t>
      </w:r>
      <w:r>
        <w:softHyphen/>
        <w:t>finders are like an ocean, it doesn’t mean that truth</w:t>
      </w:r>
      <w:r>
        <w:softHyphen/>
        <w:t>finders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“truth</w:t>
      </w:r>
      <w:r>
        <w:softHyphen/>
        <w:t xml:space="preserve">finders” drop all attachment to it. The cessation of consciousness will be perceived as a higher peace, with consciousness considered to be suffering in comparison. With this insight, consciousness will not be </w:t>
      </w:r>
      <w:r>
        <w:lastRenderedPageBreak/>
        <w:t>planted (</w:t>
      </w:r>
      <w:r>
        <w:rPr>
          <w:rStyle w:val="wwc-pali"/>
        </w:rPr>
        <w:t>appatiṭṭhita viññāṇa</w:t>
      </w:r>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4" w:name="chapter12"/>
      <w:bookmarkEnd w:id="154"/>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r>
        <w:rPr>
          <w:rStyle w:val="wwc-pali"/>
        </w:rPr>
        <w:t>appatiṭṭhita viññāṇa</w:t>
      </w:r>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r>
        <w:t>Godhika’s passing away</w:t>
      </w:r>
    </w:p>
    <w:p w14:paraId="710F7C69" w14:textId="77777777" w:rsidR="00FE3964" w:rsidRDefault="00000000">
      <w:pPr>
        <w:pStyle w:val="WW-paragraph"/>
      </w:pPr>
      <w: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5" w:name="bqseg130"/>
      <w:bookmarkEnd w:id="155"/>
      <w:r>
        <w:t>That is Māra the Evil One seeking for Godhika’s consciousness, wondering: ‘Where is Godhika’s consciousness planted?’ But with no consciousness planted anywhere, Godhika was fully extinguished.</w:t>
      </w:r>
    </w:p>
    <w:p w14:paraId="18DA18FA" w14:textId="77777777" w:rsidR="00FE3964" w:rsidRDefault="00000000">
      <w:pPr>
        <w:pStyle w:val="WW-paragraph"/>
      </w:pPr>
      <w:r>
        <w:t>Māra then says:</w:t>
      </w:r>
    </w:p>
    <w:p w14:paraId="01FD0092" w14:textId="77777777" w:rsidR="00FE3964" w:rsidRDefault="00000000">
      <w:pPr>
        <w:pStyle w:val="WW-line-block"/>
      </w:pPr>
      <w:r>
        <w:t>I searched above, below, and across,</w:t>
      </w:r>
      <w:r>
        <w:br/>
        <w:t>in the four quarters and in between,</w:t>
      </w:r>
      <w:r>
        <w:br/>
        <w:t>but could not find</w:t>
      </w:r>
      <w:r>
        <w:br/>
        <w:t>where Godhika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t>Godhika got fully extinguished.</w:t>
      </w:r>
      <w:r>
        <w:rPr>
          <w:rStyle w:val="FootnoteReference"/>
        </w:rPr>
        <w:footnoteReference w:id="521"/>
      </w:r>
    </w:p>
    <w:p w14:paraId="39FBB001" w14:textId="77777777" w:rsidR="00FE3964" w:rsidRDefault="00000000">
      <w:pPr>
        <w:pStyle w:val="WW-paragraph"/>
      </w:pPr>
      <w:r>
        <w:t>Mortality (</w:t>
      </w:r>
      <w:r>
        <w:rPr>
          <w:rStyle w:val="wwc-pali"/>
        </w:rPr>
        <w:t>maccu</w:t>
      </w:r>
      <w:r>
        <w:t>) is another name for Māra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Māra representing Godhika’s escape </w:t>
      </w:r>
      <w:r>
        <w:lastRenderedPageBreak/>
        <w:t>from death. I am also skeptical of highly developed beings committing suicide, but for the sake of discussion I will treat the discourse literally from hereon.</w:t>
      </w:r>
    </w:p>
    <w:p w14:paraId="079BFC32" w14:textId="77777777" w:rsidR="00FE3964" w:rsidRDefault="00000000">
      <w:pPr>
        <w:pStyle w:val="WW-paragraph"/>
      </w:pPr>
      <w:r>
        <w:t xml:space="preserve">Notice that Māra says he searched for where </w:t>
      </w:r>
      <w:r>
        <w:rPr>
          <w:rStyle w:val="Emphasis"/>
        </w:rPr>
        <w:t>Godhika had gone</w:t>
      </w:r>
      <w:r>
        <w:t xml:space="preserve"> and the Buddha says Māra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r>
        <w:rPr>
          <w:rStyle w:val="wwc-pali"/>
        </w:rPr>
        <w:t>appatiṭṭha viññāṇa</w:t>
      </w:r>
      <w: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t>). This idea is accordingly translated as “where his consciousness was reborn” (</w:t>
      </w:r>
      <w:r>
        <w:t>識神當生何處</w:t>
      </w:r>
      <w:r>
        <w:t xml:space="preserve">) in a </w:t>
      </w:r>
      <w:r>
        <w:rPr>
          <w:rStyle w:val="wwc-sesame"/>
        </w:rPr>
        <w:t>Saṁyukta Āgama</w:t>
      </w:r>
      <w:r>
        <w:t xml:space="preserve"> parallel to the </w:t>
      </w:r>
      <w:r>
        <w:rPr>
          <w:rStyle w:val="wwc-sesame"/>
        </w:rPr>
        <w:t>Vakkali Sutta</w:t>
      </w:r>
      <w:r>
        <w:t>, a text about a monk named Vakkali with a very similar storyline.</w:t>
      </w:r>
      <w:r>
        <w:rPr>
          <w:rStyle w:val="FootnoteReference"/>
        </w:rPr>
        <w:footnoteReference w:id="523"/>
      </w:r>
      <w:r>
        <w:t xml:space="preserve"> In an </w:t>
      </w:r>
      <w:r>
        <w:rPr>
          <w:rStyle w:val="wwc-sesame"/>
        </w:rPr>
        <w:t>Ekottarika</w:t>
      </w:r>
      <w:r>
        <w:t xml:space="preserve"> parallel, Māra wonders where Vakkali’s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Māra kept looking for Godhika.</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6" w:name="bqseg131"/>
      <w:bookmarkEnd w:id="156"/>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Māra could not find Godhika’s consciousness is that, as the Buddha states, Godhika got fully extinguished. This refers to </w:t>
      </w:r>
      <w:r>
        <w:rPr>
          <w:rStyle w:val="wwc-pali"/>
        </w:rPr>
        <w:t>parinibbāna</w:t>
      </w:r>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7" w:name="bqseg132"/>
      <w:bookmarkEnd w:id="157"/>
      <w:r>
        <w:t>Suffering depends on consciousness.</w:t>
      </w:r>
      <w:r>
        <w:br/>
        <w:t>After you know this problem,</w:t>
      </w:r>
      <w:r>
        <w:br/>
        <w:t>being hungerless,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r>
        <w:rPr>
          <w:rStyle w:val="wwc-sesame"/>
        </w:rPr>
        <w:t>Saṁyukta Āgama</w:t>
      </w:r>
      <w:r>
        <w:t xml:space="preserve"> parallel to the </w:t>
      </w:r>
      <w:r>
        <w:rPr>
          <w:rStyle w:val="wwc-sesame"/>
        </w:rPr>
        <w:t>Godhika Sutta</w:t>
      </w:r>
      <w:r>
        <w:t xml:space="preserve"> verifies this understanding. It says Godhika attained </w:t>
      </w:r>
      <w:r>
        <w:rPr>
          <w:rStyle w:val="wwc-pali"/>
        </w:rPr>
        <w:t>nirvāṇa</w:t>
      </w:r>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r>
        <w:rPr>
          <w:rStyle w:val="wwc-pali"/>
        </w:rPr>
        <w:t>appatiṭṭhita</w:t>
      </w:r>
      <w:r>
        <w:t xml:space="preserve"> and might even be a translation of its Sanskrit equivalent. So to conclude this brief analysis of the </w:t>
      </w:r>
      <w:r>
        <w:rPr>
          <w:rStyle w:val="wwc-sesame"/>
        </w:rPr>
        <w:t>Godhika Sutta</w:t>
      </w:r>
      <w:r>
        <w:t xml:space="preserve">: the Āgama parallels interpret </w:t>
      </w:r>
      <w:r>
        <w:rPr>
          <w:rStyle w:val="wwc-pali"/>
        </w:rPr>
        <w:t>appatiṭṭhita viññāṇa</w:t>
      </w:r>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Why the gods can’t find a Tathāgata</w:t>
      </w:r>
    </w:p>
    <w:p w14:paraId="20028292" w14:textId="77777777" w:rsidR="00FE3964" w:rsidRDefault="00000000">
      <w:pPr>
        <w:pStyle w:val="WW-paragraph"/>
      </w:pPr>
      <w:r>
        <w:t xml:space="preserve">Māra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doing the same, failing to find a truth</w:t>
      </w:r>
      <w:r>
        <w:softHyphen/>
        <w:t>finder. In this context ‘truth</w:t>
      </w:r>
      <w:r>
        <w:softHyphen/>
        <w:t>finder’ (</w:t>
      </w:r>
      <w:r>
        <w:rPr>
          <w:rStyle w:val="wwc-pali"/>
        </w:rPr>
        <w:t>tathāgata</w:t>
      </w:r>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8" w:name="bqseg133"/>
      <w:bookmarkEnd w:id="158"/>
      <w:r>
        <w:lastRenderedPageBreak/>
        <w:t>When the gods including Indra, Brahmā, and Pajāpati seek for a mendicant who had such a liberated mind, wondering what that truth</w:t>
      </w:r>
      <w:r>
        <w:softHyphen/>
        <w:t xml:space="preserve">finder’s consciousness is supported by, they will not find it. Why? Even while alive there is no </w:t>
      </w:r>
      <w:r>
        <w:rPr>
          <w:rStyle w:val="Emphasis"/>
        </w:rPr>
        <w:t>truth</w:t>
      </w:r>
      <w:r>
        <w:rPr>
          <w:rStyle w:val="Emphasis"/>
        </w:rPr>
        <w:softHyphen/>
        <w:t>finder</w:t>
      </w:r>
      <w:r>
        <w:t xml:space="preserve"> to be found, I tell you.</w:t>
      </w:r>
    </w:p>
    <w:p w14:paraId="0849400F" w14:textId="77777777" w:rsidR="00FE3964" w:rsidRDefault="00000000">
      <w:pPr>
        <w:pStyle w:val="WW-blockquote"/>
      </w:pPr>
      <w: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Like Māra’s search for Godhika,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The phrase “even while alive there is no truth</w:t>
      </w:r>
      <w:r>
        <w:softHyphen/>
        <w:t>finder to be found”</w:t>
      </w:r>
      <w:r>
        <w:rPr>
          <w:rStyle w:val="FootnoteReference"/>
        </w:rPr>
        <w:footnoteReference w:id="533"/>
      </w:r>
      <w:r>
        <w:t xml:space="preserve"> was translated by Venerable Bodhi as “one thus gone (</w:t>
      </w:r>
      <w:r>
        <w:rPr>
          <w:rStyle w:val="wwc-pali"/>
        </w:rPr>
        <w:t>tathāgata</w:t>
      </w:r>
      <w: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truth</w:t>
      </w:r>
      <w:r>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truth</w:t>
      </w:r>
      <w:r>
        <w:softHyphen/>
        <w:t>finder. There is no such fundamentally existing truth</w:t>
      </w:r>
      <w:r>
        <w:softHyphen/>
        <w:t>finder, not only after death, when existence has ceased, but also before, while the enlightened being (or more correctly, the enlightened set of khandhas) was still alive.</w:t>
      </w:r>
      <w:r>
        <w:rPr>
          <w:rStyle w:val="FootnoteReference"/>
        </w:rPr>
        <w:footnoteReference w:id="535"/>
      </w:r>
      <w:r>
        <w:t xml:space="preserve"> Venerable Bodhi therefore also </w:t>
      </w:r>
      <w:r>
        <w:lastRenderedPageBreak/>
        <w:t>wrote: “He [the enlightened being] does not even see a self-existent Tathāgata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r>
        <w:rPr>
          <w:rStyle w:val="wwc-pali"/>
        </w:rPr>
        <w:t>parinibbāna</w:t>
      </w:r>
      <w:r>
        <w:t>. That is why the gods are unable to find any enlightened being or their consciousness.</w:t>
      </w:r>
    </w:p>
    <w:p w14:paraId="0365F877" w14:textId="77777777" w:rsidR="00FE3964" w:rsidRDefault="00000000">
      <w:pPr>
        <w:pStyle w:val="WW-paragraph"/>
      </w:pPr>
      <w:r>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Māra’s inquiry in the </w:t>
      </w:r>
      <w:r>
        <w:rPr>
          <w:rStyle w:val="wwc-sesame"/>
        </w:rPr>
        <w:t>Godhika Sutta</w:t>
      </w:r>
      <w: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t>) and ‘planted’ (</w:t>
      </w:r>
      <w:r>
        <w:rPr>
          <w:rStyle w:val="wwc-pali"/>
        </w:rPr>
        <w:t>patiṭṭha</w:t>
      </w:r>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lastRenderedPageBreak/>
        <w:t>§134</w:t>
      </w:r>
    </w:p>
    <w:p w14:paraId="6DD0C702" w14:textId="77777777" w:rsidR="00FE3964" w:rsidRDefault="00000000">
      <w:pPr>
        <w:pStyle w:val="WW-line-block"/>
      </w:pPr>
      <w:bookmarkStart w:id="159" w:name="bqseg134"/>
      <w:bookmarkEnd w:id="159"/>
      <w:r>
        <w:t>They stopped defining themselves, didn’t fall into conceit.</w:t>
      </w:r>
      <w:r>
        <w:br/>
        <w:t>They cut the knots, were untroubled, without wants.</w:t>
      </w:r>
      <w:r>
        <w:br/>
        <w:t>In life they cut off craving for any immaterial aspects or body.</w:t>
      </w:r>
      <w:r>
        <w:br/>
        <w:t>Though humans and gods may search for them</w:t>
      </w:r>
      <w:r>
        <w:br/>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r>
        <w:rPr>
          <w:rStyle w:val="wwc-sesame"/>
        </w:rPr>
        <w:t>Suttanipāta</w:t>
      </w:r>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Vaṅgīsa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r>
        <w:rPr>
          <w:rStyle w:val="wwc-pali"/>
        </w:rPr>
        <w:t>nāmarūpa</w:t>
      </w:r>
      <w:r>
        <w:t xml:space="preserve">), which is also illustrative. As we have seen, in Dependent Arising this factor has a strong link with rebirth, just like consciousness. If there is no desire for </w:t>
      </w:r>
      <w:r>
        <w:rPr>
          <w:rStyle w:val="wwc-pali"/>
        </w:rPr>
        <w:t>nāmarūpa</w:t>
      </w:r>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Māra included, seem to </w:t>
      </w:r>
      <w:r>
        <w:lastRenderedPageBreak/>
        <w:t>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truth</w:t>
      </w:r>
      <w:r>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60" w:name="bqseg135"/>
      <w:bookmarkEnd w:id="160"/>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Venerable Vajirā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61" w:name="bqseg136"/>
      <w:bookmarkEnd w:id="161"/>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r>
      <w:r>
        <w:lastRenderedPageBreak/>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r>
        <w:rPr>
          <w:rStyle w:val="wwc-pali"/>
        </w:rPr>
        <w:t>khandhas</w:t>
      </w:r>
      <w:r>
        <w:t xml:space="preserve">). There is no real </w:t>
      </w:r>
      <w:r>
        <w:rPr>
          <w:rStyle w:val="Emphasis"/>
        </w:rPr>
        <w:t>being</w:t>
      </w:r>
      <w:r>
        <w:t xml:space="preserve"> inside these aspects of existence, like there is no real </w:t>
      </w:r>
      <w:r>
        <w:rPr>
          <w:rStyle w:val="Emphasis"/>
        </w:rPr>
        <w:t>truth</w:t>
      </w:r>
      <w:r>
        <w:rPr>
          <w:rStyle w:val="Emphasis"/>
        </w:rPr>
        <w:softHyphen/>
        <w:t>finder</w:t>
      </w:r>
      <w:r>
        <w:t xml:space="preserve"> either. Both ‘being’ and ‘truth</w:t>
      </w:r>
      <w:r>
        <w:softHyphen/>
        <w:t>finder’ are just conventional labels that people use; they don’t exist in any fundamental sense, just 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r>
        <w:rPr>
          <w:rStyle w:val="wwc-sesame"/>
        </w:rPr>
        <w:t>Yamaka Sutta</w:t>
      </w:r>
      <w:r>
        <w:t>, where Venerable Yamaka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2" w:name="bqseg137"/>
      <w:bookmarkEnd w:id="162"/>
      <w: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“What do you think, Venerable Yamaka? Do you regard a truth</w:t>
      </w:r>
      <w:r>
        <w:softHyphen/>
        <w:t>finder to be form?”</w:t>
      </w:r>
    </w:p>
    <w:p w14:paraId="1FA59110" w14:textId="77777777" w:rsidR="00FE3964" w:rsidRDefault="00000000">
      <w:pPr>
        <w:pStyle w:val="WW-blockquote"/>
      </w:pPr>
      <w:r>
        <w:t>“No, venerable.”</w:t>
      </w:r>
    </w:p>
    <w:p w14:paraId="2DBADDD1" w14:textId="77777777" w:rsidR="00FE3964" w:rsidRDefault="00000000">
      <w:pPr>
        <w:pStyle w:val="WW-blockquote"/>
      </w:pPr>
      <w:r>
        <w:t>“Do you regard a truth</w:t>
      </w:r>
      <w:r>
        <w:softHyphen/>
        <w:t>finder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“Do you regard a truth</w:t>
      </w:r>
      <w:r>
        <w:softHyphen/>
        <w:t>finder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“Do you regard a truth</w:t>
      </w:r>
      <w:r>
        <w:softHyphen/>
        <w:t>finder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“Do you regard a truth</w:t>
      </w:r>
      <w:r>
        <w:softHyphen/>
        <w:t>finder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“Do you regard a truth</w:t>
      </w:r>
      <w:r>
        <w:softHyphen/>
        <w:t>finder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“Do you regard a truth</w:t>
      </w:r>
      <w:r>
        <w:softHyphen/>
        <w:t xml:space="preserve">finder to be form, sensation, perception, will, </w:t>
      </w:r>
      <w:r>
        <w:rPr>
          <w:rStyle w:val="Emphasis"/>
        </w:rPr>
        <w:t>and</w:t>
      </w:r>
      <w:r>
        <w:t xml:space="preserve"> consciousness?”</w:t>
      </w:r>
    </w:p>
    <w:p w14:paraId="27617D78" w14:textId="77777777" w:rsidR="00FE3964" w:rsidRDefault="00000000">
      <w:pPr>
        <w:pStyle w:val="WW-blockquote"/>
      </w:pPr>
      <w:r>
        <w:lastRenderedPageBreak/>
        <w:t>“No, venerable.”</w:t>
      </w:r>
    </w:p>
    <w:p w14:paraId="62172448" w14:textId="77777777" w:rsidR="00FE3964" w:rsidRDefault="00000000">
      <w:pPr>
        <w:pStyle w:val="WW-blockquote"/>
      </w:pPr>
      <w:r>
        <w:t>“Do you regard a truth</w:t>
      </w:r>
      <w:r>
        <w:softHyphen/>
        <w:t>finder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Yamaka, since you can’t find </w:t>
      </w:r>
      <w:r>
        <w:rPr>
          <w:rStyle w:val="Emphasis"/>
        </w:rPr>
        <w:t>a truth</w:t>
      </w:r>
      <w:r>
        <w:rPr>
          <w:rStyle w:val="Emphasis"/>
        </w:rPr>
        <w:softHyphen/>
        <w:t>finder</w:t>
      </w:r>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“Venerable Sāriputta,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“Very good, Venerable Yamaka!”</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r>
        <w:rPr>
          <w:rStyle w:val="Emphasis"/>
        </w:rPr>
        <w:t>truth</w:t>
      </w:r>
      <w:r>
        <w:rPr>
          <w:rStyle w:val="Emphasis"/>
        </w:rPr>
        <w:softHyphen/>
        <w:t>finder</w:t>
      </w:r>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r>
        <w:rPr>
          <w:rStyle w:val="wwc-sesame"/>
        </w:rPr>
        <w:t>Yamaka Sutta</w:t>
      </w:r>
      <w:r>
        <w:t xml:space="preserve"> also brings us to the </w:t>
      </w:r>
      <w:r>
        <w:rPr>
          <w:rStyle w:val="Strong"/>
        </w:rPr>
        <w:t>fourth reason</w:t>
      </w:r>
      <w:r>
        <w:t xml:space="preserve"> the gods’ search for consciousness happened after death. The phrase “since you can’t find a truth</w:t>
      </w:r>
      <w:r>
        <w:softHyphen/>
        <w:t>finder to actually or really exist even while alive”, which Sāriputta spoke here, is almost identical to “even while alive there is no truth</w:t>
      </w:r>
      <w:r>
        <w:softHyphen/>
        <w:t xml:space="preserve">finder to be found”, which the Buddha spoke in the </w:t>
      </w:r>
      <w:r>
        <w:rPr>
          <w:rStyle w:val="wwc-sesame"/>
        </w:rPr>
        <w:t>Simile of the Snake Discourse</w:t>
      </w:r>
      <w:r>
        <w:t xml:space="preserve"> when he explained why the gods can’t find the truth</w:t>
      </w:r>
      <w:r>
        <w:softHyphen/>
        <w:t xml:space="preserve">finder. We can compare this to </w:t>
      </w:r>
      <w:hyperlink w:anchor="bqseg90">
        <w:r>
          <w:rPr>
            <w:rStyle w:val="Hyperlink"/>
          </w:rPr>
          <w:t>§90</w:t>
        </w:r>
      </w:hyperlink>
      <w:r>
        <w:t>, which uses a similar phrasing: “A self or anything belonging to a self are not found to actually or really exist.” The point is, again, that even in their lifetime ‘truth</w:t>
      </w:r>
      <w:r>
        <w:softHyphen/>
        <w:t>finder’ was only a label for the self-less aspects of existence.</w:t>
      </w:r>
    </w:p>
    <w:p w14:paraId="05E7DA46" w14:textId="77777777" w:rsidR="00FE3964" w:rsidRDefault="00000000">
      <w:pPr>
        <w:pStyle w:val="WW-paragraph"/>
      </w:pPr>
      <w:r>
        <w:t>The words I translated as ‘even while alive’ (</w:t>
      </w:r>
      <w:r>
        <w:rPr>
          <w:rStyle w:val="wwc-pali"/>
        </w:rPr>
        <w:t>diṭṭheva dhamme</w:t>
      </w:r>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Sāriputta also occurs in the </w:t>
      </w:r>
      <w:r>
        <w:rPr>
          <w:rStyle w:val="wwc-sesame"/>
        </w:rPr>
        <w:t>Anurādha Sutta</w:t>
      </w:r>
      <w:r>
        <w:t>, where Venerable Anurādha holds an unspecified view of an existent truth</w:t>
      </w:r>
      <w:r>
        <w:softHyphen/>
        <w:t>finder after death:</w:t>
      </w:r>
    </w:p>
    <w:p w14:paraId="578D3D67" w14:textId="77777777" w:rsidR="00FE3964" w:rsidRDefault="00000000">
      <w:pPr>
        <w:pStyle w:val="WW-named-section"/>
      </w:pPr>
      <w:r>
        <w:lastRenderedPageBreak/>
        <w:t>§138</w:t>
      </w:r>
    </w:p>
    <w:p w14:paraId="60797866" w14:textId="77777777" w:rsidR="00FE3964" w:rsidRDefault="00000000">
      <w:pPr>
        <w:pStyle w:val="WW-blockquote"/>
      </w:pPr>
      <w:bookmarkStart w:id="163" w:name="bqseg138"/>
      <w:bookmarkEnd w:id="163"/>
      <w:r>
        <w:t xml:space="preserve">“But, Anurādha, since you can’t find </w:t>
      </w:r>
      <w:r>
        <w:rPr>
          <w:rStyle w:val="Emphasis"/>
        </w:rPr>
        <w:t>a truth</w:t>
      </w:r>
      <w:r>
        <w:rPr>
          <w:rStyle w:val="Emphasis"/>
        </w:rPr>
        <w:softHyphen/>
        <w:t>finder</w:t>
      </w:r>
      <w:r>
        <w:t xml:space="preserve"> to actually or really exist even while alive, was it right for you to say: ‘When the Truth</w:t>
      </w:r>
      <w:r>
        <w:softHyphen/>
        <w:t>finder describes a truth</w:t>
      </w:r>
      <w:r>
        <w:softHyphen/>
        <w:t>finder—the best and highest of persons, who attained the highest—he declares them to be outside of the four cases: after death a truth</w:t>
      </w:r>
      <w:r>
        <w:softHyphen/>
        <w:t>finder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“Very good, Anurādha!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Anurādha’s fifth, are false because they all rely on the premise that there is or was an entity called </w:t>
      </w:r>
      <w:r>
        <w:rPr>
          <w:rStyle w:val="Emphasis"/>
        </w:rPr>
        <w:t>a truth</w:t>
      </w:r>
      <w:r>
        <w:rPr>
          <w:rStyle w:val="Emphasis"/>
        </w:rPr>
        <w:softHyphen/>
        <w:t>finder</w:t>
      </w:r>
      <w:r>
        <w:t>, i.e., a self.</w:t>
      </w:r>
      <w:r>
        <w:rPr>
          <w:rStyle w:val="FootnoteReference"/>
        </w:rPr>
        <w:footnoteReference w:id="549"/>
      </w:r>
      <w:r>
        <w:t xml:space="preserve"> Views that presume the truth</w:t>
      </w:r>
      <w:r>
        <w:softHyphen/>
        <w:t>finder to be a real thing are also called imagination (</w:t>
      </w:r>
      <w:r>
        <w:rPr>
          <w:rStyle w:val="wwc-pali"/>
        </w:rPr>
        <w:t>maññita</w:t>
      </w:r>
      <w:r>
        <w:t xml:space="preserve">) of something that doesn’t really exist and elaboration (or ‘proliferation’, </w:t>
      </w:r>
      <w:r>
        <w:rPr>
          <w:rStyle w:val="wwc-pali"/>
        </w:rPr>
        <w:t>papañca</w:t>
      </w:r>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r>
        <w:rPr>
          <w:rStyle w:val="wwc-sesame"/>
        </w:rPr>
        <w:t>Yamaka Sutta</w:t>
      </w:r>
      <w:r>
        <w:t xml:space="preserve">’s statement about not being able to find an actual </w:t>
      </w:r>
      <w:r>
        <w:rPr>
          <w:rStyle w:val="Emphasis"/>
        </w:rPr>
        <w:t>truth</w:t>
      </w:r>
      <w:r>
        <w:rPr>
          <w:rStyle w:val="Emphasis"/>
        </w:rPr>
        <w:softHyphen/>
        <w:t>finder</w:t>
      </w:r>
      <w:r>
        <w:t xml:space="preserve">, we also get a reprise of the Buddha’s refutation of annihilationism in the </w:t>
      </w:r>
      <w:r>
        <w:rPr>
          <w:rStyle w:val="wwc-sesame"/>
        </w:rPr>
        <w:t>Simile of the Snake Discourse</w:t>
      </w:r>
      <w:r>
        <w:t xml:space="preserve">, saying he declares only suffering and a cessation of suffering. The </w:t>
      </w:r>
      <w:r>
        <w:rPr>
          <w:rStyle w:val="wwc-sesame"/>
        </w:rPr>
        <w:t>Anurādha Sutta</w:t>
      </w:r>
      <w:r>
        <w:t xml:space="preserve"> is the only other occurrence of both these sentences in the suttas, and it is again about the situation after death.</w:t>
      </w:r>
    </w:p>
    <w:p w14:paraId="7950A282" w14:textId="77777777" w:rsidR="00FE3964" w:rsidRDefault="00000000">
      <w:pPr>
        <w:pStyle w:val="WW-chapter-section-1"/>
      </w:pPr>
      <w:r>
        <w:t>The advice to Anāthapiṇḍika</w:t>
      </w:r>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Advice to Anāthapiṇḍika Discourse</w:t>
      </w:r>
      <w:r>
        <w:t>, where Sāriputta visits Anāthapiṇḍika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4" w:name="bqseg139"/>
      <w:bookmarkEnd w:id="164"/>
      <w: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14:paraId="26335F5A" w14:textId="77777777" w:rsidR="00FE3964" w:rsidRDefault="00000000">
      <w:pPr>
        <w:pStyle w:val="WW-blockquote"/>
      </w:pPr>
      <w:r>
        <w:t xml:space="preserve">“Venerable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w:t>
      </w:r>
      <w:r>
        <w:lastRenderedPageBreak/>
        <w:t>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I will not take up sights, and my consciousness will not be supported by sights. I will not take up sounds, smells, flavors, tangibles, and mental phenomena, and my consciousness will not be supported by sounds, smells, flavors,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lastRenderedPageBreak/>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When Anāthapiṇḍika said his pains were not subsiding, he effectively told Sāriputta he was dying. As a response Sāriputta gave a teaching specifically for the dying man, starting with: “</w:t>
      </w:r>
      <w:r>
        <w:rPr>
          <w:rStyle w:val="Emphasis"/>
        </w:rPr>
        <w:t>In that case</w:t>
      </w:r>
      <w:r>
        <w:t xml:space="preserve"> [since you’re going to die soon], train yourself like this.” The discourse indeed says Anāthapiṇḍika passed away soon after.</w:t>
      </w:r>
    </w:p>
    <w:p w14:paraId="195F9443" w14:textId="77777777" w:rsidR="00FE3964" w:rsidRDefault="00000000">
      <w:pPr>
        <w:pStyle w:val="WW-paragraph"/>
      </w:pPr>
      <w: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2"/>
      </w:r>
      <w:r>
        <w:t xml:space="preserve"> Sāriputta’s instruction to not support consciousness with the aspects of existence is what the Buddha taught in the </w:t>
      </w:r>
      <w:r>
        <w:rPr>
          <w:rStyle w:val="wwc-sesame"/>
        </w:rPr>
        <w:t>Seeds Discourse</w:t>
      </w:r>
      <w: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14:paraId="02C7911B" w14:textId="77777777" w:rsidR="00FE3964" w:rsidRDefault="00000000">
      <w:pPr>
        <w:pStyle w:val="WW-paragraph"/>
      </w:pPr>
      <w:r>
        <w:t>The point being, the word for ‘supported’ (</w:t>
      </w:r>
      <w:r>
        <w:rPr>
          <w:rStyle w:val="wwc-pali"/>
        </w:rPr>
        <w:t>nissita</w:t>
      </w:r>
      <w:r>
        <w:t xml:space="preserve">) Sāriputta used in his instructions to Anāthapiṇḍika is the exact same the Buddha used in the </w:t>
      </w:r>
      <w:r>
        <w:rPr>
          <w:rStyle w:val="wwc-sesame"/>
        </w:rPr>
        <w:t>Simile of the Snake Discourse</w:t>
      </w:r>
      <w:r>
        <w:t xml:space="preserve"> when he mentioned gods looking for what the consciousness of a truth</w:t>
      </w:r>
      <w:r>
        <w:softHyphen/>
        <w:t xml:space="preserve">finder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5" w:name="bqseg140"/>
      <w:bookmarkEnd w:id="165"/>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Way to the Undisturbable Discourse</w:t>
      </w:r>
      <w:r>
        <w:t>, which in an earlier passage (</w:t>
      </w:r>
      <w:hyperlink w:anchor="bqseg56">
        <w:r>
          <w:rPr>
            <w:rStyle w:val="Hyperlink"/>
          </w:rPr>
          <w:t>§56</w:t>
        </w:r>
      </w:hyperlink>
      <w: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lastRenderedPageBreak/>
        <w:t>When consciousness doesn’t travel on after death, the result is full extinguishment (</w:t>
      </w:r>
      <w:r>
        <w:rPr>
          <w:rStyle w:val="wwc-pali"/>
        </w:rPr>
        <w:t>parinibbāna</w:t>
      </w:r>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In his instructions to Anāthapiṇḍika, Sāriputta gave a long list of potential supports for consciousness, but he did not include the cessation of perception and feeling (</w:t>
      </w:r>
      <w:r>
        <w:rPr>
          <w:rStyle w:val="wwc-pali"/>
        </w:rPr>
        <w:t>saññāvedayitanirodha</w:t>
      </w:r>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6" w:name="bqseg141"/>
      <w:bookmarkEnd w:id="166"/>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What do you think, mendicants? If you have no more defilements, can you still perform meritorious, demeritorious, or undisturbable willful actions?”</w:t>
      </w:r>
    </w:p>
    <w:p w14:paraId="599FC09A" w14:textId="77777777" w:rsidR="00FE3964" w:rsidRDefault="00000000">
      <w:pPr>
        <w:pStyle w:val="WW-blockquote"/>
      </w:pPr>
      <w:r>
        <w:t>“No, sir.”</w:t>
      </w:r>
    </w:p>
    <w:p w14:paraId="60ACB653" w14:textId="77777777" w:rsidR="00FE3964" w:rsidRDefault="00000000">
      <w:pPr>
        <w:pStyle w:val="WW-blockquote"/>
      </w:pPr>
      <w:r>
        <w:t>“If willful actions cease, if there are no more willful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r>
        <w:rPr>
          <w:rStyle w:val="wwc-sesame"/>
        </w:rPr>
        <w:t>Udāna</w:t>
      </w:r>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7" w:name="bqseg142"/>
      <w:bookmarkEnd w:id="167"/>
      <w:r>
        <w:t>The Buddha was once staying in Jeta’s grove, Anāthapiṇḍika’s park at Savatthi. He was instructing, encouraging, inspiring, and gladdening the mendicants with a talk on extinguishment (</w:t>
      </w:r>
      <w:r>
        <w:rPr>
          <w:rStyle w:val="wwc-pali"/>
        </w:rPr>
        <w:t>nibbāna</w:t>
      </w:r>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 xml:space="preserve">The “state” of the inspired utterance in contemporary Buddhism is called ‘parinibbāna’, meaning ‘full extinguishment’. I will use this term as well, although the suttas do not use </w:t>
      </w:r>
      <w:r>
        <w:rPr>
          <w:rStyle w:val="wwc-pali"/>
        </w:rPr>
        <w:t>parinibbāna</w:t>
      </w:r>
      <w:r>
        <w:t xml:space="preserve"> exclusively in this sense. Sometimes the term refers to enlightenment, which is the full extinguishment of craving. Likewise, the term </w:t>
      </w:r>
      <w:r>
        <w:rPr>
          <w:rStyle w:val="wwc-pali"/>
        </w:rPr>
        <w:t>nibbāna</w:t>
      </w:r>
      <w:r>
        <w:t xml:space="preserve"> (without </w:t>
      </w:r>
      <w:r>
        <w:rPr>
          <w:rStyle w:val="wwc-pali"/>
        </w:rPr>
        <w:t>pari</w:t>
      </w:r>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r>
        <w:rPr>
          <w:rStyle w:val="wwc-pali"/>
        </w:rPr>
        <w:t>āyatana</w:t>
      </w:r>
      <w: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t xml:space="preserve">, namely that it indicates it to be a type of transcendent existence or consciousness. In what I consider to be a rare misjudgment, Venerable Bhikkhu Bodhi reifies </w:t>
      </w:r>
      <w:r>
        <w:rPr>
          <w:rStyle w:val="wwc-pali"/>
        </w:rPr>
        <w:t>parinibbāna</w:t>
      </w:r>
      <w:r>
        <w:t xml:space="preserve"> in such a way: “Suttas speak of [pari]nibbāna as […] a base [</w:t>
      </w:r>
      <w:r>
        <w:rPr>
          <w:rStyle w:val="wwc-pali"/>
        </w:rPr>
        <w:t>āyatana</w:t>
      </w:r>
      <w: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r>
        <w:rPr>
          <w:rStyle w:val="wwc-pali"/>
        </w:rPr>
        <w:t>āyatana</w:t>
      </w:r>
      <w:r>
        <w:t xml:space="preserve"> is; it only tells us what it is </w:t>
      </w:r>
      <w:r>
        <w:rPr>
          <w:rStyle w:val="Emphasis"/>
        </w:rPr>
        <w:t>not</w:t>
      </w:r>
      <w:r>
        <w:t xml:space="preserve">. Any transcendentalist interpretation of this passage therefore relies on the word </w:t>
      </w:r>
      <w:r>
        <w:rPr>
          <w:rStyle w:val="wwc-pali"/>
        </w:rPr>
        <w:t>āyatana</w:t>
      </w:r>
      <w:r>
        <w:t xml:space="preserve"> alone. Before coming to any weighty conclusions, we should therefore determine whether </w:t>
      </w:r>
      <w:r>
        <w:rPr>
          <w:rStyle w:val="wwc-pali"/>
        </w:rPr>
        <w:t>āyatana</w:t>
      </w:r>
      <w:r>
        <w:t xml:space="preserve"> necessarily refers to a state of existence. We find that it does not.</w:t>
      </w:r>
    </w:p>
    <w:p w14:paraId="61EEE4AD" w14:textId="77777777" w:rsidR="00FE3964" w:rsidRDefault="00000000">
      <w:pPr>
        <w:pStyle w:val="WW-paragraph"/>
      </w:pPr>
      <w:r>
        <w:t xml:space="preserve">The </w:t>
      </w:r>
      <w:r>
        <w:rPr>
          <w:rStyle w:val="wwc-sesame"/>
        </w:rPr>
        <w:t>Sīgālovāda Sutta</w:t>
      </w:r>
      <w:r>
        <w:t xml:space="preserve"> mentions, in the translations of both Walshe and Sujato, susceptibility (</w:t>
      </w:r>
      <w:r>
        <w:rPr>
          <w:rStyle w:val="wwc-pali"/>
        </w:rPr>
        <w:t>āyatana</w:t>
      </w:r>
      <w:r>
        <w:t>) to illness when drinking alcohol.</w:t>
      </w:r>
      <w:r>
        <w:rPr>
          <w:rStyle w:val="FootnoteReference"/>
        </w:rPr>
        <w:footnoteReference w:id="561"/>
      </w:r>
      <w:r>
        <w:t xml:space="preserve"> In this case </w:t>
      </w:r>
      <w:r>
        <w:rPr>
          <w:rStyle w:val="wwc-pali"/>
        </w:rPr>
        <w:t>āyatana</w:t>
      </w:r>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r>
        <w:rPr>
          <w:rStyle w:val="wwc-pali"/>
        </w:rPr>
        <w:t>āyatana</w:t>
      </w:r>
      <w:r>
        <w:t xml:space="preserve"> has a similar meaning in other places, as in “opportunities (</w:t>
      </w:r>
      <w:r>
        <w:rPr>
          <w:rStyle w:val="wwc-pali"/>
        </w:rPr>
        <w:t>āyatanas</w:t>
      </w:r>
      <w:r>
        <w:t>) for liberation”.</w:t>
      </w:r>
      <w:r>
        <w:rPr>
          <w:rStyle w:val="FootnoteReference"/>
        </w:rPr>
        <w:footnoteReference w:id="563"/>
      </w:r>
      <w:r>
        <w:t xml:space="preserve"> Quite tellingly, the </w:t>
      </w:r>
      <w:r>
        <w:rPr>
          <w:rStyle w:val="wwc-sesame"/>
        </w:rPr>
        <w:t>Pañcattaya Sutta</w:t>
      </w:r>
      <w:r>
        <w:t xml:space="preserve"> calls the theory of annihilationism (among other wrong views) an </w:t>
      </w:r>
      <w:r>
        <w:rPr>
          <w:rStyle w:val="wwc-pali"/>
        </w:rPr>
        <w:t>āyatana</w:t>
      </w:r>
      <w:r>
        <w:t>.</w:t>
      </w:r>
      <w:r>
        <w:rPr>
          <w:rStyle w:val="FootnoteReference"/>
        </w:rPr>
        <w:footnoteReference w:id="564"/>
      </w:r>
      <w:r>
        <w:t xml:space="preserve"> So </w:t>
      </w:r>
      <w:r>
        <w:rPr>
          <w:rStyle w:val="wwc-pali"/>
        </w:rPr>
        <w:t>āyatana</w:t>
      </w:r>
      <w: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t xml:space="preserve"> on this term.</w:t>
      </w:r>
    </w:p>
    <w:p w14:paraId="24C7BBCF" w14:textId="77777777" w:rsidR="00FE3964" w:rsidRDefault="00000000">
      <w:pPr>
        <w:pStyle w:val="WW-paragraph"/>
      </w:pPr>
      <w:r>
        <w:t xml:space="preserve">I translated </w:t>
      </w:r>
      <w:r>
        <w:rPr>
          <w:rStyle w:val="wwc-pali"/>
        </w:rPr>
        <w:t>āyatana</w:t>
      </w:r>
      <w:r>
        <w:t xml:space="preserve"> as ‘state’ in the inspired utterance primarily to keep consistency with the formless attainments, also called </w:t>
      </w:r>
      <w:r>
        <w:rPr>
          <w:rStyle w:val="wwc-pali"/>
        </w:rPr>
        <w:t>āyatanas</w:t>
      </w:r>
      <w: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t xml:space="preserve"> in this case more likely conveys that the cessation of suffering is </w:t>
      </w:r>
      <w:r>
        <w:rPr>
          <w:rStyle w:val="Emphasis"/>
        </w:rPr>
        <w:t>possible</w:t>
      </w:r>
      <w:r>
        <w:t xml:space="preserve">, similar to its meaning in the examples just given. It is not meant to reify </w:t>
      </w:r>
      <w:r>
        <w:rPr>
          <w:rStyle w:val="wwc-pali"/>
        </w:rPr>
        <w:t>parinibbāna</w:t>
      </w:r>
      <w:r>
        <w:t>.</w:t>
      </w:r>
    </w:p>
    <w:p w14:paraId="1D7CAA73" w14:textId="2195FCF7" w:rsidR="00FE3964" w:rsidRDefault="00000000">
      <w:pPr>
        <w:pStyle w:val="WW-paragraph"/>
      </w:pPr>
      <w:r>
        <w:t xml:space="preserve">This is confirmed by another discourse which uses </w:t>
      </w:r>
      <w:r>
        <w:rPr>
          <w:rStyle w:val="wwc-pali"/>
        </w:rPr>
        <w:t>āyatana</w:t>
      </w:r>
      <w:r>
        <w:t xml:space="preserve"> with reference to the end of suffering. The Buddha says: “You should understand</w:t>
      </w:r>
      <w:r>
        <w:rPr>
          <w:rStyle w:val="FootnoteReference"/>
        </w:rPr>
        <w:footnoteReference w:id="565"/>
      </w:r>
      <w:r>
        <w:t xml:space="preserve"> the </w:t>
      </w:r>
      <w:r>
        <w:rPr>
          <w:rStyle w:val="wwc-pali"/>
        </w:rPr>
        <w:t>āyatana</w:t>
      </w:r>
      <w: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6"/>
      </w:r>
      <w:r>
        <w:t xml:space="preserve"> When Ānanda is subsequently asked what the Buddha was referring to with this “</w:t>
      </w:r>
      <w:r>
        <w:rPr>
          <w:rStyle w:val="wwc-pali"/>
        </w:rPr>
        <w:t>āyatana</w:t>
      </w:r>
      <w: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w:t>
      </w:r>
      <w:r>
        <w:lastRenderedPageBreak/>
        <w:t xml:space="preserve">that anything exists after </w:t>
      </w:r>
      <w:r>
        <w:rPr>
          <w:rStyle w:val="wwc-pali"/>
        </w:rPr>
        <w:t>parinibbāna</w:t>
      </w:r>
      <w:r>
        <w:t xml:space="preserve">, aligns with the observations of </w:t>
      </w:r>
      <w:hyperlink w:anchor="chapter9" w:history="1">
        <w:r w:rsidRPr="00FA0326">
          <w:rPr>
            <w:rStyle w:val="Hyperlink"/>
          </w:rPr>
          <w:t>Chapter 9</w:t>
        </w:r>
      </w:hyperlink>
      <w:r>
        <w:t>, that the six senses encompass all that can be experienced.</w:t>
      </w:r>
    </w:p>
    <w:p w14:paraId="52A3C4BC" w14:textId="77777777" w:rsidR="00FE3964" w:rsidRDefault="00000000">
      <w:pPr>
        <w:pStyle w:val="WW-paragraph"/>
      </w:pPr>
      <w:r>
        <w:t xml:space="preserve">In sum, the word </w:t>
      </w:r>
      <w:r>
        <w:rPr>
          <w:rStyle w:val="wwc-pali"/>
        </w:rPr>
        <w:t>āyatana</w:t>
      </w:r>
      <w:r>
        <w:t xml:space="preserve"> in this context refers to the possibility of cessation, not to a certain realm or place. In that light, if we adopt ‘case’ for </w:t>
      </w:r>
      <w:r>
        <w:rPr>
          <w:rStyle w:val="wwc-pali"/>
        </w:rPr>
        <w:t>āyatana</w:t>
      </w:r>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8" w:name="bqseg143"/>
      <w:bookmarkEnd w:id="168"/>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r>
        <w:rPr>
          <w:rStyle w:val="wwc-pali"/>
        </w:rPr>
        <w:t>āyatana</w:t>
      </w:r>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r>
        <w:rPr>
          <w:rStyle w:val="wwc-pali"/>
        </w:rPr>
        <w:t>dhātu</w:t>
      </w:r>
      <w:r>
        <w:t xml:space="preserve">, but these can be questioned in a similar fashion. Venerable Brahmāli explained: “Sometimes </w:t>
      </w:r>
      <w:r>
        <w:rPr>
          <w:rStyle w:val="wwc-pali"/>
        </w:rPr>
        <w:t>nibbāna</w:t>
      </w:r>
      <w:r>
        <w:t xml:space="preserve"> is called </w:t>
      </w:r>
      <w:r>
        <w:rPr>
          <w:rStyle w:val="wwc-pali"/>
        </w:rPr>
        <w:t>nibbānadhātu</w:t>
      </w:r>
      <w:r>
        <w:t xml:space="preserve"> […]. The word </w:t>
      </w:r>
      <w:r>
        <w:rPr>
          <w:rStyle w:val="wwc-pali"/>
        </w:rPr>
        <w:t>dhātu</w:t>
      </w:r>
      <w:r>
        <w:t xml:space="preserve"> is often translated as ‘element’. Basing one’s understanding on this translation it is natural to conclude that </w:t>
      </w:r>
      <w:r>
        <w:rPr>
          <w:rStyle w:val="wwc-pali"/>
        </w:rPr>
        <w:t>nibbāna</w:t>
      </w:r>
      <w:r>
        <w:t xml:space="preserve"> must be ‘something’. However, this would be to ignore the range of meanings of the word </w:t>
      </w:r>
      <w:r>
        <w:rPr>
          <w:rStyle w:val="wwc-pali"/>
        </w:rPr>
        <w:t>dhātu</w:t>
      </w:r>
      <w:r>
        <w:t>.”</w:t>
      </w:r>
      <w:r>
        <w:rPr>
          <w:rStyle w:val="FootnoteReference"/>
        </w:rPr>
        <w:footnoteReference w:id="569"/>
      </w:r>
      <w:r>
        <w:t xml:space="preserve"> Dictionaries include under </w:t>
      </w:r>
      <w:r>
        <w:rPr>
          <w:rStyle w:val="wwc-pali"/>
        </w:rPr>
        <w:t>dhātu</w:t>
      </w:r>
      <w:r>
        <w:t>, “a principle […] sometimes a very general abstraction: -hood; -ness” and “condition, principle, property”.</w:t>
      </w:r>
      <w:r>
        <w:rPr>
          <w:rStyle w:val="FootnoteReference"/>
        </w:rPr>
        <w:footnoteReference w:id="570"/>
      </w:r>
      <w:r>
        <w:t xml:space="preserve"> As an illustration of these meanings, there is the </w:t>
      </w:r>
      <w:r>
        <w:rPr>
          <w:rStyle w:val="wwc-pali"/>
        </w:rPr>
        <w:t>nirodhadhātu</w:t>
      </w:r>
      <w:r>
        <w:t xml:space="preserve">, ‘the principle/property of cessation’. In a discourse specifically called the </w:t>
      </w:r>
      <w:r>
        <w:rPr>
          <w:rStyle w:val="wwc-sesame"/>
        </w:rPr>
        <w:t>Dhātu Sutta</w:t>
      </w:r>
      <w:r>
        <w:t xml:space="preserve">, this </w:t>
      </w:r>
      <w:r>
        <w:rPr>
          <w:rStyle w:val="wwc-pali"/>
        </w:rPr>
        <w:t>nirodhadhātu</w:t>
      </w:r>
      <w:r>
        <w:t xml:space="preserve"> is a synonym for </w:t>
      </w:r>
      <w:r>
        <w:rPr>
          <w:rStyle w:val="wwc-pali"/>
        </w:rPr>
        <w:t>parinibbāna</w:t>
      </w:r>
      <w:r>
        <w:t>.</w:t>
      </w:r>
      <w:r>
        <w:rPr>
          <w:rStyle w:val="FootnoteReference"/>
        </w:rPr>
        <w:footnoteReference w:id="571"/>
      </w:r>
      <w:r>
        <w:t xml:space="preserve"> So in this context the word </w:t>
      </w:r>
      <w:r>
        <w:rPr>
          <w:rStyle w:val="wwc-pali"/>
        </w:rPr>
        <w:t>dhātu</w:t>
      </w:r>
      <w:r>
        <w:t xml:space="preserve"> simply refers to cessation, just like </w:t>
      </w:r>
      <w:r>
        <w:rPr>
          <w:rStyle w:val="wwc-pali"/>
        </w:rPr>
        <w:t>āyatana</w:t>
      </w:r>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r>
        <w:rPr>
          <w:rStyle w:val="wwc-pali"/>
        </w:rPr>
        <w:t>parinibbāna</w:t>
      </w:r>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9" w:name="bqseg144"/>
      <w:bookmarkEnd w:id="169"/>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t>, the final cessation of suffering.</w:t>
      </w:r>
      <w:r>
        <w:rPr>
          <w:rStyle w:val="FootnoteReference"/>
        </w:rPr>
        <w:footnoteReference w:id="574"/>
      </w:r>
      <w:r>
        <w:t xml:space="preserve"> In line with the </w:t>
      </w:r>
      <w:r>
        <w:rPr>
          <w:rStyle w:val="wwc-sesame"/>
        </w:rPr>
        <w:t>Anāthapiṇḍika Sutta</w:t>
      </w:r>
      <w:r>
        <w:t xml:space="preserve">, the utterance does not include the cessation of awareness and what is experienced (or ‘the cessation of perception and feeling’) in the things that don’t exist after </w:t>
      </w:r>
      <w:r>
        <w:rPr>
          <w:rStyle w:val="wwc-pali"/>
        </w:rPr>
        <w:t>parinibbāna</w:t>
      </w:r>
      <w:r>
        <w:t xml:space="preserve">. That is because </w:t>
      </w:r>
      <w:r>
        <w:rPr>
          <w:rStyle w:val="wwc-pali"/>
        </w:rPr>
        <w:t>parinibbāna</w:t>
      </w:r>
      <w:r>
        <w:t xml:space="preserve"> is a permanent version of this cessation. This cessation of awareness is elsewhere also implied to be the highest bliss, even though nothing is experienced there, and in the </w:t>
      </w:r>
      <w:r>
        <w:rPr>
          <w:rStyle w:val="wwc-sesame"/>
        </w:rPr>
        <w:t>Anupada Sutta</w:t>
      </w:r>
      <w:r>
        <w:t xml:space="preserve"> Venerable Sāriputta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r>
        <w:rPr>
          <w:rStyle w:val="wwc-pali"/>
        </w:rPr>
        <w:t>appavatta</w:t>
      </w:r>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r>
        <w:rPr>
          <w:rStyle w:val="wwc-sesame"/>
        </w:rPr>
        <w:t>Pārāyana Vagga</w:t>
      </w:r>
      <w:r>
        <w:t xml:space="preserve"> the Buddha also explains what </w:t>
      </w:r>
      <w:r>
        <w:rPr>
          <w:rStyle w:val="wwc-pali"/>
        </w:rPr>
        <w:t>parinibbāna</w:t>
      </w:r>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70" w:name="bqseg145"/>
      <w:bookmarkEnd w:id="170"/>
      <w:r>
        <w:t>&lt;Venerable Mettagu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r>
        <w:rPr>
          <w:rStyle w:val="wwc-pali"/>
        </w:rPr>
        <w:t>appatiṭṭhita viññāṇa</w:t>
      </w:r>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r>
        <w:rPr>
          <w:rStyle w:val="wwc-pali"/>
        </w:rPr>
        <w:t>appatiṭṭhita viññāṇa</w:t>
      </w:r>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r>
        <w:rPr>
          <w:rStyle w:val="wwc-pali"/>
        </w:rPr>
        <w:t>appatiṭṭhita</w:t>
      </w:r>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r>
        <w:rPr>
          <w:rStyle w:val="wwc-pali"/>
        </w:rPr>
        <w:t>tiṭṭhe</w:t>
      </w:r>
      <w:r>
        <w:t>) in any state of existence’ of the last passage</w:t>
      </w:r>
    </w:p>
    <w:p w14:paraId="209BB692" w14:textId="77777777" w:rsidR="00FE3964" w:rsidRDefault="00000000">
      <w:pPr>
        <w:pStyle w:val="WW-paragraph"/>
        <w:numPr>
          <w:ilvl w:val="0"/>
          <w:numId w:val="19"/>
        </w:numPr>
      </w:pPr>
      <w:r>
        <w:t>‘the arising, continuation (</w:t>
      </w:r>
      <w:r>
        <w:rPr>
          <w:rStyle w:val="wwc-pali"/>
        </w:rPr>
        <w:t>ṭhiti</w:t>
      </w:r>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r>
        <w:rPr>
          <w:rStyle w:val="wwc-pali"/>
        </w:rPr>
        <w:t>ṭhiti</w:t>
      </w:r>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r>
        <w:rPr>
          <w:rStyle w:val="wwc-pali"/>
        </w:rPr>
        <w:t>tiṭṭhamānaṁ tiṭṭheyya</w:t>
      </w:r>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r>
        <w:rPr>
          <w:rStyle w:val="wwc-pali"/>
        </w:rPr>
        <w:t>tiṭṭheyya</w:t>
      </w:r>
      <w:r>
        <w:t xml:space="preserve">) for a very long time’, a simile for existence in </w:t>
      </w:r>
      <w:r>
        <w:rPr>
          <w:rStyle w:val="wwc-pali"/>
        </w:rPr>
        <w:t>saṁsāra</w:t>
      </w:r>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r>
        <w:rPr>
          <w:rStyle w:val="wwc-pali"/>
        </w:rPr>
        <w:t>ṭhitika</w:t>
      </w:r>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r>
        <w:rPr>
          <w:rStyle w:val="wwc-pali"/>
        </w:rPr>
        <w:t>ṭhiti</w:t>
      </w:r>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‘the abodes (</w:t>
      </w:r>
      <w:r>
        <w:rPr>
          <w:rStyle w:val="wwc-pali"/>
        </w:rPr>
        <w:t>ṭhiti</w:t>
      </w:r>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‘consciousness is planted (</w:t>
      </w:r>
      <w:r>
        <w:rPr>
          <w:rStyle w:val="wwc-pali"/>
        </w:rPr>
        <w:t>patiṭṭhita</w:t>
      </w:r>
      <w:r>
        <w:t>)’ in a next life</w:t>
      </w:r>
      <w:r>
        <w:rPr>
          <w:rStyle w:val="FootnoteReference"/>
        </w:rPr>
        <w:footnoteReference w:id="587"/>
      </w:r>
    </w:p>
    <w:p w14:paraId="2776D853" w14:textId="77777777" w:rsidR="00FE3964" w:rsidRDefault="00000000">
      <w:pPr>
        <w:pStyle w:val="WW-paragraph"/>
        <w:numPr>
          <w:ilvl w:val="0"/>
          <w:numId w:val="19"/>
        </w:numPr>
      </w:pPr>
      <w:r>
        <w:t>‘the support (</w:t>
      </w:r>
      <w:r>
        <w:rPr>
          <w:rStyle w:val="wwc-pali"/>
        </w:rPr>
        <w:t>patiṭṭhā</w:t>
      </w:r>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r>
        <w:rPr>
          <w:rStyle w:val="wwc-pali"/>
        </w:rPr>
        <w:t>ṭhiti</w:t>
      </w:r>
      <w:r>
        <w:t>)’ in any realm and ‘nothing planted (</w:t>
      </w:r>
      <w:r>
        <w:rPr>
          <w:rStyle w:val="wwc-pali"/>
        </w:rPr>
        <w:t>appatiṭṭha</w:t>
      </w:r>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r>
        <w:rPr>
          <w:rStyle w:val="wwc-pali"/>
        </w:rPr>
        <w:t>patiṭṭhaṁ</w:t>
      </w:r>
      <w:r>
        <w:t>), would there be an origination of suffering, of future birth?’ in the Mahānidāna Sutta’s passage on the womb</w:t>
      </w:r>
      <w:r>
        <w:rPr>
          <w:rStyle w:val="FootnoteReference"/>
        </w:rPr>
        <w:footnoteReference w:id="590"/>
      </w:r>
    </w:p>
    <w:p w14:paraId="6F9D6DC9" w14:textId="77777777" w:rsidR="00FE3964" w:rsidRDefault="00000000">
      <w:pPr>
        <w:pStyle w:val="WW-paragraph"/>
      </w:pPr>
      <w:r>
        <w:t>These connections further show that the planting of consciousness refers to its continuation after death, and that its not being planted (</w:t>
      </w:r>
      <w:r>
        <w:rPr>
          <w:rStyle w:val="wwc-pali"/>
        </w:rPr>
        <w:t>appatiṭṭhita</w:t>
      </w:r>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71" w:name="bqseg146"/>
      <w:bookmarkEnd w:id="171"/>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Ānanda!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Ānanda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t xml:space="preserve"> who, as the Buddha says, unlike him are still fully stuck in low births and </w:t>
      </w:r>
      <w:r>
        <w:rPr>
          <w:rStyle w:val="wwc-pali"/>
        </w:rPr>
        <w:t>saṁsāra</w:t>
      </w:r>
      <w: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r>
        <w:rPr>
          <w:rStyle w:val="wwc-pali"/>
        </w:rPr>
        <w:t>paññā</w:t>
      </w:r>
      <w:r>
        <w:t xml:space="preserve">). They also know that whatever future lives they may still have, it all will come to an end. As the Buddha put it: </w:t>
      </w:r>
      <w:r>
        <w:rPr>
          <w:rStyle w:val="wwc-pali"/>
        </w:rPr>
        <w:t>Yaṁ kiñci sam</w:t>
      </w:r>
      <w:r>
        <w:rPr>
          <w:rStyle w:val="wwc-pali"/>
        </w:rPr>
        <w:softHyphen/>
        <w:t>udaya</w:t>
      </w:r>
      <w:r>
        <w:rPr>
          <w:rStyle w:val="wwc-pali"/>
        </w:rPr>
        <w:softHyphen/>
        <w:t>dhammaṁ, sabbaṁ taṁ nirodha</w:t>
      </w:r>
      <w:r>
        <w:rPr>
          <w:rStyle w:val="wwc-pali"/>
        </w:rPr>
        <w:softHyphen/>
        <w:t>dhammaṁ</w:t>
      </w:r>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tumor of rebirth and existence. He even said </w:t>
      </w:r>
      <w:r>
        <w:rPr>
          <w:rStyle w:val="Emphasis"/>
        </w:rPr>
        <w:t>enlightened beings</w:t>
      </w:r>
      <w:r>
        <w:t xml:space="preserve"> should look at the aspects of existence as a tumor—and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C37F391"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r>
              <w:t>Aṅguttara Nikāya</w:t>
            </w:r>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r>
              <w:t>Bṛhadāraṇyaka Upaniṣad</w:t>
            </w:r>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r>
              <w:t>Chāndogya Upaniṣad</w:t>
            </w:r>
          </w:p>
        </w:tc>
      </w:tr>
      <w:tr w:rsidR="00FE3964" w14:paraId="05E672E2" w14:textId="77777777" w:rsidTr="007060FA">
        <w:tc>
          <w:tcPr>
            <w:tcW w:w="759" w:type="dxa"/>
          </w:tcPr>
          <w:p w14:paraId="05FC4B50" w14:textId="77777777" w:rsidR="00FE3964" w:rsidRDefault="00000000">
            <w:pPr>
              <w:pStyle w:val="WW-paragraph"/>
            </w:pPr>
            <w:r>
              <w:t>Dhp</w:t>
            </w:r>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r>
              <w:t>Dīrgha Āgama</w:t>
            </w:r>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r>
              <w:t>Dīgha Nikāya</w:t>
            </w:r>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r>
              <w:t>Dhammasaṅgaṇī</w:t>
            </w:r>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r>
              <w:t>Ekottarika Āgama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r>
              <w:t>Itivuttaka</w:t>
            </w:r>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r>
              <w:t>Jaiminīya Upaniṣad</w:t>
            </w:r>
          </w:p>
        </w:tc>
      </w:tr>
      <w:tr w:rsidR="00FE3964" w14:paraId="3D3A1A8E" w14:textId="77777777" w:rsidTr="007060FA">
        <w:tc>
          <w:tcPr>
            <w:tcW w:w="759" w:type="dxa"/>
          </w:tcPr>
          <w:p w14:paraId="7DBABD4F" w14:textId="77777777" w:rsidR="00FE3964" w:rsidRDefault="00000000">
            <w:pPr>
              <w:pStyle w:val="WW-paragraph"/>
            </w:pPr>
            <w:r>
              <w:t>Kd</w:t>
            </w:r>
          </w:p>
        </w:tc>
        <w:tc>
          <w:tcPr>
            <w:tcW w:w="3657" w:type="dxa"/>
          </w:tcPr>
          <w:p w14:paraId="7FFD8DE9" w14:textId="77777777" w:rsidR="00FE3964" w:rsidRDefault="00000000">
            <w:pPr>
              <w:pStyle w:val="WW-paragraph"/>
            </w:pPr>
            <w:r>
              <w:t>Pāli Khandhaka</w:t>
            </w:r>
          </w:p>
        </w:tc>
      </w:tr>
      <w:tr w:rsidR="00FE3964" w14:paraId="017C07BD" w14:textId="77777777" w:rsidTr="007060FA">
        <w:tc>
          <w:tcPr>
            <w:tcW w:w="759" w:type="dxa"/>
          </w:tcPr>
          <w:p w14:paraId="79199D9D" w14:textId="77777777" w:rsidR="00FE3964" w:rsidRDefault="00000000">
            <w:pPr>
              <w:pStyle w:val="WW-paragraph"/>
            </w:pPr>
            <w:r>
              <w:t>Kp</w:t>
            </w:r>
          </w:p>
        </w:tc>
        <w:tc>
          <w:tcPr>
            <w:tcW w:w="3657" w:type="dxa"/>
          </w:tcPr>
          <w:p w14:paraId="66C07CAE" w14:textId="77777777" w:rsidR="00FE3964" w:rsidRDefault="00000000">
            <w:pPr>
              <w:pStyle w:val="WW-paragraph"/>
            </w:pPr>
            <w:r>
              <w:t>Khuddakapāṭha</w:t>
            </w:r>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Madhyama Āgama</w:t>
            </w:r>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r>
              <w:t>Milindapañha</w:t>
            </w:r>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r>
              <w:t>Mūlamadhyamakakārikā</w:t>
            </w:r>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r>
              <w:t>Majjhima Nikāya</w:t>
            </w:r>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r>
              <w:t>Papañcasūdanī (MN commentary)</w:t>
            </w:r>
          </w:p>
        </w:tc>
      </w:tr>
      <w:tr w:rsidR="00FE3964" w14:paraId="46CD3F24" w14:textId="77777777" w:rsidTr="007060FA">
        <w:tc>
          <w:tcPr>
            <w:tcW w:w="759" w:type="dxa"/>
          </w:tcPr>
          <w:p w14:paraId="3B82F564" w14:textId="77777777" w:rsidR="00FE3964" w:rsidRDefault="00000000">
            <w:pPr>
              <w:pStyle w:val="WW-paragraph"/>
            </w:pPr>
            <w:r>
              <w:lastRenderedPageBreak/>
              <w:t>MuṇU</w:t>
            </w:r>
          </w:p>
        </w:tc>
        <w:tc>
          <w:tcPr>
            <w:tcW w:w="3657" w:type="dxa"/>
          </w:tcPr>
          <w:p w14:paraId="2A0CC423" w14:textId="77777777" w:rsidR="00FE3964" w:rsidRDefault="00000000">
            <w:pPr>
              <w:pStyle w:val="WW-paragraph"/>
            </w:pPr>
            <w:r>
              <w:t>Muṇḍaka Upaniṣad</w:t>
            </w:r>
          </w:p>
        </w:tc>
      </w:tr>
      <w:tr w:rsidR="00FE3964" w14:paraId="0EAC9615" w14:textId="77777777" w:rsidTr="007060FA">
        <w:tc>
          <w:tcPr>
            <w:tcW w:w="759" w:type="dxa"/>
          </w:tcPr>
          <w:p w14:paraId="4AFC2C68" w14:textId="77777777" w:rsidR="00FE3964" w:rsidRDefault="00000000">
            <w:pPr>
              <w:pStyle w:val="WW-paragraph"/>
            </w:pPr>
            <w:r>
              <w:t>PrU</w:t>
            </w:r>
          </w:p>
        </w:tc>
        <w:tc>
          <w:tcPr>
            <w:tcW w:w="3657" w:type="dxa"/>
          </w:tcPr>
          <w:p w14:paraId="474073F0" w14:textId="77777777" w:rsidR="00FE3964" w:rsidRDefault="00000000">
            <w:pPr>
              <w:pStyle w:val="WW-paragraph"/>
            </w:pPr>
            <w:r>
              <w:t>Praśna Upaniṣad</w:t>
            </w:r>
          </w:p>
        </w:tc>
      </w:tr>
      <w:tr w:rsidR="00FE3964" w14:paraId="42568677" w14:textId="77777777" w:rsidTr="007060FA">
        <w:tc>
          <w:tcPr>
            <w:tcW w:w="759" w:type="dxa"/>
          </w:tcPr>
          <w:p w14:paraId="0E065995" w14:textId="77777777" w:rsidR="00FE3964" w:rsidRDefault="00000000">
            <w:pPr>
              <w:pStyle w:val="WW-paragraph"/>
            </w:pPr>
            <w:r>
              <w:t>Pṭs</w:t>
            </w:r>
          </w:p>
        </w:tc>
        <w:tc>
          <w:tcPr>
            <w:tcW w:w="3657" w:type="dxa"/>
          </w:tcPr>
          <w:p w14:paraId="24A75437" w14:textId="77777777" w:rsidR="00FE3964" w:rsidRDefault="00000000">
            <w:pPr>
              <w:pStyle w:val="WW-paragraph"/>
            </w:pPr>
            <w:r>
              <w:t>Paṭisambhidāmagga</w:t>
            </w:r>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r>
              <w:t>Ṛg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r>
              <w:t>Saṁyukta Āgama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r>
              <w:t>Saṁyukta Āgama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r>
              <w:t>Saṁyutta Nikāya</w:t>
            </w:r>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r>
              <w:t>Sāratthappakāsinī (SN commentary)</w:t>
            </w:r>
          </w:p>
        </w:tc>
      </w:tr>
      <w:tr w:rsidR="00FE3964" w14:paraId="1CC47A78" w14:textId="77777777" w:rsidTr="007060FA">
        <w:tc>
          <w:tcPr>
            <w:tcW w:w="759" w:type="dxa"/>
          </w:tcPr>
          <w:p w14:paraId="3535542B" w14:textId="77777777" w:rsidR="00FE3964" w:rsidRDefault="00000000">
            <w:pPr>
              <w:pStyle w:val="WW-paragraph"/>
            </w:pPr>
            <w:r>
              <w:t>Snp</w:t>
            </w:r>
          </w:p>
        </w:tc>
        <w:tc>
          <w:tcPr>
            <w:tcW w:w="3657" w:type="dxa"/>
          </w:tcPr>
          <w:p w14:paraId="59EAB8E8" w14:textId="77777777" w:rsidR="00FE3964" w:rsidRDefault="00000000">
            <w:pPr>
              <w:pStyle w:val="WW-paragraph"/>
            </w:pPr>
            <w:r>
              <w:t>Sutta Nipāta</w:t>
            </w:r>
          </w:p>
        </w:tc>
      </w:tr>
      <w:tr w:rsidR="00FE3964" w14:paraId="7122EDF7" w14:textId="77777777" w:rsidTr="007060FA">
        <w:tc>
          <w:tcPr>
            <w:tcW w:w="759" w:type="dxa"/>
          </w:tcPr>
          <w:p w14:paraId="389B0D6F" w14:textId="77777777" w:rsidR="00FE3964" w:rsidRDefault="00000000">
            <w:pPr>
              <w:pStyle w:val="WW-paragraph"/>
            </w:pPr>
            <w:r>
              <w:t>Thag</w:t>
            </w:r>
          </w:p>
        </w:tc>
        <w:tc>
          <w:tcPr>
            <w:tcW w:w="3657" w:type="dxa"/>
          </w:tcPr>
          <w:p w14:paraId="2F5F2BE0" w14:textId="77777777" w:rsidR="00FE3964" w:rsidRDefault="00000000">
            <w:pPr>
              <w:pStyle w:val="WW-paragraph"/>
            </w:pPr>
            <w:r>
              <w:t>Theragāthā</w:t>
            </w:r>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r>
              <w:t>Therīgāthā</w:t>
            </w:r>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r>
              <w:t>Taittirīya Upaniṣad</w:t>
            </w:r>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r>
              <w:t>Taittirīya Brāhmaṇa</w:t>
            </w:r>
          </w:p>
        </w:tc>
      </w:tr>
      <w:tr w:rsidR="00FE3964" w14:paraId="17B1095F" w14:textId="77777777" w:rsidTr="007060FA">
        <w:tc>
          <w:tcPr>
            <w:tcW w:w="759" w:type="dxa"/>
          </w:tcPr>
          <w:p w14:paraId="461B8307" w14:textId="77777777" w:rsidR="00FE3964" w:rsidRDefault="00000000">
            <w:pPr>
              <w:pStyle w:val="WW-paragraph"/>
            </w:pPr>
            <w:r>
              <w:t>Ud</w:t>
            </w:r>
          </w:p>
        </w:tc>
        <w:tc>
          <w:tcPr>
            <w:tcW w:w="3657" w:type="dxa"/>
          </w:tcPr>
          <w:p w14:paraId="287E7DE9" w14:textId="77777777" w:rsidR="00FE3964" w:rsidRDefault="00000000">
            <w:pPr>
              <w:pStyle w:val="WW-paragraph"/>
            </w:pPr>
            <w:r>
              <w:t>Udāna</w:t>
            </w:r>
          </w:p>
        </w:tc>
      </w:tr>
      <w:tr w:rsidR="00FE3964" w14:paraId="4FB0FD5D" w14:textId="77777777" w:rsidTr="007060FA">
        <w:tc>
          <w:tcPr>
            <w:tcW w:w="759" w:type="dxa"/>
          </w:tcPr>
          <w:p w14:paraId="7DC13E0D" w14:textId="77777777" w:rsidR="00FE3964" w:rsidRDefault="00000000">
            <w:pPr>
              <w:pStyle w:val="WW-paragraph"/>
            </w:pPr>
            <w:r>
              <w:t>Vb</w:t>
            </w:r>
          </w:p>
        </w:tc>
        <w:tc>
          <w:tcPr>
            <w:tcW w:w="3657" w:type="dxa"/>
          </w:tcPr>
          <w:p w14:paraId="79766FEE" w14:textId="77777777" w:rsidR="00FE3964" w:rsidRDefault="00000000">
            <w:pPr>
              <w:pStyle w:val="WW-paragraph"/>
            </w:pPr>
            <w:r>
              <w:t>Abhidhamma Vibhaṅga</w:t>
            </w:r>
          </w:p>
        </w:tc>
      </w:tr>
      <w:tr w:rsidR="00FE3964" w14:paraId="17022901" w14:textId="77777777" w:rsidTr="007060FA">
        <w:trPr>
          <w:trHeight w:val="70"/>
        </w:trPr>
        <w:tc>
          <w:tcPr>
            <w:tcW w:w="759" w:type="dxa"/>
          </w:tcPr>
          <w:p w14:paraId="53F4B505" w14:textId="77777777" w:rsidR="00FE3964" w:rsidRDefault="00000000">
            <w:pPr>
              <w:pStyle w:val="WW-paragraph"/>
            </w:pPr>
            <w:r>
              <w:t>Vism</w:t>
            </w:r>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D324E" w14:textId="77777777" w:rsidR="00355870" w:rsidRDefault="00355870" w:rsidP="00422B5B">
      <w:r>
        <w:separator/>
      </w:r>
    </w:p>
  </w:endnote>
  <w:endnote w:type="continuationSeparator" w:id="0">
    <w:p w14:paraId="3F3C919F" w14:textId="77777777" w:rsidR="00355870" w:rsidRDefault="00355870"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auto"/>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D07B0" w14:textId="77777777" w:rsidR="00355870" w:rsidRDefault="00355870" w:rsidP="00AF7A6C">
      <w:r>
        <w:separator/>
      </w:r>
    </w:p>
  </w:footnote>
  <w:footnote w:type="continuationSeparator" w:id="0">
    <w:p w14:paraId="5EAB3C6F" w14:textId="77777777" w:rsidR="00355870" w:rsidRDefault="00355870"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r>
        <w:rPr>
          <w:rStyle w:val="wwc-sesame-zot-reference"/>
        </w:rPr>
        <w:t xml:space="preserve">Sunyo 2021 </w:t>
      </w:r>
    </w:p>
  </w:footnote>
  <w:footnote w:id="3">
    <w:p w14:paraId="50A43B4A" w14:textId="77777777" w:rsidR="00FE3964" w:rsidRDefault="00000000">
      <w:pPr>
        <w:pStyle w:val="FootnoteText"/>
      </w:pPr>
      <w:r>
        <w:rPr>
          <w:rStyle w:val="FootnoteCharacters"/>
        </w:rPr>
        <w:footnoteRef/>
      </w:r>
      <w:r>
        <w:t xml:space="preserve">For example </w:t>
      </w:r>
      <w:r>
        <w:rPr>
          <w:rStyle w:val="wwc-sesame-zot-reference"/>
        </w:rPr>
        <w:t>Ñāṇananda 2016</w:t>
      </w:r>
      <w:r>
        <w:t xml:space="preserve"> p.71: “What the Arahants have done is to bring consciousness to such a state where it gets no footing on name-and-form. In other words, it is the state of unestablished consciousness (</w:t>
      </w:r>
      <w:r>
        <w:rPr>
          <w:rStyle w:val="wwc-pali"/>
        </w:rPr>
        <w:t>appatiṭṭhita viññaṇa</w:t>
      </w:r>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r>
        <w:rPr>
          <w:rStyle w:val="wwc-sesame-zot-reference"/>
        </w:rPr>
        <w:t>Ṭhānissaro 2008a</w:t>
      </w:r>
      <w:r>
        <w:t xml:space="preserve"> p.118, </w:t>
      </w:r>
      <w:r>
        <w:rPr>
          <w:rStyle w:val="wwc-sesame-zot-reference"/>
        </w:rPr>
        <w:t>Pasanno</w:t>
      </w:r>
      <w:r>
        <w:t xml:space="preserve"> p.155, </w:t>
      </w:r>
      <w:r>
        <w:rPr>
          <w:rStyle w:val="wwc-sesame-zot-reference"/>
        </w:rPr>
        <w:t>Cintita</w:t>
      </w:r>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r>
        <w:rPr>
          <w:rStyle w:val="wwc-sesame-zot-reference"/>
        </w:rPr>
        <w:t>Ṭhānissaro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r>
        <w:rPr>
          <w:rStyle w:val="wwc-sesame-zot-reference"/>
        </w:rPr>
        <w:t>Sunyo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r>
        <w:rPr>
          <w:rStyle w:val="wwc-pali"/>
        </w:rPr>
        <w:t>ariya-sacca</w:t>
      </w:r>
      <w:r>
        <w:t>), because in this world […] the Truth</w:t>
      </w:r>
      <w:r>
        <w:softHyphen/>
        <w:t>finder (</w:t>
      </w:r>
      <w:r>
        <w:rPr>
          <w:rStyle w:val="wwc-pali"/>
        </w:rPr>
        <w:t>tathāgata</w:t>
      </w:r>
      <w:r>
        <w:t>) is the noble one (</w:t>
      </w:r>
      <w:r>
        <w:rPr>
          <w:rStyle w:val="wwc-pali"/>
        </w:rPr>
        <w:t>ariya</w:t>
      </w:r>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Tatra tatra</w:t>
      </w:r>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r>
        <w:rPr>
          <w:rStyle w:val="wwc-pali"/>
        </w:rPr>
        <w:t>tatra tatra</w:t>
      </w:r>
      <w: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r>
        <w:rPr>
          <w:rStyle w:val="wwc-sesame-zot-reference"/>
        </w:rPr>
        <w:t>Piyadassi</w:t>
      </w:r>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r>
        <w:rPr>
          <w:rStyle w:val="wwc-pali"/>
        </w:rPr>
        <w:t>Paṭiccasamuppādaṁ</w:t>
      </w:r>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r>
        <w:rPr>
          <w:rStyle w:val="Emphasis"/>
        </w:rPr>
        <w:t>co</w:t>
      </w:r>
      <w:r>
        <w:t xml:space="preserve">arising’, but the prefix </w:t>
      </w:r>
      <w:r>
        <w:rPr>
          <w:rStyle w:val="wwc-pali"/>
        </w:rPr>
        <w:t>saṁ</w:t>
      </w:r>
      <w:r>
        <w:t xml:space="preserve">- in </w:t>
      </w:r>
      <w:r>
        <w:rPr>
          <w:rStyle w:val="wwc-pali"/>
        </w:rPr>
        <w:t>samuppāda</w:t>
      </w:r>
      <w:r>
        <w:t xml:space="preserve"> is simply a redundancy for the following prefix up- (=</w:t>
      </w:r>
      <w:r>
        <w:rPr>
          <w:rStyle w:val="wwc-pali"/>
        </w:rPr>
        <w:t>ud</w:t>
      </w:r>
      <w:r>
        <w:t xml:space="preserve">-). As </w:t>
      </w:r>
      <w:r>
        <w:rPr>
          <w:rStyle w:val="wwc-sesame-zot-reference"/>
        </w:rPr>
        <w:t>PED</w:t>
      </w:r>
      <w:r>
        <w:t xml:space="preserve"> says under </w:t>
      </w:r>
      <w:r>
        <w:rPr>
          <w:rStyle w:val="wwc-pali"/>
        </w:rPr>
        <w:t>saṁ</w:t>
      </w:r>
      <w:r>
        <w:t xml:space="preserve">-: “very often merely pleonastic, esp. in comb[inatio]n with other prefixes.” Therefore, under </w:t>
      </w:r>
      <w:r>
        <w:rPr>
          <w:rStyle w:val="wwc-pali"/>
        </w:rPr>
        <w:t>samuppajjati</w:t>
      </w:r>
      <w:r>
        <w:t xml:space="preserve"> it simply has, “to arise, to be produced”. No other dictionary suggests ‘coarising’ either. To give some examples of the word </w:t>
      </w:r>
      <w:r>
        <w:rPr>
          <w:rStyle w:val="wwc-pali"/>
        </w:rPr>
        <w:t>samuppāda</w:t>
      </w:r>
      <w:r>
        <w:t xml:space="preserve"> in a daily-life context: </w:t>
      </w:r>
      <w:hyperlink r:id="rId16" w:anchor="YYY" w:history="1">
        <w:r>
          <w:rPr>
            <w:rStyle w:val="Hyperlink"/>
          </w:rPr>
          <w:t>SN 3.25:2.14</w:t>
        </w:r>
      </w:hyperlink>
      <w:r>
        <w:t xml:space="preserve"> mentions the arising (</w:t>
      </w:r>
      <w:r>
        <w:rPr>
          <w:rStyle w:val="wwc-pali"/>
        </w:rPr>
        <w:t>samuppanne</w:t>
      </w:r>
      <w:r>
        <w:t xml:space="preserve">) of a great peril, namely a mountain that crushes everything; </w:t>
      </w:r>
      <w:hyperlink r:id="rId17" w:anchor="YYY" w:history="1">
        <w:r>
          <w:rPr>
            <w:rStyle w:val="Hyperlink"/>
          </w:rPr>
          <w:t>AN 8.54:6.1, 6.7, 7.1, 7.7</w:t>
        </w:r>
      </w:hyperlink>
      <w:r>
        <w:t xml:space="preserve"> mentions wealth that has arisen (</w:t>
      </w:r>
      <w:r>
        <w:rPr>
          <w:rStyle w:val="wwc-pali"/>
        </w:rPr>
        <w:t>samuppannānaṁ</w:t>
      </w:r>
      <w:r>
        <w:t xml:space="preserve">); </w:t>
      </w:r>
      <w:hyperlink r:id="rId18" w:anchor="YYYhttps://suttacentral.net/XXX/en/sujato%23YYY" w:history="1">
        <w:r>
          <w:rPr>
            <w:rStyle w:val="Hyperlink"/>
          </w:rPr>
          <w:t>Kp 8:1.3</w:t>
        </w:r>
      </w:hyperlink>
      <w:r>
        <w:t xml:space="preserve"> mentions the arising (</w:t>
      </w:r>
      <w:r>
        <w:rPr>
          <w:rStyle w:val="wwc-pali"/>
        </w:rPr>
        <w:t>samuppanne</w:t>
      </w:r>
      <w:r>
        <w:t xml:space="preserve">) of a need to use stored up wealth; </w:t>
      </w:r>
      <w:hyperlink r:id="rId19" w:anchor="YYY" w:history="1">
        <w:r>
          <w:rPr>
            <w:rStyle w:val="Hyperlink"/>
          </w:rPr>
          <w:t>Thag 1.30:1.3</w:t>
        </w:r>
      </w:hyperlink>
      <w:r>
        <w:t xml:space="preserve"> mentions the arising (</w:t>
      </w:r>
      <w:r>
        <w:rPr>
          <w:rStyle w:val="wwc-pali"/>
        </w:rPr>
        <w:t>samuppanno</w:t>
      </w:r>
      <w:r>
        <w:t xml:space="preserve">) of sickness; and </w:t>
      </w:r>
      <w:hyperlink r:id="rId20" w:anchor="YYY" w:history="1">
        <w:r>
          <w:rPr>
            <w:rStyle w:val="Hyperlink"/>
          </w:rPr>
          <w:t>Iti 43:3.1</w:t>
        </w:r>
      </w:hyperlink>
      <w:r>
        <w:t xml:space="preserve"> uses ‘arisen’ (</w:t>
      </w:r>
      <w:r>
        <w:rPr>
          <w:rStyle w:val="wwc-pali"/>
        </w:rPr>
        <w:t>samuppannaṁ</w:t>
      </w:r>
      <w:r>
        <w:t>) as a synonym for ‘born’ (</w:t>
      </w:r>
      <w:r>
        <w:rPr>
          <w:rStyle w:val="wwc-pali"/>
        </w:rPr>
        <w:t>jātaṁ</w:t>
      </w:r>
      <w:r>
        <w:t>) and ‘came to be’ (</w:t>
      </w:r>
      <w:r>
        <w:rPr>
          <w:rStyle w:val="wwc-pali"/>
        </w:rPr>
        <w:t>bhūtaṁ</w:t>
      </w:r>
      <w:r>
        <w:t xml:space="preserve">). We do not speak of a coarising of sickness or wealth, nor does there seem to be a good justification, certainly not on a linguistic basis, to speak of a coarising of death, for instance. </w:t>
      </w:r>
      <w:r>
        <w:rPr>
          <w:rStyle w:val="wwc-pali"/>
        </w:rPr>
        <w:t>Samupajjati</w:t>
      </w:r>
      <w:r>
        <w:t xml:space="preserve"> is simply a synonym for </w:t>
      </w:r>
      <w:r>
        <w:rPr>
          <w:rStyle w:val="wwc-pali"/>
        </w:rPr>
        <w:t>upajjati</w:t>
      </w:r>
      <w:r>
        <w:t>, including in the context of Dependent Arising. There is also no such thing as “</w:t>
      </w:r>
      <w:r>
        <w:rPr>
          <w:rStyle w:val="wwc-pali"/>
        </w:rPr>
        <w:t>saṁ-nirodha</w:t>
      </w:r>
      <w:r>
        <w:t xml:space="preserve">” (“co-cessation”) but only </w:t>
      </w:r>
      <w:r>
        <w:rPr>
          <w:rStyle w:val="wwc-pali"/>
        </w:rPr>
        <w:t>nirodha</w:t>
      </w:r>
      <w:r>
        <w:t xml:space="preserve"> (cessation), which indicates “co-” is not intended in </w:t>
      </w:r>
      <w:r>
        <w:rPr>
          <w:rStyle w:val="wwc-pali"/>
        </w:rPr>
        <w:t>samuppāda</w:t>
      </w:r>
      <w:r>
        <w:t xml:space="preserve"> either. See also </w:t>
      </w:r>
      <w:r>
        <w:rPr>
          <w:rStyle w:val="wwc-sesame-zot-reference"/>
        </w:rPr>
        <w:t>Jones 2021</w:t>
      </w:r>
      <w:r>
        <w:t xml:space="preserve"> p.234: “When translating the expression </w:t>
      </w:r>
      <w:r>
        <w:rPr>
          <w:rStyle w:val="wwc-pali"/>
        </w:rPr>
        <w:t xml:space="preserve">paṭicca-samuppāda </w:t>
      </w:r>
      <w:r>
        <w:t xml:space="preserve">in the Pāli Canon, it therefore seems inappropriate to use words like ‘coarising’ or ‘co-production’.” </w:t>
      </w:r>
      <w:r>
        <w:rPr>
          <w:rStyle w:val="wwc-sesame-zot-reference"/>
        </w:rPr>
        <w:t>Schmithausen 1997</w:t>
      </w:r>
      <w:r>
        <w:t xml:space="preserve"> n.73 similarly concluded: “It is not probable that the prefix </w:t>
      </w:r>
      <w:r>
        <w:rPr>
          <w:rStyle w:val="wwc-pali"/>
        </w:rPr>
        <w:t>saṁ</w:t>
      </w:r>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r>
          <w:rPr>
            <w:rStyle w:val="Hyperlink"/>
          </w:rPr>
          <w:t>Ud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r>
        <w:rPr>
          <w:rStyle w:val="wwc-pali"/>
        </w:rPr>
        <w:t>Imasmiṁ sati idaṁ hoti</w:t>
      </w:r>
      <w:r>
        <w:t>, ‘There will be this (</w:t>
      </w:r>
      <w:r>
        <w:rPr>
          <w:rStyle w:val="wwc-pali"/>
        </w:rPr>
        <w:t>idaṁ hoti</w:t>
      </w:r>
      <w:r>
        <w:t>), only if there is that (</w:t>
      </w:r>
      <w:r>
        <w:rPr>
          <w:rStyle w:val="wwc-pali"/>
        </w:rPr>
        <w:t>imasmiṁ sati</w:t>
      </w:r>
      <w:r>
        <w:t xml:space="preserve">)’. The clause </w:t>
      </w:r>
      <w:r>
        <w:rPr>
          <w:rStyle w:val="wwc-pali"/>
        </w:rPr>
        <w:t>imasmiṁ sati</w:t>
      </w:r>
      <w: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t xml:space="preserve">). But this misses the fact that the locative absolute, although it can have temporal connotations, can also form a conditional. </w:t>
      </w:r>
      <w:r>
        <w:rPr>
          <w:rStyle w:val="wwc-sesame-zot-reference"/>
        </w:rPr>
        <w:t>Wijesekera 1993</w:t>
      </w:r>
      <w:r>
        <w:t xml:space="preserve"> §184 states: “the temporal notion is not the only idea expressed by the loc[ative]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r>
        <w:rPr>
          <w:rStyle w:val="wwc-sesame-zot-reference"/>
        </w:rPr>
        <w:t>Duroiselle</w:t>
      </w:r>
      <w:r>
        <w:t xml:space="preserve"> §603 iii: “</w:t>
      </w:r>
      <w:r>
        <w:rPr>
          <w:rStyle w:val="wwc-pali"/>
        </w:rPr>
        <w:t>Sati</w:t>
      </w:r>
      <w:r>
        <w:t xml:space="preserve">, the locative singular of </w:t>
      </w:r>
      <w:r>
        <w:rPr>
          <w:rStyle w:val="wwc-pali"/>
        </w:rPr>
        <w:t>santo</w:t>
      </w:r>
      <w:r>
        <w:t xml:space="preserve"> […] may also often be translated by ‘if, such being the case’.” This conditional meaning applies here. The clause </w:t>
      </w:r>
      <w:r>
        <w:rPr>
          <w:rStyle w:val="wwc-pali"/>
        </w:rPr>
        <w:t>imasmiṁ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r>
        <w:rPr>
          <w:rStyle w:val="wwc-pali"/>
        </w:rPr>
        <w:t>paccayatā</w:t>
      </w:r>
      <w:r>
        <w:t>) on something (</w:t>
      </w:r>
      <w:r>
        <w:rPr>
          <w:rStyle w:val="wwc-pali"/>
        </w:rPr>
        <w:t>idap</w:t>
      </w:r>
      <w:r>
        <w:t xml:space="preserve">)’. The term </w:t>
      </w:r>
      <w:r>
        <w:rPr>
          <w:rStyle w:val="wwc-pali"/>
        </w:rPr>
        <w:t>idappaccayatā</w:t>
      </w:r>
      <w: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willful actions. </w:t>
      </w:r>
      <w:r>
        <w:rPr>
          <w:rStyle w:val="wwc-sesame-zot-reference"/>
        </w:rPr>
        <w:t>Jones 2022</w:t>
      </w:r>
      <w:r>
        <w:t xml:space="preserve"> p.135 agreed: “To understand them as a causal sequence, whereby ignorance is the cause of the inherited conditioning factors (</w:t>
      </w:r>
      <w:r>
        <w:rPr>
          <w:rStyle w:val="wwc-pali"/>
        </w:rPr>
        <w:t>saṅkhārā</w:t>
      </w:r>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r>
        <w:rPr>
          <w:rStyle w:val="wwc-pali"/>
        </w:rPr>
        <w:t>paṭicca</w:t>
      </w:r>
      <w:r>
        <w:t xml:space="preserve"> and </w:t>
      </w:r>
      <w:r>
        <w:rPr>
          <w:rStyle w:val="wwc-pali"/>
        </w:rPr>
        <w:t>paccaya</w:t>
      </w:r>
      <w:r>
        <w:t xml:space="preserve"> also do not indicate what we normally call ‘causes’. It is said that the body depends on (</w:t>
      </w:r>
      <w:r>
        <w:rPr>
          <w:rStyle w:val="wwc-pali"/>
        </w:rPr>
        <w:t>paṭicca</w:t>
      </w:r>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r>
        <w:rPr>
          <w:rStyle w:val="wwc-pali"/>
        </w:rPr>
        <w:t>paṭicca</w:t>
      </w:r>
      <w:r>
        <w:t>) fuel. (</w:t>
      </w:r>
      <w:hyperlink w:anchor="bqseg102">
        <w:r>
          <w:rPr>
            <w:rStyle w:val="Hyperlink"/>
          </w:rPr>
          <w:t>§102</w:t>
        </w:r>
      </w:hyperlink>
      <w:r>
        <w:t xml:space="preserve">) Fuel by itself does not really </w:t>
      </w:r>
      <w:r>
        <w:rPr>
          <w:rStyle w:val="Emphasis"/>
        </w:rPr>
        <w:t>cause</w:t>
      </w:r>
      <w:r>
        <w:t xml:space="preserve"> fire either. As to </w:t>
      </w:r>
      <w:r>
        <w:rPr>
          <w:rStyle w:val="wwc-pali"/>
        </w:rPr>
        <w:t>paccaya</w:t>
      </w:r>
      <w:r>
        <w:t>, a noble disciple is said to be ‘not dependent on others’ (</w:t>
      </w:r>
      <w:r>
        <w:rPr>
          <w:rStyle w:val="wwc-pali"/>
        </w:rPr>
        <w:t>aparappaccaya</w:t>
      </w:r>
      <w:r>
        <w:t>). These and other everyday uses of the words also indicate that Dependent Arising is about dependencies, not causalities, at least not in the way the word ‘cause’ is sometimes understood.</w:t>
      </w:r>
    </w:p>
    <w:p w14:paraId="57650084" w14:textId="77777777" w:rsidR="00FE3964" w:rsidRDefault="00000000">
      <w:pPr>
        <w:pStyle w:val="FootnoteText"/>
      </w:pPr>
      <w:r>
        <w:t xml:space="preserve">The word </w:t>
      </w:r>
      <w:r>
        <w:rPr>
          <w:rStyle w:val="wwc-pali"/>
        </w:rPr>
        <w:t>nidāna</w:t>
      </w:r>
      <w:r>
        <w:t xml:space="preserve"> is sometimes also translated as ‘cause’, particularly in the title of the </w:t>
      </w:r>
      <w:r>
        <w:rPr>
          <w:rStyle w:val="wwc-sesame"/>
        </w:rPr>
        <w:t>Mahānidāna Sutta</w:t>
      </w:r>
      <w:r>
        <w:t xml:space="preserve">, then called ‘The Great Discourse on Causality’. But a common translation for the word itself is ‘source’, which I think is more accurate. See for example </w:t>
      </w:r>
      <w:r>
        <w:rPr>
          <w:rStyle w:val="wwc-sesame-zot-reference"/>
        </w:rPr>
        <w:t>Sujato 2023</w:t>
      </w:r>
      <w:r>
        <w:t xml:space="preserve"> at </w:t>
      </w:r>
      <w:hyperlink r:id="rId30" w:anchor="YYY" w:history="1">
        <w:r>
          <w:rPr>
            <w:rStyle w:val="Hyperlink"/>
          </w:rPr>
          <w:t>AN 3.34</w:t>
        </w:r>
      </w:hyperlink>
      <w:r>
        <w:t xml:space="preserve">, </w:t>
      </w:r>
      <w:r>
        <w:rPr>
          <w:rStyle w:val="Emphasis"/>
        </w:rPr>
        <w:t>Nidāna Sutta</w:t>
      </w:r>
      <w:r>
        <w:t xml:space="preserve">, titled ‘Sources’. As another example, discourses stemming from Sāvatthi are called </w:t>
      </w:r>
      <w:r>
        <w:rPr>
          <w:rStyle w:val="Emphasis"/>
        </w:rPr>
        <w:t>Sāvatthi-nidānaṁ</w:t>
      </w:r>
      <w:r>
        <w:t xml:space="preserve">. In this light, the </w:t>
      </w:r>
      <w:r>
        <w:rPr>
          <w:rStyle w:val="wwc-sesame"/>
        </w:rPr>
        <w:t>Mahānidāna Sutta</w:t>
      </w:r>
      <w:r>
        <w:t xml:space="preserve"> should be called something like ‘The Great Discourse on the Sources [of things]’, although that definitely doesn’t sound as good. </w:t>
      </w:r>
      <w:r>
        <w:rPr>
          <w:rStyle w:val="wwc-sesame-zot-reference"/>
        </w:rPr>
        <w:t>Schmithausen 2000</w:t>
      </w:r>
      <w:r>
        <w:t xml:space="preserve"> calls it the Great Discourse on the Underlying Factors (</w:t>
      </w:r>
      <w:r>
        <w:rPr>
          <w:rStyle w:val="Emphasis"/>
        </w:rPr>
        <w:t>Großen Lehrrede von den zugrundeliegenden Factoren</w:t>
      </w:r>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t xml:space="preserve"> and ‘requirement’ for </w:t>
      </w:r>
      <w:r>
        <w:rPr>
          <w:rStyle w:val="wwc-pali"/>
        </w:rPr>
        <w:t>paccaya</w:t>
      </w:r>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r>
        <w:rPr>
          <w:rStyle w:val="wwc-sesame-zot-reference"/>
        </w:rPr>
        <w:t>Brahmavamso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Wikipedia s.v.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r>
        <w:rPr>
          <w:rStyle w:val="wwc-sesame"/>
        </w:rPr>
        <w:t>Vism</w:t>
      </w:r>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r>
        <w:rPr>
          <w:rStyle w:val="wwc-sesame-zot-reference"/>
        </w:rPr>
        <w:t>Frauwallner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r>
        <w:rPr>
          <w:rStyle w:val="wwc-sesame-zot-reference"/>
        </w:rPr>
        <w:t>Mejor</w:t>
      </w:r>
      <w:r>
        <w:t xml:space="preserve"> p.123, </w:t>
      </w:r>
      <w:r w:rsidR="00152346">
        <w:br/>
      </w:r>
      <w:r>
        <w:rPr>
          <w:rStyle w:val="wwc-sesame-zot-reference"/>
        </w:rPr>
        <w:t>Schmithausen 2000</w:t>
      </w:r>
      <w:r>
        <w:t xml:space="preserve"> p.45, </w:t>
      </w:r>
      <w:r w:rsidR="00152346">
        <w:br/>
      </w:r>
      <w:r>
        <w:rPr>
          <w:rStyle w:val="wwc-sesame-zot-reference"/>
        </w:rPr>
        <w:t>Jurewicz</w:t>
      </w:r>
      <w:r>
        <w:t xml:space="preserve"> p.177, </w:t>
      </w:r>
      <w:r w:rsidR="00152346">
        <w:br/>
      </w:r>
      <w:r>
        <w:rPr>
          <w:rStyle w:val="wwc-sesame-zot-reference"/>
        </w:rPr>
        <w:t>Ronkin</w:t>
      </w:r>
      <w:r>
        <w:t xml:space="preserve"> n.43 p.238, </w:t>
      </w:r>
      <w:r w:rsidR="00152346">
        <w:br/>
      </w:r>
      <w:r>
        <w:rPr>
          <w:rStyle w:val="wwc-sesame-zot-reference"/>
        </w:rPr>
        <w:t>Shulman</w:t>
      </w:r>
      <w:r>
        <w:t xml:space="preserve"> p.89 n.71, </w:t>
      </w:r>
      <w:r w:rsidR="00152346">
        <w:br/>
      </w:r>
      <w:r>
        <w:rPr>
          <w:rStyle w:val="wwc-sesame-zot-reference"/>
        </w:rPr>
        <w:t>Gombrich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r>
        <w:rPr>
          <w:rStyle w:val="wwc-sesame-zot-reference"/>
        </w:rPr>
        <w:t>Frauwallner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r>
        <w:rPr>
          <w:rStyle w:val="wwc-sesame"/>
        </w:rPr>
        <w:t>Vism</w:t>
      </w:r>
      <w:r>
        <w:t xml:space="preserve"> 525</w:t>
      </w:r>
    </w:p>
  </w:footnote>
  <w:footnote w:id="48">
    <w:p w14:paraId="56671AEF" w14:textId="77777777" w:rsidR="00FE3964" w:rsidRDefault="00000000">
      <w:pPr>
        <w:pStyle w:val="FootnoteText"/>
      </w:pPr>
      <w:r>
        <w:rPr>
          <w:rStyle w:val="FootnoteCharacters"/>
        </w:rPr>
        <w:footnoteRef/>
      </w:r>
      <w:r>
        <w:t xml:space="preserve">See also </w:t>
      </w:r>
      <w:r>
        <w:rPr>
          <w:rStyle w:val="wwc-sesame-zot-reference"/>
        </w:rPr>
        <w:t>Ronkin</w:t>
      </w:r>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discernable beginning. For the synonymity see for example </w:t>
      </w:r>
      <w:hyperlink r:id="rId40" w:anchor="YYY" w:history="1">
        <w:r>
          <w:rPr>
            <w:rStyle w:val="Hyperlink"/>
          </w:rPr>
          <w:t>AN 3.66:11.1–13.1</w:t>
        </w:r>
      </w:hyperlink>
      <w:r>
        <w:t>: “‘Salha,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r>
          <w:rPr>
            <w:rStyle w:val="Hyperlink"/>
          </w:rPr>
          <w:t>Snp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r>
        <w:rPr>
          <w:rStyle w:val="wwc-pali"/>
        </w:rPr>
        <w:t>Avijjānīvaraṇānaṁ sattānaṁ taṇhāsaṁyojanānaṁ sandhāvataṁ saṁsarataṁ</w:t>
      </w:r>
      <w:r>
        <w:t xml:space="preserve">, more literally ‘the transmigration and roaming around of beings who are obstructed by ignorance and chained by craving’, for in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r>
          <w:rPr>
            <w:rStyle w:val="Hyperlink"/>
          </w:rPr>
          <w:t>Thag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r>
          <w:rPr>
            <w:rStyle w:val="Hyperlink"/>
          </w:rPr>
          <w:t>Dhp 337</w:t>
        </w:r>
      </w:hyperlink>
      <w:r>
        <w:t xml:space="preserve">, </w:t>
      </w:r>
      <w:hyperlink r:id="rId74" w:anchor="YYY" w:history="1">
        <w:r>
          <w:rPr>
            <w:rStyle w:val="Hyperlink"/>
          </w:rPr>
          <w:t>Dhp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r>
          <w:rPr>
            <w:rStyle w:val="Hyperlink"/>
          </w:rPr>
          <w:t>Snp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r>
        <w:rPr>
          <w:rStyle w:val="wwc-sesame-zot-reference"/>
        </w:rPr>
        <w:t>Ñāṇavīra</w:t>
      </w:r>
      <w:r>
        <w:t xml:space="preserve"> p.19, </w:t>
      </w:r>
      <w:r w:rsidR="00BE2D6A">
        <w:br/>
      </w:r>
      <w:r>
        <w:rPr>
          <w:rStyle w:val="wwc-sesame-zot-reference"/>
        </w:rPr>
        <w:t>Ñāṇananda 2015</w:t>
      </w:r>
      <w:r>
        <w:t xml:space="preserve"> p.56, </w:t>
      </w:r>
      <w:r w:rsidR="00BE2D6A">
        <w:br/>
      </w:r>
      <w:r>
        <w:rPr>
          <w:rStyle w:val="wwc-sesame-zot-reference"/>
        </w:rPr>
        <w:t>Brasington</w:t>
      </w:r>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r>
        <w:rPr>
          <w:rStyle w:val="wwc-sesame-zot-reference"/>
        </w:rPr>
        <w:t>Dhammika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r>
        <w:rPr>
          <w:rStyle w:val="wwc-sesame"/>
        </w:rPr>
        <w:t>Vism</w:t>
      </w:r>
      <w:r>
        <w:t xml:space="preserve"> 571. In contrast, </w:t>
      </w:r>
      <w:r>
        <w:rPr>
          <w:rStyle w:val="wwc-sesame"/>
        </w:rPr>
        <w:t>Vism</w:t>
      </w:r>
      <w:r>
        <w:t xml:space="preserve"> 414 explains ‘birth’ as the continuity of the </w:t>
      </w:r>
      <w:r>
        <w:rPr>
          <w:rStyle w:val="wwc-pali"/>
        </w:rPr>
        <w:t>khandhas</w:t>
      </w:r>
      <w:r>
        <w:t xml:space="preserve"> in a single existence (</w:t>
      </w:r>
      <w:r>
        <w:rPr>
          <w:rStyle w:val="wwc-pali"/>
        </w:rPr>
        <w:t>ekabhava</w:t>
      </w:r>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r>
        <w:rPr>
          <w:rStyle w:val="wwc-sesame-zot-reference"/>
        </w:rPr>
        <w:t>Schmithausen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r>
        <w:rPr>
          <w:rStyle w:val="wwc-sesame-zot-reference"/>
        </w:rPr>
        <w:t>Somaratne</w:t>
      </w:r>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r>
        <w:rPr>
          <w:rStyle w:val="wwc-sanskrit"/>
        </w:rPr>
        <w:t>skandha</w:t>
      </w:r>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r>
          <w:rPr>
            <w:rStyle w:val="Hyperlink"/>
          </w:rPr>
          <w:t>Thag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r>
          <w:rPr>
            <w:rStyle w:val="Hyperlink"/>
          </w:rPr>
          <w:t>Kp 6:9.1–9.4</w:t>
        </w:r>
      </w:hyperlink>
      <w:r>
        <w:t xml:space="preserve">, </w:t>
      </w:r>
      <w:hyperlink r:id="rId110" w:anchor="YYY" w:history="1">
        <w:r>
          <w:rPr>
            <w:rStyle w:val="Hyperlink"/>
          </w:rPr>
          <w:t>Snp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r>
        <w:rPr>
          <w:rStyle w:val="wwc-sesame-zot-reference"/>
        </w:rPr>
        <w:t>Sunyo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r>
        <w:rPr>
          <w:rStyle w:val="wwc-pali"/>
        </w:rPr>
        <w:t>saṁbhāvesīnaṁ</w:t>
      </w:r>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r>
          <w:rPr>
            <w:rStyle w:val="Hyperlink"/>
          </w:rPr>
          <w:t>Thag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r>
        <w:rPr>
          <w:rStyle w:val="wwc-pali"/>
        </w:rPr>
        <w:t>Okkanti</w:t>
      </w:r>
      <w:r>
        <w:t xml:space="preserve"> [an alternative spelling of </w:t>
      </w:r>
      <w:r>
        <w:rPr>
          <w:rStyle w:val="wwc-pali"/>
        </w:rPr>
        <w:t>avakkanti</w:t>
      </w:r>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e.g </w:t>
      </w:r>
      <w:r>
        <w:rPr>
          <w:rStyle w:val="wwc-sesame-zot-reference"/>
        </w:rPr>
        <w:t>Langer</w:t>
      </w:r>
      <w:r>
        <w:t xml:space="preserve"> p.12, </w:t>
      </w:r>
      <w:r>
        <w:rPr>
          <w:rStyle w:val="wwc-sesame-zot-reference"/>
        </w:rPr>
        <w:t>Sujato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r>
        <w:rPr>
          <w:rStyle w:val="wwc-sesame-zot-reference"/>
        </w:rPr>
        <w:t>Anālayo 2010</w:t>
      </w:r>
      <w:r>
        <w:t xml:space="preserve"> p.254, n.243. See further </w:t>
      </w:r>
      <w:r>
        <w:rPr>
          <w:rStyle w:val="wwc-sesame-zot-reference"/>
        </w:rPr>
        <w:t>Anālayo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r>
        <w:rPr>
          <w:rStyle w:val="wwc-sesame-zot-reference"/>
        </w:rPr>
        <w:t>Anālayo 2022(a)</w:t>
      </w:r>
    </w:p>
  </w:footnote>
  <w:footnote w:id="105">
    <w:p w14:paraId="12624EA9" w14:textId="77777777" w:rsidR="00FE3964" w:rsidRDefault="00000000">
      <w:pPr>
        <w:pStyle w:val="FootnoteText"/>
      </w:pPr>
      <w:r>
        <w:rPr>
          <w:rStyle w:val="FootnoteCharacters"/>
        </w:rPr>
        <w:footnoteRef/>
      </w:r>
      <w:r>
        <w:rPr>
          <w:rStyle w:val="wwc-sesame-zot-reference"/>
        </w:rPr>
        <w:t>Wijesekera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r>
        <w:rPr>
          <w:rStyle w:val="wwc-sesame-zot-reference"/>
        </w:rPr>
        <w:t>Kalupahana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46E26635"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‘Remembering Past Lives’ in Brahmavamso 2006</w:t>
      </w:r>
      <w:r w:rsidR="00C54982">
        <w:rPr>
          <w:rStyle w:val="wwc-sesame"/>
        </w:rPr>
        <w:t>,</w:t>
      </w:r>
      <w:r>
        <w:rPr>
          <w:rStyle w:val="wwc-sesame"/>
        </w:rPr>
        <w:t xml:space="preserve"> Chapter 13</w:t>
      </w:r>
      <w:r>
        <w:t>.</w:t>
      </w:r>
    </w:p>
  </w:footnote>
  <w:footnote w:id="111">
    <w:p w14:paraId="74C3B285" w14:textId="77777777" w:rsidR="00FE3964" w:rsidRDefault="00000000">
      <w:pPr>
        <w:pStyle w:val="FootnoteText"/>
      </w:pPr>
      <w:r>
        <w:rPr>
          <w:rStyle w:val="FootnoteCharacters"/>
        </w:rPr>
        <w:footnoteRef/>
      </w:r>
      <w:r>
        <w:rPr>
          <w:rStyle w:val="wwc-sesame-zot-reference"/>
        </w:rPr>
        <w:t>Frauwallner 1953/1973</w:t>
      </w:r>
      <w:r>
        <w:t xml:space="preserve"> p.163</w:t>
      </w:r>
    </w:p>
  </w:footnote>
  <w:footnote w:id="112">
    <w:p w14:paraId="12A48065" w14:textId="77777777" w:rsidR="00FE3964" w:rsidRDefault="00000000">
      <w:pPr>
        <w:pStyle w:val="FootnoteText"/>
      </w:pPr>
      <w:r>
        <w:rPr>
          <w:rStyle w:val="FootnoteCharacters"/>
        </w:rPr>
        <w:footnoteRef/>
      </w:r>
      <w:r>
        <w:rPr>
          <w:rStyle w:val="wwc-sesame-zot-reference"/>
        </w:rPr>
        <w:t>Reat</w:t>
      </w:r>
      <w:r>
        <w:t xml:space="preserve"> p.15. Reat’s specific conclusions about </w:t>
      </w:r>
      <w:r>
        <w:rPr>
          <w:rStyle w:val="wwc-pali"/>
        </w:rPr>
        <w:t>nāmarūpa</w:t>
      </w:r>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r>
        <w:rPr>
          <w:rStyle w:val="wwc-sesame-zot-reference"/>
        </w:rPr>
        <w:t>Olalde 2014</w:t>
      </w:r>
      <w:r>
        <w:t xml:space="preserve"> p.40 (translation mine): “As a substantive </w:t>
      </w:r>
      <w:r>
        <w:rPr>
          <w:rStyle w:val="wwc-pali"/>
        </w:rPr>
        <w:t>bahubbīhi</w:t>
      </w:r>
      <w:r>
        <w:t xml:space="preserve"> [compound] it means ‘that which has a name and form’.” </w:t>
      </w:r>
      <w:r>
        <w:rPr>
          <w:rStyle w:val="wwc-pali"/>
        </w:rPr>
        <w:t>Bahubbīhi</w:t>
      </w:r>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r>
        <w:rPr>
          <w:rStyle w:val="wwc-pali"/>
        </w:rPr>
        <w:t>rūpa</w:t>
      </w:r>
      <w:r>
        <w:t xml:space="preserve"> is explained as: “The four elements and the form derived from the four elements: that is what’s called </w:t>
      </w:r>
      <w:r>
        <w:rPr>
          <w:rStyle w:val="wwc-pali"/>
        </w:rPr>
        <w:t>rūpa</w:t>
      </w:r>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r>
        <w:rPr>
          <w:rStyle w:val="wwc-sesame-zot-reference"/>
        </w:rPr>
        <w:t>Olalde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r>
        <w:rPr>
          <w:rStyle w:val="wwc-pali"/>
        </w:rPr>
        <w:t>nāma</w:t>
      </w:r>
      <w:r>
        <w:t xml:space="preserve"> is purely mental (</w:t>
      </w:r>
      <w:r>
        <w:rPr>
          <w:rStyle w:val="wwc-pali"/>
        </w:rPr>
        <w:t>cetasika</w:t>
      </w:r>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r>
        <w:rPr>
          <w:rStyle w:val="wwc-pali"/>
        </w:rPr>
        <w:t>nāma</w:t>
      </w:r>
      <w:r>
        <w:t xml:space="preserve"> and </w:t>
      </w:r>
      <w:r>
        <w:rPr>
          <w:rStyle w:val="wwc-pali"/>
        </w:rPr>
        <w:t>citta</w:t>
      </w:r>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r w:rsidRPr="000440B7">
        <w:rPr>
          <w:rStyle w:val="wwc-sesame-zot-reference"/>
        </w:rPr>
        <w:t>Olalde</w:t>
      </w:r>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r>
        <w:rPr>
          <w:rStyle w:val="wwc-sesame-zot-reference"/>
        </w:rPr>
        <w:t>Olivelle</w:t>
      </w:r>
    </w:p>
  </w:footnote>
  <w:footnote w:id="124">
    <w:p w14:paraId="01700ACC" w14:textId="77777777" w:rsidR="00FE3964" w:rsidRDefault="00000000">
      <w:pPr>
        <w:pStyle w:val="FootnoteText"/>
      </w:pPr>
      <w:r>
        <w:rPr>
          <w:rStyle w:val="FootnoteCharacters"/>
        </w:rPr>
        <w:footnoteRef/>
      </w:r>
      <w:r>
        <w:t xml:space="preserve">TB 3.12.7, see also </w:t>
      </w:r>
      <w:r>
        <w:rPr>
          <w:rStyle w:val="wwc-sesame-zot-reference"/>
        </w:rPr>
        <w:t>Frauwallner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r>
        <w:rPr>
          <w:rStyle w:val="wwc-sesame-zot-reference"/>
        </w:rPr>
        <w:t>Olalde 2014</w:t>
      </w:r>
      <w:r>
        <w:t xml:space="preserve"> p.12</w:t>
      </w:r>
    </w:p>
  </w:footnote>
  <w:footnote w:id="126">
    <w:p w14:paraId="35BDC84B" w14:textId="77777777" w:rsidR="00FE3964" w:rsidRDefault="00000000">
      <w:pPr>
        <w:pStyle w:val="FootnoteText"/>
      </w:pPr>
      <w:r>
        <w:rPr>
          <w:rStyle w:val="FootnoteCharacters"/>
        </w:rPr>
        <w:footnoteRef/>
      </w:r>
      <w:r>
        <w:rPr>
          <w:rStyle w:val="wwc-sesame-zot-reference"/>
        </w:rPr>
        <w:t>Olalde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r>
        <w:rPr>
          <w:rStyle w:val="wwc-sesame-zot-reference"/>
        </w:rPr>
        <w:t>Jurewicz</w:t>
      </w:r>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r>
        <w:rPr>
          <w:rStyle w:val="wwc-sesame-zot-reference"/>
        </w:rPr>
        <w:t>Olivelle</w:t>
      </w:r>
    </w:p>
  </w:footnote>
  <w:footnote w:id="133">
    <w:p w14:paraId="0AE50C25" w14:textId="77777777" w:rsidR="00FE3964" w:rsidRDefault="00000000">
      <w:pPr>
        <w:pStyle w:val="FootnoteText"/>
      </w:pPr>
      <w:r>
        <w:rPr>
          <w:rStyle w:val="FootnoteCharacters"/>
        </w:rPr>
        <w:footnoteRef/>
      </w:r>
      <w:r>
        <w:rPr>
          <w:rStyle w:val="wwc-sesame-zot-reference"/>
        </w:rPr>
        <w:t>Jurewicz</w:t>
      </w:r>
      <w:r>
        <w:t xml:space="preserve"> p.90</w:t>
      </w:r>
    </w:p>
  </w:footnote>
  <w:footnote w:id="134">
    <w:p w14:paraId="100FACD4" w14:textId="77777777" w:rsidR="00FE3964" w:rsidRDefault="00000000">
      <w:pPr>
        <w:pStyle w:val="FootnoteText"/>
      </w:pPr>
      <w:r>
        <w:rPr>
          <w:rStyle w:val="FootnoteCharacters"/>
        </w:rPr>
        <w:footnoteRef/>
      </w:r>
      <w:r>
        <w:rPr>
          <w:rStyle w:val="wwc-sesame-zot-reference"/>
        </w:rPr>
        <w:t>Frauwallner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r>
        <w:rPr>
          <w:rStyle w:val="wwc-sesame-zot-reference"/>
        </w:rPr>
        <w:t>Olalde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r>
        <w:rPr>
          <w:rStyle w:val="wwc-sesame-zot-reference"/>
        </w:rPr>
        <w:t>Olalde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r>
        <w:rPr>
          <w:rStyle w:val="wwc-sesame-zot-reference"/>
        </w:rPr>
        <w:t>Gombrich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r>
          <w:rPr>
            <w:rStyle w:val="Hyperlink"/>
          </w:rPr>
          <w:t>Vb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‘Vedanā’ti vedanākkhandho. ‘Saññā’ti saññākkhandho. ‘Cetanā phasso manasikāro’ti saṅkhārakkhandho veditabbo</w:t>
      </w:r>
      <w:r>
        <w:t xml:space="preserve">, “‘Sensation’ is the aggregate of sensation. ‘Perception’ is the aggregate of perception. ‘Intention, sense impression, and attention’ should be understood as the aggregate of </w:t>
      </w:r>
      <w:r>
        <w:rPr>
          <w:rStyle w:val="wwc-pali"/>
        </w:rPr>
        <w:t>saṅkhāra</w:t>
      </w:r>
      <w:r>
        <w:t>.</w:t>
      </w:r>
    </w:p>
  </w:footnote>
  <w:footnote w:id="147">
    <w:p w14:paraId="24D00784" w14:textId="77777777" w:rsidR="00FE3964" w:rsidRDefault="00000000">
      <w:pPr>
        <w:pStyle w:val="FootnoteText"/>
      </w:pPr>
      <w:r>
        <w:rPr>
          <w:rStyle w:val="FootnoteCharacters"/>
        </w:rPr>
        <w:footnoteRef/>
      </w:r>
      <w:r>
        <w:t xml:space="preserve">T1548.28.689a20; </w:t>
      </w:r>
      <w:r>
        <w:rPr>
          <w:rStyle w:val="wwc-sesame-zot-reference"/>
        </w:rPr>
        <w:t>Frauwallner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r>
        <w:t>Pṭs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r>
        <w:rPr>
          <w:rStyle w:val="wwc-pali"/>
        </w:rPr>
        <w:t>cakkhu</w:t>
      </w:r>
      <w:r>
        <w:t xml:space="preserve"> as ‘the sense of sight’, and likewise for the other senses. </w:t>
      </w:r>
      <w:r>
        <w:rPr>
          <w:rStyle w:val="wwc-sesame-zot-reference"/>
        </w:rPr>
        <w:t>Olivelle</w:t>
      </w:r>
      <w:r>
        <w:t xml:space="preserve"> p.22 notes on the </w:t>
      </w:r>
      <w:r>
        <w:rPr>
          <w:rStyle w:val="wwc-sesame"/>
        </w:rPr>
        <w:t>Upaniṣads</w:t>
      </w:r>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t xml:space="preserve"> and </w:t>
      </w:r>
      <w:r>
        <w:rPr>
          <w:rStyle w:val="wwc-sanskrit"/>
        </w:rPr>
        <w:t>śrotra</w:t>
      </w:r>
      <w:r>
        <w:t xml:space="preserve"> for sight and hearing, and </w:t>
      </w:r>
      <w:r>
        <w:rPr>
          <w:rStyle w:val="wwc-sanskrit"/>
        </w:rPr>
        <w:t>akṣan</w:t>
      </w:r>
      <w:r>
        <w:t xml:space="preserve"> and </w:t>
      </w:r>
      <w:r>
        <w:rPr>
          <w:rStyle w:val="wwc-sanskrit"/>
        </w:rPr>
        <w:t>karṇa</w:t>
      </w:r>
      <w:r>
        <w:t xml:space="preserve"> for eye and ear, respectively.” I think this distinction is to some extent also present in the Pāli suttas, with the respective terms being </w:t>
      </w:r>
      <w:r>
        <w:rPr>
          <w:rStyle w:val="wwc-pali"/>
        </w:rPr>
        <w:t>cakkhu</w:t>
      </w:r>
      <w:r>
        <w:t xml:space="preserve"> and </w:t>
      </w:r>
      <w:r>
        <w:rPr>
          <w:rStyle w:val="wwc-pali"/>
        </w:rPr>
        <w:t>sota</w:t>
      </w:r>
      <w:r>
        <w:t xml:space="preserve">, and </w:t>
      </w:r>
      <w:r>
        <w:rPr>
          <w:rStyle w:val="wwc-pali"/>
        </w:rPr>
        <w:t>akkhi</w:t>
      </w:r>
      <w:r>
        <w:t xml:space="preserve"> and </w:t>
      </w:r>
      <w:r>
        <w:rPr>
          <w:rStyle w:val="wwc-pali"/>
        </w:rPr>
        <w:t>kaṇṇa</w:t>
      </w:r>
      <w:r>
        <w:t xml:space="preserve">. </w:t>
      </w:r>
      <w:r>
        <w:rPr>
          <w:rStyle w:val="wwc-sesame-zot-reference"/>
        </w:rPr>
        <w:t>Hamilton</w:t>
      </w:r>
      <w:r>
        <w:t xml:space="preserve"> p.18 similarly states: “One might suggest that what is referred to [in the Pāli suttas] by the terms </w:t>
      </w:r>
      <w:r>
        <w:rPr>
          <w:rStyle w:val="wwc-pali"/>
        </w:rPr>
        <w:t>cakkhu, sota, ghāna</w:t>
      </w:r>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r>
        <w:rPr>
          <w:rStyle w:val="wwc-sesame-zot-reference"/>
        </w:rPr>
        <w:t>Frauwallner 1953/1973</w:t>
      </w:r>
      <w:r>
        <w:t xml:space="preserve"> p.158: “By [</w:t>
      </w:r>
      <w:r>
        <w:rPr>
          <w:rStyle w:val="wwc-pali"/>
        </w:rPr>
        <w:t>saḷāyatana</w:t>
      </w:r>
      <w:r>
        <w:t xml:space="preserve"> in Dependent Arising] are meant the six inner spheres, i.e., the six sense organs.” Also </w:t>
      </w:r>
      <w:r>
        <w:rPr>
          <w:rStyle w:val="wwc-sesame-zot-reference"/>
        </w:rPr>
        <w:t>Hamilton</w:t>
      </w:r>
      <w:r>
        <w:t xml:space="preserve"> p.16: “In the </w:t>
      </w:r>
      <w:r>
        <w:rPr>
          <w:rStyle w:val="wwc-sesame"/>
        </w:rPr>
        <w:t>Saḷāyatana Vagga</w:t>
      </w:r>
      <w:r>
        <w:t xml:space="preserve"> of the </w:t>
      </w:r>
      <w:r>
        <w:rPr>
          <w:rStyle w:val="wwc-sesame"/>
        </w:rPr>
        <w:t>Saṁyutta Nikāya</w:t>
      </w:r>
      <w:r>
        <w:t xml:space="preserve">, the six senses are defined as being </w:t>
      </w:r>
      <w:r>
        <w:rPr>
          <w:rStyle w:val="wwc-pali"/>
        </w:rPr>
        <w:t>ajjhattaṁ</w:t>
      </w:r>
      <w:r>
        <w:t xml:space="preserve">, personal or internal, and the six corresponding objects are defined as being </w:t>
      </w:r>
      <w:r>
        <w:rPr>
          <w:rStyle w:val="wwc-pali"/>
        </w:rPr>
        <w:t>bāhiraṁ</w:t>
      </w:r>
      <w:r>
        <w:t xml:space="preserve">, external, thus giving two ‘sets’ of six </w:t>
      </w:r>
      <w:r>
        <w:rPr>
          <w:rStyle w:val="wwc-pali"/>
        </w:rPr>
        <w:t>āyatanas</w:t>
      </w:r>
      <w:r>
        <w:t xml:space="preserve">. In the </w:t>
      </w:r>
      <w:r>
        <w:rPr>
          <w:rStyle w:val="wwc-sesame"/>
        </w:rPr>
        <w:t>Nidāna Saṁyutta</w:t>
      </w:r>
      <w:r>
        <w:t xml:space="preserve">, however, which is concerned with explaining </w:t>
      </w:r>
      <w:r>
        <w:rPr>
          <w:rStyle w:val="wwc-pali"/>
        </w:rPr>
        <w:t>paṭiccasamuppāda</w:t>
      </w:r>
      <w:r>
        <w:t xml:space="preserve">, only the personal </w:t>
      </w:r>
      <w:r>
        <w:rPr>
          <w:rStyle w:val="wwc-pali"/>
        </w:rPr>
        <w:t>āyatanas</w:t>
      </w:r>
      <w:r>
        <w:t xml:space="preserve"> [i.e. the sense ‘organs’] are referred to by the term </w:t>
      </w:r>
      <w:r>
        <w:rPr>
          <w:rStyle w:val="wwc-pali"/>
        </w:rPr>
        <w:t>āyatana</w:t>
      </w:r>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r>
        <w:rPr>
          <w:rStyle w:val="wwc-sesame-zot-reference"/>
        </w:rPr>
        <w:t>Olalde 2014</w:t>
      </w:r>
      <w:r>
        <w:t xml:space="preserve"> p.114 (translation mine): “But first I would like to recall that </w:t>
      </w:r>
      <w:r>
        <w:rPr>
          <w:rStyle w:val="wwc-pali"/>
        </w:rPr>
        <w:t>nāmarūpa</w:t>
      </w:r>
      <w:r>
        <w:t xml:space="preserve"> in the Vedic texts and </w:t>
      </w:r>
      <w:r>
        <w:rPr>
          <w:rStyle w:val="wwc-sesame"/>
        </w:rPr>
        <w:t>Upaniṣads</w:t>
      </w:r>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r>
        <w:rPr>
          <w:rStyle w:val="wwc-sesame-zot-reference"/>
        </w:rPr>
        <w:t>Olivelle</w:t>
      </w:r>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p.120, </w:t>
      </w:r>
      <w:r>
        <w:rPr>
          <w:rStyle w:val="wwc-sesame-zot-reference"/>
        </w:rPr>
        <w:t>Cintita</w:t>
      </w:r>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r>
        <w:rPr>
          <w:rStyle w:val="wwc-pali"/>
        </w:rPr>
        <w:t>Abhinibbattento abhinibbatteti</w:t>
      </w:r>
      <w:r>
        <w:t xml:space="preserve">, ‘when [they] produce a next life, they produce’. The word </w:t>
      </w:r>
      <w:r>
        <w:rPr>
          <w:rStyle w:val="wwc-pali"/>
        </w:rPr>
        <w:t>abhinibbatteti</w:t>
      </w:r>
      <w:r>
        <w:t xml:space="preserve"> has a strong connection with rebirth. For example see </w:t>
      </w:r>
      <w:hyperlink r:id="rId164" w:anchor="YYY" w:history="1">
        <w:r>
          <w:rPr>
            <w:rStyle w:val="Hyperlink"/>
          </w:rPr>
          <w:t>AN 10.65:2.2</w:t>
        </w:r>
      </w:hyperlink>
      <w:r>
        <w:t>, “being reborn (</w:t>
      </w:r>
      <w:r>
        <w:rPr>
          <w:rStyle w:val="wwc-pali"/>
        </w:rPr>
        <w:t>abhinibbatti</w:t>
      </w:r>
      <w:r>
        <w:t xml:space="preserve">) is painful”, or the definition of birth in </w:t>
      </w:r>
      <w:hyperlink w:anchor="bqseg20">
        <w:r>
          <w:rPr>
            <w:rStyle w:val="Hyperlink"/>
          </w:rPr>
          <w:t>§20</w:t>
        </w:r>
      </w:hyperlink>
      <w:r>
        <w:t xml:space="preserve">, which includes </w:t>
      </w:r>
      <w:r>
        <w:rPr>
          <w:rStyle w:val="wwc-pali"/>
        </w:rPr>
        <w:t>abhinibbatti</w:t>
      </w:r>
      <w:r>
        <w:t xml:space="preserve">. To capture this meaning, which is surely implied given the context of transmigration, I translate it here as ‘they produce a next life’, following the example of </w:t>
      </w:r>
      <w:r>
        <w:rPr>
          <w:rStyle w:val="wwc-sesame-zot-reference"/>
        </w:rPr>
        <w:t>Sujato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r>
        <w:rPr>
          <w:rStyle w:val="wwc-sesame-zot-reference"/>
        </w:rPr>
        <w:t>Piyadassi</w:t>
      </w:r>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r>
        <w:rPr>
          <w:rStyle w:val="wwc-pali"/>
        </w:rPr>
        <w:t>sañcetanika kamma</w:t>
      </w:r>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r>
        <w:rPr>
          <w:rStyle w:val="wwc-sesame-zot-reference"/>
        </w:rPr>
        <w:t>Ñāṇavīra</w:t>
      </w:r>
      <w:r>
        <w:t xml:space="preserve"> p.16, </w:t>
      </w:r>
      <w:r>
        <w:rPr>
          <w:rStyle w:val="wwc-sesame-zot-reference"/>
        </w:rPr>
        <w:t>Ñāṇananda 2015</w:t>
      </w:r>
      <w:r>
        <w:t xml:space="preserve"> p.125, </w:t>
      </w:r>
      <w:r>
        <w:rPr>
          <w:rStyle w:val="wwc-sesame-zot-reference"/>
        </w:rPr>
        <w:t>Ṭhānissaro 2008b</w:t>
      </w:r>
      <w:r>
        <w:t xml:space="preserve"> p.3 </w:t>
      </w:r>
      <w:r>
        <w:rPr>
          <w:rStyle w:val="Emphasis"/>
        </w:rPr>
        <w:t>(ed: p.8 in PDF)</w:t>
      </w:r>
      <w:r>
        <w:t xml:space="preserve">. Bodhi also argues: “In analyzing the teaching of </w:t>
      </w:r>
      <w:r>
        <w:rPr>
          <w:rStyle w:val="wwc-pali"/>
        </w:rPr>
        <w:t>paṭiccasamuppāda</w:t>
      </w:r>
      <w:r>
        <w:t xml:space="preserve">, the texts use the two terms </w:t>
      </w:r>
      <w:r>
        <w:rPr>
          <w:rStyle w:val="wwc-pali"/>
        </w:rPr>
        <w:t>cittasaṅkhārā</w:t>
      </w:r>
      <w:r>
        <w:t xml:space="preserve"> and </w:t>
      </w:r>
      <w:r>
        <w:rPr>
          <w:rStyle w:val="wwc-pali"/>
        </w:rPr>
        <w:t>manosaṅkhārā</w:t>
      </w:r>
      <w:r>
        <w:t xml:space="preserve"> as though they were interchangeable.” Sanskrit parallels to </w:t>
      </w:r>
      <w:hyperlink r:id="rId197" w:anchor="YYY" w:history="1">
        <w:r>
          <w:rPr>
            <w:rStyle w:val="Hyperlink"/>
          </w:rPr>
          <w:t>SN 12.2</w:t>
        </w:r>
      </w:hyperlink>
      <w:r>
        <w:t xml:space="preserve"> indeed use </w:t>
      </w:r>
      <w:r>
        <w:rPr>
          <w:rStyle w:val="wwc-sanskrit"/>
        </w:rPr>
        <w:t>manaḥsaṁskāra</w:t>
      </w:r>
      <w:r>
        <w:t xml:space="preserve"> instead of </w:t>
      </w:r>
      <w:r>
        <w:rPr>
          <w:rStyle w:val="wwc-sanskrit"/>
        </w:rPr>
        <w:t>cittasaṅkhāra</w:t>
      </w:r>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r>
        <w:rPr>
          <w:rStyle w:val="wwc-pali"/>
        </w:rPr>
        <w:t>Saṅkhārā</w:t>
      </w:r>
      <w:r>
        <w:t xml:space="preserve"> as a condition of ‘perception’ [</w:t>
      </w:r>
      <w:r>
        <w:rPr>
          <w:rStyle w:val="wwc-pali"/>
        </w:rPr>
        <w:t>viññāṇa</w:t>
      </w:r>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r>
        <w:rPr>
          <w:rStyle w:val="wwc-pali"/>
        </w:rPr>
        <w:t>katānaṁ puññānaṁ</w:t>
      </w:r>
      <w:r>
        <w:t>) to wholesome deeds (</w:t>
      </w:r>
      <w:r>
        <w:rPr>
          <w:rStyle w:val="wwc-pali"/>
        </w:rPr>
        <w:t>katānaṁ kusalānaṁ</w:t>
      </w:r>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r>
        <w:rPr>
          <w:rStyle w:val="wwc-pali"/>
        </w:rPr>
        <w:t>upaga</w:t>
      </w:r>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r>
          <w:rPr>
            <w:rStyle w:val="Hyperlink"/>
          </w:rPr>
          <w:t>Thag 16.4:16.1–18.4</w:t>
        </w:r>
      </w:hyperlink>
    </w:p>
  </w:footnote>
  <w:footnote w:id="197">
    <w:p w14:paraId="3268AD63" w14:textId="77777777" w:rsidR="00FE3964" w:rsidRDefault="00000000">
      <w:pPr>
        <w:pStyle w:val="FootnoteText"/>
      </w:pPr>
      <w:r>
        <w:rPr>
          <w:rStyle w:val="FootnoteCharacters"/>
        </w:rPr>
        <w:footnoteRef/>
      </w:r>
      <w:r>
        <w:t xml:space="preserve">See for example </w:t>
      </w:r>
      <w:r>
        <w:rPr>
          <w:rStyle w:val="wwc-sesame-zot-reference"/>
        </w:rPr>
        <w:t>Gombrich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r>
        <w:rPr>
          <w:rStyle w:val="wwc-pali"/>
        </w:rPr>
        <w:t>āsava</w:t>
      </w:r>
      <w:r>
        <w:t>/</w:t>
      </w:r>
      <w:r>
        <w:rPr>
          <w:rStyle w:val="wwc-sanskrit"/>
        </w:rPr>
        <w:t>āsrava</w:t>
      </w:r>
      <w:r>
        <w:t xml:space="preserve"> refers to the inflow of physical karmic particles, which in the Jain texts is compared to water flowing into a pond. (</w:t>
      </w:r>
      <w:r>
        <w:rPr>
          <w:rStyle w:val="wwc-sesame-zot-reference"/>
        </w:rPr>
        <w:t>Malvania</w:t>
      </w:r>
      <w:r>
        <w:t xml:space="preserve"> p.47, 83) The Buddha used the same terminology, possibly having adopted it directly from the Jains. For him </w:t>
      </w:r>
      <w:r>
        <w:rPr>
          <w:rStyle w:val="wwc-pali"/>
        </w:rPr>
        <w:t>āsavas</w:t>
      </w:r>
      <w:r>
        <w:t xml:space="preserve"> are not physical particles but states of mind that defile (</w:t>
      </w:r>
      <w:r>
        <w:rPr>
          <w:rStyle w:val="wwc-pali"/>
        </w:rPr>
        <w:t>saṅkilesikā</w:t>
      </w:r>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r>
        <w:rPr>
          <w:rStyle w:val="wwc-pali"/>
        </w:rPr>
        <w:t>āsavas</w:t>
      </w:r>
      <w:r>
        <w:t xml:space="preserve"> (lit. ‘inflowings’) flow into (</w:t>
      </w:r>
      <w:r>
        <w:rPr>
          <w:rStyle w:val="wwc-pali"/>
        </w:rPr>
        <w:t>assaveyyuṁ</w:t>
      </w:r>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r w:rsidRPr="00D2303C">
        <w:rPr>
          <w:rStyle w:val="wwc-sesame-zot-reference"/>
        </w:rPr>
        <w:t>Gombrich 2009</w:t>
      </w:r>
      <w:r>
        <w:t xml:space="preserve"> p.56: “The Buddha converts a Jain by making play with two words, </w:t>
      </w:r>
      <w:r>
        <w:rPr>
          <w:rStyle w:val="wwc-pali"/>
        </w:rPr>
        <w:t>āsava</w:t>
      </w:r>
      <w:r>
        <w:t xml:space="preserve"> and </w:t>
      </w:r>
      <w:r>
        <w:rPr>
          <w:rStyle w:val="wwc-pali"/>
        </w:rPr>
        <w:t>samārambha</w:t>
      </w:r>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r w:rsidRPr="00FE0772">
        <w:rPr>
          <w:rStyle w:val="wwc-sesame-zot-reference"/>
        </w:rPr>
        <w:t>Sujato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r>
          <w:rPr>
            <w:rStyle w:val="Hyperlink"/>
          </w:rPr>
          <w:t>Dhp 278</w:t>
        </w:r>
      </w:hyperlink>
    </w:p>
  </w:footnote>
  <w:footnote w:id="206">
    <w:p w14:paraId="35ED3F36" w14:textId="77777777" w:rsidR="00FE3964" w:rsidRDefault="00000000">
      <w:pPr>
        <w:pStyle w:val="FootnoteText"/>
      </w:pPr>
      <w:r>
        <w:rPr>
          <w:rStyle w:val="FootnoteCharacters"/>
        </w:rPr>
        <w:footnoteRef/>
      </w:r>
      <w:r>
        <w:t xml:space="preserve">See also </w:t>
      </w:r>
      <w:r w:rsidRPr="003B399B">
        <w:rPr>
          <w:rStyle w:val="wwc-sesame-zot-reference"/>
        </w:rPr>
        <w:t>Piyadassi</w:t>
      </w:r>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r>
        <w:rPr>
          <w:rStyle w:val="wwc-pali"/>
        </w:rPr>
        <w:t>saṅkhāra</w:t>
      </w:r>
      <w:r>
        <w:t>, which I usually translate as ‘will’, but to show the connections with Dependent Arising I translated it here as ‘willful actions’.</w:t>
      </w:r>
    </w:p>
  </w:footnote>
  <w:footnote w:id="208">
    <w:p w14:paraId="09C88687" w14:textId="77777777" w:rsidR="00FE3964" w:rsidRDefault="00000000">
      <w:pPr>
        <w:pStyle w:val="FootnoteText"/>
      </w:pPr>
      <w:r>
        <w:rPr>
          <w:rStyle w:val="FootnoteCharacters"/>
        </w:rPr>
        <w:footnoteRef/>
      </w:r>
      <w:r>
        <w:rPr>
          <w:rStyle w:val="wwc-pali"/>
        </w:rPr>
        <w:t>Saṅkhata</w:t>
      </w:r>
      <w:r>
        <w:t>, quite literally ‘put (</w:t>
      </w:r>
      <w:r>
        <w:rPr>
          <w:rStyle w:val="wwc-pali"/>
        </w:rPr>
        <w:t>khata</w:t>
      </w:r>
      <w:r>
        <w:t>) together (</w:t>
      </w:r>
      <w:r>
        <w:rPr>
          <w:rStyle w:val="wwc-pali"/>
        </w:rPr>
        <w:t>saṁ</w:t>
      </w:r>
      <w:r>
        <w:t>)’, means ‘fabricated’, ‘constructed’, ‘created’, and so forth. In daily speech it is used for a raft that is properly assembled and for a well-made meal (</w:t>
      </w:r>
      <w:hyperlink r:id="rId227" w:anchor="YYY" w:history="1">
        <w:r>
          <w:rPr>
            <w:rStyle w:val="Hyperlink"/>
          </w:rPr>
          <w:t>Snp 1.2:4.1</w:t>
        </w:r>
      </w:hyperlink>
      <w:r>
        <w:t xml:space="preserve">; </w:t>
      </w:r>
      <w:hyperlink r:id="rId228" w:anchor="YYY" w:history="1">
        <w:r>
          <w:rPr>
            <w:rStyle w:val="Hyperlink"/>
          </w:rPr>
          <w:t>AN 4.57:3.1</w:t>
        </w:r>
      </w:hyperlink>
      <w:r>
        <w:t xml:space="preserve">). The noun </w:t>
      </w:r>
      <w:r>
        <w:rPr>
          <w:rStyle w:val="wwc-pali"/>
        </w:rPr>
        <w:t>saṅkhāra</w:t>
      </w:r>
      <w:r>
        <w:t xml:space="preserve"> is used for medicine that is prepared (</w:t>
      </w:r>
      <w:hyperlink r:id="rId229">
        <w:r>
          <w:rPr>
            <w:rStyle w:val="Hyperlink"/>
          </w:rPr>
          <w:t>Kd6</w:t>
        </w:r>
      </w:hyperlink>
      <w:r>
        <w:t xml:space="preserve">). In none of these contexts does the common translation ‘conditioned’ work, and neither is it intended in deeper philosophical contexts such as Dependent Arising. For example, in </w:t>
      </w:r>
      <w:hyperlink r:id="rId230" w:anchor="YYY" w:history="1">
        <w:r>
          <w:rPr>
            <w:rStyle w:val="Hyperlink"/>
          </w:rPr>
          <w:t>Dhp 154</w:t>
        </w:r>
      </w:hyperlink>
      <w:r>
        <w:t xml:space="preserve"> </w:t>
      </w:r>
      <w:r>
        <w:rPr>
          <w:rStyle w:val="wwc-pali"/>
        </w:rPr>
        <w:t>vi-saṅkhata</w:t>
      </w:r>
      <w:r>
        <w:t xml:space="preserve"> describes taking apart a house—with the prefix </w:t>
      </w:r>
      <w:r>
        <w:rPr>
          <w:rStyle w:val="wwc-pali"/>
        </w:rPr>
        <w:t>vi</w:t>
      </w:r>
      <w:r>
        <w:t xml:space="preserve">- indicating the opposite of putting together—where the house is symbolic for lives in </w:t>
      </w:r>
      <w:r>
        <w:rPr>
          <w:rStyle w:val="wwc-pali"/>
        </w:rPr>
        <w:t>saṁsāra</w:t>
      </w:r>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1"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2"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r>
        <w:rPr>
          <w:rStyle w:val="wwc-pali"/>
        </w:rPr>
        <w:t>sankhata</w:t>
      </w:r>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3"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4" w:anchor="YYY" w:history="1">
        <w:r>
          <w:rPr>
            <w:rStyle w:val="Hyperlink"/>
          </w:rPr>
          <w:t>SN 56.42</w:t>
        </w:r>
      </w:hyperlink>
      <w:r>
        <w:t xml:space="preserve">, cf. </w:t>
      </w:r>
      <w:hyperlink r:id="rId235" w:anchor="YYY" w:history="1">
        <w:r>
          <w:rPr>
            <w:rStyle w:val="Hyperlink"/>
          </w:rPr>
          <w:t>SN 56.43</w:t>
        </w:r>
      </w:hyperlink>
      <w:r>
        <w:t xml:space="preserve">, </w:t>
      </w:r>
      <w:hyperlink r:id="rId236"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7" w:anchor="YYY" w:history="1">
        <w:r>
          <w:rPr>
            <w:rStyle w:val="Hyperlink"/>
          </w:rPr>
          <w:t>SN 12.2:14.1–14.3</w:t>
        </w:r>
      </w:hyperlink>
      <w:r>
        <w:t xml:space="preserve">, </w:t>
      </w:r>
      <w:hyperlink r:id="rId238" w:anchor="YYY" w:history="1">
        <w:r>
          <w:rPr>
            <w:rStyle w:val="Hyperlink"/>
          </w:rPr>
          <w:t>SN 12.27:4.5–5.1</w:t>
        </w:r>
      </w:hyperlink>
      <w:r>
        <w:t xml:space="preserve">, </w:t>
      </w:r>
      <w:hyperlink r:id="rId239" w:anchor="YYY" w:history="1">
        <w:r>
          <w:rPr>
            <w:rStyle w:val="Hyperlink"/>
          </w:rPr>
          <w:t>SN 12.28:4.5–5.1</w:t>
        </w:r>
      </w:hyperlink>
      <w:r>
        <w:t xml:space="preserve">, </w:t>
      </w:r>
      <w:hyperlink r:id="rId240" w:anchor="YYY" w:history="1">
        <w:r>
          <w:rPr>
            <w:rStyle w:val="Hyperlink"/>
          </w:rPr>
          <w:t>SN 12.33:10.1–11.2</w:t>
        </w:r>
      </w:hyperlink>
    </w:p>
  </w:footnote>
  <w:footnote w:id="215">
    <w:p w14:paraId="1132DCDE" w14:textId="4E72CD16" w:rsidR="00FE3964" w:rsidRDefault="00000000">
      <w:pPr>
        <w:pStyle w:val="FootnoteText"/>
      </w:pPr>
      <w:r>
        <w:rPr>
          <w:rStyle w:val="FootnoteCharacters"/>
        </w:rPr>
        <w:footnoteRef/>
      </w:r>
      <w:bookmarkStart w:id="63" w:name="footnote215"/>
      <w:bookmarkEnd w:id="63"/>
      <w:r>
        <w:rPr>
          <w:rStyle w:val="wwc-pali"/>
        </w:rPr>
        <w:t>Patiṭṭhā viññaṇassa</w:t>
      </w:r>
      <w:r>
        <w:t xml:space="preserve">, ‘a support for the planting of consciousness’. </w:t>
      </w:r>
      <w:r>
        <w:rPr>
          <w:rStyle w:val="wwc-sesame"/>
        </w:rPr>
        <w:t>Bodhi 2000 n.112</w:t>
      </w:r>
      <w:r>
        <w:t xml:space="preserve"> at </w:t>
      </w:r>
      <w:hyperlink r:id="rId241" w:anchor="YYY" w:history="1">
        <w:r>
          <w:rPr>
            <w:rStyle w:val="Hyperlink"/>
          </w:rPr>
          <w:t>SN 12.38</w:t>
        </w:r>
      </w:hyperlink>
      <w:r>
        <w:t xml:space="preserve"> explains: “‘a support for the establishing of consciousness’ renders </w:t>
      </w:r>
      <w:r>
        <w:rPr>
          <w:rStyle w:val="wwc-pali"/>
        </w:rPr>
        <w:t>patiṭṭhā viññaṇassa</w:t>
      </w:r>
      <w:r>
        <w:t xml:space="preserve">. I find that ‘established’ works consistently better as a rendering for the participle </w:t>
      </w:r>
      <w:r>
        <w:rPr>
          <w:rStyle w:val="wwc-pali"/>
        </w:rPr>
        <w:t>patiṭṭhita</w:t>
      </w:r>
      <w:r>
        <w:t xml:space="preserve">, but ‘support’ for the noun </w:t>
      </w:r>
      <w:r>
        <w:rPr>
          <w:rStyle w:val="wwc-pali"/>
        </w:rPr>
        <w:t>patiṭṭhā</w:t>
      </w:r>
      <w:r>
        <w:t xml:space="preserve">, so to bridge the participle and the noun in the present passage (and at </w:t>
      </w:r>
      <w:hyperlink r:id="rId242" w:anchor="YYY" w:history="1">
        <w:r>
          <w:rPr>
            <w:rStyle w:val="Hyperlink"/>
          </w:rPr>
          <w:t>SN 22.53</w:t>
        </w:r>
      </w:hyperlink>
      <w:r>
        <w:t xml:space="preserve">, </w:t>
      </w:r>
      <w:hyperlink r:id="rId243"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4"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5" w:anchor="YYY" w:history="1">
        <w:r>
          <w:rPr>
            <w:rStyle w:val="Hyperlink"/>
          </w:rPr>
          <w:t>AN 4.184:5.1–5.8</w:t>
        </w:r>
      </w:hyperlink>
      <w:r>
        <w:t xml:space="preserve">; </w:t>
      </w:r>
      <w:hyperlink r:id="rId246"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7"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8"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9" w:anchor="YYY" w:history="1">
        <w:r>
          <w:rPr>
            <w:rStyle w:val="Hyperlink"/>
          </w:rPr>
          <w:t>SN 12.38</w:t>
        </w:r>
      </w:hyperlink>
      <w:r>
        <w:t xml:space="preserve">, </w:t>
      </w:r>
      <w:hyperlink r:id="rId250" w:anchor="YYY" w:history="1">
        <w:r>
          <w:rPr>
            <w:rStyle w:val="Hyperlink"/>
          </w:rPr>
          <w:t>SN 12.39</w:t>
        </w:r>
      </w:hyperlink>
      <w:r>
        <w:t xml:space="preserve">, </w:t>
      </w:r>
      <w:hyperlink r:id="rId251" w:anchor="YYY" w:history="1">
        <w:r>
          <w:rPr>
            <w:rStyle w:val="Hyperlink"/>
          </w:rPr>
          <w:t>SN 12.40</w:t>
        </w:r>
      </w:hyperlink>
      <w:r>
        <w:t xml:space="preserve">) “limit themselves […] to descriptions of rebirth” (translation mine). Likewise, although I believe he misunderstands </w:t>
      </w:r>
      <w:r>
        <w:rPr>
          <w:rStyle w:val="wwc-pali"/>
        </w:rPr>
        <w:t>appatiṭṭhita viññāṇa</w:t>
      </w:r>
      <w:r>
        <w:t xml:space="preserve"> to be a state of mind, </w:t>
      </w:r>
      <w:r>
        <w:rPr>
          <w:rStyle w:val="wwc-sesame-zot-reference"/>
        </w:rPr>
        <w:t>Ñāṇananda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2" w:anchor="YYY" w:history="1">
        <w:r>
          <w:rPr>
            <w:rStyle w:val="Hyperlink"/>
          </w:rPr>
          <w:t>SN 12.38</w:t>
        </w:r>
      </w:hyperlink>
      <w:r>
        <w:t xml:space="preserve">, </w:t>
      </w:r>
      <w:hyperlink r:id="rId253" w:anchor="YYY" w:history="1">
        <w:r>
          <w:rPr>
            <w:rStyle w:val="Hyperlink"/>
          </w:rPr>
          <w:t>SN 12.39</w:t>
        </w:r>
      </w:hyperlink>
      <w:r>
        <w:t xml:space="preserve">, </w:t>
      </w:r>
      <w:hyperlink r:id="rId254" w:anchor="YYY" w:history="1">
        <w:r>
          <w:rPr>
            <w:rStyle w:val="Hyperlink"/>
          </w:rPr>
          <w:t>SN 12.40</w:t>
        </w:r>
      </w:hyperlink>
      <w:r>
        <w:t xml:space="preserve">] </w:t>
      </w:r>
      <w:r>
        <w:rPr>
          <w:rStyle w:val="wwc-pali"/>
        </w:rPr>
        <w:t>viruḷhi</w:t>
      </w:r>
      <w:r>
        <w:t xml:space="preserve"> [means] ‘a new growth’, like a part taken from the mother plant grows again somewhere else. With that, </w:t>
      </w:r>
      <w:r>
        <w:rPr>
          <w:rStyle w:val="wwc-pali"/>
        </w:rPr>
        <w:t>viruḷhi</w:t>
      </w:r>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5">
        <w:r>
          <w:rPr>
            <w:rStyle w:val="Hyperlink"/>
          </w:rPr>
          <w:t>SĀ 359</w:t>
        </w:r>
      </w:hyperlink>
      <w:r>
        <w:t xml:space="preserve">, translation mine. Compare </w:t>
      </w:r>
      <w:hyperlink r:id="rId256">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7"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8">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r>
        <w:rPr>
          <w:rStyle w:val="wwc-pali"/>
        </w:rPr>
        <w:t>apuñña</w:t>
      </w:r>
      <w:r>
        <w:t xml:space="preserve"> is perhaps a bit artificial, having connotations with demerit points on a driver’s license, but it keeps consistency with ‘merit’ (</w:t>
      </w:r>
      <w:r>
        <w:rPr>
          <w:rStyle w:val="wwc-pali"/>
        </w:rPr>
        <w:t>puñña</w:t>
      </w:r>
      <w:r>
        <w:t xml:space="preserve">). I tried various other translations for </w:t>
      </w:r>
      <w:r>
        <w:rPr>
          <w:rStyle w:val="wwc-pali"/>
        </w:rPr>
        <w:t>puñña</w:t>
      </w:r>
      <w:r>
        <w:t>, but overall ‘merit’ just seems to work best.</w:t>
      </w:r>
    </w:p>
  </w:footnote>
  <w:footnote w:id="227">
    <w:p w14:paraId="11712466" w14:textId="77777777" w:rsidR="00FE3964" w:rsidRDefault="00000000">
      <w:pPr>
        <w:pStyle w:val="FootnoteText"/>
      </w:pPr>
      <w:r>
        <w:rPr>
          <w:rStyle w:val="FootnoteCharacters"/>
        </w:rPr>
        <w:footnoteRef/>
      </w:r>
      <w:hyperlink r:id="rId259"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60"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r>
        <w:rPr>
          <w:rStyle w:val="wwc-pali"/>
        </w:rPr>
        <w:t>upaga</w:t>
      </w:r>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1"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2" w:anchor="YYY" w:history="1">
        <w:r>
          <w:rPr>
            <w:rStyle w:val="Hyperlink"/>
          </w:rPr>
          <w:t>DN 15:33.0–34.10</w:t>
        </w:r>
      </w:hyperlink>
      <w:r>
        <w:t xml:space="preserve"> </w:t>
      </w:r>
      <w:r>
        <w:rPr>
          <w:rStyle w:val="wwc-PTS-reference"/>
        </w:rPr>
        <w:t>D II 69</w:t>
      </w:r>
      <w:r>
        <w:t xml:space="preserve">. Also at </w:t>
      </w:r>
      <w:hyperlink r:id="rId263"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4"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r>
        <w:rPr>
          <w:rStyle w:val="wwc-sesame-zot-reference"/>
        </w:rPr>
        <w:t>Nyanaponika 1981</w:t>
      </w:r>
      <w:r>
        <w:t xml:space="preserve"> for a translation of the commentary to this sutta. Also see </w:t>
      </w:r>
      <w:r>
        <w:rPr>
          <w:rStyle w:val="wwc-sesame"/>
        </w:rPr>
        <w:t>Bodhi 2000 n.166</w:t>
      </w:r>
      <w:r>
        <w:t xml:space="preserve"> at </w:t>
      </w:r>
      <w:hyperlink r:id="rId265"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6"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7"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8" w:anchor="YYY" w:history="1">
        <w:r>
          <w:rPr>
            <w:rStyle w:val="Hyperlink"/>
          </w:rPr>
          <w:t>AN 7.74:8.1–8.2</w:t>
        </w:r>
      </w:hyperlink>
      <w:r>
        <w:t xml:space="preserve">, </w:t>
      </w:r>
      <w:hyperlink r:id="rId269" w:anchor="YYY" w:history="1">
        <w:r>
          <w:rPr>
            <w:rStyle w:val="Hyperlink"/>
          </w:rPr>
          <w:t>Snp 3.8:7.1–7.4</w:t>
        </w:r>
      </w:hyperlink>
    </w:p>
  </w:footnote>
  <w:footnote w:id="242">
    <w:p w14:paraId="10AEBE1E" w14:textId="3C37931A" w:rsidR="00FE3964" w:rsidRDefault="00000000">
      <w:pPr>
        <w:pStyle w:val="FootnoteText"/>
      </w:pPr>
      <w:r>
        <w:rPr>
          <w:rStyle w:val="FootnoteCharacters"/>
        </w:rPr>
        <w:footnoteRef/>
      </w:r>
      <w:r>
        <w:rPr>
          <w:rStyle w:val="wwc-pali"/>
        </w:rPr>
        <w:t>Ādicca</w:t>
      </w:r>
      <w:r>
        <w:t xml:space="preserve"> (‘Sun’) was a name for the clan of the Buddha, possibly an honorific. See </w:t>
      </w:r>
      <w:hyperlink r:id="rId270" w:anchor="YYY" w:history="1">
        <w:r>
          <w:rPr>
            <w:rStyle w:val="Hyperlink"/>
          </w:rPr>
          <w:t>Snp 3.1:19.1–19.2</w:t>
        </w:r>
      </w:hyperlink>
      <w:r>
        <w:t xml:space="preserve"> and </w:t>
      </w:r>
      <w:r w:rsidRPr="00B00FE1">
        <w:rPr>
          <w:rStyle w:val="wwc-sesame"/>
        </w:rPr>
        <w:t>DPPN under ‘Ādicca’</w:t>
      </w:r>
      <w:r w:rsidR="002672BE">
        <w:t>.</w:t>
      </w:r>
    </w:p>
  </w:footnote>
  <w:footnote w:id="243">
    <w:p w14:paraId="1AC04B8F" w14:textId="77777777" w:rsidR="00FE3964" w:rsidRDefault="00000000">
      <w:pPr>
        <w:pStyle w:val="FootnoteText"/>
      </w:pPr>
      <w:r>
        <w:rPr>
          <w:rStyle w:val="FootnoteCharacters"/>
        </w:rPr>
        <w:footnoteRef/>
      </w:r>
      <w:hyperlink r:id="rId271" w:anchor="YYY" w:history="1">
        <w:r>
          <w:rPr>
            <w:rStyle w:val="Hyperlink"/>
          </w:rPr>
          <w:t>Thag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2"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3"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r>
        <w:rPr>
          <w:rStyle w:val="wwc-sesame-zot-reference"/>
        </w:rPr>
        <w:t>Nyanaponika 1981</w:t>
      </w:r>
      <w:r>
        <w:t xml:space="preserve"> p.9. See also </w:t>
      </w:r>
      <w:r w:rsidRPr="00120D7C">
        <w:rPr>
          <w:rStyle w:val="wwc-sesame"/>
        </w:rPr>
        <w:t>PED s.v. viññāṇa</w:t>
      </w:r>
      <w:r>
        <w:t xml:space="preserve">: “As one of the four </w:t>
      </w:r>
      <w:r>
        <w:rPr>
          <w:rStyle w:val="wwc-pali"/>
        </w:rPr>
        <w:t>āhāras viññāṇa</w:t>
      </w:r>
      <w:r>
        <w:t xml:space="preserve"> is considered as the material, food or cause, through which comes rebirth. As such it is likened to seed in the field of action (</w:t>
      </w:r>
      <w:r>
        <w:rPr>
          <w:rStyle w:val="wwc-pali"/>
        </w:rPr>
        <w:t>kamma</w:t>
      </w:r>
      <w:r>
        <w:t xml:space="preserve">), and as entering (a body) at rebirth the phrase </w:t>
      </w:r>
      <w:r>
        <w:rPr>
          <w:rStyle w:val="wwc-pali"/>
        </w:rPr>
        <w:t>viññāṇassa avakkanti</w:t>
      </w:r>
      <w:r>
        <w:t xml:space="preserve"> is used.”</w:t>
      </w:r>
    </w:p>
  </w:footnote>
  <w:footnote w:id="249">
    <w:p w14:paraId="5506B129" w14:textId="77777777" w:rsidR="00FE3964" w:rsidRDefault="00000000">
      <w:pPr>
        <w:pStyle w:val="FootnoteText"/>
      </w:pPr>
      <w:r>
        <w:rPr>
          <w:rStyle w:val="FootnoteCharacters"/>
        </w:rPr>
        <w:footnoteRef/>
      </w:r>
      <w:hyperlink r:id="rId274"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5"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6" w:anchor="YYY" w:history="1">
        <w:r>
          <w:rPr>
            <w:rStyle w:val="Hyperlink"/>
          </w:rPr>
          <w:t>SN 12.12</w:t>
        </w:r>
      </w:hyperlink>
      <w:r>
        <w:t xml:space="preserve">: “The conjunction </w:t>
      </w:r>
      <w:r>
        <w:rPr>
          <w:rStyle w:val="wwc-pali"/>
        </w:rPr>
        <w:t>bhūte sati</w:t>
      </w:r>
      <w:r>
        <w:t xml:space="preserve"> [‘when the being is born’] is unusual and the redundancy can only be avoided if the past participle </w:t>
      </w:r>
      <w:r>
        <w:rPr>
          <w:rStyle w:val="wwc-pali"/>
        </w:rPr>
        <w:t>bhūte</w:t>
      </w:r>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7"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8"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9"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80"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1"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2"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3"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4" w:anchor="YYY" w:history="1">
        <w:r>
          <w:rPr>
            <w:rStyle w:val="Hyperlink"/>
          </w:rPr>
          <w:t>AN 10.27:10.5</w:t>
        </w:r>
      </w:hyperlink>
      <w:r>
        <w:rPr>
          <w:rStyle w:val="Hyperlink"/>
        </w:rPr>
        <w:t xml:space="preserve">, </w:t>
      </w:r>
      <w:hyperlink r:id="rId285" w:anchor="YYY" w:history="1">
        <w:r>
          <w:rPr>
            <w:rStyle w:val="Hyperlink"/>
          </w:rPr>
          <w:t>Kp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6" w:anchor="YYY" w:history="1">
        <w:r>
          <w:rPr>
            <w:rStyle w:val="Hyperlink"/>
          </w:rPr>
          <w:t>Kp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7" w:anchor="YYY" w:history="1">
        <w:r>
          <w:rPr>
            <w:rStyle w:val="Hyperlink"/>
          </w:rPr>
          <w:t>Snp 3.12:38.1–38.4</w:t>
        </w:r>
      </w:hyperlink>
    </w:p>
  </w:footnote>
  <w:footnote w:id="265">
    <w:p w14:paraId="3D5C75BF" w14:textId="77777777" w:rsidR="00FE3964" w:rsidRDefault="00000000">
      <w:pPr>
        <w:pStyle w:val="FootnoteText"/>
      </w:pPr>
      <w:r>
        <w:rPr>
          <w:rStyle w:val="FootnoteCharacters"/>
        </w:rPr>
        <w:footnoteRef/>
      </w:r>
      <w:r>
        <w:t xml:space="preserve">See for example </w:t>
      </w:r>
      <w:r>
        <w:rPr>
          <w:rStyle w:val="wwc-sesame-zot-reference"/>
        </w:rPr>
        <w:t>Nyanaponika 1981</w:t>
      </w:r>
    </w:p>
  </w:footnote>
  <w:footnote w:id="266">
    <w:p w14:paraId="1F1DF821" w14:textId="77777777" w:rsidR="00FE3964" w:rsidRDefault="00000000">
      <w:pPr>
        <w:pStyle w:val="FootnoteText"/>
      </w:pPr>
      <w:r>
        <w:rPr>
          <w:rStyle w:val="FootnoteCharacters"/>
        </w:rPr>
        <w:footnoteRef/>
      </w:r>
      <w:hyperlink r:id="rId288"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9" w:anchor="YYY" w:history="1">
        <w:r>
          <w:rPr>
            <w:rStyle w:val="Hyperlink"/>
          </w:rPr>
          <w:t>AN 3.92:1.3–1.4</w:t>
        </w:r>
      </w:hyperlink>
      <w:r>
        <w:t xml:space="preserve">. See also </w:t>
      </w:r>
      <w:hyperlink r:id="rId290"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r>
        <w:rPr>
          <w:rStyle w:val="wwc-pali"/>
        </w:rPr>
        <w:t>Patiṭṭhita</w:t>
      </w:r>
      <w:r>
        <w:t xml:space="preserve"> is used for a cow planting down her feet—see </w:t>
      </w:r>
      <w:hyperlink r:id="rId291" w:anchor="YYY" w:history="1">
        <w:r>
          <w:rPr>
            <w:rStyle w:val="Hyperlink"/>
          </w:rPr>
          <w:t>AN 9.35:1.4, 3.4</w:t>
        </w:r>
      </w:hyperlink>
      <w:r>
        <w:t xml:space="preserve">. In English we also say “to plant an arrow”, and </w:t>
      </w:r>
      <w:r>
        <w:rPr>
          <w:rStyle w:val="wwc-pali"/>
        </w:rPr>
        <w:t>patiṭṭhita</w:t>
      </w:r>
      <w:r>
        <w:t xml:space="preserve"> is also used for planting arrows in a target—see </w:t>
      </w:r>
      <w:hyperlink r:id="rId292" w:anchor="YYY" w:history="1">
        <w:r>
          <w:rPr>
            <w:rStyle w:val="Hyperlink"/>
          </w:rPr>
          <w:t>DN 3:1.23.17–1.23.20</w:t>
        </w:r>
      </w:hyperlink>
      <w:r>
        <w:t xml:space="preserve"> </w:t>
      </w:r>
      <w:r>
        <w:rPr>
          <w:rStyle w:val="wwc-PTS-reference"/>
        </w:rPr>
        <w:t>D I 97</w:t>
      </w:r>
      <w:r>
        <w:t xml:space="preserve"> and </w:t>
      </w:r>
      <w:hyperlink r:id="rId293"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4" w:anchor="YYY" w:history="1">
        <w:r>
          <w:rPr>
            <w:rStyle w:val="Hyperlink"/>
          </w:rPr>
          <w:t>MN 45:4.7</w:t>
        </w:r>
      </w:hyperlink>
      <w:r>
        <w:t xml:space="preserve"> </w:t>
      </w:r>
      <w:r>
        <w:rPr>
          <w:rStyle w:val="wwc-PTS-reference"/>
        </w:rPr>
        <w:t>M I 307</w:t>
      </w:r>
      <w:r>
        <w:t xml:space="preserve">. See also </w:t>
      </w:r>
      <w:hyperlink r:id="rId295"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6">
        <w:r>
          <w:rPr>
            <w:rStyle w:val="Hyperlink"/>
          </w:rPr>
          <w:t>Mil 3.6.9</w:t>
        </w:r>
      </w:hyperlink>
    </w:p>
  </w:footnote>
  <w:footnote w:id="271">
    <w:p w14:paraId="121BE366" w14:textId="77777777" w:rsidR="00FE3964" w:rsidRDefault="00000000">
      <w:pPr>
        <w:pStyle w:val="FootnoteText"/>
      </w:pPr>
      <w:r>
        <w:rPr>
          <w:rStyle w:val="FootnoteCharacters"/>
        </w:rPr>
        <w:footnoteRef/>
      </w:r>
      <w:r>
        <w:rPr>
          <w:rStyle w:val="wwc-sesame"/>
        </w:rPr>
        <w:t>Vism</w:t>
      </w:r>
      <w:r>
        <w:t xml:space="preserve"> 602 and 688</w:t>
      </w:r>
    </w:p>
  </w:footnote>
  <w:footnote w:id="272">
    <w:p w14:paraId="52EF7374" w14:textId="77777777" w:rsidR="00FE3964" w:rsidRDefault="00000000">
      <w:pPr>
        <w:pStyle w:val="FootnoteText"/>
      </w:pPr>
      <w:r>
        <w:rPr>
          <w:rStyle w:val="FootnoteCharacters"/>
        </w:rPr>
        <w:footnoteRef/>
      </w:r>
      <w:hyperlink r:id="rId297"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8" w:anchor="YYY" w:history="1">
        <w:r>
          <w:rPr>
            <w:rStyle w:val="Hyperlink"/>
          </w:rPr>
          <w:t>Kp 6:15.1–15.4</w:t>
        </w:r>
      </w:hyperlink>
      <w:r>
        <w:t xml:space="preserve">, </w:t>
      </w:r>
      <w:hyperlink r:id="rId299" w:anchor="YYY" w:history="1">
        <w:r>
          <w:rPr>
            <w:rStyle w:val="Hyperlink"/>
          </w:rPr>
          <w:t>Snp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r>
        <w:rPr>
          <w:rStyle w:val="wwc-pali"/>
        </w:rPr>
        <w:t>Santipada</w:t>
      </w:r>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r>
        <w:rPr>
          <w:rStyle w:val="wwc-pali"/>
        </w:rPr>
        <w:t>janapada</w:t>
      </w:r>
      <w:r>
        <w:t xml:space="preserve">, ‘country’, is literally ‘people’s place’. </w:t>
      </w:r>
      <w:r>
        <w:rPr>
          <w:rStyle w:val="wwc-sesame-zot-reference"/>
        </w:rPr>
        <w:t>Monier-Williams</w:t>
      </w:r>
      <w:r>
        <w:t xml:space="preserve"> lists ‘a plot of ground’ as one meaning of the Sanskrit </w:t>
      </w:r>
      <w:r>
        <w:rPr>
          <w:rStyle w:val="wwc-sanskrit"/>
        </w:rPr>
        <w:t>pada</w:t>
      </w:r>
      <w:r>
        <w:t xml:space="preserve">, and refers to </w:t>
      </w:r>
      <w:r>
        <w:rPr>
          <w:rStyle w:val="wwc-sanskrit"/>
        </w:rPr>
        <w:t>padajñā</w:t>
      </w:r>
      <w:r>
        <w:t xml:space="preserve"> in RV 1.62.2, which seems to refer to knowing (</w:t>
      </w:r>
      <w:r>
        <w:rPr>
          <w:rStyle w:val="wwc-sanskrit"/>
        </w:rPr>
        <w:t>jñā</w:t>
      </w:r>
      <w:r>
        <w:t>) the places (</w:t>
      </w:r>
      <w:r>
        <w:rPr>
          <w:rStyle w:val="wwc-sanskrit"/>
        </w:rPr>
        <w:t>pada</w:t>
      </w:r>
      <w:r>
        <w:t xml:space="preserve">) where to find cattle. I am not aware of any instance in the Nikāyas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300" w:anchor="YYY" w:history="1">
        <w:r>
          <w:rPr>
            <w:rStyle w:val="Hyperlink"/>
          </w:rPr>
          <w:t>Snp 1.12:2.1–4.4</w:t>
        </w:r>
      </w:hyperlink>
    </w:p>
  </w:footnote>
  <w:footnote w:id="277">
    <w:p w14:paraId="43EB8701" w14:textId="77777777" w:rsidR="00FE3964" w:rsidRDefault="00000000">
      <w:pPr>
        <w:pStyle w:val="FootnoteText"/>
      </w:pPr>
      <w:r>
        <w:rPr>
          <w:rStyle w:val="FootnoteCharacters"/>
        </w:rPr>
        <w:footnoteRef/>
      </w:r>
      <w:bookmarkStart w:id="88" w:name="footnote277"/>
      <w:bookmarkEnd w:id="88"/>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1">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9" w:name="footnote278"/>
      <w:bookmarkEnd w:id="89"/>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90" w:name="footnote279"/>
      <w:bookmarkEnd w:id="90"/>
      <w:r>
        <w:t xml:space="preserve">I follow </w:t>
      </w:r>
      <w:r>
        <w:rPr>
          <w:rStyle w:val="wwc-pali"/>
        </w:rPr>
        <w:t>tadappatiṭṭhitaṁ viññāṇaṁ avirūḷhaṁ anabhisaṅkhārañ-ca vimuttaṁ</w:t>
      </w:r>
      <w:r>
        <w:t xml:space="preserve">, instead of alternative manuscripts which have </w:t>
      </w:r>
      <w:r>
        <w:rPr>
          <w:rStyle w:val="wwc-pali"/>
        </w:rPr>
        <w:t>anabhisaṅkhacca</w:t>
      </w:r>
      <w:r>
        <w:t xml:space="preserve">. Both </w:t>
      </w:r>
      <w:r>
        <w:rPr>
          <w:rStyle w:val="wwc-pali"/>
        </w:rPr>
        <w:t>anabhisaṅkhāraṁ</w:t>
      </w:r>
      <w:r>
        <w:t xml:space="preserve"> (not willing) and </w:t>
      </w:r>
      <w:r>
        <w:rPr>
          <w:rStyle w:val="wwc-pali"/>
        </w:rPr>
        <w:t>vimuttaṁ</w:t>
      </w:r>
      <w:r>
        <w:t xml:space="preserve"> (liberated) could be taken as adjectives of </w:t>
      </w:r>
      <w:r>
        <w:rPr>
          <w:rStyle w:val="wwc-pali"/>
        </w:rPr>
        <w:t>viññāṇaṁ</w:t>
      </w:r>
      <w:r>
        <w:t>. However:</w:t>
      </w:r>
    </w:p>
    <w:p w14:paraId="2A084729" w14:textId="05CCABDB" w:rsidR="00FE3964" w:rsidRDefault="00000000">
      <w:pPr>
        <w:pStyle w:val="FootnoteText"/>
      </w:pPr>
      <w:r>
        <w:t>1</w:t>
      </w:r>
      <w:r w:rsidR="00215AB7">
        <w:t>.</w:t>
      </w:r>
      <w:r>
        <w:t xml:space="preserve"> Consciousness as one of the </w:t>
      </w:r>
      <w:r>
        <w:rPr>
          <w:rStyle w:val="wwc-pali"/>
        </w:rPr>
        <w:t>khandhas</w:t>
      </w:r>
      <w:r>
        <w:t xml:space="preserve"> is just aware of things, it does not do things nor stop doing things at enlightenment, so ‘not willing’ would likely not be said of it.</w:t>
      </w:r>
    </w:p>
    <w:p w14:paraId="1A9EB19C" w14:textId="68624C13" w:rsidR="00FE3964" w:rsidRDefault="00000000">
      <w:pPr>
        <w:pStyle w:val="FootnoteText"/>
      </w:pPr>
      <w:r>
        <w:t>2</w:t>
      </w:r>
      <w:r w:rsidR="00215AB7">
        <w:t>.</w:t>
      </w:r>
      <w:r>
        <w:t xml:space="preserve"> The before is about how consciousness comes to cease when “its foundation is destroyed”, not about liberating it.</w:t>
      </w:r>
    </w:p>
    <w:p w14:paraId="7B6571B7" w14:textId="5371FBBC" w:rsidR="006074BD" w:rsidRDefault="00000000" w:rsidP="00215AB7">
      <w:pPr>
        <w:pStyle w:val="FootnoteText"/>
      </w:pPr>
      <w:r>
        <w:t>3</w:t>
      </w:r>
      <w:r w:rsidR="00215AB7">
        <w:t>.</w:t>
      </w:r>
      <w:r>
        <w:t xml:space="preserve"> Although </w:t>
      </w:r>
      <w:r>
        <w:rPr>
          <w:rStyle w:val="wwc-pali"/>
        </w:rPr>
        <w:t>viññāṇa</w:t>
      </w:r>
      <w:r>
        <w:t xml:space="preserve"> can be a near synonym for the mind (</w:t>
      </w:r>
      <w:r>
        <w:rPr>
          <w:rStyle w:val="wwc-pali"/>
        </w:rPr>
        <w:t>citta</w:t>
      </w:r>
      <w:r>
        <w:t xml:space="preserve">), the two words are still used in different senses, and elsewhere in the Nikāyas it is always either the mind or the person that is said to be liberated, never </w:t>
      </w:r>
      <w:r>
        <w:rPr>
          <w:rStyle w:val="wwc-pali"/>
        </w:rPr>
        <w:t>viññāṇa</w:t>
      </w:r>
      <w:r>
        <w:t>.</w:t>
      </w:r>
    </w:p>
    <w:p w14:paraId="72238CB0" w14:textId="142BAEE6" w:rsidR="00FE3964" w:rsidRDefault="00000000">
      <w:pPr>
        <w:pStyle w:val="FootnoteText"/>
      </w:pPr>
      <w:r>
        <w:t>4</w:t>
      </w:r>
      <w:r w:rsidR="00215AB7">
        <w:t>.</w:t>
      </w:r>
      <w:r>
        <w:t xml:space="preserve"> </w:t>
      </w:r>
      <w:hyperlink r:id="rId302" w:anchor="YYY" w:history="1">
        <w:r>
          <w:rPr>
            <w:rStyle w:val="Hyperlink"/>
          </w:rPr>
          <w:t>SN 22.45</w:t>
        </w:r>
      </w:hyperlink>
      <w:r>
        <w:t xml:space="preserve"> &amp; </w:t>
      </w:r>
      <w:hyperlink r:id="rId303" w:anchor="YYY" w:history="1">
        <w:r>
          <w:rPr>
            <w:rStyle w:val="Hyperlink"/>
          </w:rPr>
          <w:t>SN 22.46</w:t>
        </w:r>
      </w:hyperlink>
      <w:r>
        <w:t xml:space="preserve"> share their closing paragraph with this sutta, and there it is </w:t>
      </w:r>
      <w:r w:rsidR="0071144E">
        <w:t>u</w:t>
      </w:r>
      <w:r>
        <w:t>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r>
        <w:rPr>
          <w:rStyle w:val="wwc-pali"/>
        </w:rPr>
        <w:t>Tadappatiṭṭhitaṁ viññāṇaṁ avirūḷhaṁ. Anabhisaṅkhārañ-ca vimuttaṁ</w:t>
      </w:r>
      <w:r>
        <w:t xml:space="preserve">. Seeing the first part as a full sentence is supported by </w:t>
      </w:r>
      <w:hyperlink r:id="rId304" w:anchor="YYY" w:history="1">
        <w:r>
          <w:rPr>
            <w:rStyle w:val="Hyperlink"/>
          </w:rPr>
          <w:t>SN 12.38:3.3</w:t>
        </w:r>
      </w:hyperlink>
      <w:r>
        <w:t xml:space="preserve">, </w:t>
      </w:r>
      <w:hyperlink r:id="rId305" w:anchor="YYY" w:history="1">
        <w:r>
          <w:rPr>
            <w:rStyle w:val="Hyperlink"/>
          </w:rPr>
          <w:t>SN 12.38:3.3</w:t>
        </w:r>
      </w:hyperlink>
      <w:r>
        <w:t xml:space="preserve"> &amp; </w:t>
      </w:r>
      <w:hyperlink r:id="rId306" w:anchor="YYY" w:history="1">
        <w:r>
          <w:rPr>
            <w:rStyle w:val="Hyperlink"/>
          </w:rPr>
          <w:t>SN 12.40:3.3</w:t>
        </w:r>
      </w:hyperlink>
      <w:r>
        <w:t xml:space="preserve">, where </w:t>
      </w:r>
      <w:r>
        <w:rPr>
          <w:rStyle w:val="wwc-pali"/>
        </w:rPr>
        <w:t>tadappatiṭṭhite viññāṇe avirūḷhe</w:t>
      </w:r>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t xml:space="preserve">, “when liberated, there is the knowledge ‘it [the mind] is liberated’.” Previous translators similarly separated </w:t>
      </w:r>
      <w:r>
        <w:rPr>
          <w:rStyle w:val="wwc-pali"/>
        </w:rPr>
        <w:t>viññāṇaṁ</w:t>
      </w:r>
      <w:r>
        <w:t xml:space="preserve"> from </w:t>
      </w:r>
      <w:r>
        <w:rPr>
          <w:rStyle w:val="wwc-pali"/>
        </w:rPr>
        <w:t>vimuttaṁ</w:t>
      </w:r>
      <w:r>
        <w:t xml:space="preserve"> in the </w:t>
      </w:r>
      <w:r>
        <w:rPr>
          <w:rStyle w:val="wwc-sesame"/>
        </w:rPr>
        <w:t>Seeds Discourse</w:t>
      </w:r>
      <w:r>
        <w:t xml:space="preserve"> (see </w:t>
      </w:r>
      <w:hyperlink w:anchor="footnote504">
        <w:r>
          <w:rPr>
            <w:rStyle w:val="Hyperlink"/>
          </w:rPr>
          <w:t>note 504</w:t>
        </w:r>
      </w:hyperlink>
      <w:r>
        <w:t xml:space="preserve">). </w:t>
      </w:r>
      <w:r>
        <w:rPr>
          <w:rStyle w:val="wwc-sesame-zot-reference"/>
        </w:rPr>
        <w:t>Nyanaponika 1990</w:t>
      </w:r>
      <w:r>
        <w:t xml:space="preserve"> has “</w:t>
      </w:r>
      <w:r>
        <w:rPr>
          <w:rStyle w:val="wwc-german"/>
        </w:rPr>
        <w:t>ist man befreit</w:t>
      </w:r>
      <w:r>
        <w:t>”, meaning “</w:t>
      </w:r>
      <w:r>
        <w:rPr>
          <w:rStyle w:val="Emphasis"/>
        </w:rPr>
        <w:t>one</w:t>
      </w:r>
      <w:r>
        <w:t xml:space="preserve"> is liberated”. But </w:t>
      </w:r>
      <w:r>
        <w:rPr>
          <w:rStyle w:val="wwc-pali"/>
        </w:rPr>
        <w:t>vimuttaṁ</w:t>
      </w:r>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7">
        <w:r>
          <w:rPr>
            <w:rStyle w:val="Hyperlink"/>
          </w:rPr>
          <w:t>SĀ 39</w:t>
        </w:r>
      </w:hyperlink>
      <w:r>
        <w:t xml:space="preserve"> also supports the separation of consciousness and liberation, as it disjoints the two with a set of phrases not found in the Pāli. </w:t>
      </w:r>
      <w:r>
        <w:rPr>
          <w:rStyle w:val="wwc-sesame-zot-reference"/>
        </w:rPr>
        <w:t>Anālayo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8"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9"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10"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1"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rsidRPr="005F0AF8">
        <w:rPr>
          <w:rStyle w:val="wwc-pali"/>
        </w:rPr>
        <w:t>Gati</w:t>
      </w:r>
      <w:r>
        <w:t xml:space="preserve">, ‘departing’, is usually translated as ‘going’ (with </w:t>
      </w:r>
      <w:r>
        <w:rPr>
          <w:rStyle w:val="wwc-pali"/>
        </w:rPr>
        <w:t>agati</w:t>
      </w:r>
      <w:r>
        <w:t xml:space="preserve"> as ‘coming’). But it being a euphemism for dying in this context, I prefer ‘departing’, which in English is also a euphemism for death. I translate </w:t>
      </w:r>
      <w:r>
        <w:rPr>
          <w:rStyle w:val="wwc-pali"/>
        </w:rPr>
        <w:t>āgati</w:t>
      </w:r>
      <w:r>
        <w:t xml:space="preserve"> accordingly as ‘arriving’.</w:t>
      </w:r>
    </w:p>
  </w:footnote>
  <w:footnote w:id="285">
    <w:p w14:paraId="5475096D" w14:textId="77777777" w:rsidR="00FE3964" w:rsidRDefault="00000000">
      <w:pPr>
        <w:pStyle w:val="FootnoteText"/>
      </w:pPr>
      <w:r>
        <w:rPr>
          <w:rStyle w:val="FootnoteCharacters"/>
        </w:rPr>
        <w:footnoteRef/>
      </w:r>
      <w:hyperlink r:id="rId312" w:anchor="YYY" w:history="1">
        <w:r>
          <w:rPr>
            <w:rStyle w:val="Hyperlink"/>
          </w:rPr>
          <w:t>Thag 16.9:26.1–26.4</w:t>
        </w:r>
      </w:hyperlink>
      <w:r>
        <w:t xml:space="preserve">; </w:t>
      </w:r>
      <w:hyperlink r:id="rId313" w:anchor="YYY" w:history="1">
        <w:r>
          <w:rPr>
            <w:rStyle w:val="Hyperlink"/>
          </w:rPr>
          <w:t>DN 8:3.6</w:t>
        </w:r>
      </w:hyperlink>
      <w:r>
        <w:t xml:space="preserve"> </w:t>
      </w:r>
      <w:r>
        <w:rPr>
          <w:rStyle w:val="wwc-PTS-reference"/>
        </w:rPr>
        <w:t>D I 162</w:t>
      </w:r>
      <w:r>
        <w:t xml:space="preserve">; </w:t>
      </w:r>
      <w:hyperlink r:id="rId314"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5" w:anchor="YYY" w:history="1">
        <w:r>
          <w:rPr>
            <w:rStyle w:val="Hyperlink"/>
          </w:rPr>
          <w:t>AN 3.34:5.3</w:t>
        </w:r>
      </w:hyperlink>
      <w:r>
        <w:t xml:space="preserve">. See also </w:t>
      </w:r>
      <w:hyperlink r:id="rId316" w:anchor="YYY" w:history="1">
        <w:r>
          <w:rPr>
            <w:rStyle w:val="Hyperlink"/>
          </w:rPr>
          <w:t>SN 45.150:1.1</w:t>
        </w:r>
      </w:hyperlink>
      <w:r>
        <w:t xml:space="preserve">, </w:t>
      </w:r>
      <w:hyperlink r:id="rId317" w:anchor="YYY" w:history="1">
        <w:r>
          <w:rPr>
            <w:rStyle w:val="Hyperlink"/>
          </w:rPr>
          <w:t>SN 55.25:10.2</w:t>
        </w:r>
      </w:hyperlink>
      <w:r>
        <w:t xml:space="preserve">, </w:t>
      </w:r>
      <w:hyperlink r:id="rId318"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r>
        <w:rPr>
          <w:rStyle w:val="wwc-pali"/>
        </w:rPr>
        <w:t>Rūpupayaṁ viññāṇaṁ tiṭṭhamānaṁ tiṭṭheyya</w:t>
      </w:r>
      <w:r>
        <w:t xml:space="preserve">, ‘consciousness would continue to exist if it is attracted to form’. </w:t>
      </w:r>
      <w:r>
        <w:rPr>
          <w:rStyle w:val="wwc-sesame-zot-reference"/>
        </w:rPr>
        <w:t>Bodhi 2000</w:t>
      </w:r>
      <w:r>
        <w:t xml:space="preserve"> translates: “Consciousness, while standing, might stand engaged with form.” </w:t>
      </w:r>
      <w:r>
        <w:rPr>
          <w:rStyle w:val="wwc-sesame-zot-reference"/>
        </w:rPr>
        <w:t>Ṭhānissaro 2008a</w:t>
      </w:r>
      <w:r>
        <w:t xml:space="preserve"> p.27 has: “Should consciousness, when standing, stand attached to form […]” Under </w:t>
      </w:r>
      <w:r>
        <w:rPr>
          <w:rStyle w:val="wwc-pali"/>
        </w:rPr>
        <w:t>tiṭṭhati</w:t>
      </w:r>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r>
        <w:rPr>
          <w:rStyle w:val="wwc-pali"/>
        </w:rPr>
        <w:t>ṭhiti</w:t>
      </w:r>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r>
        <w:rPr>
          <w:rStyle w:val="wwc-pali"/>
        </w:rPr>
        <w:t>viññāṇaṁ tiṭṭhamānaṁ tiṭṭheyya</w:t>
      </w:r>
      <w:r>
        <w:t xml:space="preserve"> literally is ‘</w:t>
      </w:r>
      <w:r>
        <w:rPr>
          <w:rStyle w:val="Emphasis"/>
        </w:rPr>
        <w:t>existing</w:t>
      </w:r>
      <w:r>
        <w:t xml:space="preserve"> consciousness would continue’, a present participle followed by a finite form of the same verb is a form of emphasis. For example, </w:t>
      </w:r>
      <w:r>
        <w:rPr>
          <w:rStyle w:val="wwc-pali"/>
        </w:rPr>
        <w:t>cittaṁ bahulaṁ gacchamānaṁ gaccheyya</w:t>
      </w:r>
      <w:r>
        <w:t>, literally ‘the straying mind may often stray’, simply means the mind may often stray. (</w:t>
      </w:r>
      <w:hyperlink r:id="rId319" w:anchor="YYY" w:history="1">
        <w:r>
          <w:rPr>
            <w:rStyle w:val="Hyperlink"/>
          </w:rPr>
          <w:t>SN 35.117:1.2</w:t>
        </w:r>
      </w:hyperlink>
      <w:r>
        <w:t xml:space="preserve">) So I excluded the present participle </w:t>
      </w:r>
      <w:r>
        <w:rPr>
          <w:rStyle w:val="wwc-pali"/>
        </w:rPr>
        <w:t>tiṭṭhamānaṁ</w:t>
      </w:r>
      <w:r>
        <w:t xml:space="preserve">, like other translators have done in this example case and similar instances, and instead emphasize the verb with ‘continue to exist’. Further, </w:t>
      </w:r>
      <w:r>
        <w:rPr>
          <w:rStyle w:val="wwc-pali"/>
        </w:rPr>
        <w:t>rūpupayaṁ</w:t>
      </w:r>
      <w:r>
        <w:t xml:space="preserve"> is a </w:t>
      </w:r>
      <w:r>
        <w:rPr>
          <w:rStyle w:val="wwc-pali"/>
        </w:rPr>
        <w:t>bahubbīhi</w:t>
      </w:r>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r>
        <w:rPr>
          <w:rStyle w:val="wwc-pali"/>
        </w:rPr>
        <w:t>rūpa</w:t>
      </w:r>
      <w:r>
        <w:t xml:space="preserve"> as an object of </w:t>
      </w:r>
      <w:r>
        <w:rPr>
          <w:rStyle w:val="wwc-pali"/>
        </w:rPr>
        <w:t>tiṭṭheyya</w:t>
      </w:r>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20"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 xml:space="preserve">On one-seeders see for example </w:t>
      </w:r>
      <w:hyperlink r:id="rId321" w:anchor="YYY" w:history="1">
        <w:r>
          <w:rPr>
            <w:rStyle w:val="Hyperlink"/>
          </w:rPr>
          <w:t>AN 3.87</w:t>
        </w:r>
      </w:hyperlink>
      <w:r>
        <w:t xml:space="preserve">. Other suttas on seeds and rebirth are </w:t>
      </w:r>
      <w:hyperlink r:id="rId322" w:anchor="YYY" w:history="1">
        <w:r>
          <w:rPr>
            <w:rStyle w:val="Hyperlink"/>
          </w:rPr>
          <w:t>AN 3.34</w:t>
        </w:r>
      </w:hyperlink>
      <w:r>
        <w:t xml:space="preserve">, </w:t>
      </w:r>
      <w:hyperlink r:id="rId323" w:anchor="YYY" w:history="1">
        <w:r>
          <w:rPr>
            <w:rStyle w:val="Hyperlink"/>
          </w:rPr>
          <w:t>AN 3.77</w:t>
        </w:r>
      </w:hyperlink>
      <w:r>
        <w:t xml:space="preserve">, </w:t>
      </w:r>
      <w:hyperlink r:id="rId324"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5" w:anchor="YYY" w:history="1">
        <w:r>
          <w:rPr>
            <w:rStyle w:val="Hyperlink"/>
          </w:rPr>
          <w:t>SN 12.57</w:t>
        </w:r>
      </w:hyperlink>
      <w:r>
        <w:t xml:space="preserve">. Compare also </w:t>
      </w:r>
      <w:hyperlink r:id="rId326" w:anchor="YYY" w:history="1">
        <w:r>
          <w:rPr>
            <w:rStyle w:val="Hyperlink"/>
          </w:rPr>
          <w:t>SN 12.55</w:t>
        </w:r>
      </w:hyperlink>
      <w:r>
        <w:t xml:space="preserve">, </w:t>
      </w:r>
      <w:hyperlink r:id="rId327" w:anchor="YYY" w:history="1">
        <w:r>
          <w:rPr>
            <w:rStyle w:val="Hyperlink"/>
          </w:rPr>
          <w:t>SN 12.56</w:t>
        </w:r>
      </w:hyperlink>
      <w:r>
        <w:t xml:space="preserve"> and </w:t>
      </w:r>
      <w:hyperlink r:id="rId328"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r>
        <w:rPr>
          <w:rStyle w:val="wwc-sesame-zot-reference"/>
        </w:rPr>
        <w:t>Sunyo 2017</w:t>
      </w:r>
    </w:p>
  </w:footnote>
  <w:footnote w:id="293">
    <w:p w14:paraId="6B736719" w14:textId="77777777" w:rsidR="00FE3964" w:rsidRDefault="00000000">
      <w:pPr>
        <w:pStyle w:val="FootnoteText"/>
      </w:pPr>
      <w:r>
        <w:rPr>
          <w:rStyle w:val="FootnoteCharacters"/>
        </w:rPr>
        <w:footnoteRef/>
      </w:r>
      <w:hyperlink r:id="rId329"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r>
        <w:rPr>
          <w:rStyle w:val="wwc-pali"/>
        </w:rPr>
        <w:t>Saṁyojaniyesu, bhikkhave, dhammesu assādānupassino viharato</w:t>
      </w:r>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r>
        <w:rPr>
          <w:rStyle w:val="wwc-sesame"/>
        </w:rPr>
        <w:t>Aṅguttara Nikāya</w:t>
      </w:r>
      <w:r>
        <w:t xml:space="preserve"> he translates -</w:t>
      </w:r>
      <w:r>
        <w:rPr>
          <w:rStyle w:val="wwc-pali"/>
        </w:rPr>
        <w:t>anupassino viharato</w:t>
      </w:r>
      <w:r>
        <w:t xml:space="preserve"> as “</w:t>
      </w:r>
      <w:r>
        <w:rPr>
          <w:rStyle w:val="Emphasis"/>
        </w:rPr>
        <w:t>for one who</w:t>
      </w:r>
      <w:r>
        <w:t xml:space="preserve"> dwells contemplating”. (</w:t>
      </w:r>
      <w:r>
        <w:rPr>
          <w:rStyle w:val="wwc-sesame-zot-reference"/>
        </w:rPr>
        <w:t>Bodhi 2012</w:t>
      </w:r>
      <w:r>
        <w:t xml:space="preserve">, </w:t>
      </w:r>
      <w:hyperlink r:id="rId330" w:anchor="YYY" w:history="1">
        <w:r>
          <w:rPr>
            <w:rStyle w:val="Hyperlink"/>
          </w:rPr>
          <w:t>AN 5.30</w:t>
        </w:r>
      </w:hyperlink>
      <w:r>
        <w:t xml:space="preserve">) </w:t>
      </w:r>
      <w:r>
        <w:rPr>
          <w:rStyle w:val="wwc-pali"/>
        </w:rPr>
        <w:t>Assādānupassino viharato</w:t>
      </w:r>
      <w:r>
        <w:t xml:space="preserve"> is a genitive absolute of “whom it concerns” (cf. </w:t>
      </w:r>
      <w:r>
        <w:rPr>
          <w:rStyle w:val="wwc-sesame-zot-reference"/>
        </w:rPr>
        <w:t>Wijesekera 1993</w:t>
      </w:r>
      <w:r>
        <w:t xml:space="preserve"> §159), so is best translated with “</w:t>
      </w:r>
      <w:r>
        <w:rPr>
          <w:rStyle w:val="Emphasis"/>
        </w:rPr>
        <w:t>for those who</w:t>
      </w:r>
      <w:r>
        <w:t xml:space="preserve">”, like </w:t>
      </w:r>
      <w:r>
        <w:rPr>
          <w:rStyle w:val="wwc-sesame-zot-reference"/>
        </w:rPr>
        <w:t>Olalde 2014</w:t>
      </w:r>
      <w:r>
        <w:t xml:space="preserve"> p.84, “für denjenigen”.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1"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2"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3"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r>
        <w:rPr>
          <w:rStyle w:val="wwc-sesame-zot-reference"/>
        </w:rPr>
        <w:t>Wijesekera 1994</w:t>
      </w:r>
      <w:r>
        <w:t xml:space="preserve"> p.106</w:t>
      </w:r>
    </w:p>
  </w:footnote>
  <w:footnote w:id="299">
    <w:p w14:paraId="431F5D47" w14:textId="77777777" w:rsidR="00FE3964" w:rsidRDefault="00000000">
      <w:pPr>
        <w:pStyle w:val="FootnoteText"/>
      </w:pPr>
      <w:r>
        <w:rPr>
          <w:rStyle w:val="FootnoteCharacters"/>
        </w:rPr>
        <w:footnoteRef/>
      </w:r>
      <w:hyperlink r:id="rId334" w:anchor="YYY" w:history="1">
        <w:r>
          <w:rPr>
            <w:rStyle w:val="Hyperlink"/>
          </w:rPr>
          <w:t>SN 12.65:1.2–3.8</w:t>
        </w:r>
      </w:hyperlink>
      <w:r>
        <w:t xml:space="preserve">. See also </w:t>
      </w:r>
      <w:hyperlink r:id="rId335"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6"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4E5050F9" w:rsidR="00FE3964" w:rsidRDefault="00000000">
      <w:pPr>
        <w:pStyle w:val="FootnoteText"/>
      </w:pPr>
      <w:r>
        <w:rPr>
          <w:rStyle w:val="FootnoteCharacters"/>
        </w:rPr>
        <w:footnoteRef/>
      </w:r>
      <w:hyperlink r:id="rId337">
        <w:r>
          <w:rPr>
            <w:rStyle w:val="Hyperlink"/>
          </w:rPr>
          <w:t>MĀ 97</w:t>
        </w:r>
      </w:hyperlink>
      <w:r>
        <w:t xml:space="preserve">, translation </w:t>
      </w:r>
      <w:r w:rsidRPr="00EC3E5C">
        <w:rPr>
          <w:rStyle w:val="wwc-sesame-zot-reference"/>
        </w:rPr>
        <w:t>Anālayo 2020</w:t>
      </w:r>
      <w:r>
        <w:t>, emphasis added</w:t>
      </w:r>
    </w:p>
  </w:footnote>
  <w:footnote w:id="303">
    <w:p w14:paraId="7AF3D550" w14:textId="77777777" w:rsidR="00FE3964" w:rsidRDefault="00000000">
      <w:pPr>
        <w:pStyle w:val="FootnoteText"/>
      </w:pPr>
      <w:r>
        <w:rPr>
          <w:rStyle w:val="FootnoteCharacters"/>
        </w:rPr>
        <w:footnoteRef/>
      </w:r>
      <w:hyperlink r:id="rId338">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r>
        <w:rPr>
          <w:rStyle w:val="wwc-sesame-zot-reference"/>
        </w:rPr>
        <w:t>Ñāṇananda 2015</w:t>
      </w:r>
      <w:r>
        <w:t xml:space="preserve"> p.65, p.36. </w:t>
      </w:r>
      <w:r>
        <w:rPr>
          <w:rStyle w:val="wwc-sesame-zot-reference"/>
        </w:rPr>
        <w:t>PED</w:t>
      </w:r>
      <w:r>
        <w:t xml:space="preserve"> states that translating </w:t>
      </w:r>
      <w:r>
        <w:rPr>
          <w:rStyle w:val="wwc-pali"/>
        </w:rPr>
        <w:t>itthatta</w:t>
      </w:r>
      <w:r>
        <w:t xml:space="preserve"> as ‘thusness’ is incorrect. The word instead refers to existence, literally ‘a state (-</w:t>
      </w:r>
      <w:r>
        <w:rPr>
          <w:rStyle w:val="wwc-pali"/>
        </w:rPr>
        <w:t>tta</w:t>
      </w:r>
      <w:r>
        <w:t>) here (</w:t>
      </w:r>
      <w:r>
        <w:rPr>
          <w:rStyle w:val="wwc-pali"/>
        </w:rPr>
        <w:t>ittha</w:t>
      </w:r>
      <w:r>
        <w:t xml:space="preserve">)’. See for example </w:t>
      </w:r>
      <w:hyperlink r:id="rId339" w:anchor="YYYhttps://suttacentral.net/XXX/en/sujato%23YYY" w:history="1">
        <w:r>
          <w:rPr>
            <w:rStyle w:val="Hyperlink"/>
          </w:rPr>
          <w:t>AN 2.36:2.4, 3.5, 4.7</w:t>
        </w:r>
      </w:hyperlink>
      <w:r>
        <w:t xml:space="preserve">: </w:t>
      </w:r>
      <w:r>
        <w:rPr>
          <w:rStyle w:val="wwc-pali"/>
        </w:rPr>
        <w:t>so tato cuto […] āgantā itthattaṁ</w:t>
      </w:r>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40" w:anchor="YYY" w:history="1">
        <w:r>
          <w:rPr>
            <w:rStyle w:val="Hyperlink"/>
          </w:rPr>
          <w:t>DN 24:2.17.5</w:t>
        </w:r>
      </w:hyperlink>
      <w:r>
        <w:t xml:space="preserve"> </w:t>
      </w:r>
      <w:r>
        <w:rPr>
          <w:rStyle w:val="wwc-PTS-reference"/>
        </w:rPr>
        <w:t>D III 29</w:t>
      </w:r>
      <w:r>
        <w:t xml:space="preserve"> </w:t>
      </w:r>
      <w:r>
        <w:rPr>
          <w:rStyle w:val="wwc-pali"/>
        </w:rPr>
        <w:t>itthatta</w:t>
      </w:r>
      <w:r>
        <w:t xml:space="preserve"> refers to a state of existence in the realm of Brahmā.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1"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2">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3"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r>
        <w:rPr>
          <w:rStyle w:val="wwc-sesame-zot-reference"/>
        </w:rPr>
        <w:t>Olalde 2014</w:t>
      </w:r>
      <w:r>
        <w:t xml:space="preserve"> p.102</w:t>
      </w:r>
    </w:p>
  </w:footnote>
  <w:footnote w:id="312">
    <w:p w14:paraId="269085F7" w14:textId="77777777" w:rsidR="00FE3964" w:rsidRDefault="00000000">
      <w:pPr>
        <w:pStyle w:val="FootnoteText"/>
      </w:pPr>
      <w:r>
        <w:rPr>
          <w:rStyle w:val="FootnoteCharacters"/>
        </w:rPr>
        <w:footnoteRef/>
      </w:r>
      <w:r>
        <w:rPr>
          <w:rStyle w:val="wwc-sesame"/>
        </w:rPr>
        <w:t>Brahmavamso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4">
        <w:r>
          <w:rPr>
            <w:rStyle w:val="Hyperlink"/>
          </w:rPr>
          <w:t>Cnd 5</w:t>
        </w:r>
      </w:hyperlink>
    </w:p>
  </w:footnote>
  <w:footnote w:id="315">
    <w:p w14:paraId="56FCDD14"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15A914EA" w:rsidR="00FE3964" w:rsidRDefault="00000000">
      <w:pPr>
        <w:pStyle w:val="FootnoteText"/>
      </w:pPr>
      <w:r>
        <w:rPr>
          <w:rStyle w:val="FootnoteCharacters"/>
        </w:rPr>
        <w:footnoteRef/>
      </w:r>
      <w:r>
        <w:t xml:space="preserve">See also </w:t>
      </w:r>
      <w:r w:rsidRPr="00FE0772">
        <w:rPr>
          <w:rStyle w:val="wwc-sesame-zot-reference"/>
        </w:rPr>
        <w:t>Sujato 2023</w:t>
      </w:r>
      <w:r w:rsidRPr="00FE0772">
        <w:t xml:space="preserve"> note</w:t>
      </w:r>
      <w:r>
        <w:t xml:space="preserve"> at </w:t>
      </w:r>
      <w:hyperlink r:id="rId345" w:anchor="YYY" w:history="1">
        <w:r>
          <w:rPr>
            <w:rStyle w:val="Hyperlink"/>
          </w:rPr>
          <w:t>DN</w:t>
        </w:r>
        <w:r w:rsidR="005356F0">
          <w:rPr>
            <w:rStyle w:val="Hyperlink"/>
          </w:rPr>
          <w:t> </w:t>
        </w:r>
        <w:r>
          <w:rPr>
            <w:rStyle w:val="Hyperlink"/>
          </w:rPr>
          <w:t>15:22.6</w:t>
        </w:r>
      </w:hyperlink>
      <w: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07317C86" w14:textId="7495D4C3" w:rsidR="00FE3964" w:rsidRDefault="00000000">
      <w:pPr>
        <w:pStyle w:val="FootnoteText"/>
      </w:pPr>
      <w:r>
        <w:rPr>
          <w:rStyle w:val="FootnoteCharacters"/>
        </w:rPr>
        <w:footnoteRef/>
      </w:r>
      <w:hyperlink r:id="rId346" w:anchor="YYY" w:history="1">
        <w:r>
          <w:rPr>
            <w:rStyle w:val="Hyperlink"/>
          </w:rPr>
          <w:t>DN 14:2.18.40–2.18.43</w:t>
        </w:r>
      </w:hyperlink>
      <w:r>
        <w:t xml:space="preserve"> </w:t>
      </w:r>
      <w:r>
        <w:rPr>
          <w:rStyle w:val="wwc-PTS-reference"/>
        </w:rPr>
        <w:t>D II 32</w:t>
      </w:r>
      <w:r>
        <w:t>,</w:t>
      </w:r>
      <w:r w:rsidR="00794645">
        <w:br/>
      </w:r>
      <w:hyperlink r:id="rId347"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r w:rsidR="00794645">
        <w:br/>
      </w:r>
      <w:hyperlink r:id="rId348" w:anchor="YYY" w:history="1">
        <w:r>
          <w:rPr>
            <w:rStyle w:val="Hyperlink"/>
          </w:rPr>
          <w:t>SN 12.65:2.14–2.16</w:t>
        </w:r>
      </w:hyperlink>
      <w:r>
        <w:t xml:space="preserve"> (</w:t>
      </w:r>
      <w:hyperlink w:anchor="bqseg83">
        <w:r>
          <w:rPr>
            <w:rStyle w:val="Hyperlink"/>
          </w:rPr>
          <w:t>§83</w:t>
        </w:r>
      </w:hyperlink>
      <w:r>
        <w:t>),</w:t>
      </w:r>
      <w:r w:rsidR="00794645">
        <w:br/>
      </w:r>
      <w:hyperlink r:id="rId349" w:anchor="YYY" w:history="1">
        <w:r>
          <w:rPr>
            <w:rStyle w:val="Hyperlink"/>
          </w:rPr>
          <w:t>SN 12.67:4.2–4.3</w:t>
        </w:r>
      </w:hyperlink>
      <w:r>
        <w:t xml:space="preserve"> (</w:t>
      </w:r>
      <w:hyperlink w:anchor="bqseg95">
        <w:r>
          <w:rPr>
            <w:rStyle w:val="Hyperlink"/>
          </w:rPr>
          <w:t>§95</w:t>
        </w:r>
      </w:hyperlink>
      <w:r>
        <w:t>),</w:t>
      </w:r>
      <w:r w:rsidR="00794645">
        <w:br/>
      </w:r>
      <w:hyperlink r:id="rId350" w:anchor="YYY" w:history="1">
        <w:r>
          <w:rPr>
            <w:rStyle w:val="Hyperlink"/>
          </w:rPr>
          <w:t>SN 22.57:14.5</w:t>
        </w:r>
      </w:hyperlink>
      <w:r>
        <w:t>,</w:t>
      </w:r>
      <w:r w:rsidR="00794645">
        <w:br/>
      </w:r>
      <w:hyperlink r:id="rId351" w:anchor="YYY" w:history="1">
        <w:r>
          <w:rPr>
            <w:rStyle w:val="Hyperlink"/>
          </w:rPr>
          <w:t>SN 22.82:7.10</w:t>
        </w:r>
      </w:hyperlink>
    </w:p>
  </w:footnote>
  <w:footnote w:id="318">
    <w:p w14:paraId="1082C8EB" w14:textId="42DC8A69" w:rsidR="00FE3964" w:rsidRDefault="00000000">
      <w:pPr>
        <w:pStyle w:val="FootnoteText"/>
      </w:pPr>
      <w:r>
        <w:rPr>
          <w:rStyle w:val="FootnoteCharacters"/>
        </w:rPr>
        <w:footnoteRef/>
      </w:r>
      <w:r>
        <w:rPr>
          <w:rStyle w:val="wwc-pali"/>
        </w:rPr>
        <w:t>Viññāṇañca hi, Ānanda, nāmarūpe patiṭṭhaṁ na labhissatha</w:t>
      </w:r>
      <w:r>
        <w:t xml:space="preserve">. For </w:t>
      </w:r>
      <w:r>
        <w:rPr>
          <w:rStyle w:val="wwc-pali"/>
        </w:rPr>
        <w:t>patiṭṭhaṁ</w:t>
      </w:r>
      <w:r>
        <w:t xml:space="preserve"> as ‘support to be planted’ see </w:t>
      </w:r>
      <w:hyperlink w:anchor="footnote215" w:history="1">
        <w:r w:rsidRPr="002A71D0">
          <w:rPr>
            <w:rStyle w:val="Hyperlink"/>
          </w:rPr>
          <w:t>note 215</w:t>
        </w:r>
      </w:hyperlink>
      <w:r>
        <w:t xml:space="preserve">. See also </w:t>
      </w:r>
      <w:r w:rsidRPr="00FE0772">
        <w:rPr>
          <w:rStyle w:val="wwc-sesame-zot-reference"/>
        </w:rPr>
        <w:t>Sujato 2023</w:t>
      </w:r>
      <w:r w:rsidRPr="00FE0772">
        <w:t xml:space="preserve"> </w:t>
      </w:r>
      <w:hyperlink r:id="rId352" w:anchor="22.2" w:history="1">
        <w:r w:rsidRPr="00C8383E">
          <w:rPr>
            <w:rStyle w:val="Hyperlink"/>
          </w:rPr>
          <w:t>note at DN 15:22.2</w:t>
        </w:r>
      </w:hyperlink>
      <w: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t>), my support (</w:t>
      </w:r>
      <w:r>
        <w:rPr>
          <w:rStyle w:val="wwc-sanskrit"/>
        </w:rPr>
        <w:t>pratiṣṭhā</w:t>
      </w:r>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3" w:anchor="YYY" w:history="1">
        <w:r>
          <w:rPr>
            <w:rStyle w:val="Hyperlink"/>
          </w:rPr>
          <w:t>DN 10:2.22.1</w:t>
        </w:r>
      </w:hyperlink>
      <w:r>
        <w:t xml:space="preserve"> </w:t>
      </w:r>
      <w:r>
        <w:rPr>
          <w:rStyle w:val="wwc-PTS-reference"/>
        </w:rPr>
        <w:t>D I 209</w:t>
      </w:r>
      <w:r>
        <w:t xml:space="preserve">. Similar at </w:t>
      </w:r>
      <w:hyperlink r:id="rId354" w:anchor="YYY" w:history="1">
        <w:r>
          <w:rPr>
            <w:rStyle w:val="Hyperlink"/>
          </w:rPr>
          <w:t>DN 2:84.1</w:t>
        </w:r>
      </w:hyperlink>
      <w:r>
        <w:t xml:space="preserve"> </w:t>
      </w:r>
      <w:r>
        <w:rPr>
          <w:rStyle w:val="wwc-PTS-reference"/>
        </w:rPr>
        <w:t>D I 76</w:t>
      </w:r>
      <w:r>
        <w:t xml:space="preserve">, </w:t>
      </w:r>
      <w:hyperlink r:id="rId355" w:anchor="YYY" w:history="1">
        <w:r>
          <w:rPr>
            <w:rStyle w:val="Hyperlink"/>
          </w:rPr>
          <w:t>MN 77:29.9</w:t>
        </w:r>
      </w:hyperlink>
      <w:r>
        <w:t xml:space="preserve"> </w:t>
      </w:r>
      <w:r>
        <w:rPr>
          <w:rStyle w:val="wwc-PTS-reference"/>
        </w:rPr>
        <w:t>M II 17</w:t>
      </w:r>
    </w:p>
  </w:footnote>
  <w:footnote w:id="323">
    <w:p w14:paraId="0F99A8FD" w14:textId="592EC13D" w:rsidR="00FE3964" w:rsidRDefault="00000000">
      <w:pPr>
        <w:pStyle w:val="FootnoteText"/>
      </w:pPr>
      <w:r>
        <w:rPr>
          <w:rStyle w:val="FootnoteCharacters"/>
        </w:rPr>
        <w:footnoteRef/>
      </w:r>
      <w:hyperlink r:id="rId356" w:anchor="YYY" w:history="1">
        <w:r>
          <w:rPr>
            <w:rStyle w:val="Hyperlink"/>
          </w:rPr>
          <w:t>DN 14:1.21.2</w:t>
        </w:r>
      </w:hyperlink>
      <w:r>
        <w:t xml:space="preserve"> </w:t>
      </w:r>
      <w:r>
        <w:rPr>
          <w:rStyle w:val="wwc-PTS-reference"/>
        </w:rPr>
        <w:t>D II 14</w:t>
      </w:r>
      <w:r>
        <w:t xml:space="preserve">, </w:t>
      </w:r>
      <w:hyperlink r:id="rId357" w:anchor="YYY" w:history="1">
        <w:r>
          <w:rPr>
            <w:rStyle w:val="Hyperlink"/>
          </w:rPr>
          <w:t>MN 123:12.3</w:t>
        </w:r>
      </w:hyperlink>
      <w:r>
        <w:t xml:space="preserve"> </w:t>
      </w:r>
      <w:r>
        <w:rPr>
          <w:rStyle w:val="wwc-PTS-reference"/>
        </w:rPr>
        <w:t>M III 121</w:t>
      </w:r>
      <w:r>
        <w:t>;</w:t>
      </w:r>
      <w:r w:rsidR="00C10EF5">
        <w:br/>
      </w:r>
      <w:hyperlink r:id="rId358" w:anchor="YYY" w:history="1">
        <w:r>
          <w:rPr>
            <w:rStyle w:val="Hyperlink"/>
          </w:rPr>
          <w:t>MN 79:11.1</w:t>
        </w:r>
      </w:hyperlink>
      <w:r>
        <w:t xml:space="preserve"> </w:t>
      </w:r>
      <w:r>
        <w:rPr>
          <w:rStyle w:val="wwc-PTS-reference"/>
        </w:rPr>
        <w:t>M II 33</w:t>
      </w:r>
      <w:r>
        <w:t xml:space="preserve">, </w:t>
      </w:r>
      <w:hyperlink r:id="rId359"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60" w:anchor="YYY" w:history="1">
        <w:r>
          <w:rPr>
            <w:rStyle w:val="Hyperlink"/>
          </w:rPr>
          <w:t>SN 12.65:6.3–6.7</w:t>
        </w:r>
      </w:hyperlink>
      <w:r>
        <w:t xml:space="preserve">, </w:t>
      </w:r>
      <w:hyperlink r:id="rId361" w:anchor="YYY" w:history="1">
        <w:r>
          <w:rPr>
            <w:rStyle w:val="Hyperlink"/>
          </w:rPr>
          <w:t>SN 12.67:7.12–7.16</w:t>
        </w:r>
      </w:hyperlink>
      <w:r>
        <w:t xml:space="preserve">, </w:t>
      </w:r>
      <w:hyperlink r:id="rId362" w:anchor="YYY" w:history="1">
        <w:r>
          <w:rPr>
            <w:rStyle w:val="Hyperlink"/>
          </w:rPr>
          <w:t>DN 14:2.21.3</w:t>
        </w:r>
      </w:hyperlink>
      <w:r>
        <w:t xml:space="preserve"> </w:t>
      </w:r>
      <w:r>
        <w:rPr>
          <w:rStyle w:val="wwc-PTS-reference"/>
        </w:rPr>
        <w:t>D II 35</w:t>
      </w:r>
    </w:p>
  </w:footnote>
  <w:footnote w:id="325">
    <w:p w14:paraId="06CD4BE9" w14:textId="7D46EE96" w:rsidR="00FE3964" w:rsidRDefault="00000000">
      <w:pPr>
        <w:pStyle w:val="FootnoteText"/>
      </w:pPr>
      <w:r>
        <w:rPr>
          <w:rStyle w:val="FootnoteCharacters"/>
        </w:rPr>
        <w:footnoteRef/>
      </w:r>
      <w:r>
        <w:t xml:space="preserve">For example </w:t>
      </w:r>
      <w:r w:rsidR="007B7641">
        <w:br/>
      </w:r>
      <w:r>
        <w:rPr>
          <w:rStyle w:val="wwc-sesame-zot-reference"/>
        </w:rPr>
        <w:t>Falk</w:t>
      </w:r>
      <w:r>
        <w:t xml:space="preserve"> p.40, </w:t>
      </w:r>
      <w:r w:rsidR="007B7641">
        <w:br/>
      </w:r>
      <w:r>
        <w:rPr>
          <w:rStyle w:val="wwc-sesame-zot-reference"/>
        </w:rPr>
        <w:t>Hamilton</w:t>
      </w:r>
      <w:r>
        <w:t xml:space="preserve"> p.123, </w:t>
      </w:r>
      <w:r w:rsidR="007B7641">
        <w:br/>
      </w:r>
      <w:r>
        <w:rPr>
          <w:rStyle w:val="wwc-sesame-zot-reference"/>
        </w:rPr>
        <w:t>Gombrich 2009</w:t>
      </w:r>
      <w:r>
        <w:t xml:space="preserve"> p.120, </w:t>
      </w:r>
      <w:r w:rsidR="007B7641">
        <w:br/>
      </w:r>
      <w:r>
        <w:rPr>
          <w:rStyle w:val="wwc-sesame-zot-reference"/>
        </w:rPr>
        <w:t>Olalde 2014</w:t>
      </w:r>
      <w:r>
        <w:t xml:space="preserve"> p.38ff.</w:t>
      </w:r>
    </w:p>
  </w:footnote>
  <w:footnote w:id="326">
    <w:p w14:paraId="0CE5DCE6" w14:textId="77777777" w:rsidR="00FE3964" w:rsidRDefault="00000000">
      <w:pPr>
        <w:pStyle w:val="FootnoteText"/>
      </w:pPr>
      <w:r>
        <w:rPr>
          <w:rStyle w:val="FootnoteCharacters"/>
        </w:rPr>
        <w:footnoteRef/>
      </w:r>
      <w:r>
        <w:rPr>
          <w:rStyle w:val="wwc-sesame-zot-reference"/>
        </w:rPr>
        <w:t>Sujato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r>
        <w:rPr>
          <w:rStyle w:val="wwc-sesame-zot-reference"/>
        </w:rPr>
        <w:t>Olivelle</w:t>
      </w:r>
      <w:r>
        <w:t xml:space="preserve"> pp.8–11. In </w:t>
      </w:r>
      <w:hyperlink r:id="rId363"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r>
        <w:t xml:space="preserve">MuṇU 3.2.8, translation </w:t>
      </w:r>
      <w:r>
        <w:rPr>
          <w:rStyle w:val="wwc-sesame-zot-reference"/>
        </w:rPr>
        <w:t>Olivelle</w:t>
      </w:r>
    </w:p>
  </w:footnote>
  <w:footnote w:id="330">
    <w:p w14:paraId="2B72C7FA" w14:textId="77777777" w:rsidR="00FE3964" w:rsidRDefault="00000000">
      <w:pPr>
        <w:pStyle w:val="FootnoteText"/>
      </w:pPr>
      <w:r>
        <w:rPr>
          <w:rStyle w:val="FootnoteCharacters"/>
        </w:rPr>
        <w:footnoteRef/>
      </w:r>
      <w:r>
        <w:t xml:space="preserve">PrU 6.5, translation </w:t>
      </w:r>
      <w:r>
        <w:rPr>
          <w:rStyle w:val="wwc-sesame-zot-reference"/>
        </w:rPr>
        <w:t>Olivelle</w:t>
      </w:r>
    </w:p>
  </w:footnote>
  <w:footnote w:id="331">
    <w:p w14:paraId="6D6E85DA" w14:textId="77777777" w:rsidR="00FE3964" w:rsidRDefault="00000000">
      <w:pPr>
        <w:pStyle w:val="FootnoteText"/>
      </w:pPr>
      <w:r>
        <w:rPr>
          <w:rStyle w:val="FootnoteCharacters"/>
        </w:rPr>
        <w:footnoteRef/>
      </w:r>
      <w:r>
        <w:t xml:space="preserve">CU 6.10, translation </w:t>
      </w:r>
      <w:r>
        <w:rPr>
          <w:rStyle w:val="wwc-sesame-zot-reference"/>
        </w:rPr>
        <w:t>Olivelle</w:t>
      </w:r>
    </w:p>
  </w:footnote>
  <w:footnote w:id="332">
    <w:p w14:paraId="4411F9B3" w14:textId="77777777" w:rsidR="00FE3964" w:rsidRDefault="00000000">
      <w:pPr>
        <w:pStyle w:val="FootnoteText"/>
      </w:pPr>
      <w:r>
        <w:rPr>
          <w:rStyle w:val="FootnoteCharacters"/>
        </w:rPr>
        <w:footnoteRef/>
      </w:r>
      <w:r>
        <w:t xml:space="preserve">See also </w:t>
      </w:r>
      <w:r>
        <w:rPr>
          <w:rStyle w:val="wwc-sesame-zot-reference"/>
        </w:rPr>
        <w:t>Olalde 2014</w:t>
      </w:r>
      <w:r>
        <w:t xml:space="preserve"> p.39 (translation mine): “[On the basis of CU 6.10 (</w:t>
      </w:r>
      <w:hyperlink w:anchor="bqseg89">
        <w:r>
          <w:rPr>
            <w:rStyle w:val="Hyperlink"/>
          </w:rPr>
          <w:t>§89</w:t>
        </w:r>
      </w:hyperlink>
      <w:r>
        <w:t xml:space="preserve">)] it seems most likely to me that </w:t>
      </w:r>
      <w:r>
        <w:rPr>
          <w:rStyle w:val="wwc-pali"/>
        </w:rPr>
        <w:t>nāmarūpa</w:t>
      </w:r>
      <w:r>
        <w:t xml:space="preserve"> in MuṇU 3.2.8 and PrU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r>
        <w:rPr>
          <w:rStyle w:val="wwc-sesame-zot-reference"/>
        </w:rPr>
        <w:t>Olalde 2015</w:t>
      </w:r>
      <w:r>
        <w:t xml:space="preserve"> p.14</w:t>
      </w:r>
    </w:p>
  </w:footnote>
  <w:footnote w:id="333">
    <w:p w14:paraId="00A52B76" w14:textId="2C440898" w:rsidR="00FE3964" w:rsidRDefault="00000000" w:rsidP="00F646CB">
      <w:pPr>
        <w:pStyle w:val="FootnoteText"/>
      </w:pPr>
      <w:r>
        <w:rPr>
          <w:rStyle w:val="FootnoteCharacters"/>
        </w:rPr>
        <w:footnoteRef/>
      </w:r>
      <w:hyperlink r:id="rId364" w:anchor="YYY" w:history="1">
        <w:r>
          <w:rPr>
            <w:rStyle w:val="Hyperlink"/>
          </w:rPr>
          <w:t>SN 45.91</w:t>
        </w:r>
      </w:hyperlink>
      <w:r>
        <w:t xml:space="preserve">, </w:t>
      </w:r>
      <w:hyperlink r:id="rId365" w:anchor="YYY" w:history="1">
        <w:r>
          <w:rPr>
            <w:rStyle w:val="Hyperlink"/>
          </w:rPr>
          <w:t>SN 45.92-95</w:t>
        </w:r>
      </w:hyperlink>
      <w:r>
        <w:t>,</w:t>
      </w:r>
      <w:r w:rsidR="00F646CB">
        <w:t xml:space="preserve"> </w:t>
      </w:r>
      <w:hyperlink r:id="rId366" w:anchor="YYY" w:history="1">
        <w:r>
          <w:rPr>
            <w:rStyle w:val="Hyperlink"/>
          </w:rPr>
          <w:t>SN 45.96</w:t>
        </w:r>
      </w:hyperlink>
      <w:r>
        <w:t>,</w:t>
      </w:r>
      <w:r w:rsidR="00F646CB">
        <w:t xml:space="preserve"> </w:t>
      </w:r>
      <w:hyperlink r:id="rId367" w:anchor="YYY" w:history="1">
        <w:r>
          <w:rPr>
            <w:rStyle w:val="Hyperlink"/>
          </w:rPr>
          <w:t>SN 45.97</w:t>
        </w:r>
      </w:hyperlink>
      <w:r>
        <w:t xml:space="preserve">, </w:t>
      </w:r>
      <w:r w:rsidR="00F646CB">
        <w:br/>
      </w:r>
      <w:hyperlink r:id="rId368" w:anchor="YYY" w:history="1">
        <w:r>
          <w:rPr>
            <w:rStyle w:val="Hyperlink"/>
          </w:rPr>
          <w:t>SN 45.98-102</w:t>
        </w:r>
      </w:hyperlink>
      <w:r>
        <w:t>,</w:t>
      </w:r>
      <w:r w:rsidR="00F646CB">
        <w:t xml:space="preserve"> </w:t>
      </w:r>
      <w:hyperlink r:id="rId369" w:anchor="YYY" w:history="1">
        <w:r>
          <w:rPr>
            <w:rStyle w:val="Hyperlink"/>
          </w:rPr>
          <w:t>SN 45.103</w:t>
        </w:r>
      </w:hyperlink>
      <w:r>
        <w:t xml:space="preserve">, </w:t>
      </w:r>
      <w:hyperlink r:id="rId370" w:anchor="YYY" w:history="1">
        <w:r>
          <w:rPr>
            <w:rStyle w:val="Hyperlink"/>
          </w:rPr>
          <w:t>SN 45.104-108</w:t>
        </w:r>
      </w:hyperlink>
      <w:r>
        <w:t>,</w:t>
      </w:r>
      <w:r w:rsidR="00F646CB">
        <w:t xml:space="preserve"> </w:t>
      </w:r>
      <w:r w:rsidR="00F646CB">
        <w:br/>
      </w:r>
      <w:hyperlink r:id="rId371" w:anchor="YYY" w:history="1">
        <w:r>
          <w:rPr>
            <w:rStyle w:val="Hyperlink"/>
          </w:rPr>
          <w:t>SN 45.109</w:t>
        </w:r>
      </w:hyperlink>
      <w:r>
        <w:t xml:space="preserve">, </w:t>
      </w:r>
      <w:hyperlink r:id="rId372" w:anchor="YYY" w:history="1">
        <w:r>
          <w:rPr>
            <w:rStyle w:val="Hyperlink"/>
          </w:rPr>
          <w:t>SN 45.110-114</w:t>
        </w:r>
      </w:hyperlink>
      <w:r>
        <w:t>,</w:t>
      </w:r>
      <w:r w:rsidR="00F646CB">
        <w:t xml:space="preserve"> </w:t>
      </w:r>
      <w:hyperlink r:id="rId373" w:anchor="YYY" w:history="1">
        <w:r>
          <w:rPr>
            <w:rStyle w:val="Hyperlink"/>
          </w:rPr>
          <w:t>SN 45.115</w:t>
        </w:r>
      </w:hyperlink>
      <w:r>
        <w:t xml:space="preserve">, </w:t>
      </w:r>
      <w:r w:rsidR="00F646CB">
        <w:br/>
      </w:r>
      <w:hyperlink r:id="rId374" w:anchor="YYY" w:history="1">
        <w:r>
          <w:rPr>
            <w:rStyle w:val="Hyperlink"/>
          </w:rPr>
          <w:t>SN 45.116-120</w:t>
        </w:r>
      </w:hyperlink>
      <w:r>
        <w:t>,</w:t>
      </w:r>
      <w:r w:rsidR="00F646CB">
        <w:t xml:space="preserve"> </w:t>
      </w:r>
      <w:hyperlink r:id="rId375" w:anchor="YYY" w:history="1">
        <w:r>
          <w:rPr>
            <w:rStyle w:val="Hyperlink"/>
          </w:rPr>
          <w:t>SN 45.121</w:t>
        </w:r>
      </w:hyperlink>
      <w:r>
        <w:t xml:space="preserve">, </w:t>
      </w:r>
      <w:hyperlink r:id="rId376" w:anchor="YYY" w:history="1">
        <w:r>
          <w:rPr>
            <w:rStyle w:val="Hyperlink"/>
          </w:rPr>
          <w:t>SN 45.122-126</w:t>
        </w:r>
      </w:hyperlink>
      <w:r>
        <w:t>,</w:t>
      </w:r>
      <w:r>
        <w:br/>
      </w:r>
      <w:hyperlink r:id="rId377" w:anchor="YYY" w:history="1">
        <w:r>
          <w:rPr>
            <w:rStyle w:val="Hyperlink"/>
          </w:rPr>
          <w:t>SN 45.127</w:t>
        </w:r>
      </w:hyperlink>
      <w:r>
        <w:t xml:space="preserve">, </w:t>
      </w:r>
      <w:hyperlink r:id="rId378" w:anchor="YYY" w:history="1">
        <w:r>
          <w:rPr>
            <w:rStyle w:val="Hyperlink"/>
          </w:rPr>
          <w:t>SN 45.128-132</w:t>
        </w:r>
      </w:hyperlink>
      <w:r>
        <w:t>,</w:t>
      </w:r>
      <w:r w:rsidR="00F646CB">
        <w:t xml:space="preserve"> </w:t>
      </w:r>
      <w:hyperlink r:id="rId379" w:anchor="YYY" w:history="1">
        <w:r>
          <w:rPr>
            <w:rStyle w:val="Hyperlink"/>
          </w:rPr>
          <w:t>SN 45.133</w:t>
        </w:r>
      </w:hyperlink>
      <w:r>
        <w:t xml:space="preserve">, </w:t>
      </w:r>
      <w:hyperlink r:id="rId380"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1" w:anchor="YYY" w:history="1">
        <w:r>
          <w:rPr>
            <w:rStyle w:val="Hyperlink"/>
          </w:rPr>
          <w:t>MN 22:25.5–25.6</w:t>
        </w:r>
      </w:hyperlink>
      <w:r>
        <w:t xml:space="preserve"> </w:t>
      </w:r>
      <w:r>
        <w:rPr>
          <w:rStyle w:val="wwc-PTS-reference"/>
        </w:rPr>
        <w:t>M I 138</w:t>
      </w:r>
      <w:r>
        <w:t xml:space="preserve">. See also </w:t>
      </w:r>
      <w:r>
        <w:rPr>
          <w:rStyle w:val="wwc-sesame-zot-reference"/>
        </w:rPr>
        <w:t>Wijesekera 1994</w:t>
      </w:r>
      <w:r>
        <w:t xml:space="preserve"> p.261</w:t>
      </w:r>
    </w:p>
  </w:footnote>
  <w:footnote w:id="335">
    <w:p w14:paraId="7F53FC2E" w14:textId="77777777" w:rsidR="00FE3964" w:rsidRDefault="00000000">
      <w:pPr>
        <w:pStyle w:val="FootnoteText"/>
      </w:pPr>
      <w:r>
        <w:rPr>
          <w:rStyle w:val="FootnoteCharacters"/>
        </w:rPr>
        <w:footnoteRef/>
      </w:r>
      <w:hyperlink r:id="rId382"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3" w:anchor="YYY" w:history="1">
        <w:r>
          <w:rPr>
            <w:rStyle w:val="Hyperlink"/>
          </w:rPr>
          <w:t>Snp 5.2:5.1–6.6</w:t>
        </w:r>
      </w:hyperlink>
    </w:p>
  </w:footnote>
  <w:footnote w:id="338">
    <w:p w14:paraId="3938F4B2" w14:textId="77777777" w:rsidR="00FE3964" w:rsidRDefault="00000000">
      <w:pPr>
        <w:pStyle w:val="FootnoteText"/>
      </w:pPr>
      <w:r>
        <w:rPr>
          <w:rStyle w:val="FootnoteCharacters"/>
        </w:rPr>
        <w:footnoteRef/>
      </w:r>
      <w:r>
        <w:rPr>
          <w:rStyle w:val="wwc-sesame-zot-reference"/>
        </w:rPr>
        <w:t>Sunyo 2021</w:t>
      </w:r>
    </w:p>
  </w:footnote>
  <w:footnote w:id="339">
    <w:p w14:paraId="5910239C" w14:textId="77777777" w:rsidR="00FE3964" w:rsidRDefault="00000000">
      <w:pPr>
        <w:pStyle w:val="FootnoteText"/>
      </w:pPr>
      <w:r>
        <w:rPr>
          <w:rStyle w:val="FootnoteCharacters"/>
        </w:rPr>
        <w:footnoteRef/>
      </w:r>
      <w:r>
        <w:t xml:space="preserve">See </w:t>
      </w:r>
      <w:r>
        <w:rPr>
          <w:rStyle w:val="wwc-sesame-zot-reference"/>
        </w:rPr>
        <w:t>Hinüber</w:t>
      </w:r>
      <w:r>
        <w:t xml:space="preserve"> p.28f</w:t>
      </w:r>
    </w:p>
  </w:footnote>
  <w:footnote w:id="340">
    <w:p w14:paraId="5B32F46F" w14:textId="77777777" w:rsidR="00FE3964" w:rsidRDefault="00000000">
      <w:pPr>
        <w:pStyle w:val="FootnoteText"/>
      </w:pPr>
      <w:r>
        <w:rPr>
          <w:rStyle w:val="FootnoteCharacters"/>
        </w:rPr>
        <w:footnoteRef/>
      </w:r>
      <w:hyperlink r:id="rId384"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r>
        <w:rPr>
          <w:rStyle w:val="wwc-sesame-zot-reference"/>
        </w:rPr>
        <w:t>Gombrich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r>
        <w:rPr>
          <w:rStyle w:val="wwc-pali"/>
        </w:rPr>
        <w:t>anantam apāraṁ vijñāna-ghana eva</w:t>
      </w:r>
      <w:r>
        <w:t xml:space="preserve">; BU 3.8.8, </w:t>
      </w:r>
      <w:r>
        <w:rPr>
          <w:rStyle w:val="wwc-pali"/>
        </w:rPr>
        <w:t>asthūlam anaṇv ahrasvam adīrgham</w:t>
      </w:r>
      <w:r>
        <w:t>.</w:t>
      </w:r>
    </w:p>
  </w:footnote>
  <w:footnote w:id="344">
    <w:p w14:paraId="5077FF0A" w14:textId="77777777" w:rsidR="00FE3964" w:rsidRDefault="00000000">
      <w:pPr>
        <w:pStyle w:val="FootnoteText"/>
      </w:pPr>
      <w:r>
        <w:rPr>
          <w:rStyle w:val="FootnoteCharacters"/>
        </w:rPr>
        <w:footnoteRef/>
      </w:r>
      <w:r>
        <w:t xml:space="preserve">BU 3.7.3–7, translation </w:t>
      </w:r>
      <w:r>
        <w:rPr>
          <w:rStyle w:val="wwc-sesame-zot-reference"/>
        </w:rPr>
        <w:t>Olivelle</w:t>
      </w:r>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r>
        <w:rPr>
          <w:rStyle w:val="wwc-sesame-zot-reference"/>
        </w:rPr>
        <w:t>Olivelle</w:t>
      </w:r>
      <w:r>
        <w:t>: “For when a man finds within that invisible (</w:t>
      </w:r>
      <w:r>
        <w:rPr>
          <w:rStyle w:val="wwc-sanskrit"/>
        </w:rPr>
        <w:t>nadṛśya</w:t>
      </w:r>
      <w:r>
        <w:t xml:space="preserve">), incorporeal, indistinct, and supportless essence, the fearless state on which to rest, then he becomes free from fear.” The word has the same verbal root as </w:t>
      </w:r>
      <w:r>
        <w:rPr>
          <w:rStyle w:val="wwc-pali"/>
        </w:rPr>
        <w:t>anidassana</w:t>
      </w:r>
      <w:r>
        <w:t xml:space="preserve"> of the </w:t>
      </w:r>
      <w:r>
        <w:rPr>
          <w:rStyle w:val="wwc-sesame"/>
        </w:rPr>
        <w:t>Kevaddha Sutta</w:t>
      </w:r>
    </w:p>
  </w:footnote>
  <w:footnote w:id="346">
    <w:p w14:paraId="153F5411" w14:textId="77777777" w:rsidR="00FE3964" w:rsidRDefault="00000000">
      <w:pPr>
        <w:pStyle w:val="FootnoteText"/>
      </w:pPr>
      <w:r>
        <w:rPr>
          <w:rStyle w:val="FootnoteCharacters"/>
        </w:rPr>
        <w:footnoteRef/>
      </w:r>
      <w:r>
        <w:t xml:space="preserve">CU 3.13.7–14.2, translation </w:t>
      </w:r>
      <w:r>
        <w:rPr>
          <w:rStyle w:val="wwc-sesame-zot-reference"/>
        </w:rPr>
        <w:t>Olivelle</w:t>
      </w:r>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r>
        <w:rPr>
          <w:rStyle w:val="wwc-sesame-zot-reference"/>
        </w:rPr>
        <w:t>Sunyo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Yājñavalkya’s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r>
        <w:rPr>
          <w:rStyle w:val="wwc-sesame-zot-reference"/>
        </w:rPr>
        <w:t>Gombrich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r>
        <w:rPr>
          <w:rStyle w:val="wwc-sesame-zot-reference"/>
        </w:rPr>
        <w:t>Ñāṇananda 2016</w:t>
      </w:r>
      <w:r>
        <w:t xml:space="preserve"> p.27: “There is a consciousness that is freed from name and form.” Also </w:t>
      </w:r>
      <w:r>
        <w:rPr>
          <w:rStyle w:val="wwc-sesame-zot-reference"/>
        </w:rPr>
        <w:t>Oldenberg</w:t>
      </w:r>
      <w:r>
        <w:t xml:space="preserve"> p.87, who says the “Brahmanic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r>
        <w:rPr>
          <w:rStyle w:val="wwc-sesame-zot-reference"/>
        </w:rPr>
        <w:t>Ñāṇananda 2015</w:t>
      </w:r>
      <w:r>
        <w:t xml:space="preserve"> p.60: “In some discourses, like the </w:t>
      </w:r>
      <w:r>
        <w:rPr>
          <w:rStyle w:val="wwc-sesame"/>
        </w:rPr>
        <w:t>Mahānidāna Sutta</w:t>
      </w:r>
      <w: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5" w:anchor="YYY" w:history="1">
        <w:r>
          <w:rPr>
            <w:rStyle w:val="Hyperlink"/>
          </w:rPr>
          <w:t>MN 60:5.1–8.8</w:t>
        </w:r>
      </w:hyperlink>
      <w:r>
        <w:t xml:space="preserve"> </w:t>
      </w:r>
      <w:r>
        <w:rPr>
          <w:rStyle w:val="wwc-PTS-reference"/>
        </w:rPr>
        <w:t>M I 401</w:t>
      </w:r>
      <w:r>
        <w:t xml:space="preserve">, </w:t>
      </w:r>
      <w:hyperlink r:id="rId386" w:anchor="YYY" w:history="1">
        <w:r>
          <w:rPr>
            <w:rStyle w:val="Hyperlink"/>
          </w:rPr>
          <w:t>MN 76:7.1–7.10</w:t>
        </w:r>
      </w:hyperlink>
      <w:r>
        <w:t xml:space="preserve"> </w:t>
      </w:r>
      <w:r>
        <w:rPr>
          <w:rStyle w:val="wwc-PTS-reference"/>
        </w:rPr>
        <w:t>M I 515</w:t>
      </w:r>
      <w:r>
        <w:t xml:space="preserve">, </w:t>
      </w:r>
      <w:hyperlink r:id="rId387" w:anchor="YYY" w:history="1">
        <w:r>
          <w:rPr>
            <w:rStyle w:val="Hyperlink"/>
          </w:rPr>
          <w:t>MN 110:11.1–11.4</w:t>
        </w:r>
      </w:hyperlink>
      <w:r>
        <w:t xml:space="preserve"> </w:t>
      </w:r>
      <w:r>
        <w:rPr>
          <w:rStyle w:val="wwc-PTS-reference"/>
        </w:rPr>
        <w:t>M III 22</w:t>
      </w:r>
      <w:r>
        <w:t xml:space="preserve">, </w:t>
      </w:r>
      <w:hyperlink r:id="rId388" w:anchor="YYY" w:history="1">
        <w:r>
          <w:rPr>
            <w:rStyle w:val="Hyperlink"/>
          </w:rPr>
          <w:t>SN 24.5</w:t>
        </w:r>
      </w:hyperlink>
      <w:r>
        <w:t xml:space="preserve">, </w:t>
      </w:r>
      <w:hyperlink r:id="rId389"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90"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1"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2" w:anchor="YYY" w:history="1">
        <w:r>
          <w:rPr>
            <w:rStyle w:val="Hyperlink"/>
          </w:rPr>
          <w:t>MN 111:6.1</w:t>
        </w:r>
      </w:hyperlink>
      <w:r>
        <w:t xml:space="preserve"> </w:t>
      </w:r>
      <w:r>
        <w:rPr>
          <w:rStyle w:val="wwc-PTS-reference"/>
        </w:rPr>
        <w:t>M III 25</w:t>
      </w:r>
      <w:r>
        <w:t xml:space="preserve">, as noted by </w:t>
      </w:r>
      <w:r>
        <w:rPr>
          <w:rStyle w:val="wwc-sesame-zot-reference"/>
        </w:rPr>
        <w:t>Anālayo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3">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4"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r>
        <w:rPr>
          <w:rStyle w:val="wwc-sesame-zot-reference"/>
        </w:rPr>
        <w:t>Anālayo 2018</w:t>
      </w:r>
      <w:r>
        <w:t xml:space="preserve"> p.27</w:t>
      </w:r>
    </w:p>
  </w:footnote>
  <w:footnote w:id="361">
    <w:p w14:paraId="3A2BA372" w14:textId="77777777" w:rsidR="00FE3964" w:rsidRDefault="00000000">
      <w:pPr>
        <w:pStyle w:val="FootnoteText"/>
      </w:pPr>
      <w:r>
        <w:rPr>
          <w:rStyle w:val="FootnoteCharacters"/>
        </w:rPr>
        <w:footnoteRef/>
      </w:r>
      <w:bookmarkStart w:id="110" w:name="footnote361"/>
      <w:bookmarkEnd w:id="110"/>
      <w:r>
        <w:t>Body with consciousness (</w:t>
      </w:r>
      <w:r>
        <w:rPr>
          <w:rStyle w:val="wwc-pali"/>
        </w:rPr>
        <w:t>saviññāṇaka kāya</w:t>
      </w:r>
      <w:r>
        <w:t>):</w:t>
      </w:r>
    </w:p>
    <w:p w14:paraId="372A27AD" w14:textId="77777777" w:rsidR="00FE3964" w:rsidRDefault="00000000">
      <w:pPr>
        <w:pStyle w:val="FootnoteText"/>
      </w:pPr>
      <w:hyperlink r:id="rId395" w:anchor="YYY" w:history="1">
        <w:r>
          <w:rPr>
            <w:rStyle w:val="Hyperlink"/>
          </w:rPr>
          <w:t>MN 109:13.1,13.7</w:t>
        </w:r>
      </w:hyperlink>
      <w:r>
        <w:t xml:space="preserve"> </w:t>
      </w:r>
      <w:r>
        <w:rPr>
          <w:rStyle w:val="wwc-PTS-reference"/>
        </w:rPr>
        <w:t>M III 18</w:t>
      </w:r>
      <w:r>
        <w:t>,</w:t>
      </w:r>
      <w:r>
        <w:br/>
      </w:r>
      <w:hyperlink r:id="rId396" w:anchor="YYY" w:history="1">
        <w:r>
          <w:rPr>
            <w:rStyle w:val="Hyperlink"/>
          </w:rPr>
          <w:t>MN 112:11.3,20.4</w:t>
        </w:r>
      </w:hyperlink>
      <w:r>
        <w:t xml:space="preserve"> </w:t>
      </w:r>
      <w:r>
        <w:rPr>
          <w:rStyle w:val="wwc-PTS-reference"/>
        </w:rPr>
        <w:t>M III 32</w:t>
      </w:r>
      <w:r>
        <w:t>,</w:t>
      </w:r>
      <w:r>
        <w:br/>
      </w:r>
      <w:hyperlink r:id="rId397" w:anchor="YYY" w:history="1">
        <w:r>
          <w:rPr>
            <w:rStyle w:val="Hyperlink"/>
          </w:rPr>
          <w:t>SN 18.21:1.3,1.9</w:t>
        </w:r>
      </w:hyperlink>
      <w:r>
        <w:t>,</w:t>
      </w:r>
      <w:r>
        <w:br/>
      </w:r>
      <w:hyperlink r:id="rId398" w:anchor="YYY" w:history="1">
        <w:r>
          <w:rPr>
            <w:rStyle w:val="Hyperlink"/>
          </w:rPr>
          <w:t>SN 22.71:1.3,1.9</w:t>
        </w:r>
      </w:hyperlink>
      <w:r>
        <w:t>,</w:t>
      </w:r>
      <w:r>
        <w:br/>
      </w:r>
      <w:hyperlink r:id="rId399" w:anchor="YYY" w:history="1">
        <w:r>
          <w:rPr>
            <w:rStyle w:val="Hyperlink"/>
          </w:rPr>
          <w:t>SN 22.72:1.3,1.12</w:t>
        </w:r>
      </w:hyperlink>
      <w:r>
        <w:t>,</w:t>
      </w:r>
      <w:r>
        <w:br/>
      </w:r>
      <w:hyperlink r:id="rId400" w:anchor="YYY" w:history="1">
        <w:r>
          <w:rPr>
            <w:rStyle w:val="Hyperlink"/>
          </w:rPr>
          <w:t>SN 22.82:11.1,11.7</w:t>
        </w:r>
      </w:hyperlink>
      <w:r>
        <w:t>,</w:t>
      </w:r>
      <w:r>
        <w:br/>
      </w:r>
      <w:hyperlink r:id="rId401" w:anchor="YYY" w:history="1">
        <w:r>
          <w:rPr>
            <w:rStyle w:val="Hyperlink"/>
          </w:rPr>
          <w:t>SN 22.91:1.3,2.7</w:t>
        </w:r>
      </w:hyperlink>
      <w:r>
        <w:t>,</w:t>
      </w:r>
      <w:r>
        <w:br/>
      </w:r>
      <w:hyperlink r:id="rId402" w:anchor="YYY" w:history="1">
        <w:r>
          <w:rPr>
            <w:rStyle w:val="Hyperlink"/>
          </w:rPr>
          <w:t>SN 22.92:1.3,2.6</w:t>
        </w:r>
      </w:hyperlink>
      <w:r>
        <w:t>,</w:t>
      </w:r>
      <w:r>
        <w:br/>
      </w:r>
      <w:hyperlink r:id="rId403" w:anchor="YYY" w:history="1">
        <w:r>
          <w:rPr>
            <w:rStyle w:val="Hyperlink"/>
          </w:rPr>
          <w:t>SN 22.124:1.3,2.6</w:t>
        </w:r>
      </w:hyperlink>
      <w:r>
        <w:t>,</w:t>
      </w:r>
      <w:r>
        <w:br/>
      </w:r>
      <w:hyperlink r:id="rId404" w:anchor="YYY" w:history="1">
        <w:r>
          <w:rPr>
            <w:rStyle w:val="Hyperlink"/>
          </w:rPr>
          <w:t>SN 22.125:1.3,2.6</w:t>
        </w:r>
      </w:hyperlink>
      <w:r>
        <w:t>,</w:t>
      </w:r>
      <w:r>
        <w:br/>
      </w:r>
      <w:hyperlink r:id="rId405" w:anchor="YYY" w:history="1">
        <w:r>
          <w:rPr>
            <w:rStyle w:val="Hyperlink"/>
          </w:rPr>
          <w:t>AN 3.32:2.1,2.3,4.3</w:t>
        </w:r>
      </w:hyperlink>
      <w:r>
        <w:t>,</w:t>
      </w:r>
      <w:r>
        <w:br/>
      </w:r>
      <w:hyperlink r:id="rId406" w:anchor="YYY" w:history="1">
        <w:r>
          <w:rPr>
            <w:rStyle w:val="Hyperlink"/>
          </w:rPr>
          <w:t>AN 3.33:2.2,3.1</w:t>
        </w:r>
      </w:hyperlink>
      <w:r>
        <w:t>,</w:t>
      </w:r>
      <w:r>
        <w:br/>
      </w:r>
      <w:hyperlink r:id="rId407" w:anchor="YYY" w:history="1">
        <w:r>
          <w:rPr>
            <w:rStyle w:val="Hyperlink"/>
          </w:rPr>
          <w:t>AN 7.49:14.3,15.1,16.1</w:t>
        </w:r>
      </w:hyperlink>
      <w:r>
        <w:t>;</w:t>
      </w:r>
    </w:p>
    <w:p w14:paraId="6740FAD3" w14:textId="77777777" w:rsidR="00FE3964" w:rsidRDefault="00000000">
      <w:pPr>
        <w:pStyle w:val="FootnoteText"/>
      </w:pPr>
      <w:r>
        <w:t xml:space="preserve">cf. </w:t>
      </w:r>
      <w:hyperlink r:id="rId408"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13B25E40" w:rsidR="00FE3964" w:rsidRDefault="00000000">
      <w:pPr>
        <w:pStyle w:val="FootnoteText"/>
      </w:pPr>
      <w:hyperlink r:id="rId409"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10" w:anchor="YYY" w:history="1">
        <w:r w:rsidR="00286E16">
          <w:rPr>
            <w:rStyle w:val="Hyperlink"/>
          </w:rPr>
          <w:t>DN 2:83.4</w:t>
        </w:r>
      </w:hyperlink>
      <w:r w:rsidR="00286E16">
        <w:t xml:space="preserve"> </w:t>
      </w:r>
      <w:r w:rsidR="00286E16" w:rsidRPr="00286E16">
        <w:rPr>
          <w:rStyle w:val="wwc-PTS-reference"/>
        </w:rPr>
        <w:t>D I 76</w:t>
      </w:r>
      <w:r w:rsidR="00286E16">
        <w:t>,</w:t>
      </w:r>
      <w:r>
        <w:br/>
      </w:r>
      <w:hyperlink r:id="rId411"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2" w:anchor="YYY" w:history="1">
        <w:r>
          <w:rPr>
            <w:rStyle w:val="Hyperlink"/>
          </w:rPr>
          <w:t>MN 43:24.2</w:t>
        </w:r>
      </w:hyperlink>
      <w:r>
        <w:t xml:space="preserve"> </w:t>
      </w:r>
      <w:r>
        <w:rPr>
          <w:rStyle w:val="wwc-PTS-reference"/>
        </w:rPr>
        <w:t>M I 296</w:t>
      </w:r>
    </w:p>
  </w:footnote>
  <w:footnote w:id="362">
    <w:p w14:paraId="1C54D788" w14:textId="21074191" w:rsidR="00FE3964" w:rsidRDefault="00000000">
      <w:pPr>
        <w:pStyle w:val="FootnoteText"/>
      </w:pPr>
      <w:r>
        <w:rPr>
          <w:rStyle w:val="FootnoteCharacters"/>
        </w:rPr>
        <w:footnoteRef/>
      </w:r>
      <w:r>
        <w:t xml:space="preserve">Consciousness transmigrates: </w:t>
      </w:r>
      <w:hyperlink r:id="rId413"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sidRPr="003F2BDB">
        <w:rPr>
          <w:rStyle w:val="wwc-sesame"/>
        </w:rPr>
        <w:t xml:space="preserve">PED under </w:t>
      </w:r>
      <w:r w:rsidRPr="00573470">
        <w:rPr>
          <w:rStyle w:val="wwc-sesame"/>
        </w:rPr>
        <w:t>viññāṇa</w:t>
      </w:r>
    </w:p>
  </w:footnote>
  <w:footnote w:id="364">
    <w:p w14:paraId="2A51B977" w14:textId="42B2849D" w:rsidR="00FE3964" w:rsidRDefault="00000000">
      <w:pPr>
        <w:pStyle w:val="FootnoteText"/>
      </w:pPr>
      <w:r>
        <w:rPr>
          <w:rStyle w:val="FootnoteCharacters"/>
        </w:rPr>
        <w:footnoteRef/>
      </w:r>
      <w:r>
        <w:t xml:space="preserve">For example </w:t>
      </w:r>
      <w:r w:rsidR="008C2CE7">
        <w:br/>
      </w:r>
      <w:r>
        <w:rPr>
          <w:rStyle w:val="wwc-sesame-zot-reference"/>
        </w:rPr>
        <w:t>Frauwallner 1953/1973</w:t>
      </w:r>
      <w:r>
        <w:t xml:space="preserve"> p.162, </w:t>
      </w:r>
      <w:r w:rsidR="008C2CE7">
        <w:br/>
      </w:r>
      <w:r>
        <w:rPr>
          <w:rStyle w:val="wwc-sesame-zot-reference"/>
        </w:rPr>
        <w:t>Hamilton</w:t>
      </w:r>
      <w:r>
        <w:t xml:space="preserve"> p.101, </w:t>
      </w:r>
      <w:r w:rsidR="008C2CE7">
        <w:br/>
      </w:r>
      <w:r>
        <w:rPr>
          <w:rStyle w:val="wwc-sesame-zot-reference"/>
        </w:rPr>
        <w:t>Langer</w:t>
      </w:r>
      <w:r>
        <w:t xml:space="preserve"> p.9, </w:t>
      </w:r>
      <w:r w:rsidR="008C2CE7">
        <w:br/>
      </w:r>
      <w:r>
        <w:rPr>
          <w:rStyle w:val="wwc-sesame-zot-reference"/>
        </w:rPr>
        <w:t>Vetter 1988</w:t>
      </w:r>
      <w:r>
        <w:t xml:space="preserve"> p.49, </w:t>
      </w:r>
      <w:r w:rsidR="008C2CE7">
        <w:br/>
      </w:r>
      <w:r>
        <w:rPr>
          <w:rStyle w:val="wwc-sesame-zot-reference"/>
        </w:rPr>
        <w:t>Wijesekera 1994</w:t>
      </w:r>
      <w:r>
        <w:t xml:space="preserve"> p.111</w:t>
      </w:r>
    </w:p>
  </w:footnote>
  <w:footnote w:id="365">
    <w:p w14:paraId="1C44C799" w14:textId="77777777" w:rsidR="00FE3964" w:rsidRDefault="00000000">
      <w:pPr>
        <w:pStyle w:val="FootnoteText"/>
      </w:pPr>
      <w:r>
        <w:rPr>
          <w:rStyle w:val="FootnoteCharacters"/>
        </w:rPr>
        <w:footnoteRef/>
      </w:r>
      <w:r>
        <w:rPr>
          <w:rStyle w:val="wwc-sesame-zot-reference"/>
        </w:rPr>
        <w:t>Kalupahana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r>
        <w:rPr>
          <w:rStyle w:val="wwc-sesame-zot-reference"/>
        </w:rPr>
        <w:t>Gombrich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r>
        <w:rPr>
          <w:rStyle w:val="wwc-pali"/>
        </w:rPr>
        <w:t>viññāṇa</w:t>
      </w:r>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4"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r>
        <w:rPr>
          <w:rStyle w:val="wwc-pali"/>
        </w:rPr>
        <w:t>viññāṇa</w:t>
      </w:r>
      <w:r>
        <w:t xml:space="preserve">, literally ‘awareness’, and rightly so rendered it. [Here] </w:t>
      </w:r>
      <w:r>
        <w:rPr>
          <w:rStyle w:val="wwc-pali"/>
        </w:rPr>
        <w:t>viññāṇa</w:t>
      </w:r>
      <w:r>
        <w:t xml:space="preserve"> clearly means the man who has survived death.”</w:t>
      </w:r>
    </w:p>
  </w:footnote>
  <w:footnote w:id="369">
    <w:p w14:paraId="50D60F2D" w14:textId="77777777" w:rsidR="00FE3964" w:rsidRDefault="00000000">
      <w:pPr>
        <w:pStyle w:val="FootnoteText"/>
      </w:pPr>
      <w:r>
        <w:rPr>
          <w:rStyle w:val="FootnoteCharacters"/>
        </w:rPr>
        <w:footnoteRef/>
      </w:r>
      <w:r>
        <w:rPr>
          <w:rStyle w:val="wwc-sesame-zot-reference"/>
        </w:rPr>
        <w:t>Schmithausen 2000</w:t>
      </w:r>
      <w:r>
        <w:t xml:space="preserve"> p.57, translation mine</w:t>
      </w:r>
    </w:p>
  </w:footnote>
  <w:footnote w:id="370">
    <w:p w14:paraId="3F110139" w14:textId="77777777" w:rsidR="00FE3964" w:rsidRDefault="00000000">
      <w:pPr>
        <w:pStyle w:val="FootnoteText"/>
      </w:pPr>
      <w:r>
        <w:rPr>
          <w:rStyle w:val="FootnoteCharacters"/>
        </w:rPr>
        <w:footnoteRef/>
      </w:r>
      <w:r>
        <w:rPr>
          <w:rStyle w:val="wwc-sesame-zot-reference"/>
        </w:rPr>
        <w:t>Frauwallner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5" w:anchor="YYY" w:history="1">
        <w:r>
          <w:rPr>
            <w:rStyle w:val="Hyperlink"/>
          </w:rPr>
          <w:t>Thag 1.90</w:t>
        </w:r>
      </w:hyperlink>
    </w:p>
  </w:footnote>
  <w:footnote w:id="373">
    <w:p w14:paraId="242A4892" w14:textId="77777777" w:rsidR="00FE3964" w:rsidRDefault="00000000">
      <w:pPr>
        <w:pStyle w:val="FootnoteText"/>
      </w:pPr>
      <w:r>
        <w:rPr>
          <w:rStyle w:val="FootnoteCharacters"/>
        </w:rPr>
        <w:footnoteRef/>
      </w:r>
      <w:r>
        <w:t xml:space="preserve">See also </w:t>
      </w:r>
      <w:r>
        <w:rPr>
          <w:rStyle w:val="wwc-sesame-zot-reference"/>
        </w:rPr>
        <w:t>Brahmavamso 2002</w:t>
      </w:r>
    </w:p>
  </w:footnote>
  <w:footnote w:id="374">
    <w:p w14:paraId="052EDCE3" w14:textId="77777777" w:rsidR="00FE3964" w:rsidRDefault="00000000">
      <w:pPr>
        <w:pStyle w:val="FootnoteText"/>
      </w:pPr>
      <w:r>
        <w:rPr>
          <w:rStyle w:val="FootnoteCharacters"/>
        </w:rPr>
        <w:footnoteRef/>
      </w:r>
      <w:r>
        <w:t xml:space="preserve">For example </w:t>
      </w:r>
      <w:r>
        <w:rPr>
          <w:rStyle w:val="wwc-sesame"/>
        </w:rPr>
        <w:t>Vism</w:t>
      </w:r>
      <w:r>
        <w:t xml:space="preserve"> 546</w:t>
      </w:r>
    </w:p>
  </w:footnote>
  <w:footnote w:id="375">
    <w:p w14:paraId="71DCADC1" w14:textId="77777777" w:rsidR="00FE3964" w:rsidRDefault="00000000">
      <w:pPr>
        <w:pStyle w:val="FootnoteText"/>
      </w:pPr>
      <w:r>
        <w:rPr>
          <w:rStyle w:val="FootnoteCharacters"/>
        </w:rPr>
        <w:footnoteRef/>
      </w:r>
      <w:r>
        <w:rPr>
          <w:rStyle w:val="wwc-sesame-zot-reference"/>
        </w:rPr>
        <w:t>Wijesekera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r>
        <w:rPr>
          <w:rStyle w:val="wwc-sesame-zot-reference"/>
        </w:rPr>
        <w:t>Olivelle</w:t>
      </w:r>
    </w:p>
  </w:footnote>
  <w:footnote w:id="377">
    <w:p w14:paraId="14F161DA" w14:textId="77777777" w:rsidR="00FE3964" w:rsidRDefault="00000000">
      <w:pPr>
        <w:pStyle w:val="FootnoteText"/>
      </w:pPr>
      <w:r>
        <w:rPr>
          <w:rStyle w:val="FootnoteCharacters"/>
        </w:rPr>
        <w:footnoteRef/>
      </w:r>
      <w:hyperlink r:id="rId416" w:anchor="YYY" w:history="1">
        <w:r>
          <w:rPr>
            <w:rStyle w:val="Hyperlink"/>
          </w:rPr>
          <w:t>MN 38:5.11</w:t>
        </w:r>
      </w:hyperlink>
      <w:r>
        <w:t xml:space="preserve"> </w:t>
      </w:r>
      <w:r>
        <w:rPr>
          <w:rStyle w:val="wwc-PTS-reference"/>
        </w:rPr>
        <w:t>M I 256</w:t>
      </w:r>
      <w:r>
        <w:t xml:space="preserve">. Compare </w:t>
      </w:r>
      <w:hyperlink r:id="rId417"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r>
        <w:rPr>
          <w:rStyle w:val="wwc-sesame-zot-reference"/>
        </w:rPr>
        <w:t>Wijesekera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8" w:anchor="YYY" w:history="1">
        <w:r>
          <w:rPr>
            <w:rStyle w:val="Hyperlink"/>
          </w:rPr>
          <w:t>DN 28:7.13</w:t>
        </w:r>
      </w:hyperlink>
      <w:r>
        <w:t xml:space="preserve"> </w:t>
      </w:r>
      <w:r>
        <w:rPr>
          <w:rStyle w:val="wwc-PTS-reference"/>
        </w:rPr>
        <w:t>D III 105</w:t>
      </w:r>
      <w:r>
        <w:t xml:space="preserve">. See also </w:t>
      </w:r>
      <w:r>
        <w:rPr>
          <w:rStyle w:val="wwc-sesame-zot-reference"/>
        </w:rPr>
        <w:t>Anālayo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r>
        <w:rPr>
          <w:rStyle w:val="wwc-sesame-zot-reference"/>
        </w:rPr>
        <w:t>Buddhadāsa</w:t>
      </w:r>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sidRPr="00D3529D">
        <w:rPr>
          <w:rStyle w:val="wwc-sesame"/>
        </w:rPr>
        <w:t>PED s.v. viññāṇa</w:t>
      </w:r>
      <w:r>
        <w:t>, emphasis added.</w:t>
      </w:r>
    </w:p>
  </w:footnote>
  <w:footnote w:id="385">
    <w:p w14:paraId="48C80D7D" w14:textId="77777777" w:rsidR="00FE3964" w:rsidRDefault="00000000">
      <w:pPr>
        <w:pStyle w:val="FootnoteText"/>
      </w:pPr>
      <w:r>
        <w:rPr>
          <w:rStyle w:val="FootnoteCharacters"/>
        </w:rPr>
        <w:footnoteRef/>
      </w:r>
      <w:r>
        <w:rPr>
          <w:rStyle w:val="wwc-sesame-zot-reference"/>
        </w:rPr>
        <w:t>Olalde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9"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Koṭṭhita</w:t>
      </w:r>
      <w:r w:rsidR="002864F7" w:rsidRPr="002864F7">
        <w:t xml:space="preserve">, </w:t>
      </w:r>
      <w:r w:rsidR="002864F7" w:rsidRPr="002864F7">
        <w:rPr>
          <w:rStyle w:val="wwc-sesame"/>
        </w:rPr>
        <w:t>DPPN for Sāriputta</w:t>
      </w:r>
    </w:p>
  </w:footnote>
  <w:footnote w:id="388">
    <w:p w14:paraId="6C965208" w14:textId="77777777" w:rsidR="00FE3964" w:rsidRDefault="00000000">
      <w:pPr>
        <w:pStyle w:val="FootnoteText"/>
      </w:pPr>
      <w:r>
        <w:rPr>
          <w:rStyle w:val="FootnoteCharacters"/>
        </w:rPr>
        <w:footnoteRef/>
      </w:r>
      <w:r>
        <w:t xml:space="preserve">See also </w:t>
      </w:r>
      <w:hyperlink r:id="rId420"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‘Idaṁ saccan’ti maññati</w:t>
      </w:r>
      <w: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t xml:space="preserve"> is a pronoun without explicit referent, meaning it does not refer to any specific noun, including </w:t>
      </w:r>
      <w:r>
        <w:rPr>
          <w:rStyle w:val="wwc-pali"/>
        </w:rPr>
        <w:t>nāmarūpa</w:t>
      </w:r>
      <w:r>
        <w:t xml:space="preserve"> (contra e.g. </w:t>
      </w:r>
      <w:r>
        <w:rPr>
          <w:rStyle w:val="wwc-sesame-zot-reference"/>
        </w:rPr>
        <w:t>Ñāṇananda 2015</w:t>
      </w:r>
      <w:r>
        <w:t xml:space="preserve"> p.132). See the prose preceding these verses in the discourse, where </w:t>
      </w:r>
      <w:r>
        <w:rPr>
          <w:rStyle w:val="wwc-pali"/>
        </w:rPr>
        <w:t>idaṁ</w:t>
      </w:r>
      <w:r>
        <w:t xml:space="preserve"> also does not refer to anything specific: “What the world […] considers to be the truth (‘</w:t>
      </w:r>
      <w:r>
        <w:rPr>
          <w:rStyle w:val="wwc-pali"/>
        </w:rPr>
        <w:t>idaṁ saccan’ti upanijjhāyitaṁ</w:t>
      </w:r>
      <w:r>
        <w:t>), the noble ones […] understand to be false. […] What the world […] considers to be false (</w:t>
      </w:r>
      <w:r>
        <w:rPr>
          <w:rStyle w:val="wwc-pali"/>
        </w:rPr>
        <w:t>‘idaṁ musā’ti upanijjhāyitaṁ</w:t>
      </w:r>
      <w:r>
        <w:t xml:space="preserve">), the noble ones […] understand to be the truth.” There is no mention of </w:t>
      </w:r>
      <w:r>
        <w:rPr>
          <w:rStyle w:val="wwc-pali"/>
        </w:rPr>
        <w:t>nāmarūpa</w:t>
      </w:r>
      <w:r>
        <w:t xml:space="preserve"> at this point. Furthermore, if </w:t>
      </w:r>
      <w:r>
        <w:rPr>
          <w:rStyle w:val="wwc-pali"/>
        </w:rPr>
        <w:t>idaṁ</w:t>
      </w:r>
      <w:r>
        <w:t xml:space="preserve"> </w:t>
      </w:r>
      <w:r>
        <w:rPr>
          <w:rStyle w:val="Emphasis"/>
        </w:rPr>
        <w:t>were</w:t>
      </w:r>
      <w:r>
        <w:t xml:space="preserve"> to refer to </w:t>
      </w:r>
      <w:r>
        <w:rPr>
          <w:rStyle w:val="wwc-pali"/>
        </w:rPr>
        <w:t>nāmarūpa</w:t>
      </w:r>
      <w:r>
        <w:t xml:space="preserve"> here, then the noble ones also understand it to be true. This does not fit Ñāṇananda’s ideas, who took </w:t>
      </w:r>
      <w:r>
        <w:rPr>
          <w:rStyle w:val="wwc-pali"/>
        </w:rPr>
        <w:t>nāmarūpa</w:t>
      </w:r>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r>
        <w:rPr>
          <w:rStyle w:val="wwc-pali"/>
        </w:rPr>
        <w:t>idam’eva saccaṁ</w:t>
      </w:r>
      <w:r>
        <w:t xml:space="preserve">, for example in </w:t>
      </w:r>
      <w:r>
        <w:rPr>
          <w:rStyle w:val="wwc-pali"/>
        </w:rPr>
        <w:t>sassato loko, idam’eva saccaṁ</w:t>
      </w:r>
      <w:r>
        <w:t xml:space="preserve">, ‘the world is eternal, just this is the truth’— e.g. </w:t>
      </w:r>
      <w:hyperlink r:id="rId421" w:anchor="YYY" w:history="1">
        <w:r>
          <w:rPr>
            <w:rStyle w:val="Hyperlink"/>
          </w:rPr>
          <w:t>DN 9:25.3</w:t>
        </w:r>
      </w:hyperlink>
      <w:r>
        <w:t xml:space="preserve"> </w:t>
      </w:r>
      <w:r>
        <w:rPr>
          <w:rStyle w:val="wwc-PTS-reference"/>
        </w:rPr>
        <w:t>D I 187</w:t>
      </w:r>
      <w:r>
        <w:t xml:space="preserve">. </w:t>
      </w:r>
      <w:r>
        <w:rPr>
          <w:rStyle w:val="wwc-pali"/>
        </w:rPr>
        <w:t>Idaṁ</w:t>
      </w:r>
      <w:r>
        <w:t xml:space="preserve"> is neuter, while </w:t>
      </w:r>
      <w:r>
        <w:rPr>
          <w:rStyle w:val="wwc-pali"/>
        </w:rPr>
        <w:t>loko</w:t>
      </w:r>
      <w: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t xml:space="preserve"> is not the thing that is considered to be the truth. It is its </w:t>
      </w:r>
      <w:r>
        <w:rPr>
          <w:rStyle w:val="Emphasis"/>
        </w:rPr>
        <w:t>selfhood</w:t>
      </w:r>
      <w:r>
        <w:t xml:space="preserve"> which is mistakenly taken as truth, as the commentary also notes, not </w:t>
      </w:r>
      <w:r>
        <w:rPr>
          <w:rStyle w:val="wwc-pali"/>
        </w:rPr>
        <w:t>nāmarūpa</w:t>
      </w:r>
      <w:r>
        <w:t xml:space="preserve"> itself. The world imagining (</w:t>
      </w:r>
      <w:r>
        <w:rPr>
          <w:rStyle w:val="wwc-pali"/>
        </w:rPr>
        <w:t>maññati</w:t>
      </w:r>
      <w:r>
        <w:t xml:space="preserve">) things to be true refers back to the earlier line on them imagining </w:t>
      </w:r>
      <w:r>
        <w:rPr>
          <w:rStyle w:val="wwc-pali"/>
        </w:rPr>
        <w:t>nāmarūpa</w:t>
      </w:r>
      <w:r>
        <w:t xml:space="preserve"> to have a self (</w:t>
      </w:r>
      <w:r>
        <w:rPr>
          <w:rStyle w:val="wwc-pali"/>
        </w:rPr>
        <w:t>atta-māniṁ</w:t>
      </w:r>
      <w:r>
        <w:t xml:space="preserve">). It also corresponds with the next line: “for whatever they imagine it is [i.e. a self], it is different from that [i.e. without a self].” (See also the passage quoted at </w:t>
      </w:r>
      <w:hyperlink w:anchor="footnote422">
        <w:r>
          <w:rPr>
            <w:rStyle w:val="Hyperlink"/>
          </w:rPr>
          <w:t>note 422</w:t>
        </w:r>
      </w:hyperlink>
      <w:r>
        <w:t xml:space="preserve">: “The Buddha has said to not identify with the attainment of the first </w:t>
      </w:r>
      <w:r>
        <w:rPr>
          <w:rStyle w:val="wwc-pali"/>
        </w:rPr>
        <w:t>jhāna</w:t>
      </w:r>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2" w:anchor="YYY" w:history="1">
        <w:r>
          <w:rPr>
            <w:rStyle w:val="Hyperlink"/>
          </w:rPr>
          <w:t>Snp 3.12:51.1–53.4</w:t>
        </w:r>
      </w:hyperlink>
    </w:p>
  </w:footnote>
  <w:footnote w:id="391">
    <w:p w14:paraId="6F9515BD" w14:textId="77777777" w:rsidR="00FE3964" w:rsidRDefault="00000000">
      <w:pPr>
        <w:pStyle w:val="FootnoteText"/>
      </w:pPr>
      <w:r>
        <w:rPr>
          <w:rStyle w:val="FootnoteCharacters"/>
        </w:rPr>
        <w:footnoteRef/>
      </w:r>
      <w:r>
        <w:t xml:space="preserve">The verb </w:t>
      </w:r>
      <w:r>
        <w:rPr>
          <w:rStyle w:val="wwc-pali"/>
        </w:rPr>
        <w:t>niviṭṭha</w:t>
      </w:r>
      <w: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3"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r>
        <w:rPr>
          <w:rStyle w:val="wwc-pali"/>
        </w:rPr>
        <w:t>jaṭā</w:t>
      </w:r>
      <w:r>
        <w:t>) also refers to the hair of Bhāradvāja Tangled-Hair (</w:t>
      </w:r>
      <w:r>
        <w:rPr>
          <w:rStyle w:val="wwc-pali"/>
        </w:rPr>
        <w:t>jaṭā-bhāradvāja</w:t>
      </w:r>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4" w:anchor="YYY" w:history="1">
        <w:r>
          <w:rPr>
            <w:rStyle w:val="Hyperlink"/>
          </w:rPr>
          <w:t>SN 7.6</w:t>
        </w:r>
      </w:hyperlink>
      <w:r>
        <w:t xml:space="preserve">. Similar at </w:t>
      </w:r>
      <w:hyperlink r:id="rId425"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6">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7">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r>
        <w:rPr>
          <w:rStyle w:val="wwc-pali"/>
        </w:rPr>
        <w:t>rūpa</w:t>
      </w:r>
      <w:r>
        <w:t>) and in conjunction with its constellation of concomitants (</w:t>
      </w:r>
      <w:r>
        <w:rPr>
          <w:rStyle w:val="wwc-pali"/>
        </w:rPr>
        <w:t>nāma</w:t>
      </w:r>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r>
        <w:rPr>
          <w:rStyle w:val="wwc-pali"/>
        </w:rPr>
        <w:t>saṁsāric</w:t>
      </w:r>
      <w:r>
        <w:t xml:space="preserve"> process of birth and death revolves. In this sense their mutual dependence constitutes the irreducible ground of </w:t>
      </w:r>
      <w:r>
        <w:rPr>
          <w:rStyle w:val="wwc-pali"/>
        </w:rPr>
        <w:t>saṁsāric</w:t>
      </w:r>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r>
        <w:rPr>
          <w:rStyle w:val="wwc-sesame-zot-reference"/>
        </w:rPr>
        <w:t>Pasanno</w:t>
      </w:r>
      <w:r>
        <w:t xml:space="preserve"> p.133, </w:t>
      </w:r>
      <w:r>
        <w:rPr>
          <w:rStyle w:val="wwc-sesame-zot-reference"/>
        </w:rPr>
        <w:t>Cintita</w:t>
      </w:r>
      <w:r>
        <w:t xml:space="preserve"> p.166</w:t>
      </w:r>
    </w:p>
  </w:footnote>
  <w:footnote w:id="402">
    <w:p w14:paraId="3F4400FA" w14:textId="77777777" w:rsidR="00FE3964" w:rsidRDefault="00000000">
      <w:pPr>
        <w:pStyle w:val="FootnoteText"/>
      </w:pPr>
      <w:r>
        <w:rPr>
          <w:rStyle w:val="FootnoteCharacters"/>
        </w:rPr>
        <w:footnoteRef/>
      </w:r>
      <w:r>
        <w:rPr>
          <w:rStyle w:val="wwc-sesame-zot-reference"/>
        </w:rPr>
        <w:t>Sujato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8" w:anchor="YYY" w:history="1">
        <w:r>
          <w:rPr>
            <w:rStyle w:val="Hyperlink"/>
          </w:rPr>
          <w:t>SN 22.79</w:t>
        </w:r>
      </w:hyperlink>
      <w:r>
        <w:t xml:space="preserve">: “Usually in the suttas </w:t>
      </w:r>
      <w:r>
        <w:rPr>
          <w:rStyle w:val="wwc-pali"/>
        </w:rPr>
        <w:t>viññaṇa</w:t>
      </w:r>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r>
        <w:rPr>
          <w:rStyle w:val="wwc-sesame-zot-reference"/>
        </w:rPr>
        <w:t>Ñāṇamoli 1956</w:t>
      </w:r>
      <w:r>
        <w:t xml:space="preserve"> n.48 p.606. See also </w:t>
      </w:r>
      <w:r>
        <w:rPr>
          <w:rStyle w:val="wwc-sesame-zot-reference"/>
        </w:rPr>
        <w:t>Gombrich 1980</w:t>
      </w:r>
      <w:r>
        <w:t xml:space="preserve"> p.43</w:t>
      </w:r>
    </w:p>
  </w:footnote>
  <w:footnote w:id="406">
    <w:p w14:paraId="11A3A650" w14:textId="77777777" w:rsidR="00FE3964" w:rsidRDefault="00000000">
      <w:pPr>
        <w:pStyle w:val="FootnoteText"/>
      </w:pPr>
      <w:r>
        <w:rPr>
          <w:rStyle w:val="FootnoteCharacters"/>
        </w:rPr>
        <w:footnoteRef/>
      </w:r>
      <w:r>
        <w:rPr>
          <w:rStyle w:val="wwc-sesame-zot-reference"/>
        </w:rPr>
        <w:t>Schmithausen 2000</w:t>
      </w:r>
      <w:r>
        <w:t xml:space="preserve"> p.74, translation mine, emphasis in the original</w:t>
      </w:r>
    </w:p>
  </w:footnote>
  <w:footnote w:id="407">
    <w:p w14:paraId="4E3017B7" w14:textId="3137B75E" w:rsidR="00FE3964" w:rsidRDefault="00000000">
      <w:pPr>
        <w:pStyle w:val="FootnoteText"/>
      </w:pPr>
      <w:r>
        <w:rPr>
          <w:rStyle w:val="FootnoteCharacters"/>
        </w:rPr>
        <w:footnoteRef/>
      </w:r>
      <w:r>
        <w:rPr>
          <w:rStyle w:val="wwc-sesame-zot-reference"/>
        </w:rPr>
        <w:t>Brahmavamso 1994</w:t>
      </w:r>
      <w:r>
        <w:t xml:space="preserve"> </w:t>
      </w:r>
      <w:r w:rsidR="00C561F1">
        <w:t>(</w:t>
      </w:r>
      <w:r w:rsidR="008619F3">
        <w:t xml:space="preserve">at </w:t>
      </w:r>
      <w:hyperlink r:id="rId429" w:anchor="284" w:history="1">
        <w:r w:rsidR="008619F3" w:rsidRPr="008619F3">
          <w:rPr>
            <w:rStyle w:val="Hyperlink"/>
            <w:rFonts w:hint="eastAsia"/>
          </w:rPr>
          <w:t>※</w:t>
        </w:r>
        <w:r w:rsidR="008619F3" w:rsidRPr="008619F3">
          <w:rPr>
            <w:rStyle w:val="Hyperlink"/>
            <w:rFonts w:hint="eastAsia"/>
          </w:rPr>
          <w:t>284</w:t>
        </w:r>
      </w:hyperlink>
      <w:r w:rsidR="00C561F1">
        <w:t>),</w:t>
      </w:r>
      <w:r w:rsidR="008619F3">
        <w:t xml:space="preserve"> </w:t>
      </w:r>
      <w:r>
        <w:t>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r>
        <w:rPr>
          <w:rStyle w:val="wwc-pali"/>
        </w:rPr>
        <w:t>kamma</w:t>
      </w:r>
      <w:r>
        <w:t xml:space="preserve"> only in the more general sense that the capacity for experiencing feeling is a consequence of obtaining a sentient organism through the force of past </w:t>
      </w:r>
      <w:r>
        <w:rPr>
          <w:rStyle w:val="wwc-pali"/>
        </w:rPr>
        <w:t>kamma</w:t>
      </w:r>
      <w:r>
        <w:t xml:space="preserve">. […] That is, it is past </w:t>
      </w:r>
      <w:r>
        <w:rPr>
          <w:rStyle w:val="wwc-pali"/>
        </w:rPr>
        <w:t>kamma</w:t>
      </w:r>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30"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31"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2"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3"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4"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5"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6"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7" w:anchor="YYY" w:history="1">
        <w:r>
          <w:rPr>
            <w:rStyle w:val="Hyperlink"/>
          </w:rPr>
          <w:t>SN 12.52:2.3</w:t>
        </w:r>
      </w:hyperlink>
      <w:r>
        <w:t>: “With that nutriment, that fuel, that bonfire would burn for a very long time.”</w:t>
      </w:r>
    </w:p>
  </w:footnote>
  <w:footnote w:id="415">
    <w:p w14:paraId="38789F61" w14:textId="0D4FFDD5" w:rsidR="00FE3964" w:rsidRDefault="00000000">
      <w:pPr>
        <w:pStyle w:val="FootnoteText"/>
      </w:pPr>
      <w:r>
        <w:rPr>
          <w:rStyle w:val="FootnoteCharacters"/>
        </w:rPr>
        <w:footnoteRef/>
      </w:r>
      <w:hyperlink r:id="rId438" w:anchor="YYY" w:history="1">
        <w:r w:rsidR="00A15403">
          <w:rPr>
            <w:rStyle w:val="Hyperlink"/>
          </w:rPr>
          <w:t>MN 28:17.3</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r>
        <w:rPr>
          <w:rStyle w:val="wwc-sesame-zot-reference"/>
        </w:rPr>
        <w:t>Gombrich 2009</w:t>
      </w:r>
      <w:r>
        <w:t xml:space="preserve"> p.120</w:t>
      </w:r>
    </w:p>
  </w:footnote>
  <w:footnote w:id="417">
    <w:p w14:paraId="074B9BC8" w14:textId="77777777" w:rsidR="00FE3964" w:rsidRDefault="00000000">
      <w:pPr>
        <w:pStyle w:val="FootnoteText"/>
      </w:pPr>
      <w:r>
        <w:rPr>
          <w:rStyle w:val="FootnoteCharacters"/>
        </w:rPr>
        <w:footnoteRef/>
      </w:r>
      <w:hyperlink r:id="rId439"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40"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41"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2"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3"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4" w:anchor="YYY" w:history="1">
        <w:bookmarkStart w:id="125" w:name="footnote422"/>
        <w:bookmarkEnd w:id="125"/>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r>
        <w:rPr>
          <w:rStyle w:val="wwc-sesame"/>
        </w:rPr>
        <w:t>Brahmavamso 2006 ‘The Nature of Citta’</w:t>
      </w:r>
    </w:p>
  </w:footnote>
  <w:footnote w:id="424">
    <w:p w14:paraId="0B1F91A9" w14:textId="77777777" w:rsidR="00FE3964" w:rsidRDefault="00000000">
      <w:pPr>
        <w:pStyle w:val="FootnoteText"/>
      </w:pPr>
      <w:r>
        <w:rPr>
          <w:rStyle w:val="FootnoteCharacters"/>
        </w:rPr>
        <w:footnoteRef/>
      </w:r>
      <w:hyperlink r:id="rId445" w:anchor="YYY" w:history="1">
        <w:r>
          <w:rPr>
            <w:rStyle w:val="Hyperlink"/>
          </w:rPr>
          <w:t>SN 36.6:2.1</w:t>
        </w:r>
      </w:hyperlink>
      <w:r>
        <w:t xml:space="preserve">. See also </w:t>
      </w:r>
      <w:hyperlink r:id="rId446"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7"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r>
        <w:rPr>
          <w:rStyle w:val="wwc-pali"/>
        </w:rPr>
        <w:t>Savijñānakaḥ kāyo</w:t>
      </w:r>
      <w:r>
        <w:t xml:space="preserve"> (</w:t>
      </w:r>
      <w:hyperlink r:id="rId448">
        <w:r>
          <w:rPr>
            <w:rStyle w:val="Hyperlink"/>
          </w:rPr>
          <w:t>SF 161</w:t>
        </w:r>
      </w:hyperlink>
      <w:r>
        <w:t xml:space="preserve">) and </w:t>
      </w:r>
      <w:r>
        <w:t>識身</w:t>
      </w:r>
      <w:r>
        <w:t xml:space="preserve"> (</w:t>
      </w:r>
      <w:hyperlink r:id="rId449">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r>
        <w:rPr>
          <w:rStyle w:val="wwc-pali"/>
        </w:rPr>
        <w:t>nimitta</w:t>
      </w:r>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r>
        <w:rPr>
          <w:rStyle w:val="wwc-pali"/>
        </w:rPr>
        <w:t>nāmarūpa</w:t>
      </w:r>
      <w:r>
        <w:t xml:space="preserve"> as a </w:t>
      </w:r>
      <w:r>
        <w:rPr>
          <w:rStyle w:val="wwc-pali"/>
        </w:rPr>
        <w:t>bahubbīhi</w:t>
      </w:r>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r>
        <w:rPr>
          <w:rStyle w:val="wwc-sesame-zot-reference"/>
        </w:rPr>
        <w:t>Schmithausen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50"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8" w:name="footnote435"/>
      <w:bookmarkEnd w:id="128"/>
      <w:r>
        <w:t xml:space="preserve">For example </w:t>
      </w:r>
      <w:r>
        <w:rPr>
          <w:rStyle w:val="wwc-sesame-zot-reference"/>
        </w:rPr>
        <w:t>Reat</w:t>
      </w:r>
      <w:r>
        <w:t xml:space="preserve">, </w:t>
      </w:r>
      <w:r>
        <w:rPr>
          <w:rStyle w:val="wwc-sesame-zot-reference"/>
        </w:rPr>
        <w:t>Bucknell</w:t>
      </w:r>
      <w:r>
        <w:t xml:space="preserve"> p.324, </w:t>
      </w:r>
      <w:r>
        <w:rPr>
          <w:rStyle w:val="wwc-sesame-zot-reference"/>
        </w:rPr>
        <w:t>Anālayo 2018</w:t>
      </w:r>
      <w:r>
        <w:t xml:space="preserve"> p.25</w:t>
      </w:r>
    </w:p>
  </w:footnote>
  <w:footnote w:id="436">
    <w:p w14:paraId="7C693DC7" w14:textId="77777777" w:rsidR="00FE3964" w:rsidRDefault="00000000">
      <w:pPr>
        <w:pStyle w:val="FootnoteText"/>
      </w:pPr>
      <w:r>
        <w:rPr>
          <w:rStyle w:val="FootnoteCharacters"/>
        </w:rPr>
        <w:footnoteRef/>
      </w:r>
      <w:bookmarkStart w:id="129" w:name="footnote436"/>
      <w:bookmarkEnd w:id="129"/>
      <w:r>
        <w:t xml:space="preserve">For example </w:t>
      </w:r>
      <w:r>
        <w:rPr>
          <w:rStyle w:val="wwc-sesame-zot-reference"/>
        </w:rPr>
        <w:t>Ñāṇananda 1974/2007</w:t>
      </w:r>
      <w:r>
        <w:t xml:space="preserve"> p.31, </w:t>
      </w:r>
      <w:r>
        <w:rPr>
          <w:rStyle w:val="wwc-sesame-zot-reference"/>
        </w:rPr>
        <w:t>Cintita</w:t>
      </w:r>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r>
        <w:rPr>
          <w:rStyle w:val="wwc-pali"/>
        </w:rPr>
        <w:t>nāmarūpa</w:t>
      </w:r>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51" w:anchor="YYY" w:history="1">
        <w:r>
          <w:rPr>
            <w:rStyle w:val="Hyperlink"/>
          </w:rPr>
          <w:t>Thag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r>
        <w:rPr>
          <w:rStyle w:val="wwc-sesame-zot-reference"/>
        </w:rPr>
        <w:t>Olalde 2014</w:t>
      </w:r>
      <w:r>
        <w:t xml:space="preserve"> p.103</w:t>
      </w:r>
    </w:p>
  </w:footnote>
  <w:footnote w:id="442">
    <w:p w14:paraId="65D5FAC9" w14:textId="77777777" w:rsidR="00FE3964" w:rsidRDefault="00000000">
      <w:pPr>
        <w:pStyle w:val="FootnoteText"/>
      </w:pPr>
      <w:r>
        <w:rPr>
          <w:rStyle w:val="FootnoteCharacters"/>
        </w:rPr>
        <w:footnoteRef/>
      </w:r>
      <w:r>
        <w:rPr>
          <w:rStyle w:val="wwc-sesame-zot-reference"/>
        </w:rPr>
        <w:t>Schmithausen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2"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r>
        <w:rPr>
          <w:rStyle w:val="wwc-sesame-zot-reference"/>
        </w:rPr>
        <w:t>Olalde 2014</w:t>
      </w:r>
      <w:r>
        <w:t xml:space="preserve"> p.69, “</w:t>
      </w:r>
      <w:r>
        <w:rPr>
          <w:rStyle w:val="wwc-german"/>
        </w:rPr>
        <w:t>äußerst unklar</w:t>
      </w:r>
      <w:r>
        <w:t xml:space="preserve">”; </w:t>
      </w:r>
      <w:r>
        <w:rPr>
          <w:rStyle w:val="wwc-sesame-zot-reference"/>
        </w:rPr>
        <w:t>Vetter 1994</w:t>
      </w:r>
      <w:r>
        <w:t xml:space="preserve"> p.147, “</w:t>
      </w:r>
      <w:r>
        <w:rPr>
          <w:rStyle w:val="wwc-german"/>
        </w:rPr>
        <w:t>wenig Sinn</w:t>
      </w:r>
      <w:r>
        <w:t xml:space="preserve">”. </w:t>
      </w:r>
      <w:r>
        <w:rPr>
          <w:rStyle w:val="wwc-sesame-zot-reference"/>
        </w:rPr>
        <w:t>Schmithausen 2000</w:t>
      </w:r>
      <w:r>
        <w:t xml:space="preserve"> p.58 also calls it “difficult” (</w:t>
      </w:r>
      <w:r>
        <w:rPr>
          <w:rStyle w:val="wwc-german"/>
        </w:rPr>
        <w:t>schwieriger</w:t>
      </w:r>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3"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4" w:anchor="YYY" w:history="1">
        <w:r>
          <w:rPr>
            <w:rStyle w:val="Hyperlink"/>
          </w:rPr>
          <w:t>MN 43:21.1–21.6</w:t>
        </w:r>
      </w:hyperlink>
      <w:r>
        <w:t xml:space="preserve"> </w:t>
      </w:r>
      <w:r>
        <w:rPr>
          <w:rStyle w:val="wwc-PTS-reference"/>
        </w:rPr>
        <w:t>M I 295</w:t>
      </w:r>
      <w:r>
        <w:t xml:space="preserve">, </w:t>
      </w:r>
      <w:hyperlink r:id="rId455" w:anchor="YYY" w:history="1">
        <w:r>
          <w:rPr>
            <w:rStyle w:val="Hyperlink"/>
          </w:rPr>
          <w:t>SN 48.42</w:t>
        </w:r>
      </w:hyperlink>
    </w:p>
  </w:footnote>
  <w:footnote w:id="452">
    <w:p w14:paraId="484E40F9" w14:textId="522E4AB1" w:rsidR="00FE3964" w:rsidRDefault="00000000">
      <w:pPr>
        <w:pStyle w:val="FootnoteText"/>
      </w:pPr>
      <w:r>
        <w:rPr>
          <w:rStyle w:val="FootnoteCharacters"/>
        </w:rPr>
        <w:footnoteRef/>
      </w:r>
      <w:r>
        <w:t xml:space="preserve">For example </w:t>
      </w:r>
      <w:r w:rsidR="00FB2C9D">
        <w:br/>
      </w:r>
      <w:r>
        <w:rPr>
          <w:rStyle w:val="wwc-sesame-zot-reference"/>
        </w:rPr>
        <w:t>Warder 1970</w:t>
      </w:r>
      <w:r>
        <w:t xml:space="preserve"> p.108, </w:t>
      </w:r>
      <w:r w:rsidR="00FB2C9D">
        <w:br/>
      </w:r>
      <w:r>
        <w:rPr>
          <w:rStyle w:val="wwc-sesame-zot-reference"/>
        </w:rPr>
        <w:t>Vetter 1994</w:t>
      </w:r>
      <w:r>
        <w:t xml:space="preserve"> p.148, </w:t>
      </w:r>
      <w:r w:rsidR="00FB2C9D">
        <w:br/>
      </w:r>
      <w:r>
        <w:rPr>
          <w:rStyle w:val="wwc-sesame-zot-reference"/>
        </w:rPr>
        <w:t>Olalde 2014</w:t>
      </w:r>
      <w:r>
        <w:t xml:space="preserve"> p.110, </w:t>
      </w:r>
      <w:r w:rsidR="00FB2C9D">
        <w:br/>
      </w:r>
      <w:r>
        <w:rPr>
          <w:rStyle w:val="wwc-sesame-zot-reference"/>
        </w:rPr>
        <w:t>Schmithausen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6" w:anchor="YYY" w:history="1">
        <w:r>
          <w:rPr>
            <w:rStyle w:val="Hyperlink"/>
          </w:rPr>
          <w:t>Snp 5.7:6.4</w:t>
        </w:r>
      </w:hyperlink>
      <w:r>
        <w:t xml:space="preserve">. See also </w:t>
      </w:r>
      <w:r>
        <w:rPr>
          <w:rStyle w:val="wwc-sesame-zot-reference"/>
        </w:rPr>
        <w:t>DOP</w:t>
      </w:r>
      <w:r>
        <w:t xml:space="preserve"> s.v. </w:t>
      </w:r>
      <w:r>
        <w:rPr>
          <w:rStyle w:val="wwc-pali"/>
        </w:rPr>
        <w:t>nāmakāya</w:t>
      </w:r>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7">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r>
        <w:rPr>
          <w:rStyle w:val="wwc-sesame-zot-reference"/>
        </w:rPr>
        <w:t>Olalde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r>
        <w:rPr>
          <w:rStyle w:val="wwc-sesame-zot-reference"/>
        </w:rPr>
        <w:t>Olalde 2014</w:t>
      </w:r>
      <w:r>
        <w:t xml:space="preserve"> p.103 (translation mine): “Authors who interpret the interdependency between </w:t>
      </w:r>
      <w:r>
        <w:rPr>
          <w:rStyle w:val="wwc-pali"/>
        </w:rPr>
        <w:t>nāmarūpa</w:t>
      </w:r>
      <w:r>
        <w:t xml:space="preserve"> and </w:t>
      </w:r>
      <w:r>
        <w:rPr>
          <w:rStyle w:val="wwc-pali"/>
        </w:rPr>
        <w:t>viññāṇa</w:t>
      </w:r>
      <w:r>
        <w:t xml:space="preserve"> in the sense of a dependency of cognition and its objects […] base their argumentation mainly on that part of the </w:t>
      </w:r>
      <w:r>
        <w:rPr>
          <w:rStyle w:val="wwc-sesame"/>
        </w:rPr>
        <w:t>Mahānidāna Sutta</w:t>
      </w:r>
      <w:r>
        <w:t xml:space="preserve"> which does not actually explain this relationship, but instead that between </w:t>
      </w:r>
      <w:r>
        <w:rPr>
          <w:rStyle w:val="wwc-pali"/>
        </w:rPr>
        <w:t>nāmarūpa</w:t>
      </w:r>
      <w:r>
        <w:t xml:space="preserve"> and contact (</w:t>
      </w:r>
      <w:r>
        <w:rPr>
          <w:rStyle w:val="wwc-pali"/>
        </w:rPr>
        <w:t>phassa</w:t>
      </w:r>
      <w:r>
        <w:t>).”</w:t>
      </w:r>
    </w:p>
  </w:footnote>
  <w:footnote w:id="459">
    <w:p w14:paraId="5632B09A" w14:textId="77777777" w:rsidR="00FE3964" w:rsidRDefault="00000000">
      <w:pPr>
        <w:pStyle w:val="FootnoteText"/>
      </w:pPr>
      <w:r>
        <w:rPr>
          <w:rStyle w:val="FootnoteCharacters"/>
        </w:rPr>
        <w:footnoteRef/>
      </w:r>
      <w:hyperlink r:id="rId458">
        <w:r>
          <w:rPr>
            <w:rStyle w:val="Hyperlink"/>
          </w:rPr>
          <w:t>DĀ 13</w:t>
        </w:r>
      </w:hyperlink>
      <w:r>
        <w:t xml:space="preserve"> at 61b3, </w:t>
      </w:r>
      <w:hyperlink r:id="rId459">
        <w:r>
          <w:rPr>
            <w:rStyle w:val="Hyperlink"/>
          </w:rPr>
          <w:t>MĀ 97</w:t>
        </w:r>
      </w:hyperlink>
      <w:r>
        <w:t xml:space="preserve"> at 579c7, </w:t>
      </w:r>
      <w:hyperlink r:id="rId460">
        <w:r>
          <w:rPr>
            <w:rStyle w:val="Hyperlink"/>
          </w:rPr>
          <w:t>T 14</w:t>
        </w:r>
      </w:hyperlink>
      <w:r>
        <w:t xml:space="preserve"> at 243b8; </w:t>
      </w:r>
      <w:hyperlink r:id="rId461">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2">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3" w:anchor="YYY" w:history="1">
        <w:r>
          <w:rPr>
            <w:rStyle w:val="Hyperlink"/>
          </w:rPr>
          <w:t>Snp 4.11:11.1–11.4</w:t>
        </w:r>
      </w:hyperlink>
    </w:p>
  </w:footnote>
  <w:footnote w:id="463">
    <w:p w14:paraId="28C00FFA" w14:textId="77777777" w:rsidR="00FE3964" w:rsidRDefault="00000000">
      <w:pPr>
        <w:pStyle w:val="FootnoteText"/>
      </w:pPr>
      <w:r>
        <w:rPr>
          <w:rStyle w:val="FootnoteCharacters"/>
        </w:rPr>
        <w:footnoteRef/>
      </w:r>
      <w:hyperlink r:id="rId464"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r>
        <w:rPr>
          <w:rStyle w:val="wwc-sesame-zot-reference"/>
        </w:rPr>
        <w:t>Kalupahana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5"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The Book of the Six Sense Fields in Sujato 2019</w:t>
      </w:r>
      <w:r>
        <w:t xml:space="preserve">: “the idea of the ‘all’ […] suggests that the scope of the six senses includes all that is experienced”. Contra e.g. </w:t>
      </w:r>
      <w:r>
        <w:rPr>
          <w:rStyle w:val="wwc-sesame-zot-reference"/>
        </w:rPr>
        <w:t>Ṭhānissaro 2008a</w:t>
      </w:r>
      <w:r>
        <w:t xml:space="preserve"> p.119</w:t>
      </w:r>
    </w:p>
  </w:footnote>
  <w:footnote w:id="467">
    <w:p w14:paraId="33281AA8" w14:textId="77777777" w:rsidR="00FE3964" w:rsidRDefault="00000000">
      <w:pPr>
        <w:pStyle w:val="FootnoteText"/>
      </w:pPr>
      <w:r>
        <w:rPr>
          <w:rStyle w:val="FootnoteCharacters"/>
        </w:rPr>
        <w:footnoteRef/>
      </w:r>
      <w:r>
        <w:rPr>
          <w:rStyle w:val="wwc-pali"/>
        </w:rPr>
        <w:t>Mā h’evaṁ</w:t>
      </w:r>
      <w:r>
        <w:t xml:space="preserve">, literally ‘not so’, in some discourses simply means ‘no’ (e.g. </w:t>
      </w:r>
      <w:hyperlink r:id="rId466"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r>
        <w:rPr>
          <w:rStyle w:val="wwc-pali"/>
        </w:rPr>
        <w:t>Natthaññaṁ kiñci</w:t>
      </w:r>
      <w:r>
        <w:t xml:space="preserve"> (</w:t>
      </w:r>
      <w:r>
        <w:rPr>
          <w:rStyle w:val="wwc-pali"/>
        </w:rPr>
        <w:t>na atthi aññaṁ kiñci</w:t>
      </w:r>
      <w:r>
        <w:t xml:space="preserve">) ‘does something else no longer exists’ was translated by </w:t>
      </w:r>
      <w:r>
        <w:rPr>
          <w:rStyle w:val="wwc-sesame-zot-reference"/>
        </w:rPr>
        <w:t>Bodhi 2012</w:t>
      </w:r>
      <w:r>
        <w:t xml:space="preserve"> as ‘is there nothing else’. In most other cases </w:t>
      </w:r>
      <w:r>
        <w:rPr>
          <w:rStyle w:val="wwc-pali"/>
        </w:rPr>
        <w:t>na kiñci</w:t>
      </w:r>
      <w: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t xml:space="preserve">, as ‘is there both something else and nothing else’. The phrase ‘something/nothing else’ occurs twice in the translation, while the Pāli has </w:t>
      </w:r>
      <w:r>
        <w:rPr>
          <w:rStyle w:val="wwc-pali"/>
        </w:rPr>
        <w:t>aññaṁ kiñci</w:t>
      </w:r>
      <w:r>
        <w:t xml:space="preserve"> only once. The verb phrases </w:t>
      </w:r>
      <w:r>
        <w:rPr>
          <w:rStyle w:val="wwc-pali"/>
        </w:rPr>
        <w:t>atthi</w:t>
      </w:r>
      <w:r>
        <w:t xml:space="preserve"> and </w:t>
      </w:r>
      <w:r>
        <w:rPr>
          <w:rStyle w:val="wwc-pali"/>
        </w:rPr>
        <w:t>natthi</w:t>
      </w:r>
      <w:r>
        <w:t xml:space="preserve"> therefore both apply to the same </w:t>
      </w:r>
      <w:r>
        <w:rPr>
          <w:rStyle w:val="wwc-pali"/>
        </w:rPr>
        <w:t>aññaṁ kiñci</w:t>
      </w:r>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Sāriputta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7"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8"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9"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r>
        <w:rPr>
          <w:rStyle w:val="wwc-sesame-zot-reference"/>
        </w:rPr>
        <w:t>Ṭhānissaro 2008b</w:t>
      </w:r>
      <w:r>
        <w:t xml:space="preserve"> p.6, </w:t>
      </w:r>
      <w:r>
        <w:rPr>
          <w:rStyle w:val="wwc-sesame-zot-reference"/>
        </w:rPr>
        <w:t>Amaro</w:t>
      </w:r>
      <w:r>
        <w:t xml:space="preserve"> p.25, </w:t>
      </w:r>
      <w:r>
        <w:rPr>
          <w:rStyle w:val="wwc-sesame-zot-reference"/>
        </w:rPr>
        <w:t>Anālayo 2021</w:t>
      </w:r>
      <w:r>
        <w:t xml:space="preserve"> p.104</w:t>
      </w:r>
    </w:p>
  </w:footnote>
  <w:footnote w:id="473">
    <w:p w14:paraId="513CC856" w14:textId="77777777" w:rsidR="00FE3964" w:rsidRDefault="00000000">
      <w:pPr>
        <w:pStyle w:val="FootnoteText"/>
      </w:pPr>
      <w:r>
        <w:rPr>
          <w:rStyle w:val="FootnoteCharacters"/>
        </w:rPr>
        <w:footnoteRef/>
      </w:r>
      <w:hyperlink r:id="rId470"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71" w:anchor="YYY" w:history="1">
        <w:r>
          <w:rPr>
            <w:rStyle w:val="Hyperlink"/>
          </w:rPr>
          <w:t>SN 12.38</w:t>
        </w:r>
      </w:hyperlink>
      <w:r>
        <w:t xml:space="preserve">, </w:t>
      </w:r>
      <w:hyperlink r:id="rId472" w:anchor="YYY" w:history="1">
        <w:r>
          <w:rPr>
            <w:rStyle w:val="Hyperlink"/>
          </w:rPr>
          <w:t>SN 12.39</w:t>
        </w:r>
      </w:hyperlink>
      <w:r>
        <w:t xml:space="preserve">, </w:t>
      </w:r>
      <w:hyperlink r:id="rId473"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4">
        <w:r>
          <w:rPr>
            <w:rStyle w:val="Hyperlink"/>
          </w:rPr>
          <w:t>SĀ 359</w:t>
        </w:r>
      </w:hyperlink>
      <w:r>
        <w:t xml:space="preserve">, </w:t>
      </w:r>
      <w:hyperlink r:id="rId475">
        <w:r>
          <w:rPr>
            <w:rStyle w:val="Hyperlink"/>
          </w:rPr>
          <w:t>SĀ 360</w:t>
        </w:r>
      </w:hyperlink>
      <w:r>
        <w:t xml:space="preserve">, </w:t>
      </w:r>
      <w:hyperlink r:id="rId476">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7" w:anchor="YYY" w:history="1">
        <w:r>
          <w:rPr>
            <w:rStyle w:val="Hyperlink"/>
          </w:rPr>
          <w:t>MN 144:11.3–11.9</w:t>
        </w:r>
      </w:hyperlink>
      <w:r>
        <w:t xml:space="preserve"> </w:t>
      </w:r>
      <w:r>
        <w:rPr>
          <w:rStyle w:val="wwc-PTS-reference"/>
        </w:rPr>
        <w:t>M III 266</w:t>
      </w:r>
      <w:r>
        <w:t xml:space="preserve">, </w:t>
      </w:r>
      <w:hyperlink r:id="rId478" w:anchor="YYY" w:history="1">
        <w:r>
          <w:rPr>
            <w:rStyle w:val="Hyperlink"/>
          </w:rPr>
          <w:t>SN 35.87:11.3–11.9</w:t>
        </w:r>
      </w:hyperlink>
      <w:r>
        <w:t xml:space="preserve">, </w:t>
      </w:r>
      <w:hyperlink r:id="rId479" w:anchor="YYY" w:history="1">
        <w:r>
          <w:rPr>
            <w:rStyle w:val="Hyperlink"/>
          </w:rPr>
          <w:t>Ud 8.4:3.1–3.7</w:t>
        </w:r>
      </w:hyperlink>
    </w:p>
  </w:footnote>
  <w:footnote w:id="478">
    <w:p w14:paraId="3D46378B" w14:textId="39557AC6" w:rsidR="00FE3964" w:rsidRDefault="00000000">
      <w:pPr>
        <w:pStyle w:val="FootnoteText"/>
      </w:pPr>
      <w:r>
        <w:rPr>
          <w:rStyle w:val="FootnoteCharacters"/>
        </w:rPr>
        <w:footnoteRef/>
      </w:r>
      <w:r>
        <w:t xml:space="preserve">For example at SN-A 2.372 (on </w:t>
      </w:r>
      <w:hyperlink r:id="rId480" w:anchor="YYY" w:history="1">
        <w:r>
          <w:rPr>
            <w:rStyle w:val="Hyperlink"/>
          </w:rPr>
          <w:t>SN 35.87</w:t>
        </w:r>
      </w:hyperlink>
      <w:r>
        <w:t xml:space="preserve">). In discussing </w:t>
      </w:r>
      <w:hyperlink r:id="rId481" w:anchor="YYY" w:history="1">
        <w:r>
          <w:rPr>
            <w:rStyle w:val="Hyperlink"/>
          </w:rPr>
          <w:t>Ud 1.10</w:t>
        </w:r>
      </w:hyperlink>
      <w:r>
        <w:t xml:space="preserve">, </w:t>
      </w:r>
      <w:r>
        <w:rPr>
          <w:rStyle w:val="wwc-sesame-zot-reference"/>
        </w:rPr>
        <w:t>Anālayo 2023</w:t>
      </w:r>
      <w:r>
        <w:t xml:space="preserve"> Chapter I.4 instead thinks ‘here’ (</w:t>
      </w:r>
      <w:r>
        <w:rPr>
          <w:rStyle w:val="wwc-pali"/>
        </w:rPr>
        <w:t>idha</w:t>
      </w:r>
      <w:r>
        <w:t>) and ‘beyond’ (</w:t>
      </w:r>
      <w:r>
        <w:rPr>
          <w:rStyle w:val="wwc-pali"/>
        </w:rPr>
        <w:t>huraṁ</w:t>
      </w:r>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r>
        <w:rPr>
          <w:rStyle w:val="wwc-pali"/>
        </w:rPr>
        <w:t>huraṁ</w:t>
      </w:r>
      <w:r>
        <w:t>, “another world”.</w:t>
      </w:r>
      <w:r w:rsidR="00234AE5">
        <w:t xml:space="preserve"> </w:t>
      </w:r>
      <w:r w:rsidR="00FC7BC8">
        <w:t>[</w:t>
      </w:r>
      <w:r w:rsidR="00234AE5" w:rsidRPr="00234AE5">
        <w:rPr>
          <w:rStyle w:val="wwc-sesame"/>
        </w:rPr>
        <w:t>PED:huraṁ</w:t>
      </w:r>
      <w:r w:rsidR="00FC7BC8">
        <w:t>]</w:t>
      </w:r>
    </w:p>
  </w:footnote>
  <w:footnote w:id="479">
    <w:p w14:paraId="49CDA3F1" w14:textId="7EBA6BB5" w:rsidR="00FE3964" w:rsidRDefault="00000000">
      <w:pPr>
        <w:pStyle w:val="FootnoteText"/>
      </w:pPr>
      <w:r>
        <w:rPr>
          <w:rStyle w:val="FootnoteCharacters"/>
        </w:rPr>
        <w:footnoteRef/>
      </w:r>
      <w:bookmarkStart w:id="138" w:name="footnote479"/>
      <w:bookmarkEnd w:id="138"/>
      <w:r>
        <w:t xml:space="preserve">See </w:t>
      </w:r>
      <w:r w:rsidR="00C40FA7">
        <w:br/>
      </w:r>
      <w:r>
        <w:rPr>
          <w:rStyle w:val="wwc-sesame-zot-reference"/>
        </w:rPr>
        <w:t>Harvey 1995</w:t>
      </w:r>
      <w:r>
        <w:t xml:space="preserve"> p.98, </w:t>
      </w:r>
      <w:r w:rsidR="00C40FA7">
        <w:br/>
      </w:r>
      <w:r>
        <w:rPr>
          <w:rStyle w:val="wwc-sesame-zot-reference"/>
        </w:rPr>
        <w:t>Somaratne</w:t>
      </w:r>
      <w:r>
        <w:t xml:space="preserve"> p.150, </w:t>
      </w:r>
      <w:r w:rsidR="00C40FA7">
        <w:br/>
      </w:r>
      <w:r>
        <w:rPr>
          <w:rStyle w:val="wwc-sesame-zot-reference"/>
        </w:rPr>
        <w:t>Sujato 2008</w:t>
      </w:r>
      <w:r>
        <w:t xml:space="preserve"> p.7, </w:t>
      </w:r>
      <w:r w:rsidR="00C40FA7">
        <w:br/>
      </w:r>
      <w:r>
        <w:rPr>
          <w:rStyle w:val="wwc-sesame-zot-reference"/>
        </w:rPr>
        <w:t>Dhammika 2015</w:t>
      </w:r>
      <w:r>
        <w:t xml:space="preserve"> </w:t>
      </w:r>
      <w:hyperlink r:id="rId482" w:anchor="276" w:history="1">
        <w:r w:rsidRPr="00C40FA7">
          <w:rPr>
            <w:rStyle w:val="Hyperlink"/>
          </w:rPr>
          <w:t>p.20</w:t>
        </w:r>
      </w:hyperlink>
      <w:r>
        <w:t xml:space="preserve">, </w:t>
      </w:r>
      <w:r w:rsidR="00C40FA7">
        <w:br/>
      </w:r>
      <w:r>
        <w:rPr>
          <w:rStyle w:val="wwc-sesame-zot-reference"/>
        </w:rPr>
        <w:t>Anālayo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3"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4" w:anchor="YYY" w:history="1">
        <w:r>
          <w:rPr>
            <w:rStyle w:val="Hyperlink"/>
          </w:rPr>
          <w:t>Snp 3.12:45.1–45.4</w:t>
        </w:r>
      </w:hyperlink>
    </w:p>
  </w:footnote>
  <w:footnote w:id="482">
    <w:p w14:paraId="1FE82BC2" w14:textId="77777777" w:rsidR="00FE3964" w:rsidRDefault="00000000">
      <w:pPr>
        <w:pStyle w:val="FootnoteText"/>
      </w:pPr>
      <w:r>
        <w:rPr>
          <w:rStyle w:val="FootnoteCharacters"/>
        </w:rPr>
        <w:footnoteRef/>
      </w:r>
      <w:hyperlink r:id="rId485"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r>
        <w:rPr>
          <w:rStyle w:val="wwc-pali"/>
        </w:rPr>
        <w:t>Anabhisaṅkhāraṁ</w:t>
      </w:r>
      <w:r>
        <w:t xml:space="preserve">, ‘not wilfully creating’. I base ‘wilfully’ on </w:t>
      </w:r>
      <w:r>
        <w:rPr>
          <w:rStyle w:val="wwc-pali"/>
        </w:rPr>
        <w:t>aceta</w:t>
      </w:r>
      <w:r>
        <w:rPr>
          <w:rStyle w:val="wwc-pali"/>
        </w:rPr>
        <w:softHyphen/>
        <w:t>yato anabhi</w:t>
      </w:r>
      <w:r>
        <w:rPr>
          <w:rStyle w:val="wwc-pali"/>
        </w:rPr>
        <w:softHyphen/>
        <w:t>saṅkha</w:t>
      </w:r>
      <w:r>
        <w:rPr>
          <w:rStyle w:val="wwc-pali"/>
        </w:rPr>
        <w:softHyphen/>
        <w:t>roto</w:t>
      </w:r>
      <w:r>
        <w:t xml:space="preserve"> of </w:t>
      </w:r>
      <w:hyperlink r:id="rId486" w:anchor="YYY" w:history="1">
        <w:r>
          <w:rPr>
            <w:rStyle w:val="Hyperlink"/>
          </w:rPr>
          <w:t>DN 9:17.7</w:t>
        </w:r>
      </w:hyperlink>
      <w:r>
        <w:t xml:space="preserve">, ‘not intending, not willing’. Similar instances of these synonyms are found in </w:t>
      </w:r>
      <w:hyperlink r:id="rId487" w:anchor="YYY" w:history="1">
        <w:r>
          <w:rPr>
            <w:rStyle w:val="Hyperlink"/>
          </w:rPr>
          <w:t>MN 140:22.10</w:t>
        </w:r>
      </w:hyperlink>
      <w:r>
        <w:t xml:space="preserve">, </w:t>
      </w:r>
      <w:hyperlink r:id="rId488" w:anchor="YYY" w:history="1">
        <w:r>
          <w:rPr>
            <w:rStyle w:val="Hyperlink"/>
          </w:rPr>
          <w:t>SN 12.51:9.5</w:t>
        </w:r>
      </w:hyperlink>
      <w:r>
        <w:t xml:space="preserve">, and </w:t>
      </w:r>
      <w:hyperlink r:id="rId489" w:anchor="YYY" w:history="1">
        <w:r>
          <w:rPr>
            <w:rStyle w:val="Hyperlink"/>
          </w:rPr>
          <w:t>AN 11.16:4.4</w:t>
        </w:r>
      </w:hyperlink>
      <w:r>
        <w:t xml:space="preserve">. This refers to the </w:t>
      </w:r>
      <w:r>
        <w:rPr>
          <w:rStyle w:val="wwc-pali"/>
        </w:rPr>
        <w:t>saṅkhāras</w:t>
      </w:r>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90"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91"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r>
        <w:rPr>
          <w:rStyle w:val="wwc-sesame-zot-reference"/>
        </w:rPr>
        <w:t>Kalupahana 1976</w:t>
      </w:r>
      <w:r>
        <w:t xml:space="preserve"> p.52. See also </w:t>
      </w:r>
      <w:r>
        <w:rPr>
          <w:rStyle w:val="wwc-sesame-zot-reference"/>
        </w:rPr>
        <w:t>Vélez de Cea</w:t>
      </w:r>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92"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r>
        <w:rPr>
          <w:rStyle w:val="wwc-pali"/>
        </w:rPr>
        <w:t>Patiṭṭhita</w:t>
      </w:r>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3"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4"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5"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r>
        <w:rPr>
          <w:rStyle w:val="wwc-sesame-zot-reference"/>
        </w:rPr>
        <w:t>Anālayo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6"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7"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r>
        <w:rPr>
          <w:rStyle w:val="wwc-sesame-zot-reference"/>
        </w:rPr>
        <w:t>Anālayo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8"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9">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500"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501" w:anchor="YYY" w:history="1">
        <w:r>
          <w:rPr>
            <w:rStyle w:val="Hyperlink"/>
          </w:rPr>
          <w:t>SN 12.64</w:t>
        </w:r>
      </w:hyperlink>
      <w:r>
        <w:t xml:space="preserve">: “I think it would be wrong to interpret the sutta as saying that after his </w:t>
      </w:r>
      <w:r>
        <w:rPr>
          <w:rStyle w:val="wwc-pali"/>
        </w:rPr>
        <w:t>parinibbāna</w:t>
      </w:r>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8" w:name="footnote504"/>
      <w:bookmarkEnd w:id="148"/>
      <w:r>
        <w:t>Instead of “</w:t>
      </w:r>
      <w:r>
        <w:rPr>
          <w:rStyle w:val="Emphasis"/>
        </w:rPr>
        <w:t>consciousness</w:t>
      </w:r>
      <w:r>
        <w:t xml:space="preserve"> is liberated” </w:t>
      </w:r>
      <w:r>
        <w:rPr>
          <w:rStyle w:val="wwc-sesame-zot-reference"/>
        </w:rPr>
        <w:t>Nyanaponika 1990</w:t>
      </w:r>
      <w:r>
        <w:t xml:space="preserve"> has “</w:t>
      </w:r>
      <w:r>
        <w:rPr>
          <w:rStyle w:val="wwc-german"/>
        </w:rPr>
        <w:t>ist man befreit</w:t>
      </w:r>
      <w:r>
        <w:t>” (one is liberated), Alfan “</w:t>
      </w:r>
      <w:r>
        <w:rPr>
          <w:rStyle w:val="wwc-italian"/>
        </w:rPr>
        <w:t>si è liberi</w:t>
      </w:r>
      <w:r>
        <w:t>” (one is liberated), and Baron “</w:t>
      </w:r>
      <w:r>
        <w:rPr>
          <w:rStyle w:val="wwc-spanish"/>
        </w:rPr>
        <w:t>sólo liberación</w:t>
      </w:r>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502"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3"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r>
        <w:rPr>
          <w:rStyle w:val="wwc-pali"/>
        </w:rPr>
        <w:t>citta</w:t>
      </w:r>
      <w:r>
        <w:t xml:space="preserve">, </w:t>
      </w:r>
      <w:r>
        <w:rPr>
          <w:rStyle w:val="wwc-pali"/>
        </w:rPr>
        <w:t>mano</w:t>
      </w:r>
      <w:r>
        <w:t xml:space="preserve">, and </w:t>
      </w:r>
      <w:r>
        <w:rPr>
          <w:rStyle w:val="wwc-pali"/>
        </w:rPr>
        <w:t>viññāṇa</w:t>
      </w:r>
      <w:r>
        <w:t xml:space="preserve">. Normally I translate both </w:t>
      </w:r>
      <w:r>
        <w:rPr>
          <w:rStyle w:val="wwc-pali"/>
        </w:rPr>
        <w:t>citta</w:t>
      </w:r>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4"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Ko nu kho phusati</w:t>
      </w:r>
      <w:r>
        <w:t>, more literally, “who touches?”</w:t>
      </w:r>
    </w:p>
  </w:footnote>
  <w:footnote w:id="510">
    <w:p w14:paraId="64771E3A" w14:textId="77777777" w:rsidR="00FE3964" w:rsidRDefault="00000000">
      <w:pPr>
        <w:pStyle w:val="FootnoteText"/>
      </w:pPr>
      <w:r>
        <w:rPr>
          <w:rStyle w:val="FootnoteCharacters"/>
        </w:rPr>
        <w:footnoteRef/>
      </w:r>
      <w:hyperlink r:id="rId505" w:anchor="YYY" w:history="1">
        <w:r>
          <w:rPr>
            <w:rStyle w:val="Hyperlink"/>
          </w:rPr>
          <w:t>SN 12.12:3.1–4.10</w:t>
        </w:r>
      </w:hyperlink>
    </w:p>
  </w:footnote>
  <w:footnote w:id="511">
    <w:p w14:paraId="48CF7FE5" w14:textId="6B85ADE3" w:rsidR="00FE3964" w:rsidRDefault="00000000">
      <w:pPr>
        <w:pStyle w:val="FootnoteText"/>
      </w:pPr>
      <w:r>
        <w:rPr>
          <w:rStyle w:val="FootnoteCharacters"/>
        </w:rPr>
        <w:footnoteRef/>
      </w:r>
      <w:r>
        <w:t xml:space="preserve">For example </w:t>
      </w:r>
      <w:r w:rsidR="00250B8C">
        <w:br/>
      </w:r>
      <w:r>
        <w:rPr>
          <w:rStyle w:val="wwc-sesame-zot-reference"/>
        </w:rPr>
        <w:t>Ñāṇavīra</w:t>
      </w:r>
      <w:r>
        <w:t xml:space="preserve"> p.84, </w:t>
      </w:r>
      <w:r w:rsidR="00250B8C">
        <w:br/>
      </w:r>
      <w:r>
        <w:rPr>
          <w:rStyle w:val="wwc-sesame-zot-reference"/>
        </w:rPr>
        <w:t>Cintita</w:t>
      </w:r>
      <w:r>
        <w:t xml:space="preserve"> p.31</w:t>
      </w:r>
    </w:p>
  </w:footnote>
  <w:footnote w:id="512">
    <w:p w14:paraId="5B6A5273" w14:textId="77777777" w:rsidR="00FE3964" w:rsidRDefault="00000000">
      <w:pPr>
        <w:pStyle w:val="FootnoteText"/>
      </w:pPr>
      <w:r>
        <w:rPr>
          <w:rStyle w:val="FootnoteCharacters"/>
        </w:rPr>
        <w:footnoteRef/>
      </w:r>
      <w:hyperlink r:id="rId506" w:anchor="YYY" w:history="1">
        <w:r>
          <w:rPr>
            <w:rStyle w:val="Hyperlink"/>
          </w:rPr>
          <w:t>SN 35.80</w:t>
        </w:r>
      </w:hyperlink>
    </w:p>
  </w:footnote>
  <w:footnote w:id="513">
    <w:p w14:paraId="18E9F2F3" w14:textId="414772DB" w:rsidR="00FE3964" w:rsidRDefault="00000000">
      <w:pPr>
        <w:pStyle w:val="FootnoteText"/>
      </w:pPr>
      <w:r>
        <w:rPr>
          <w:rStyle w:val="FootnoteCharacters"/>
        </w:rPr>
        <w:footnoteRef/>
      </w:r>
      <w:r>
        <w:t xml:space="preserve">For example </w:t>
      </w:r>
      <w:r w:rsidR="00250B8C">
        <w:br/>
      </w:r>
      <w:r>
        <w:rPr>
          <w:rStyle w:val="wwc-sesame-zot-reference"/>
        </w:rPr>
        <w:t>Ñāṇavīra</w:t>
      </w:r>
      <w:r>
        <w:t xml:space="preserve"> p.89, </w:t>
      </w:r>
      <w:r w:rsidR="00250B8C">
        <w:br/>
      </w:r>
      <w:r>
        <w:rPr>
          <w:rStyle w:val="wwc-sesame-zot-reference"/>
        </w:rPr>
        <w:t>Cintita</w:t>
      </w:r>
      <w:r>
        <w:t xml:space="preserve"> p.130, </w:t>
      </w:r>
      <w:r w:rsidR="00250B8C">
        <w:br/>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r>
        <w:rPr>
          <w:rStyle w:val="wwc-sesame-zot-reference"/>
        </w:rPr>
        <w:t>Anālayo 2021</w:t>
      </w:r>
      <w:r>
        <w:t xml:space="preserve"> p.109</w:t>
      </w:r>
    </w:p>
  </w:footnote>
  <w:footnote w:id="515">
    <w:p w14:paraId="1F657DB9" w14:textId="297F11F3" w:rsidR="00FE3964" w:rsidRDefault="00000000">
      <w:pPr>
        <w:pStyle w:val="FootnoteText"/>
      </w:pPr>
      <w:r>
        <w:rPr>
          <w:rStyle w:val="FootnoteCharacters"/>
        </w:rPr>
        <w:footnoteRef/>
      </w:r>
      <w:hyperlink w:anchor="bqseg105">
        <w:r>
          <w:rPr>
            <w:rStyle w:val="Hyperlink"/>
          </w:rPr>
          <w:t>§105</w:t>
        </w:r>
      </w:hyperlink>
      <w:r>
        <w:t xml:space="preserve">, </w:t>
      </w:r>
      <w:hyperlink w:anchor="bqseg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r>
        <w:rPr>
          <w:rStyle w:val="wwc-sesame-zot-reference"/>
        </w:rPr>
        <w:t>Anālayo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7"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r>
        <w:rPr>
          <w:rStyle w:val="wwc-sesame-zot-reference"/>
        </w:rPr>
        <w:t>Ñāṇananda 2015</w:t>
      </w:r>
      <w:r>
        <w:t xml:space="preserve"> p.218: “The magical illusion created by consciousness […]”, further detailed in </w:t>
      </w:r>
      <w:r>
        <w:rPr>
          <w:rStyle w:val="wwc-sesame-zot-reference"/>
        </w:rPr>
        <w:t>Ñāṇananda 1974/2007</w:t>
      </w:r>
    </w:p>
  </w:footnote>
  <w:footnote w:id="519">
    <w:p w14:paraId="4059E687" w14:textId="77777777" w:rsidR="00FE3964" w:rsidRDefault="00000000">
      <w:pPr>
        <w:pStyle w:val="FootnoteText"/>
      </w:pPr>
      <w:r>
        <w:rPr>
          <w:rStyle w:val="FootnoteCharacters"/>
        </w:rPr>
        <w:footnoteRef/>
      </w:r>
      <w:hyperlink r:id="rId508"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r>
        <w:rPr>
          <w:rStyle w:val="wwc-sesame-zot-reference"/>
        </w:rPr>
        <w:t>Kalupahana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9"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10" w:anchor="YYY" w:history="1">
        <w:r>
          <w:rPr>
            <w:rStyle w:val="Hyperlink"/>
          </w:rPr>
          <w:t>Snp 3.2</w:t>
        </w:r>
      </w:hyperlink>
    </w:p>
  </w:footnote>
  <w:footnote w:id="523">
    <w:p w14:paraId="4D62B03A" w14:textId="77777777" w:rsidR="00FE3964" w:rsidRDefault="00000000">
      <w:pPr>
        <w:pStyle w:val="FootnoteText"/>
      </w:pPr>
      <w:r>
        <w:rPr>
          <w:rStyle w:val="FootnoteCharacters"/>
        </w:rPr>
        <w:footnoteRef/>
      </w:r>
      <w:hyperlink r:id="rId511">
        <w:r>
          <w:rPr>
            <w:rStyle w:val="Hyperlink"/>
          </w:rPr>
          <w:t>SĀ 1265</w:t>
        </w:r>
      </w:hyperlink>
      <w:r>
        <w:t xml:space="preserve">, translation by </w:t>
      </w:r>
      <w:r>
        <w:rPr>
          <w:rStyle w:val="wwc-sesame-zot-reference"/>
        </w:rPr>
        <w:t>Anālayo 2015</w:t>
      </w:r>
      <w:r>
        <w:t xml:space="preserve"> p.243, parallel to </w:t>
      </w:r>
      <w:hyperlink r:id="rId512"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3">
        <w:r>
          <w:rPr>
            <w:rStyle w:val="Hyperlink"/>
          </w:rPr>
          <w:t>EĀ 26.10</w:t>
        </w:r>
      </w:hyperlink>
      <w:r>
        <w:t xml:space="preserve">. Also translated by </w:t>
      </w:r>
      <w:r>
        <w:rPr>
          <w:rStyle w:val="wwc-sesame-zot-reference"/>
        </w:rPr>
        <w:t>Anālayo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r>
        <w:rPr>
          <w:rStyle w:val="wwc-sesame-zot-reference"/>
        </w:rPr>
        <w:t>Anālayo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r>
        <w:rPr>
          <w:rStyle w:val="wwc-sesame-zot-reference"/>
        </w:rPr>
        <w:t>Anālayo 2015</w:t>
      </w:r>
      <w:r>
        <w:t xml:space="preserve"> p.247</w:t>
      </w:r>
    </w:p>
  </w:footnote>
  <w:footnote w:id="527">
    <w:p w14:paraId="243EC4DD" w14:textId="77777777" w:rsidR="00FE3964" w:rsidRDefault="00000000">
      <w:pPr>
        <w:pStyle w:val="FootnoteText"/>
      </w:pPr>
      <w:r>
        <w:rPr>
          <w:rStyle w:val="FootnoteCharacters"/>
        </w:rPr>
        <w:footnoteRef/>
      </w:r>
      <w:hyperlink r:id="rId514" w:anchor="YYY" w:history="1">
        <w:r>
          <w:rPr>
            <w:rStyle w:val="Hyperlink"/>
          </w:rPr>
          <w:t>Snp 3.5</w:t>
        </w:r>
      </w:hyperlink>
      <w:r>
        <w:t xml:space="preserve">; </w:t>
      </w:r>
      <w:hyperlink r:id="rId515" w:anchor="YYY" w:history="1">
        <w:r>
          <w:rPr>
            <w:rStyle w:val="Hyperlink"/>
          </w:rPr>
          <w:t>Thag 2.48</w:t>
        </w:r>
      </w:hyperlink>
      <w:r>
        <w:t xml:space="preserve">; </w:t>
      </w:r>
      <w:hyperlink r:id="rId516"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7" w:anchor="YYY" w:history="1">
        <w:r>
          <w:rPr>
            <w:rStyle w:val="Hyperlink"/>
          </w:rPr>
          <w:t>MN 98:11.101–11.104</w:t>
        </w:r>
      </w:hyperlink>
      <w:r>
        <w:t xml:space="preserve"> </w:t>
      </w:r>
      <w:r>
        <w:rPr>
          <w:rStyle w:val="wwc-PTS-reference"/>
        </w:rPr>
        <w:t>M II 122</w:t>
      </w:r>
      <w:r>
        <w:t xml:space="preserve">; </w:t>
      </w:r>
      <w:hyperlink r:id="rId518" w:anchor="YYY" w:history="1">
        <w:r>
          <w:rPr>
            <w:rStyle w:val="Hyperlink"/>
          </w:rPr>
          <w:t>Snp 3.9:56.1–56.4</w:t>
        </w:r>
      </w:hyperlink>
      <w:r>
        <w:t xml:space="preserve">; </w:t>
      </w:r>
      <w:hyperlink r:id="rId519" w:anchor="YYY" w:history="1">
        <w:r>
          <w:rPr>
            <w:rStyle w:val="Hyperlink"/>
          </w:rPr>
          <w:t>Dhp 420</w:t>
        </w:r>
      </w:hyperlink>
    </w:p>
  </w:footnote>
  <w:footnote w:id="529">
    <w:p w14:paraId="51606989" w14:textId="77777777" w:rsidR="00FE3964" w:rsidRDefault="00000000">
      <w:pPr>
        <w:pStyle w:val="FootnoteText"/>
      </w:pPr>
      <w:r>
        <w:rPr>
          <w:rStyle w:val="FootnoteCharacters"/>
        </w:rPr>
        <w:footnoteRef/>
      </w:r>
      <w:hyperlink r:id="rId520" w:anchor="YYY" w:history="1">
        <w:r>
          <w:rPr>
            <w:rStyle w:val="Hyperlink"/>
          </w:rPr>
          <w:t>Snp 3.12:18.1–20.4</w:t>
        </w:r>
      </w:hyperlink>
    </w:p>
  </w:footnote>
  <w:footnote w:id="530">
    <w:p w14:paraId="7ABD88C7" w14:textId="77777777" w:rsidR="00FE3964" w:rsidRDefault="00000000">
      <w:pPr>
        <w:pStyle w:val="FootnoteText"/>
      </w:pPr>
      <w:r>
        <w:rPr>
          <w:rStyle w:val="FootnoteCharacters"/>
        </w:rPr>
        <w:footnoteRef/>
      </w:r>
      <w:hyperlink r:id="rId521">
        <w:r>
          <w:rPr>
            <w:rStyle w:val="Hyperlink"/>
          </w:rPr>
          <w:t>SĀ</w:t>
        </w:r>
        <w:r>
          <w:rPr>
            <w:rStyle w:val="Hyperlink"/>
            <w:vertAlign w:val="superscript"/>
          </w:rPr>
          <w:t>2</w:t>
        </w:r>
        <w:r>
          <w:rPr>
            <w:rStyle w:val="Hyperlink"/>
          </w:rPr>
          <w:t xml:space="preserve"> 30</w:t>
        </w:r>
      </w:hyperlink>
      <w:r>
        <w:t xml:space="preserve">, also translated by </w:t>
      </w:r>
      <w:r>
        <w:rPr>
          <w:rStyle w:val="wwc-sesame-zot-reference"/>
        </w:rPr>
        <w:t>Bingenheimer</w:t>
      </w:r>
      <w:r>
        <w:t xml:space="preserve"> p.141</w:t>
      </w:r>
    </w:p>
  </w:footnote>
  <w:footnote w:id="531">
    <w:p w14:paraId="54353C98" w14:textId="05C1C608" w:rsidR="00FE3964" w:rsidRDefault="00000000">
      <w:pPr>
        <w:pStyle w:val="FootnoteText"/>
      </w:pPr>
      <w:r>
        <w:rPr>
          <w:rStyle w:val="FootnoteCharacters"/>
        </w:rPr>
        <w:footnoteRef/>
      </w:r>
      <w:r>
        <w:rPr>
          <w:rStyle w:val="wwc-sesame-zot-reference"/>
        </w:rPr>
        <w:t>Thomas 1935</w:t>
      </w:r>
      <w:r>
        <w:t xml:space="preserve"> argues the first part of the compound </w:t>
      </w:r>
      <w:r>
        <w:rPr>
          <w:rStyle w:val="wwc-pali"/>
        </w:rPr>
        <w:t>tathāgata</w:t>
      </w:r>
      <w:r>
        <w:t xml:space="preserve"> is likely </w:t>
      </w:r>
      <w:r>
        <w:rPr>
          <w:rStyle w:val="wwc-pali"/>
        </w:rPr>
        <w:t>tatha</w:t>
      </w:r>
      <w:r>
        <w:t xml:space="preserve"> (‘truth’), not </w:t>
      </w:r>
      <w:r>
        <w:rPr>
          <w:rStyle w:val="wwc-pali"/>
        </w:rPr>
        <w:t>tathā</w:t>
      </w:r>
      <w:r>
        <w:t xml:space="preserve"> (‘thus’). </w:t>
      </w:r>
      <w:r>
        <w:rPr>
          <w:rStyle w:val="wwc-sesame-zot-reference"/>
        </w:rPr>
        <w:t>PED</w:t>
      </w:r>
      <w:r>
        <w:t xml:space="preserve"> includes for </w:t>
      </w:r>
      <w:r>
        <w:rPr>
          <w:rStyle w:val="wwc-pali"/>
        </w:rPr>
        <w:t>tathāgata</w:t>
      </w:r>
      <w:r>
        <w:t xml:space="preserve"> “he who has won through to the truth” </w:t>
      </w:r>
      <w:r w:rsidR="00E65A91">
        <w:t>[</w:t>
      </w:r>
      <w:r w:rsidR="00E65A91" w:rsidRPr="00E65A91">
        <w:rPr>
          <w:rStyle w:val="wwc-sesame"/>
        </w:rPr>
        <w:t>PED:tathāgata</w:t>
      </w:r>
      <w:r w:rsidR="00E65A91">
        <w:t xml:space="preserve">] </w:t>
      </w:r>
      <w:r>
        <w:t xml:space="preserve">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22"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‘Diṭṭhevāhaṁ, bhikkhave, dhamme tathāgataṁ ananuvijjo’ti vadāmi</w:t>
      </w:r>
      <w:r>
        <w:t>, ‘even while alive there is no truth</w:t>
      </w:r>
      <w:r>
        <w:softHyphen/>
        <w:t xml:space="preserve">finder to be found, I tell you’. The most literal meaning of </w:t>
      </w:r>
      <w:r>
        <w:rPr>
          <w:rStyle w:val="wwc-pali"/>
        </w:rPr>
        <w:t>ananuvijja</w:t>
      </w:r>
      <w:r>
        <w:t xml:space="preserve"> is ‘not found’, but the verb </w:t>
      </w:r>
      <w:r>
        <w:rPr>
          <w:rStyle w:val="wwc-pali"/>
        </w:rPr>
        <w:t>vijjati</w:t>
      </w:r>
      <w:r>
        <w:t xml:space="preserve">, as </w:t>
      </w:r>
      <w:r>
        <w:rPr>
          <w:rStyle w:val="wwc-sesame-zot-reference"/>
        </w:rPr>
        <w:t>DPD</w:t>
      </w:r>
      <w:r>
        <w:t xml:space="preserve"> and </w:t>
      </w:r>
      <w:r>
        <w:rPr>
          <w:rStyle w:val="wwc-sesame-zot-reference"/>
        </w:rPr>
        <w:t>Gombrich 2009</w:t>
      </w:r>
      <w:r>
        <w:t xml:space="preserve"> p.139 say, can also mean ‘exists’. To “not find” a truth</w:t>
      </w:r>
      <w:r>
        <w:softHyphen/>
        <w:t>finder therefore means the truth</w:t>
      </w:r>
      <w:r>
        <w:softHyphen/>
        <w:t xml:space="preserve">finder doesn’t actually exist. I use the expression ‘there is no … to be found’ to include both meanings of the verb. For a similar idea see </w:t>
      </w:r>
      <w:hyperlink r:id="rId523"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r>
        <w:rPr>
          <w:rStyle w:val="wwc-sesame"/>
        </w:rPr>
        <w:t>Ñāṇamoli 1995 n.266</w:t>
      </w:r>
      <w:r>
        <w:t xml:space="preserve"> at </w:t>
      </w:r>
      <w:hyperlink r:id="rId524" w:anchor="YYY" w:history="1">
        <w:r>
          <w:rPr>
            <w:rStyle w:val="Hyperlink"/>
          </w:rPr>
          <w:t>MN 22:36.4</w:t>
        </w:r>
      </w:hyperlink>
      <w:r>
        <w:t xml:space="preserve">. See also </w:t>
      </w:r>
      <w:r>
        <w:rPr>
          <w:rStyle w:val="wwc-sesame-zot-reference"/>
        </w:rPr>
        <w:t>Bodhi 1984</w:t>
      </w:r>
      <w:r>
        <w:t xml:space="preserve"> p.49: “The bhikkhu knows that ‘Tathāgata’ is just a convenient term for referring to a conglomerate process of impermanent, empty phenomena which are suffering in the deepest sense.”</w:t>
      </w:r>
    </w:p>
  </w:footnote>
  <w:footnote w:id="535">
    <w:p w14:paraId="7E9607FD" w14:textId="3C9547D8" w:rsidR="00FE3964" w:rsidRDefault="00000000">
      <w:pPr>
        <w:pStyle w:val="FootnoteText"/>
      </w:pPr>
      <w:r>
        <w:rPr>
          <w:rStyle w:val="FootnoteCharacters"/>
        </w:rPr>
        <w:footnoteRef/>
      </w:r>
      <w:r>
        <w:t xml:space="preserve">See for example </w:t>
      </w:r>
      <w:r w:rsidR="001334F8">
        <w:br/>
      </w:r>
      <w:r>
        <w:rPr>
          <w:rStyle w:val="wwc-sesame-zot-reference"/>
        </w:rPr>
        <w:t>Nyanaponika 1959</w:t>
      </w:r>
      <w:r>
        <w:t xml:space="preserve"> p.12, </w:t>
      </w:r>
      <w:r w:rsidR="001334F8">
        <w:br/>
      </w:r>
      <w:r>
        <w:rPr>
          <w:rStyle w:val="wwc-sesame-zot-reference"/>
        </w:rPr>
        <w:t>Warder 1970</w:t>
      </w:r>
      <w:r>
        <w:t xml:space="preserve"> p.123, </w:t>
      </w:r>
      <w:r w:rsidR="001334F8">
        <w:br/>
      </w:r>
      <w:r>
        <w:rPr>
          <w:rStyle w:val="wwc-sesame-zot-reference"/>
        </w:rPr>
        <w:t>Ñāṇananda 1971</w:t>
      </w:r>
      <w:r>
        <w:t xml:space="preserve"> p.116, </w:t>
      </w:r>
      <w:r w:rsidR="001334F8">
        <w:br/>
      </w:r>
      <w:r>
        <w:rPr>
          <w:rStyle w:val="wwc-sesame-zot-reference"/>
        </w:rPr>
        <w:t>Kalupahana 1976</w:t>
      </w:r>
      <w:r>
        <w:t xml:space="preserve"> p.84, </w:t>
      </w:r>
      <w:r w:rsidR="001334F8">
        <w:br/>
      </w:r>
      <w:r>
        <w:rPr>
          <w:rStyle w:val="wwc-sesame-zot-reference"/>
        </w:rPr>
        <w:t>Collins</w:t>
      </w:r>
      <w:r>
        <w:t xml:space="preserve"> p.132, </w:t>
      </w:r>
      <w:r w:rsidR="001334F8">
        <w:br/>
      </w:r>
      <w:r>
        <w:rPr>
          <w:rStyle w:val="wwc-sesame-zot-reference"/>
        </w:rPr>
        <w:t>Mahasi</w:t>
      </w:r>
      <w:r>
        <w:t xml:space="preserve"> p.121, </w:t>
      </w:r>
      <w:r w:rsidR="001334F8">
        <w:br/>
      </w:r>
      <w:r>
        <w:rPr>
          <w:rStyle w:val="wwc-sesame-zot-reference"/>
        </w:rPr>
        <w:t>Bodhi 1984</w:t>
      </w:r>
      <w:r>
        <w:t xml:space="preserve"> p.49, </w:t>
      </w:r>
      <w:r w:rsidR="001334F8">
        <w:br/>
      </w:r>
      <w:r>
        <w:rPr>
          <w:rStyle w:val="wwc-sesame-zot-reference"/>
        </w:rPr>
        <w:t>Anālayo 2021</w:t>
      </w:r>
      <w:r>
        <w:t xml:space="preserve"> p.107, </w:t>
      </w:r>
      <w:r w:rsidR="001334F8">
        <w:br/>
      </w:r>
      <w:r>
        <w:rPr>
          <w:rStyle w:val="wwc-sesame-zot-reference"/>
        </w:rPr>
        <w:t>Anālayo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5" w:anchor="YYY" w:history="1">
        <w:r>
          <w:rPr>
            <w:rStyle w:val="Hyperlink"/>
          </w:rPr>
          <w:t>SN 1.34</w:t>
        </w:r>
      </w:hyperlink>
      <w:r>
        <w:t xml:space="preserve">, </w:t>
      </w:r>
      <w:hyperlink r:id="rId526" w:anchor="YYY" w:history="1">
        <w:r>
          <w:rPr>
            <w:rStyle w:val="Hyperlink"/>
          </w:rPr>
          <w:t>SN 4.16</w:t>
        </w:r>
      </w:hyperlink>
    </w:p>
  </w:footnote>
  <w:footnote w:id="538">
    <w:p w14:paraId="79F32506" w14:textId="5B866498" w:rsidR="00FE3964" w:rsidRDefault="00000000">
      <w:pPr>
        <w:pStyle w:val="FootnoteText"/>
      </w:pPr>
      <w:r>
        <w:rPr>
          <w:rStyle w:val="FootnoteCharacters"/>
        </w:rPr>
        <w:footnoteRef/>
      </w:r>
      <w:r>
        <w:t xml:space="preserve">For example </w:t>
      </w:r>
      <w:r w:rsidR="00706012">
        <w:br/>
      </w:r>
      <w:r>
        <w:rPr>
          <w:rStyle w:val="wwc-sesame-zot-reference"/>
        </w:rPr>
        <w:t>Harvey 1995</w:t>
      </w:r>
      <w:r>
        <w:t xml:space="preserve"> p.230, </w:t>
      </w:r>
      <w:r w:rsidR="00706012">
        <w:br/>
      </w:r>
      <w:r>
        <w:rPr>
          <w:rStyle w:val="wwc-sesame-zot-reference"/>
        </w:rPr>
        <w:t>Pasanno</w:t>
      </w:r>
      <w:r>
        <w:t xml:space="preserve"> p.170, </w:t>
      </w:r>
      <w:r w:rsidR="00706012">
        <w:br/>
      </w:r>
      <w:r>
        <w:rPr>
          <w:rStyle w:val="wwc-sesame-zot-reference"/>
        </w:rPr>
        <w:t>Ṭhānissaro 2008a</w:t>
      </w:r>
      <w:r>
        <w:t xml:space="preserve"> p.121ff</w:t>
      </w:r>
    </w:p>
  </w:footnote>
  <w:footnote w:id="539">
    <w:p w14:paraId="7FE05CEC" w14:textId="77777777" w:rsidR="00FE3964" w:rsidRDefault="00000000">
      <w:pPr>
        <w:pStyle w:val="FootnoteText"/>
      </w:pPr>
      <w:r>
        <w:rPr>
          <w:rStyle w:val="FootnoteCharacters"/>
        </w:rPr>
        <w:footnoteRef/>
      </w:r>
      <w:hyperlink r:id="rId527"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8"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9" w:anchor="YYY" w:history="1">
        <w:r>
          <w:rPr>
            <w:rStyle w:val="Hyperlink"/>
          </w:rPr>
          <w:t>SN 1.20:25.1</w:t>
        </w:r>
      </w:hyperlink>
      <w:r>
        <w:t xml:space="preserve">: “[These lines] seem to be describing the arahant after his </w:t>
      </w:r>
      <w:r>
        <w:rPr>
          <w:rStyle w:val="wwc-pali"/>
        </w:rPr>
        <w:t>parinibbāna</w:t>
      </w:r>
      <w:r>
        <w:t xml:space="preserve">.” </w:t>
      </w:r>
      <w:r>
        <w:rPr>
          <w:rStyle w:val="wwc-sesame-zot-reference"/>
        </w:rPr>
        <w:t>Olalde 2014</w:t>
      </w:r>
      <w:r>
        <w:t xml:space="preserve"> p.119 (translation mine): “That the person in question cannot be found anywhere (seemingly after his death) refers to the fact he reached final nibbāna.”</w:t>
      </w:r>
    </w:p>
  </w:footnote>
  <w:footnote w:id="542">
    <w:p w14:paraId="19F1F948" w14:textId="77777777" w:rsidR="00FE3964" w:rsidRDefault="00000000">
      <w:pPr>
        <w:pStyle w:val="FootnoteText"/>
      </w:pPr>
      <w:r>
        <w:rPr>
          <w:rStyle w:val="FootnoteCharacters"/>
        </w:rPr>
        <w:footnoteRef/>
      </w:r>
      <w:hyperlink r:id="rId530" w:anchor="YYY" w:history="1">
        <w:r>
          <w:rPr>
            <w:rStyle w:val="Hyperlink"/>
          </w:rPr>
          <w:t>Snp 2.12:14.1–14.5</w:t>
        </w:r>
      </w:hyperlink>
      <w:r>
        <w:t xml:space="preserve">. Also at </w:t>
      </w:r>
      <w:hyperlink r:id="rId531" w:anchor="YYY" w:history="1">
        <w:r>
          <w:rPr>
            <w:rStyle w:val="Hyperlink"/>
          </w:rPr>
          <w:t>Thag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32" w:anchor="YYY" w:history="1">
        <w:r>
          <w:rPr>
            <w:rStyle w:val="Hyperlink"/>
          </w:rPr>
          <w:t>SN 4.1:2.1</w:t>
        </w:r>
      </w:hyperlink>
      <w:r>
        <w:t xml:space="preserve"> and </w:t>
      </w:r>
      <w:hyperlink r:id="rId533"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4">
        <w:r>
          <w:rPr>
            <w:rStyle w:val="Hyperlink"/>
          </w:rPr>
          <w:t>MĀ 62</w:t>
        </w:r>
      </w:hyperlink>
      <w:r>
        <w:t xml:space="preserve">, translation </w:t>
      </w:r>
      <w:r>
        <w:rPr>
          <w:rStyle w:val="wwc-sesame-zot-reference"/>
        </w:rPr>
        <w:t>Anālayo 2013</w:t>
      </w:r>
      <w:r>
        <w:t>, brackets in the original</w:t>
      </w:r>
    </w:p>
  </w:footnote>
  <w:footnote w:id="545">
    <w:p w14:paraId="50ABD6AC" w14:textId="77777777" w:rsidR="00FE3964" w:rsidRDefault="00000000">
      <w:pPr>
        <w:pStyle w:val="FootnoteText"/>
      </w:pPr>
      <w:r>
        <w:rPr>
          <w:rStyle w:val="FootnoteCharacters"/>
        </w:rPr>
        <w:footnoteRef/>
      </w:r>
      <w:hyperlink r:id="rId535" w:anchor="YYY" w:history="1">
        <w:r>
          <w:rPr>
            <w:rStyle w:val="Hyperlink"/>
          </w:rPr>
          <w:t>SN 5.10</w:t>
        </w:r>
      </w:hyperlink>
      <w:r>
        <w:t xml:space="preserve">. See also </w:t>
      </w:r>
      <w:hyperlink r:id="rId536"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7"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8" w:anchor="YYY" w:history="1">
        <w:r>
          <w:rPr>
            <w:rStyle w:val="Hyperlink"/>
          </w:rPr>
          <w:t>SN 1.49</w:t>
        </w:r>
      </w:hyperlink>
      <w:r>
        <w:t xml:space="preserve">, </w:t>
      </w:r>
      <w:hyperlink r:id="rId539" w:anchor="YYY" w:history="1">
        <w:r>
          <w:rPr>
            <w:rStyle w:val="Hyperlink"/>
          </w:rPr>
          <w:t>SN 3.17</w:t>
        </w:r>
      </w:hyperlink>
      <w:r>
        <w:t xml:space="preserve">, </w:t>
      </w:r>
      <w:hyperlink r:id="rId540" w:anchor="YYY" w:history="1">
        <w:r>
          <w:rPr>
            <w:rStyle w:val="Hyperlink"/>
          </w:rPr>
          <w:t>SN 12.41</w:t>
        </w:r>
      </w:hyperlink>
      <w:r>
        <w:t xml:space="preserve">, </w:t>
      </w:r>
      <w:hyperlink r:id="rId541" w:anchor="YYY" w:history="1">
        <w:r>
          <w:rPr>
            <w:rStyle w:val="Hyperlink"/>
          </w:rPr>
          <w:t>AN 2.1</w:t>
        </w:r>
      </w:hyperlink>
      <w:r>
        <w:t xml:space="preserve">, </w:t>
      </w:r>
      <w:hyperlink r:id="rId542" w:anchor="YYY" w:history="1">
        <w:r>
          <w:rPr>
            <w:rStyle w:val="Hyperlink"/>
          </w:rPr>
          <w:t>AN 3.34</w:t>
        </w:r>
      </w:hyperlink>
      <w:r>
        <w:t xml:space="preserve">, </w:t>
      </w:r>
      <w:hyperlink r:id="rId543" w:anchor="YYY" w:history="1">
        <w:r>
          <w:rPr>
            <w:rStyle w:val="Hyperlink"/>
          </w:rPr>
          <w:t>AN 3.69</w:t>
        </w:r>
      </w:hyperlink>
      <w:r>
        <w:t xml:space="preserve">, </w:t>
      </w:r>
      <w:hyperlink r:id="rId544" w:anchor="YYY" w:history="1">
        <w:r>
          <w:rPr>
            <w:rStyle w:val="Hyperlink"/>
          </w:rPr>
          <w:t>Iti 23</w:t>
        </w:r>
      </w:hyperlink>
      <w:r>
        <w:t xml:space="preserve">, </w:t>
      </w:r>
      <w:hyperlink r:id="rId545" w:anchor="YYY" w:history="1">
        <w:r>
          <w:rPr>
            <w:rStyle w:val="Hyperlink"/>
          </w:rPr>
          <w:t>Iti 28</w:t>
        </w:r>
      </w:hyperlink>
      <w:r>
        <w:t>/</w:t>
      </w:r>
      <w:hyperlink r:id="rId546" w:anchor="YYY" w:history="1">
        <w:r>
          <w:rPr>
            <w:rStyle w:val="Hyperlink"/>
            <w:lang w:val="en-US"/>
          </w:rPr>
          <w:t>Iti 29</w:t>
        </w:r>
      </w:hyperlink>
      <w:r>
        <w:rPr>
          <w:lang w:val="en-US"/>
        </w:rPr>
        <w:t xml:space="preserve">, </w:t>
      </w:r>
      <w:hyperlink r:id="rId547" w:anchor="YYY" w:history="1">
        <w:r>
          <w:rPr>
            <w:rStyle w:val="Hyperlink"/>
          </w:rPr>
          <w:t>Iti 41</w:t>
        </w:r>
      </w:hyperlink>
      <w:r>
        <w:t xml:space="preserve">, </w:t>
      </w:r>
      <w:hyperlink r:id="rId548" w:anchor="YYY" w:history="1">
        <w:r>
          <w:rPr>
            <w:rStyle w:val="Hyperlink"/>
          </w:rPr>
          <w:t>Iti 44</w:t>
        </w:r>
      </w:hyperlink>
      <w:r>
        <w:t xml:space="preserve">, </w:t>
      </w:r>
      <w:hyperlink r:id="rId549" w:anchor="YYY" w:history="1">
        <w:r>
          <w:rPr>
            <w:rStyle w:val="Hyperlink"/>
          </w:rPr>
          <w:t>Snp 1.7</w:t>
        </w:r>
      </w:hyperlink>
      <w:r>
        <w:t>, etc.</w:t>
      </w:r>
    </w:p>
  </w:footnote>
  <w:footnote w:id="548">
    <w:p w14:paraId="36CF7DE9" w14:textId="77777777" w:rsidR="00FE3964" w:rsidRDefault="00000000">
      <w:pPr>
        <w:pStyle w:val="FootnoteText"/>
      </w:pPr>
      <w:r>
        <w:rPr>
          <w:rStyle w:val="FootnoteCharacters"/>
        </w:rPr>
        <w:footnoteRef/>
      </w:r>
      <w:hyperlink r:id="rId550"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r>
        <w:rPr>
          <w:rStyle w:val="wwc-sesame-zot-reference"/>
        </w:rPr>
        <w:t>Siderits</w:t>
      </w:r>
      <w:r>
        <w:t xml:space="preserve"> Section 4.1. Compare </w:t>
      </w:r>
      <w:hyperlink r:id="rId551"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52"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3"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4"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5"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6"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r>
        <w:rPr>
          <w:rStyle w:val="wwc-pali"/>
        </w:rPr>
        <w:t>Saññāvedayitanirodha</w:t>
      </w:r>
      <w:r>
        <w:t>, ‘the cessation of awareness and what is experienced’, more well-known as ‘the cessation of perception and feeling’. In this state there is the complete cessation of both awareness (</w:t>
      </w:r>
      <w:r>
        <w:rPr>
          <w:rStyle w:val="wwc-pali"/>
        </w:rPr>
        <w:t>saññā</w:t>
      </w:r>
      <w:r>
        <w:t>) and the object that is experienced (</w:t>
      </w:r>
      <w:r>
        <w:rPr>
          <w:rStyle w:val="wwc-pali"/>
        </w:rPr>
        <w:t>vedayita</w:t>
      </w:r>
      <w:r>
        <w:t xml:space="preserve">). </w:t>
      </w:r>
      <w:r>
        <w:rPr>
          <w:rStyle w:val="wwc-pali"/>
        </w:rPr>
        <w:t>Saññā</w:t>
      </w:r>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r>
        <w:rPr>
          <w:rStyle w:val="wwc-pali"/>
        </w:rPr>
        <w:t>Vedayita</w:t>
      </w:r>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r>
        <w:rPr>
          <w:rStyle w:val="wwc-pali"/>
        </w:rPr>
        <w:t>saññāvedayitanirodha</w:t>
      </w:r>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7"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8" w:anchor="YYY" w:history="1">
        <w:r>
          <w:rPr>
            <w:rStyle w:val="Hyperlink"/>
          </w:rPr>
          <w:t>Ud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9" w:anchor="YYY" w:history="1">
        <w:r>
          <w:rPr>
            <w:rStyle w:val="Hyperlink"/>
          </w:rPr>
          <w:t>DN 31:8.2</w:t>
        </w:r>
      </w:hyperlink>
      <w:r>
        <w:t xml:space="preserve"> </w:t>
      </w:r>
      <w:r>
        <w:rPr>
          <w:rStyle w:val="wwc-PTS-reference"/>
        </w:rPr>
        <w:t>D III 183</w:t>
      </w:r>
    </w:p>
  </w:footnote>
  <w:footnote w:id="562">
    <w:p w14:paraId="0082FBC0" w14:textId="6DA25D96" w:rsidR="00FE3964" w:rsidRDefault="00000000">
      <w:pPr>
        <w:pStyle w:val="FootnoteText"/>
      </w:pPr>
      <w:r>
        <w:rPr>
          <w:rStyle w:val="FootnoteCharacters"/>
        </w:rPr>
        <w:footnoteRef/>
      </w:r>
      <w:r w:rsidRPr="006C2E2E">
        <w:rPr>
          <w:rStyle w:val="wwc-sesame"/>
        </w:rPr>
        <w:t>PED</w:t>
      </w:r>
      <w:r w:rsidR="006C2E2E" w:rsidRPr="006C2E2E">
        <w:rPr>
          <w:rStyle w:val="wwc-sesame"/>
        </w:rPr>
        <w:t>:</w:t>
      </w:r>
      <w:r w:rsidR="006C2E2E" w:rsidRPr="006C2E2E">
        <w:rPr>
          <w:rStyle w:val="wwc-sesame"/>
        </w:rPr>
        <w:t>āyatana</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60"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61"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r>
        <w:rPr>
          <w:rStyle w:val="wwc-pali"/>
        </w:rPr>
        <w:t>Veditabbe</w:t>
      </w:r>
      <w:r>
        <w:t xml:space="preserve"> here means ‘should be understood’, as </w:t>
      </w:r>
      <w:r>
        <w:rPr>
          <w:rStyle w:val="wwc-sesame-zot-reference"/>
        </w:rPr>
        <w:t>Bodhi 2000</w:t>
      </w:r>
      <w:r>
        <w:t xml:space="preserve"> and </w:t>
      </w:r>
      <w:r>
        <w:rPr>
          <w:rStyle w:val="wwc-sesame-zot-reference"/>
        </w:rPr>
        <w:t>Sujato 2023</w:t>
      </w:r>
      <w:r>
        <w:t xml:space="preserve">, not ‘should be experienced’ as </w:t>
      </w:r>
      <w:r>
        <w:rPr>
          <w:rStyle w:val="wwc-sesame-zot-reference"/>
        </w:rPr>
        <w:t>Anālayo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r>
        <w:rPr>
          <w:rStyle w:val="wwc-pali"/>
        </w:rPr>
        <w:t>veditabbe</w:t>
      </w:r>
      <w:r>
        <w:t xml:space="preserve"> as </w:t>
      </w:r>
      <w:r>
        <w:rPr>
          <w:rStyle w:val="wwc-pali"/>
        </w:rPr>
        <w:t>jānitabba</w:t>
      </w:r>
      <w:r>
        <w:t xml:space="preserve">, ‘to be understood’. This use of </w:t>
      </w:r>
      <w:r>
        <w:rPr>
          <w:rStyle w:val="wwc-pali"/>
        </w:rPr>
        <w:t>veditabba</w:t>
      </w:r>
      <w:r>
        <w:t xml:space="preserve"> is common in the discourses.</w:t>
      </w:r>
    </w:p>
  </w:footnote>
  <w:footnote w:id="566">
    <w:p w14:paraId="441C9E88" w14:textId="77777777" w:rsidR="00FE3964" w:rsidRDefault="00000000">
      <w:pPr>
        <w:pStyle w:val="FootnoteText"/>
      </w:pPr>
      <w:r>
        <w:rPr>
          <w:rStyle w:val="FootnoteCharacters"/>
        </w:rPr>
        <w:footnoteRef/>
      </w:r>
      <w:hyperlink r:id="rId562"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r>
        <w:rPr>
          <w:rStyle w:val="wwc-pali"/>
        </w:rPr>
        <w:t>yattha</w:t>
      </w:r>
      <w:r>
        <w:t xml:space="preserve"> can mean both ‘where’ and ‘when’.</w:t>
      </w:r>
    </w:p>
  </w:footnote>
  <w:footnote w:id="568">
    <w:p w14:paraId="64086889" w14:textId="77777777" w:rsidR="00FE3964" w:rsidRDefault="00000000">
      <w:pPr>
        <w:pStyle w:val="FootnoteText"/>
      </w:pPr>
      <w:r>
        <w:rPr>
          <w:rStyle w:val="FootnoteCharacters"/>
        </w:rPr>
        <w:footnoteRef/>
      </w:r>
      <w:hyperlink r:id="rId563" w:anchor="YYY" w:history="1">
        <w:r>
          <w:rPr>
            <w:rStyle w:val="Hyperlink"/>
          </w:rPr>
          <w:t>Ud 8.1</w:t>
        </w:r>
      </w:hyperlink>
    </w:p>
  </w:footnote>
  <w:footnote w:id="569">
    <w:p w14:paraId="319F4AE1" w14:textId="75CE1113" w:rsidR="00FE3964" w:rsidRDefault="00000000">
      <w:pPr>
        <w:pStyle w:val="FootnoteText"/>
      </w:pPr>
      <w:r>
        <w:rPr>
          <w:rStyle w:val="FootnoteCharacters"/>
        </w:rPr>
        <w:footnoteRef/>
      </w:r>
      <w:r w:rsidRPr="00961723">
        <w:rPr>
          <w:rStyle w:val="wwc-sesame-zot-reference"/>
        </w:rPr>
        <w:t>Brahmāli</w:t>
      </w:r>
      <w:r w:rsidRPr="00961723">
        <w:t xml:space="preserve"> p.55</w:t>
      </w:r>
      <w:r w:rsidR="00961723">
        <w:t xml:space="preserve"> </w:t>
      </w:r>
      <w:hyperlink r:id="rId564" w:anchor="202" w:history="1">
        <w:r w:rsidR="00961723" w:rsidRPr="00961723">
          <w:rPr>
            <w:rStyle w:val="Hyperlink"/>
            <w:rFonts w:hint="eastAsia"/>
          </w:rPr>
          <w:t>※</w:t>
        </w:r>
        <w:r w:rsidR="00961723" w:rsidRPr="00961723">
          <w:rPr>
            <w:rStyle w:val="Hyperlink"/>
            <w:rFonts w:hint="eastAsia"/>
          </w:rPr>
          <w:t>202</w:t>
        </w:r>
      </w:hyperlink>
    </w:p>
  </w:footnote>
  <w:footnote w:id="570">
    <w:p w14:paraId="47085DEC" w14:textId="3E613C66" w:rsidR="00FE3964" w:rsidRDefault="00000000">
      <w:pPr>
        <w:pStyle w:val="FootnoteText"/>
      </w:pPr>
      <w:r>
        <w:rPr>
          <w:rStyle w:val="FootnoteCharacters"/>
        </w:rPr>
        <w:footnoteRef/>
      </w:r>
      <w:r>
        <w:rPr>
          <w:rStyle w:val="wwc-sesame-zot-reference"/>
        </w:rPr>
        <w:t>DOP</w:t>
      </w:r>
      <w:r>
        <w:t xml:space="preserve"> and </w:t>
      </w:r>
      <w:r w:rsidRPr="00286608">
        <w:rPr>
          <w:rStyle w:val="wwc-sesame"/>
        </w:rPr>
        <w:t>PED</w:t>
      </w:r>
      <w:r w:rsidR="00286608" w:rsidRPr="00286608">
        <w:rPr>
          <w:rStyle w:val="wwc-sesame"/>
        </w:rPr>
        <w:t>:</w:t>
      </w:r>
      <w:r w:rsidR="00286608" w:rsidRPr="00286608">
        <w:rPr>
          <w:rStyle w:val="wwc-sesame"/>
        </w:rPr>
        <w:t>dhātu</w:t>
      </w:r>
    </w:p>
  </w:footnote>
  <w:footnote w:id="571">
    <w:p w14:paraId="27080BD1" w14:textId="77777777" w:rsidR="00FE3964" w:rsidRDefault="00000000">
      <w:pPr>
        <w:pStyle w:val="FootnoteText"/>
      </w:pPr>
      <w:r>
        <w:rPr>
          <w:rStyle w:val="FootnoteCharacters"/>
        </w:rPr>
        <w:footnoteRef/>
      </w:r>
      <w:hyperlink r:id="rId565"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6" w:anchor="YYY" w:history="1">
        <w:r>
          <w:rPr>
            <w:rStyle w:val="Hyperlink"/>
          </w:rPr>
          <w:t>Snp 5.10:2.1–2.5</w:t>
        </w:r>
      </w:hyperlink>
    </w:p>
  </w:footnote>
  <w:footnote w:id="573">
    <w:p w14:paraId="4D7892E4" w14:textId="77777777" w:rsidR="00FE3964" w:rsidRDefault="00000000">
      <w:pPr>
        <w:pStyle w:val="FootnoteText"/>
      </w:pPr>
      <w:r>
        <w:rPr>
          <w:rStyle w:val="FootnoteCharacters"/>
        </w:rPr>
        <w:footnoteRef/>
      </w:r>
      <w:hyperlink r:id="rId567" w:anchor="YYY" w:history="1">
        <w:r>
          <w:rPr>
            <w:rStyle w:val="Hyperlink"/>
          </w:rPr>
          <w:t>SN 12.68</w:t>
        </w:r>
      </w:hyperlink>
      <w:r>
        <w:t xml:space="preserve">, </w:t>
      </w:r>
      <w:hyperlink r:id="rId568"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r>
        <w:rPr>
          <w:rStyle w:val="wwc-sesame-zot-reference"/>
        </w:rPr>
        <w:t>Ñāṇananda 2015</w:t>
      </w:r>
      <w:r>
        <w:t xml:space="preserve"> p.376. For the Buddha experiencing the formless states see for example </w:t>
      </w:r>
      <w:hyperlink r:id="rId569"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70" w:anchor="YYY" w:history="1">
        <w:r>
          <w:rPr>
            <w:rStyle w:val="Hyperlink"/>
          </w:rPr>
          <w:t>MN 59:16.1–16.6</w:t>
        </w:r>
      </w:hyperlink>
      <w:r>
        <w:t xml:space="preserve"> </w:t>
      </w:r>
      <w:r>
        <w:rPr>
          <w:rStyle w:val="wwc-PTS-reference"/>
        </w:rPr>
        <w:t>M I 400</w:t>
      </w:r>
      <w:r>
        <w:t xml:space="preserve">, </w:t>
      </w:r>
      <w:hyperlink r:id="rId571" w:anchor="YYY" w:history="1">
        <w:r>
          <w:rPr>
            <w:rStyle w:val="Hyperlink"/>
          </w:rPr>
          <w:t>SN 36.19:16.1–16.6</w:t>
        </w:r>
      </w:hyperlink>
      <w:r>
        <w:t>, compare with</w:t>
      </w:r>
    </w:p>
    <w:p w14:paraId="714C0EF3" w14:textId="7E1CCF4D" w:rsidR="00FE3964" w:rsidRDefault="00000000">
      <w:pPr>
        <w:pStyle w:val="FootnoteText"/>
      </w:pPr>
      <w:hyperlink r:id="rId572" w:anchor="YYY" w:history="1">
        <w:r>
          <w:rPr>
            <w:rStyle w:val="Hyperlink"/>
          </w:rPr>
          <w:t>AN 9.34</w:t>
        </w:r>
      </w:hyperlink>
      <w:r>
        <w:t xml:space="preserve">; </w:t>
      </w:r>
      <w:hyperlink r:id="rId573" w:anchor="YYY" w:history="1">
        <w:r>
          <w:rPr>
            <w:rStyle w:val="Hyperlink"/>
          </w:rPr>
          <w:t>MN 111:20.1</w:t>
        </w:r>
        <w:r w:rsidR="00AD30D4">
          <w:rPr>
            <w:rStyle w:val="Hyperlink"/>
          </w:rPr>
          <w:t>–</w:t>
        </w:r>
        <w:r>
          <w:rPr>
            <w:rStyle w:val="Hyperlink"/>
          </w:rPr>
          <w:t>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 xml:space="preserve">See </w:t>
      </w:r>
      <w:r w:rsidRPr="007C6805">
        <w:rPr>
          <w:rStyle w:val="wwc-sesame-zot-reference"/>
        </w:rPr>
        <w:t>Tan</w:t>
      </w:r>
      <w:r>
        <w:t>: “</w:t>
      </w:r>
      <w:r>
        <w:rPr>
          <w:rStyle w:val="wwc-pali"/>
        </w:rPr>
        <w:t>Appatiṭṭhitaṃ</w:t>
      </w:r>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4" w:anchor="YYY" w:history="1">
        <w:r>
          <w:rPr>
            <w:rStyle w:val="Hyperlink"/>
          </w:rPr>
          <w:t>Snp 5.5</w:t>
        </w:r>
      </w:hyperlink>
    </w:p>
  </w:footnote>
  <w:footnote w:id="579">
    <w:p w14:paraId="2ACD73EC" w14:textId="77777777" w:rsidR="00FE3964" w:rsidRDefault="00000000">
      <w:pPr>
        <w:pStyle w:val="FootnoteText"/>
      </w:pPr>
      <w:r>
        <w:rPr>
          <w:rStyle w:val="FootnoteCharacters"/>
        </w:rPr>
        <w:footnoteRef/>
      </w:r>
      <w:r>
        <w:t xml:space="preserve">Nicholas Rescher (tr.), </w:t>
      </w:r>
      <w:r>
        <w:rPr>
          <w:rStyle w:val="Emphasis"/>
        </w:rPr>
        <w:t>Al-Fārābī’s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5"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6" w:anchor="YYY" w:history="1">
        <w:r>
          <w:rPr>
            <w:rStyle w:val="Hyperlink"/>
          </w:rPr>
          <w:t>DN 15:1.3–1.8</w:t>
        </w:r>
      </w:hyperlink>
      <w:r>
        <w:t xml:space="preserve"> </w:t>
      </w:r>
      <w:r>
        <w:rPr>
          <w:rStyle w:val="wwc-PTS-reference"/>
        </w:rPr>
        <w:t>D II 55</w:t>
      </w:r>
      <w:r>
        <w:t xml:space="preserve">. See also </w:t>
      </w:r>
      <w:hyperlink r:id="rId577"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8"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9"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80"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81" w:anchor="YYY" w:history="1">
        <w:r>
          <w:rPr>
            <w:rStyle w:val="Hyperlink"/>
          </w:rPr>
          <w:t>SN 12.41</w:t>
        </w:r>
      </w:hyperlink>
      <w:r>
        <w:t xml:space="preserve">, </w:t>
      </w:r>
      <w:hyperlink r:id="rId582"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4DC251F0"/>
    <w:multiLevelType w:val="hybridMultilevel"/>
    <w:tmpl w:val="44167DE4"/>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1"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5"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7"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9"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8"/>
  </w:num>
  <w:num w:numId="3" w16cid:durableId="751241975">
    <w:abstractNumId w:val="9"/>
  </w:num>
  <w:num w:numId="4" w16cid:durableId="1162313371">
    <w:abstractNumId w:val="14"/>
  </w:num>
  <w:num w:numId="5" w16cid:durableId="845631907">
    <w:abstractNumId w:val="0"/>
  </w:num>
  <w:num w:numId="6" w16cid:durableId="1219901969">
    <w:abstractNumId w:val="8"/>
  </w:num>
  <w:num w:numId="7" w16cid:durableId="1385371436">
    <w:abstractNumId w:val="19"/>
  </w:num>
  <w:num w:numId="8" w16cid:durableId="1652640276">
    <w:abstractNumId w:val="12"/>
  </w:num>
  <w:num w:numId="9" w16cid:durableId="1587306882">
    <w:abstractNumId w:val="3"/>
  </w:num>
  <w:num w:numId="10" w16cid:durableId="1227300426">
    <w:abstractNumId w:val="13"/>
  </w:num>
  <w:num w:numId="11" w16cid:durableId="1905483875">
    <w:abstractNumId w:val="16"/>
  </w:num>
  <w:num w:numId="12" w16cid:durableId="792358307">
    <w:abstractNumId w:val="6"/>
  </w:num>
  <w:num w:numId="13" w16cid:durableId="117340053">
    <w:abstractNumId w:val="11"/>
  </w:num>
  <w:num w:numId="14" w16cid:durableId="811140834">
    <w:abstractNumId w:val="17"/>
  </w:num>
  <w:num w:numId="15" w16cid:durableId="1518234499">
    <w:abstractNumId w:val="15"/>
  </w:num>
  <w:num w:numId="16" w16cid:durableId="1075593953">
    <w:abstractNumId w:val="4"/>
  </w:num>
  <w:num w:numId="17" w16cid:durableId="1398699833">
    <w:abstractNumId w:val="5"/>
  </w:num>
  <w:num w:numId="18" w16cid:durableId="1707873617">
    <w:abstractNumId w:val="7"/>
  </w:num>
  <w:num w:numId="19" w16cid:durableId="1342201159">
    <w:abstractNumId w:val="1"/>
  </w:num>
  <w:num w:numId="20" w16cid:durableId="16710546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321" w:allStyles="1" w:customStyles="0" w:latentStyles="0" w:stylesInUse="0"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77BD6"/>
    <w:rsid w:val="0008376E"/>
    <w:rsid w:val="000873AD"/>
    <w:rsid w:val="00093655"/>
    <w:rsid w:val="000B513C"/>
    <w:rsid w:val="000C20EB"/>
    <w:rsid w:val="000D576B"/>
    <w:rsid w:val="000E7B00"/>
    <w:rsid w:val="00101A5A"/>
    <w:rsid w:val="0010474B"/>
    <w:rsid w:val="00116CB5"/>
    <w:rsid w:val="00120D7C"/>
    <w:rsid w:val="00130605"/>
    <w:rsid w:val="001334F8"/>
    <w:rsid w:val="00135497"/>
    <w:rsid w:val="00152346"/>
    <w:rsid w:val="00152D9A"/>
    <w:rsid w:val="00157904"/>
    <w:rsid w:val="001719FA"/>
    <w:rsid w:val="00191D63"/>
    <w:rsid w:val="001A4101"/>
    <w:rsid w:val="001C3AE1"/>
    <w:rsid w:val="001E13B9"/>
    <w:rsid w:val="001F13CD"/>
    <w:rsid w:val="00215AB7"/>
    <w:rsid w:val="00223819"/>
    <w:rsid w:val="00225502"/>
    <w:rsid w:val="00234AE5"/>
    <w:rsid w:val="002363F4"/>
    <w:rsid w:val="0023674E"/>
    <w:rsid w:val="00250B8C"/>
    <w:rsid w:val="00253660"/>
    <w:rsid w:val="002672BE"/>
    <w:rsid w:val="00284BBA"/>
    <w:rsid w:val="002864F7"/>
    <w:rsid w:val="00286608"/>
    <w:rsid w:val="00286733"/>
    <w:rsid w:val="00286B2A"/>
    <w:rsid w:val="00286E16"/>
    <w:rsid w:val="0029727B"/>
    <w:rsid w:val="002A71D0"/>
    <w:rsid w:val="002B26BB"/>
    <w:rsid w:val="002C2049"/>
    <w:rsid w:val="002C7899"/>
    <w:rsid w:val="002D5352"/>
    <w:rsid w:val="002D73C3"/>
    <w:rsid w:val="002E0D61"/>
    <w:rsid w:val="002E2E7F"/>
    <w:rsid w:val="002E4D75"/>
    <w:rsid w:val="002F733F"/>
    <w:rsid w:val="00305AD4"/>
    <w:rsid w:val="00314255"/>
    <w:rsid w:val="00315E38"/>
    <w:rsid w:val="003202C4"/>
    <w:rsid w:val="0032034A"/>
    <w:rsid w:val="003209A5"/>
    <w:rsid w:val="00320CB6"/>
    <w:rsid w:val="00335C0D"/>
    <w:rsid w:val="003514C3"/>
    <w:rsid w:val="00355401"/>
    <w:rsid w:val="00355870"/>
    <w:rsid w:val="00382609"/>
    <w:rsid w:val="00382E4D"/>
    <w:rsid w:val="0038429F"/>
    <w:rsid w:val="00385DFA"/>
    <w:rsid w:val="003907DE"/>
    <w:rsid w:val="003B399B"/>
    <w:rsid w:val="003B5BCE"/>
    <w:rsid w:val="003C064E"/>
    <w:rsid w:val="003E36CD"/>
    <w:rsid w:val="003F2BDB"/>
    <w:rsid w:val="003F2D4A"/>
    <w:rsid w:val="00422B5B"/>
    <w:rsid w:val="00422EBD"/>
    <w:rsid w:val="00426847"/>
    <w:rsid w:val="00430CF2"/>
    <w:rsid w:val="00444083"/>
    <w:rsid w:val="00444B0C"/>
    <w:rsid w:val="004475DD"/>
    <w:rsid w:val="00460F34"/>
    <w:rsid w:val="00464EA1"/>
    <w:rsid w:val="004709AE"/>
    <w:rsid w:val="00482E1E"/>
    <w:rsid w:val="00484A4A"/>
    <w:rsid w:val="004C6A33"/>
    <w:rsid w:val="004E7457"/>
    <w:rsid w:val="004F4A22"/>
    <w:rsid w:val="00513238"/>
    <w:rsid w:val="005275D3"/>
    <w:rsid w:val="00531B37"/>
    <w:rsid w:val="00535219"/>
    <w:rsid w:val="00535338"/>
    <w:rsid w:val="005356F0"/>
    <w:rsid w:val="005378DC"/>
    <w:rsid w:val="00550444"/>
    <w:rsid w:val="00573470"/>
    <w:rsid w:val="00573A90"/>
    <w:rsid w:val="005765F3"/>
    <w:rsid w:val="00597E30"/>
    <w:rsid w:val="005A05AE"/>
    <w:rsid w:val="005A1B78"/>
    <w:rsid w:val="005A4FB0"/>
    <w:rsid w:val="005B6501"/>
    <w:rsid w:val="005B77EF"/>
    <w:rsid w:val="005D1FB5"/>
    <w:rsid w:val="005E2094"/>
    <w:rsid w:val="005E485B"/>
    <w:rsid w:val="005F0AF8"/>
    <w:rsid w:val="005F3EED"/>
    <w:rsid w:val="006074BD"/>
    <w:rsid w:val="006133E3"/>
    <w:rsid w:val="00615E74"/>
    <w:rsid w:val="00616310"/>
    <w:rsid w:val="0063035E"/>
    <w:rsid w:val="00641BC1"/>
    <w:rsid w:val="0064445B"/>
    <w:rsid w:val="006522FD"/>
    <w:rsid w:val="006727CB"/>
    <w:rsid w:val="00695C84"/>
    <w:rsid w:val="006B5498"/>
    <w:rsid w:val="006C2E2E"/>
    <w:rsid w:val="006C328E"/>
    <w:rsid w:val="006C73F6"/>
    <w:rsid w:val="006D2D19"/>
    <w:rsid w:val="006E13DC"/>
    <w:rsid w:val="006F4094"/>
    <w:rsid w:val="006F4F1E"/>
    <w:rsid w:val="006F507C"/>
    <w:rsid w:val="007022FE"/>
    <w:rsid w:val="00702641"/>
    <w:rsid w:val="00706012"/>
    <w:rsid w:val="007060FA"/>
    <w:rsid w:val="0070729B"/>
    <w:rsid w:val="0071144E"/>
    <w:rsid w:val="00711A85"/>
    <w:rsid w:val="007179A8"/>
    <w:rsid w:val="00742DE5"/>
    <w:rsid w:val="0075620B"/>
    <w:rsid w:val="007664E6"/>
    <w:rsid w:val="00774568"/>
    <w:rsid w:val="007779F2"/>
    <w:rsid w:val="0078601C"/>
    <w:rsid w:val="00794645"/>
    <w:rsid w:val="00794E35"/>
    <w:rsid w:val="007A1CDD"/>
    <w:rsid w:val="007B7641"/>
    <w:rsid w:val="007C6805"/>
    <w:rsid w:val="007F274F"/>
    <w:rsid w:val="00803136"/>
    <w:rsid w:val="00807A4E"/>
    <w:rsid w:val="00812C76"/>
    <w:rsid w:val="008319AA"/>
    <w:rsid w:val="00831D2E"/>
    <w:rsid w:val="00846978"/>
    <w:rsid w:val="008619F3"/>
    <w:rsid w:val="00877F48"/>
    <w:rsid w:val="00880A4D"/>
    <w:rsid w:val="008A04FB"/>
    <w:rsid w:val="008C2CE7"/>
    <w:rsid w:val="008C2E1F"/>
    <w:rsid w:val="008D1158"/>
    <w:rsid w:val="008D2515"/>
    <w:rsid w:val="0091148A"/>
    <w:rsid w:val="0092302D"/>
    <w:rsid w:val="00935B50"/>
    <w:rsid w:val="009374A2"/>
    <w:rsid w:val="00947888"/>
    <w:rsid w:val="0095428E"/>
    <w:rsid w:val="00961723"/>
    <w:rsid w:val="009679C1"/>
    <w:rsid w:val="009720E4"/>
    <w:rsid w:val="0098770A"/>
    <w:rsid w:val="0099181E"/>
    <w:rsid w:val="009B653B"/>
    <w:rsid w:val="009B7683"/>
    <w:rsid w:val="009C0A66"/>
    <w:rsid w:val="009C5C43"/>
    <w:rsid w:val="009E4272"/>
    <w:rsid w:val="009E4BC6"/>
    <w:rsid w:val="009E666E"/>
    <w:rsid w:val="00A15403"/>
    <w:rsid w:val="00A15B71"/>
    <w:rsid w:val="00A2016B"/>
    <w:rsid w:val="00A21AC7"/>
    <w:rsid w:val="00A368F5"/>
    <w:rsid w:val="00A40506"/>
    <w:rsid w:val="00A50EF1"/>
    <w:rsid w:val="00A613D5"/>
    <w:rsid w:val="00A7166B"/>
    <w:rsid w:val="00A8736A"/>
    <w:rsid w:val="00A96DE0"/>
    <w:rsid w:val="00AA55D1"/>
    <w:rsid w:val="00AB61D5"/>
    <w:rsid w:val="00AC15B6"/>
    <w:rsid w:val="00AC25F3"/>
    <w:rsid w:val="00AC5B2A"/>
    <w:rsid w:val="00AD30D4"/>
    <w:rsid w:val="00AD47FB"/>
    <w:rsid w:val="00AF7505"/>
    <w:rsid w:val="00AF7A6C"/>
    <w:rsid w:val="00B00FE1"/>
    <w:rsid w:val="00B253C2"/>
    <w:rsid w:val="00B30783"/>
    <w:rsid w:val="00B52FC4"/>
    <w:rsid w:val="00B53260"/>
    <w:rsid w:val="00B60D88"/>
    <w:rsid w:val="00B61EC1"/>
    <w:rsid w:val="00B73FBA"/>
    <w:rsid w:val="00B92AD7"/>
    <w:rsid w:val="00B9468E"/>
    <w:rsid w:val="00BB768E"/>
    <w:rsid w:val="00BC088A"/>
    <w:rsid w:val="00BC28AB"/>
    <w:rsid w:val="00BD09B0"/>
    <w:rsid w:val="00BD1B66"/>
    <w:rsid w:val="00BE2D6A"/>
    <w:rsid w:val="00C10EF5"/>
    <w:rsid w:val="00C15D39"/>
    <w:rsid w:val="00C34188"/>
    <w:rsid w:val="00C40FA7"/>
    <w:rsid w:val="00C40FD0"/>
    <w:rsid w:val="00C431AA"/>
    <w:rsid w:val="00C54982"/>
    <w:rsid w:val="00C561F1"/>
    <w:rsid w:val="00C56FB6"/>
    <w:rsid w:val="00C74BC9"/>
    <w:rsid w:val="00C8383E"/>
    <w:rsid w:val="00C866C4"/>
    <w:rsid w:val="00C91923"/>
    <w:rsid w:val="00C92882"/>
    <w:rsid w:val="00CB3413"/>
    <w:rsid w:val="00CB7C9D"/>
    <w:rsid w:val="00CC3BE8"/>
    <w:rsid w:val="00CC78E5"/>
    <w:rsid w:val="00CD0A57"/>
    <w:rsid w:val="00CD4967"/>
    <w:rsid w:val="00CD7D6C"/>
    <w:rsid w:val="00CE00D0"/>
    <w:rsid w:val="00CF2A87"/>
    <w:rsid w:val="00D2303C"/>
    <w:rsid w:val="00D23BC4"/>
    <w:rsid w:val="00D3529D"/>
    <w:rsid w:val="00D42252"/>
    <w:rsid w:val="00D43D4E"/>
    <w:rsid w:val="00D62932"/>
    <w:rsid w:val="00D6390D"/>
    <w:rsid w:val="00DB5A0D"/>
    <w:rsid w:val="00DB5F32"/>
    <w:rsid w:val="00DB7D47"/>
    <w:rsid w:val="00DC65D4"/>
    <w:rsid w:val="00DD3D15"/>
    <w:rsid w:val="00DF1386"/>
    <w:rsid w:val="00E021A8"/>
    <w:rsid w:val="00E151AB"/>
    <w:rsid w:val="00E162FF"/>
    <w:rsid w:val="00E422C7"/>
    <w:rsid w:val="00E65A91"/>
    <w:rsid w:val="00E77EEA"/>
    <w:rsid w:val="00E82FE4"/>
    <w:rsid w:val="00E927B7"/>
    <w:rsid w:val="00E95A0E"/>
    <w:rsid w:val="00EA75AD"/>
    <w:rsid w:val="00EB7E5D"/>
    <w:rsid w:val="00EC3E5C"/>
    <w:rsid w:val="00EC5E70"/>
    <w:rsid w:val="00ED1185"/>
    <w:rsid w:val="00ED55DE"/>
    <w:rsid w:val="00ED5972"/>
    <w:rsid w:val="00EE6553"/>
    <w:rsid w:val="00EF2470"/>
    <w:rsid w:val="00EF3763"/>
    <w:rsid w:val="00F1386D"/>
    <w:rsid w:val="00F1446C"/>
    <w:rsid w:val="00F24D2E"/>
    <w:rsid w:val="00F37FA6"/>
    <w:rsid w:val="00F40796"/>
    <w:rsid w:val="00F4281C"/>
    <w:rsid w:val="00F477BF"/>
    <w:rsid w:val="00F53196"/>
    <w:rsid w:val="00F53CE6"/>
    <w:rsid w:val="00F646CB"/>
    <w:rsid w:val="00F767FA"/>
    <w:rsid w:val="00F803AB"/>
    <w:rsid w:val="00F81B3C"/>
    <w:rsid w:val="00F91189"/>
    <w:rsid w:val="00F92415"/>
    <w:rsid w:val="00FA0326"/>
    <w:rsid w:val="00FB2C9D"/>
    <w:rsid w:val="00FC7BC8"/>
    <w:rsid w:val="00FD7A9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723"/>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5275D3"/>
    <w:rPr>
      <w:kern w:val="0"/>
      <w:u w:val="none"/>
      <w:bdr w:val="single" w:sz="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1306198">
      <w:bodyDiv w:val="1"/>
      <w:marLeft w:val="0"/>
      <w:marRight w:val="0"/>
      <w:marTop w:val="0"/>
      <w:marBottom w:val="0"/>
      <w:divBdr>
        <w:top w:val="none" w:sz="0" w:space="0" w:color="auto"/>
        <w:left w:val="none" w:sz="0" w:space="0" w:color="auto"/>
        <w:bottom w:val="none" w:sz="0" w:space="0" w:color="auto"/>
        <w:right w:val="none" w:sz="0" w:space="0" w:color="auto"/>
      </w:divBdr>
      <w:divsChild>
        <w:div w:id="937447449">
          <w:marLeft w:val="0"/>
          <w:marRight w:val="0"/>
          <w:marTop w:val="0"/>
          <w:marBottom w:val="0"/>
          <w:divBdr>
            <w:top w:val="none" w:sz="0" w:space="0" w:color="auto"/>
            <w:left w:val="none" w:sz="0" w:space="0" w:color="auto"/>
            <w:bottom w:val="none" w:sz="0" w:space="0" w:color="auto"/>
            <w:right w:val="none" w:sz="0" w:space="0" w:color="auto"/>
          </w:divBdr>
          <w:divsChild>
            <w:div w:id="8920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sa360"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niknib"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XXX/en/sujato"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XXX/en/sujato"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ea26.10"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da13"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sa377"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1187"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XXX/en/sujato" TargetMode="External"/><Relationship Id="rId448" Type="http://schemas.openxmlformats.org/officeDocument/2006/relationships/hyperlink" Target="http://suttacentral.net/sf161"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ma97"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579"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XXX/en/sujato"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dn15/en/sujato?lang=en&amp;layout=linebyline&amp;reference=main&amp;notes=sidenotes&amp;highlight=false&amp;script=latin"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XXX/en/sujato"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mil3.6.9" TargetMode="External"/><Relationship Id="rId461" Type="http://schemas.openxmlformats.org/officeDocument/2006/relationships/hyperlink" Target="https://suttacentral.net/t52"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581"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sa39" TargetMode="External"/><Relationship Id="rId343" Type="http://schemas.openxmlformats.org/officeDocument/2006/relationships/hyperlink" Target="https://suttacentral.net/XXX/en/sujato"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sa360"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59"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sa-2.30"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sa360"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sa361"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XXX/en/sujato"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XXX/en/sujato"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XXX/en/sujato"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ma62"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pli-tv-kd6"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da13"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sa39"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da13"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sa-2.100"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sa284"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sa294"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XXX/en/sujato"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14"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doab" TargetMode="External"/><Relationship Id="rId580"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XXX/en/sujato" TargetMode="External"/><Relationship Id="rId482" Type="http://schemas.openxmlformats.org/officeDocument/2006/relationships/hyperlink" Target="../gkbk"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da13"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59"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t52"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582"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cnd5"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XXX/en/sujato"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sa1265"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XXX/en/sujato"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ma97" TargetMode="External"/><Relationship Id="rId34" Type="http://schemas.openxmlformats.org/officeDocument/2006/relationships/hyperlink" Target="https://en.wikipedia.org/wiki/Presentism_(historical_analysis)" TargetMode="External"/><Relationship Id="rId544"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12274</TotalTime>
  <Pages>203</Pages>
  <Words>66408</Words>
  <Characters>378526</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228</cp:revision>
  <dcterms:created xsi:type="dcterms:W3CDTF">2025-11-08T11:59:00Z</dcterms:created>
  <dcterms:modified xsi:type="dcterms:W3CDTF">2025-12-07T13:44:00Z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