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pPr>
        <w:pStyle w:val="WW-caption-centered-serif"/>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w:t>
      </w:r>
      <w:proofErr w:type="spellStart"/>
      <w:r>
        <w:t>Pāli</w:t>
      </w:r>
      <w:proofErr w:type="spellEnd"/>
      <w:r>
        <w:t xml:space="preserve">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 xml:space="preserve">Unless otherwise indicated, quotations of the Buddhist canonical texts should be attributed to the Buddha. All translations of the </w:t>
      </w:r>
      <w:proofErr w:type="spellStart"/>
      <w:r>
        <w:t>Pāli</w:t>
      </w:r>
      <w:proofErr w:type="spellEnd"/>
      <w:r>
        <w:t xml:space="preserve">, including any inevitable shortcomings in them, are my own. Unfamiliar translations will always raise some questions, but to not interrupt the continuity of ideas, I will not explain every translation choice I made and include the </w:t>
      </w:r>
      <w:proofErr w:type="spellStart"/>
      <w:r>
        <w:t>Pāli</w:t>
      </w:r>
      <w:proofErr w:type="spellEnd"/>
      <w:r>
        <w:t xml:space="preserve">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w:t>
      </w:r>
      <w:proofErr w:type="spellStart"/>
      <w:r>
        <w:t>Pāli</w:t>
      </w:r>
      <w:proofErr w:type="spellEnd"/>
      <w:r>
        <w:t xml:space="preserve"> Canon is not infallible, I also consulted the Chinese </w:t>
      </w:r>
      <w:proofErr w:type="spellStart"/>
      <w:r>
        <w:t>Āgamas</w:t>
      </w:r>
      <w:proofErr w:type="spellEnd"/>
      <w:r>
        <w:t xml:space="preserve">,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w:t>
      </w:r>
      <w:proofErr w:type="spellStart"/>
      <w:r>
        <w:t>Pāli</w:t>
      </w:r>
      <w:proofErr w:type="spellEnd"/>
      <w:r>
        <w:t xml:space="preserve">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1EECB868" w14:textId="77777777" w:rsidR="00FE3964" w:rsidRDefault="00000000">
      <w:pPr>
        <w:pStyle w:val="WW-epigram-image"/>
      </w:pPr>
      <w:r>
        <w:lastRenderedPageBreak/>
        <w:t>fleuron/</w:t>
      </w:r>
      <w:r>
        <w:rPr>
          <w:lang w:val="en-US"/>
        </w:rPr>
        <w:t>paint</w:t>
      </w:r>
      <w:r>
        <w:t>.</w:t>
      </w:r>
      <w:proofErr w:type="spellStart"/>
      <w:r>
        <w:t>png</w:t>
      </w:r>
      <w:proofErr w:type="spellEnd"/>
      <w:r>
        <w:t>=</w:t>
      </w:r>
      <w:proofErr w:type="spellStart"/>
      <w:proofErr w:type="gramStart"/>
      <w:r>
        <w:t>Fleuron:A</w:t>
      </w:r>
      <w:proofErr w:type="spellEnd"/>
      <w:proofErr w:type="gramEnd"/>
      <w:r>
        <w:t xml:space="preserve"> drawing of </w:t>
      </w:r>
      <w:r>
        <w:rPr>
          <w:lang w:val="en-US"/>
        </w:rPr>
        <w:t>a painters palette</w:t>
      </w:r>
      <w:r>
        <w:t>=10</w:t>
      </w:r>
    </w:p>
    <w:p w14:paraId="7A6B42E6" w14:textId="77777777" w:rsidR="00FE3964" w:rsidRDefault="00000000">
      <w:pPr>
        <w:pStyle w:val="WW-part"/>
        <w:spacing w:before="0"/>
      </w:pPr>
      <w:r>
        <w:t>PART I. The Simile of the Painting</w:t>
      </w:r>
      <w:r>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w:t>
      </w:r>
      <w:proofErr w:type="spellStart"/>
      <w:r>
        <w:t>Pāli</w:t>
      </w:r>
      <w:proofErr w:type="spellEnd"/>
      <w:r>
        <w:t xml:space="preserve">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w:t>
      </w:r>
      <w:proofErr w:type="spellStart"/>
      <w:r>
        <w:t>Pāli</w:t>
      </w:r>
      <w:proofErr w:type="spellEnd"/>
      <w:r>
        <w:t xml:space="preserve">)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77777777" w:rsidR="00FE3964" w:rsidRDefault="00000000">
      <w:pPr>
        <w:pStyle w:val="WW-paragraph"/>
      </w:pPr>
      <w:r>
        <w:t xml:space="preserve">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proofErr w:type="spellStart"/>
            <w:r>
              <w:rPr>
                <w:rStyle w:val="Strong"/>
              </w:rPr>
              <w:t>Pāli</w:t>
            </w:r>
            <w:proofErr w:type="spellEnd"/>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77777777" w:rsidR="00FE3964" w:rsidRDefault="00000000">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proofErr w:type="spellStart"/>
            <w:r>
              <w:rPr>
                <w:rStyle w:val="wwc-pali"/>
              </w:rPr>
              <w:t>Vedanā</w:t>
            </w:r>
            <w:proofErr w:type="spellEnd"/>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proofErr w:type="spellStart"/>
            <w:r>
              <w:rPr>
                <w:rStyle w:val="wwc-pali"/>
              </w:rPr>
              <w:t>Taṇhā</w:t>
            </w:r>
            <w:proofErr w:type="spellEnd"/>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proofErr w:type="spellStart"/>
            <w:r>
              <w:rPr>
                <w:rStyle w:val="wwc-pali"/>
              </w:rPr>
              <w:t>Upādāna</w:t>
            </w:r>
            <w:proofErr w:type="spellEnd"/>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proofErr w:type="spellStart"/>
            <w:r>
              <w:rPr>
                <w:rStyle w:val="wwc-pali"/>
              </w:rPr>
              <w:t>Jāti</w:t>
            </w:r>
            <w:proofErr w:type="spellEnd"/>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proofErr w:type="spellStart"/>
      <w:r>
        <w:rPr>
          <w:rStyle w:val="wwc-pali"/>
        </w:rPr>
        <w:t>Upādāna</w:t>
      </w:r>
      <w:proofErr w:type="spellEnd"/>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Default="005D1FB5">
      <w:pPr>
        <w:pStyle w:val="WW-figure"/>
      </w:pPr>
      <w:r>
        <w:rPr>
          <w:noProof/>
        </w:rPr>
        <w:drawing>
          <wp:inline distT="0" distB="0" distL="0" distR="0" wp14:anchorId="22F15812" wp14:editId="39C130B6">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t xml:space="preserve"> </w:t>
      </w:r>
      <w:r>
        <w:rPr>
          <w:noProof/>
        </w:rPr>
        <w:drawing>
          <wp:inline distT="0" distB="0" distL="0" distR="0" wp14:anchorId="0119E705" wp14:editId="437675F5">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w:t>
      </w:r>
      <w:proofErr w:type="spellStart"/>
      <w:r>
        <w:t>Pāli</w:t>
      </w:r>
      <w:proofErr w:type="spellEnd"/>
      <w:r>
        <w:t xml:space="preserve">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9" w:name="bqseg10"/>
      <w:bookmarkEnd w:id="9"/>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0" w:name="bqseg11"/>
      <w:bookmarkEnd w:id="10"/>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w:t>
      </w:r>
      <w:r>
        <w:lastRenderedPageBreak/>
        <w:t>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w:t>
      </w:r>
      <w:proofErr w:type="spellStart"/>
      <w:r>
        <w:t>Pāli</w:t>
      </w:r>
      <w:proofErr w:type="spellEnd"/>
      <w:r>
        <w:t xml:space="preserve"> word means, for that matter). For this </w:t>
      </w:r>
      <w:proofErr w:type="gramStart"/>
      <w:r>
        <w:t>reason</w:t>
      </w:r>
      <w:proofErr w:type="gramEnd"/>
      <w:r>
        <w:t xml:space="preserve">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w:t>
      </w:r>
      <w:proofErr w:type="spellStart"/>
      <w:r>
        <w:t>Pāli</w:t>
      </w:r>
      <w:proofErr w:type="spellEnd"/>
      <w:r>
        <w:t xml:space="preserve"> linguists, said: “It is very difficult to give a one for one translation </w:t>
      </w:r>
      <w:r>
        <w:lastRenderedPageBreak/>
        <w:t xml:space="preserve">of Sanskrit and </w:t>
      </w:r>
      <w:proofErr w:type="spellStart"/>
      <w:r>
        <w:t>Pāli</w:t>
      </w:r>
      <w:proofErr w:type="spellEnd"/>
      <w:r>
        <w:t xml:space="preserve"> words into English. It is very rare that one Sanskrit or </w:t>
      </w:r>
      <w:proofErr w:type="spellStart"/>
      <w:r>
        <w:t>Pāli</w:t>
      </w:r>
      <w:proofErr w:type="spellEnd"/>
      <w:r>
        <w:t xml:space="preserve">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w:t>
      </w:r>
      <w:proofErr w:type="spellStart"/>
      <w:r>
        <w:t>Pāli</w:t>
      </w:r>
      <w:proofErr w:type="spellEnd"/>
      <w:r>
        <w:t xml:space="preserve">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lastRenderedPageBreak/>
        <w:t>{</w:t>
      </w:r>
      <w:proofErr w:type="spellStart"/>
      <w:r>
        <w:t>SimpleNoRowBorders</w:t>
      </w:r>
      <w:proofErr w:type="spellEnd"/>
      <w:r>
        <w:t>}Table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7777777" w:rsidR="00FE3964" w:rsidRDefault="00000000">
            <w:pPr>
              <w:pStyle w:val="WW-paragraph"/>
            </w:pPr>
            <w:r>
              <w:t>1. Ignorance</w:t>
            </w:r>
            <w:r>
              <w:br/>
              <w:t xml:space="preserve">2. </w:t>
            </w:r>
            <w:proofErr w:type="spellStart"/>
            <w:r>
              <w:t>willful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proofErr w:type="spellStart"/>
      <w:r>
        <w:rPr>
          <w:rStyle w:val="wwc-sesame"/>
        </w:rPr>
        <w:t>Visuddhimagga</w:t>
      </w:r>
      <w:proofErr w:type="spellEnd"/>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Default="00000000" w:rsidP="00BC088A">
      <w:pPr>
        <w:pStyle w:val="WW-chapter-section-1"/>
      </w:pPr>
      <w:r>
        <w:t xml:space="preserve">Possible development of </w:t>
      </w:r>
      <w:r w:rsidRPr="00BC088A">
        <w:rPr>
          <w:rStyle w:val="wwc-italian"/>
          <w:color w:val="auto"/>
          <w:sz w:val="32"/>
          <w:szCs w:val="24"/>
          <w:shd w:val="clear" w:color="auto" w:fill="auto"/>
        </w:rPr>
        <w:t>the</w:t>
      </w:r>
      <w:r>
        <w:t xml:space="preserv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proofErr w:type="spellStart"/>
      <w:r>
        <w:rPr>
          <w:rStyle w:val="Emphasis"/>
        </w:rPr>
        <w:t>avidyā</w:t>
      </w:r>
      <w:proofErr w:type="spellEnd"/>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w:t>
      </w:r>
      <w:proofErr w:type="spellStart"/>
      <w:r>
        <w:t>Pāli</w:t>
      </w:r>
      <w:proofErr w:type="spellEnd"/>
      <w:r>
        <w:t xml:space="preserve">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1" w:name="table3"/>
      <w:bookmarkEnd w:id="11"/>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t>willful</w:t>
            </w:r>
            <w:proofErr w:type="spellEnd"/>
            <w:r>
              <w:t xml:space="preserve"> actions</w:t>
            </w:r>
            <w:r>
              <w:br/>
              <w:t>• Ignorance</w:t>
            </w:r>
          </w:p>
        </w:tc>
      </w:tr>
    </w:tbl>
    <w:p w14:paraId="09220B88" w14:textId="77777777" w:rsidR="00FE3964" w:rsidRDefault="00000000">
      <w:pPr>
        <w:pStyle w:val="WW-paragraph"/>
      </w:pPr>
      <w:r>
        <w:t xml:space="preserve">As another indication for the combination of the two parallel sequences, one </w:t>
      </w:r>
      <w:proofErr w:type="spellStart"/>
      <w:r>
        <w:t>Pāli</w:t>
      </w:r>
      <w:proofErr w:type="spellEnd"/>
      <w:r>
        <w:t xml:space="preserve"> discourse joins the craving sequence in its cessation mode to part of the ignorance sequence in its origination mode. In </w:t>
      </w:r>
      <w:r>
        <w:lastRenderedPageBreak/>
        <w:t>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2" w:name="bqseg12"/>
      <w:bookmarkEnd w:id="12"/>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 xml:space="preserve">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w:t>
      </w:r>
      <w:proofErr w:type="spellStart"/>
      <w:r>
        <w:t>Pāli</w:t>
      </w:r>
      <w:proofErr w:type="spellEnd"/>
      <w:r>
        <w:t xml:space="preserve">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proofErr w:type="spellStart"/>
      <w:r>
        <w:rPr>
          <w:rStyle w:val="wwc-sesame"/>
        </w:rPr>
        <w:t>Visuddhimagga</w:t>
      </w:r>
      <w:proofErr w:type="spellEnd"/>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3" w:name="bqseg13"/>
      <w:bookmarkEnd w:id="13"/>
      <w:r>
        <w:lastRenderedPageBreak/>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4" w:name="bqseg14"/>
      <w:bookmarkEnd w:id="14"/>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5" w:name="bqseg15"/>
      <w:bookmarkEnd w:id="15"/>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lastRenderedPageBreak/>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6" w:name="bqseg16"/>
      <w:bookmarkEnd w:id="16"/>
      <w:r>
        <w:t>Some renunciants and brahmins</w:t>
      </w:r>
      <w:r>
        <w:br/>
        <w:t>are plagued by desire and anger:</w:t>
      </w:r>
      <w:r>
        <w:br/>
      </w:r>
      <w:r>
        <w:lastRenderedPageBreak/>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7" w:name="bqseg17"/>
      <w:bookmarkEnd w:id="17"/>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r>
      <w:r>
        <w:lastRenderedPageBreak/>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3298088E">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0D8CED2E">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lastRenderedPageBreak/>
        <w:drawing>
          <wp:inline distT="0" distB="0" distL="0" distR="0" wp14:anchorId="61EFDA28" wp14:editId="7273BD06">
            <wp:extent cx="1868400" cy="14004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8" w:name="bqseg18"/>
      <w:bookmarkEnd w:id="18"/>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19" w:name="bqseg19"/>
      <w:bookmarkEnd w:id="19"/>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lastRenderedPageBreak/>
        <w:drawing>
          <wp:inline distT="0" distB="0" distL="0" distR="0" wp14:anchorId="6C4D9928" wp14:editId="5D277BAD">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4EC07649">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4886B193">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5224B9D9" w:rsidR="00FE3964" w:rsidRDefault="00057047">
      <w:pPr>
        <w:pStyle w:val="WW-figure"/>
      </w:pPr>
      <w:r>
        <w:rPr>
          <w:noProof/>
        </w:rPr>
        <w:drawing>
          <wp:inline distT="0" distB="0" distL="0" distR="0" wp14:anchorId="19D837FF" wp14:editId="7257332F">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t xml:space="preserve"> </w:t>
      </w:r>
      <w:r>
        <w:rPr>
          <w:noProof/>
        </w:rPr>
        <w:drawing>
          <wp:inline distT="0" distB="0" distL="0" distR="0" wp14:anchorId="4A561494" wp14:editId="485340F6">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br/>
      </w:r>
      <w:r w:rsidR="00742DE5">
        <w:t xml:space="preserve">Figure </w:t>
      </w:r>
      <w:r>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w:t>
      </w:r>
      <w:r>
        <w:lastRenderedPageBreak/>
        <w:t>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w:t>
      </w:r>
      <w:proofErr w:type="spellStart"/>
      <w:r>
        <w:t>Pāli</w:t>
      </w:r>
      <w:proofErr w:type="spellEnd"/>
      <w:r>
        <w:t xml:space="preserve">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lastRenderedPageBreak/>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xml:space="preserve">). It will take us into technical details, obscure texts, linguistic aspects of </w:t>
      </w:r>
      <w:proofErr w:type="spellStart"/>
      <w:r>
        <w:t>Pāli</w:t>
      </w:r>
      <w:proofErr w:type="spellEnd"/>
      <w:r>
        <w:t>,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0" w:name="chapter3"/>
      <w:bookmarkEnd w:id="20"/>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1" w:name="bqseg20"/>
      <w:bookmarkEnd w:id="21"/>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xml:space="preserve">, the </w:t>
      </w:r>
      <w:r>
        <w:rPr>
          <w:rStyle w:val="wwc-sesame"/>
        </w:rPr>
        <w:t>Great Discourse on the Sources [of Things]</w:t>
      </w:r>
      <w:r>
        <w:t>,</w:t>
      </w:r>
      <w:r>
        <w:rPr>
          <w:rStyle w:val="FootnoteReference"/>
        </w:rPr>
        <w:footnoteReference w:id="71"/>
      </w:r>
      <w:r>
        <w:t xml:space="preserve"> which is the most detailed discourse on Dependent Arising in the </w:t>
      </w:r>
      <w:proofErr w:type="spellStart"/>
      <w:r>
        <w:t>Pāli</w:t>
      </w:r>
      <w:proofErr w:type="spellEnd"/>
      <w:r>
        <w:t xml:space="preserve">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2" w:name="bqseg21"/>
      <w:bookmarkEnd w:id="22"/>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xml:space="preserve">, which I translate dependent on context as ‘existence’ or ‘state of existence’. It basically means a life in a certain place, the continuance of existence after death in a certain realm. The </w:t>
      </w:r>
      <w:proofErr w:type="spellStart"/>
      <w:r>
        <w:t>Pāli</w:t>
      </w:r>
      <w:proofErr w:type="spellEnd"/>
      <w:r>
        <w:t xml:space="preserve">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w:t>
      </w:r>
      <w:proofErr w:type="spellStart"/>
      <w:r>
        <w:t>Pāli</w:t>
      </w:r>
      <w:proofErr w:type="spellEnd"/>
      <w:r>
        <w:t xml:space="preserve">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w:t>
      </w:r>
      <w:proofErr w:type="spellStart"/>
      <w:r>
        <w:t>Pāli</w:t>
      </w:r>
      <w:proofErr w:type="spellEnd"/>
      <w:r>
        <w:t xml:space="preserve">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3" w:name="bqseg22"/>
      <w:bookmarkEnd w:id="23"/>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4" w:name="bqseg23"/>
      <w:bookmarkEnd w:id="24"/>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5" w:name="bqseg24"/>
      <w:bookmarkEnd w:id="25"/>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w:t>
      </w:r>
      <w:proofErr w:type="spellStart"/>
      <w:r>
        <w:t>Pāli</w:t>
      </w:r>
      <w:proofErr w:type="spellEnd"/>
      <w:r>
        <w:t xml:space="preserve">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6" w:name="bqseg25"/>
      <w:bookmarkEnd w:id="26"/>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w:t>
      </w:r>
      <w:proofErr w:type="spellStart"/>
      <w:r>
        <w:t>Pāli</w:t>
      </w:r>
      <w:proofErr w:type="spellEnd"/>
      <w:r>
        <w:t xml:space="preserve">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7" w:name="bqseg26"/>
      <w:bookmarkEnd w:id="27"/>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w:t>
      </w:r>
      <w:r>
        <w:lastRenderedPageBreak/>
        <w:t xml:space="preserve">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w:t>
      </w:r>
      <w:proofErr w:type="spellStart"/>
      <w:r>
        <w:t>Pāli</w:t>
      </w:r>
      <w:proofErr w:type="spellEnd"/>
      <w:r>
        <w:t xml:space="preserve">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8" w:name="table6"/>
      <w:bookmarkEnd w:id="28"/>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w:t>
      </w:r>
      <w:r>
        <w:lastRenderedPageBreak/>
        <w:t xml:space="preserve">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w:t>
      </w:r>
      <w:proofErr w:type="spellStart"/>
      <w:r>
        <w:rPr>
          <w:rStyle w:val="Emphasis"/>
        </w:rPr>
        <w:t>Pāli</w:t>
      </w:r>
      <w:proofErr w:type="spellEnd"/>
      <w:r>
        <w:rPr>
          <w:rStyle w:val="Emphasis"/>
        </w:rPr>
        <w:t>-Kanon</w:t>
      </w:r>
      <w:r>
        <w:t xml:space="preserve"> (</w:t>
      </w:r>
      <w:r>
        <w:rPr>
          <w:rStyle w:val="Emphasis"/>
        </w:rPr>
        <w:t>On the concept ‘</w:t>
      </w:r>
      <w:proofErr w:type="spellStart"/>
      <w:r>
        <w:rPr>
          <w:rStyle w:val="Emphasis"/>
        </w:rPr>
        <w:t>nāmarūpa</w:t>
      </w:r>
      <w:proofErr w:type="spellEnd"/>
      <w:r>
        <w:rPr>
          <w:rStyle w:val="Emphasis"/>
        </w:rPr>
        <w:t xml:space="preserve">’: the individual in the </w:t>
      </w:r>
      <w:proofErr w:type="spellStart"/>
      <w:r>
        <w:rPr>
          <w:rStyle w:val="Emphasis"/>
        </w:rPr>
        <w:t>Pāli</w:t>
      </w:r>
      <w:proofErr w:type="spellEnd"/>
      <w:r>
        <w:rPr>
          <w:rStyle w:val="Emphasis"/>
        </w:rPr>
        <w:t xml:space="preserve">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w:t>
      </w:r>
      <w:proofErr w:type="spellStart"/>
      <w:r>
        <w:t>Pāli</w:t>
      </w:r>
      <w:proofErr w:type="spellEnd"/>
      <w:r>
        <w:t xml:space="preserve">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lastRenderedPageBreak/>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w:t>
      </w:r>
      <w:proofErr w:type="spellStart"/>
      <w:r>
        <w:t>Pāli</w:t>
      </w:r>
      <w:proofErr w:type="spellEnd"/>
      <w:r>
        <w:t xml:space="preserve">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w:t>
      </w:r>
      <w:proofErr w:type="spellStart"/>
      <w:r>
        <w:t>Pāli</w:t>
      </w:r>
      <w:proofErr w:type="spellEnd"/>
      <w:r>
        <w:t xml:space="preserve">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w:t>
      </w:r>
      <w:proofErr w:type="spellStart"/>
      <w:r>
        <w:t>Pāli</w:t>
      </w:r>
      <w:proofErr w:type="spellEnd"/>
      <w:r>
        <w:t xml:space="preserve">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Pr>
          <w:rStyle w:val="wwc-sesam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w:t>
      </w:r>
      <w:r>
        <w:lastRenderedPageBreak/>
        <w:t>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0" w:name="bqseg27"/>
      <w:bookmarkEnd w:id="30"/>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lastRenderedPageBreak/>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1" w:name="bqseg28"/>
      <w:bookmarkEnd w:id="31"/>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r>
      <w:r>
        <w:lastRenderedPageBreak/>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w:t>
      </w:r>
      <w:proofErr w:type="spellStart"/>
      <w:r>
        <w:t>Pāli</w:t>
      </w:r>
      <w:proofErr w:type="spellEnd"/>
      <w:r>
        <w:t xml:space="preserve">: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proofErr w:type="spellStart"/>
      <w:r>
        <w:rPr>
          <w:rStyle w:val="wwc-pali"/>
        </w:rPr>
        <w:t>vijñāna</w:t>
      </w:r>
      <w:proofErr w:type="spellEnd"/>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xml:space="preserve">” (that is, not as a self-like entity, but as made of sensation, perception, and so forth). The </w:t>
      </w:r>
      <w:r>
        <w:lastRenderedPageBreak/>
        <w:t>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lastRenderedPageBreak/>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w:t>
      </w:r>
      <w:proofErr w:type="spellStart"/>
      <w:r>
        <w:t>Pāli</w:t>
      </w:r>
      <w:proofErr w:type="spellEnd"/>
      <w:r>
        <w:t xml:space="preserve">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w:t>
      </w:r>
      <w:proofErr w:type="spellStart"/>
      <w:r>
        <w:t>Pāli</w:t>
      </w:r>
      <w:proofErr w:type="spellEnd"/>
      <w:r>
        <w:t xml:space="preserve">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w:t>
      </w:r>
      <w:proofErr w:type="spellStart"/>
      <w:r>
        <w:t>Pāli</w:t>
      </w:r>
      <w:proofErr w:type="spellEnd"/>
      <w:r>
        <w:t xml:space="preserve">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w:t>
      </w:r>
      <w:proofErr w:type="spellStart"/>
      <w:r>
        <w:t>Pāli</w:t>
      </w:r>
      <w:proofErr w:type="spellEnd"/>
      <w:r>
        <w:t xml:space="preserve">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3" w:name="table7"/>
      <w:bookmarkEnd w:id="33"/>
      <w:r>
        <w:lastRenderedPageBreak/>
        <w:t>{</w:t>
      </w:r>
      <w:proofErr w:type="spellStart"/>
      <w:r>
        <w:t>SimpleNoRowBorders</w:t>
      </w:r>
      <w:proofErr w:type="spellEnd"/>
      <w:r>
        <w:t xml:space="preserve">}Table 7. Various definitions of </w:t>
      </w:r>
      <w:proofErr w:type="spellStart"/>
      <w:r>
        <w:t>nāma</w:t>
      </w:r>
      <w:proofErr w:type="spellEnd"/>
    </w:p>
    <w:tbl>
      <w:tblPr>
        <w:tblStyle w:val="TableGrid"/>
        <w:tblW w:w="7055" w:type="dxa"/>
        <w:tblLayout w:type="fixed"/>
        <w:tblLook w:val="0480" w:firstRow="0" w:lastRow="0" w:firstColumn="1" w:lastColumn="0" w:noHBand="0" w:noVBand="1"/>
      </w:tblPr>
      <w:tblGrid>
        <w:gridCol w:w="2500"/>
        <w:gridCol w:w="1939"/>
        <w:gridCol w:w="2616"/>
      </w:tblGrid>
      <w:tr w:rsidR="00FE3964" w14:paraId="2EF7D816" w14:textId="77777777" w:rsidTr="007060FA">
        <w:tc>
          <w:tcPr>
            <w:tcW w:w="2500" w:type="dxa"/>
          </w:tcPr>
          <w:p w14:paraId="5E36B019" w14:textId="77777777" w:rsidR="00FE3964" w:rsidRDefault="00000000">
            <w:pPr>
              <w:pStyle w:val="WW-paragraph"/>
            </w:pPr>
            <w:proofErr w:type="spellStart"/>
            <w:r>
              <w:rPr>
                <w:rStyle w:val="Strong"/>
              </w:rPr>
              <w:t>Pāli</w:t>
            </w:r>
            <w:proofErr w:type="spellEnd"/>
            <w:r>
              <w:rPr>
                <w:rStyle w:val="Strong"/>
              </w:rPr>
              <w:t xml:space="preserve">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1939"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616"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7060FA">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1939"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616"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lastRenderedPageBreak/>
        <w:t>§29</w:t>
      </w:r>
    </w:p>
    <w:p w14:paraId="3B4CD805" w14:textId="77777777" w:rsidR="00FE3964" w:rsidRDefault="00000000">
      <w:pPr>
        <w:pStyle w:val="WW-blockquote"/>
      </w:pPr>
      <w:bookmarkStart w:id="35" w:name="bqseg29"/>
      <w:bookmarkEnd w:id="35"/>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6" w:name="bqseg30"/>
      <w:bookmarkEnd w:id="36"/>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xml:space="preserve">) </w:t>
      </w:r>
      <w:r>
        <w:lastRenderedPageBreak/>
        <w:t>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7" w:name="bqseg31"/>
      <w:bookmarkEnd w:id="37"/>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w:t>
      </w:r>
      <w:r>
        <w:lastRenderedPageBreak/>
        <w:t xml:space="preserve">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w:t>
      </w:r>
      <w:proofErr w:type="spellStart"/>
      <w:r>
        <w:t>Pāli</w:t>
      </w:r>
      <w:proofErr w:type="spellEnd"/>
      <w:r>
        <w:t xml:space="preserve">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8" w:name="bqseg32"/>
      <w:bookmarkEnd w:id="38"/>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CF00631">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2A640F">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39" w:name="bqseg33"/>
      <w:bookmarkEnd w:id="39"/>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t xml:space="preserve">I do not know any order of beings so diverse as the animal realm. The diversity in the animal realm is also made by the mind [through rebirth]. Yet the mind is even more diverse than that. Therefore, </w:t>
      </w:r>
      <w:r>
        <w:lastRenderedPageBreak/>
        <w:t>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w:t>
      </w:r>
      <w:proofErr w:type="spellStart"/>
      <w:r>
        <w:t>Pāli</w:t>
      </w:r>
      <w:proofErr w:type="spellEnd"/>
      <w:r>
        <w:t xml:space="preserve">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1" w:name="bqseg34"/>
      <w:bookmarkEnd w:id="41"/>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784D809E">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xml:space="preserve">’ I mean ‘intentional/volitional’, not ‘stubborn’.) The </w:t>
      </w:r>
      <w:proofErr w:type="spellStart"/>
      <w:r>
        <w:t>Pāli</w:t>
      </w:r>
      <w:proofErr w:type="spellEnd"/>
      <w:r>
        <w:t xml:space="preserve">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w:t>
      </w:r>
      <w:proofErr w:type="spellStart"/>
      <w:r>
        <w:t>Pāli</w:t>
      </w:r>
      <w:proofErr w:type="spellEnd"/>
      <w:r>
        <w:t xml:space="preserve">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2" w:name="bqseg35"/>
      <w:bookmarkEnd w:id="42"/>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3" w:name="bqseg36"/>
      <w:bookmarkEnd w:id="43"/>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4" w:name="bqseg37"/>
      <w:bookmarkEnd w:id="44"/>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5" w:name="bqseg38"/>
      <w:bookmarkEnd w:id="45"/>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6" w:name="bqseg39"/>
      <w:bookmarkEnd w:id="46"/>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7" w:name="bqseg40"/>
      <w:bookmarkEnd w:id="47"/>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8" w:name="bqseg41"/>
      <w:bookmarkEnd w:id="48"/>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49" w:name="bqseg42"/>
      <w:bookmarkEnd w:id="49"/>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0" w:name="bqseg43"/>
      <w:bookmarkEnd w:id="50"/>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1" w:name="bqseg44"/>
      <w:bookmarkEnd w:id="51"/>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3" w:name="bqseg45"/>
      <w:bookmarkEnd w:id="53"/>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4" w:name="bqseg46"/>
      <w:bookmarkEnd w:id="54"/>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5" w:name="bqseg47"/>
      <w:bookmarkEnd w:id="55"/>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6" w:name="bqseg48"/>
      <w:bookmarkEnd w:id="56"/>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7" w:name="bqseg49"/>
      <w:bookmarkEnd w:id="57"/>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w:t>
      </w:r>
      <w:proofErr w:type="spellStart"/>
      <w:r>
        <w:t>Pāli</w:t>
      </w:r>
      <w:proofErr w:type="spellEnd"/>
      <w:r>
        <w:t xml:space="preserve"> alongside.</w:t>
      </w:r>
    </w:p>
    <w:p w14:paraId="7298C64A" w14:textId="77777777" w:rsidR="00FE3964" w:rsidRDefault="00000000">
      <w:pPr>
        <w:pStyle w:val="WW-named-section"/>
      </w:pPr>
      <w:r>
        <w:t>§50</w:t>
      </w:r>
    </w:p>
    <w:p w14:paraId="69FBE7B6" w14:textId="77777777" w:rsidR="00FE3964" w:rsidRDefault="00000000">
      <w:pPr>
        <w:pStyle w:val="WW-blockquote"/>
      </w:pPr>
      <w:bookmarkStart w:id="58" w:name="bqseg50"/>
      <w:bookmarkEnd w:id="58"/>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59" w:name="bqseg51"/>
      <w:bookmarkEnd w:id="59"/>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04C2030">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0" w:name="bqseg52"/>
      <w:bookmarkEnd w:id="60"/>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1" w:name="bqseg53"/>
      <w:bookmarkEnd w:id="61"/>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w:t>
      </w:r>
      <w:r>
        <w:lastRenderedPageBreak/>
        <w:t xml:space="preserve">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lastRenderedPageBreak/>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2" w:name="bqseg54"/>
      <w:bookmarkEnd w:id="62"/>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Pr>
          <w:rStyle w:val="wwc-sesame"/>
        </w:rPr>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3" w:name="bqseg55"/>
      <w:bookmarkEnd w:id="63"/>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Way to the </w:t>
      </w:r>
      <w:proofErr w:type="spellStart"/>
      <w:r>
        <w:rPr>
          <w:rStyle w:val="wwc-sesame"/>
        </w:rPr>
        <w:t>Undisturbable</w:t>
      </w:r>
      <w:proofErr w:type="spellEnd"/>
      <w:r>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4" w:name="bqseg56"/>
      <w:bookmarkEnd w:id="64"/>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5" w:name="bqseg57"/>
      <w:bookmarkEnd w:id="65"/>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2D84F52A" w14:textId="77777777" w:rsidR="00FE3964" w:rsidRDefault="00000000">
      <w:pPr>
        <w:pStyle w:val="WW-paragraph"/>
      </w:pPr>
      <w:r>
        <w:t xml:space="preserve">The next part discusses the arising of consciousness in more detail, </w:t>
      </w:r>
      <w:proofErr w:type="spellStart"/>
      <w:r>
        <w:t>centered</w:t>
      </w:r>
      <w:proofErr w:type="spellEnd"/>
      <w:r>
        <w:t xml:space="preserve"> around a simile of a seed.</w:t>
      </w:r>
      <w:r>
        <w:br w:type="page"/>
      </w:r>
    </w:p>
    <w:p w14:paraId="60BE15E9" w14:textId="77777777" w:rsidR="00FE3964" w:rsidRDefault="00000000">
      <w:pPr>
        <w:pStyle w:val="WW-epigram-image"/>
      </w:pPr>
      <w:r>
        <w:lastRenderedPageBreak/>
        <w:t>fleuron/seeds.png=</w:t>
      </w:r>
      <w:proofErr w:type="spellStart"/>
      <w:proofErr w:type="gramStart"/>
      <w:r>
        <w:t>Fleuron:A</w:t>
      </w:r>
      <w:proofErr w:type="spellEnd"/>
      <w:proofErr w:type="gramEnd"/>
      <w:r>
        <w:t xml:space="preserve"> drawing of some seeds=10</w:t>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w:t>
      </w:r>
      <w:proofErr w:type="spellStart"/>
      <w:r>
        <w:t>Pāli</w:t>
      </w:r>
      <w:proofErr w:type="spellEnd"/>
      <w:r>
        <w:t xml:space="preserve">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lastRenderedPageBreak/>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6" w:name="bqseg58"/>
      <w:bookmarkEnd w:id="66"/>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lastRenderedPageBreak/>
        <w:t>§59</w:t>
      </w:r>
    </w:p>
    <w:p w14:paraId="443DF450" w14:textId="77777777" w:rsidR="00FE3964" w:rsidRDefault="00000000">
      <w:pPr>
        <w:pStyle w:val="WW-blockquote"/>
      </w:pPr>
      <w:bookmarkStart w:id="67" w:name="bqseg59"/>
      <w:bookmarkEnd w:id="67"/>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8" w:name="bqseg60"/>
      <w:bookmarkEnd w:id="68"/>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137BB5C5">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w:t>
      </w:r>
      <w:r>
        <w:lastRenderedPageBreak/>
        <w:t>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69" w:name="bqseg61"/>
      <w:bookmarkEnd w:id="69"/>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0" w:name="bqseg62"/>
      <w:bookmarkEnd w:id="70"/>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r>
      <w:r>
        <w:lastRenderedPageBreak/>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1" w:name="bqseg63"/>
      <w:bookmarkEnd w:id="71"/>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0BF9025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77777777"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Therīgātha</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2" w:name="bqseg64"/>
      <w:bookmarkEnd w:id="72"/>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3" w:name="bqseg65"/>
      <w:bookmarkEnd w:id="73"/>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4" w:name="bqseg66"/>
      <w:bookmarkEnd w:id="74"/>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6ADC5B4F">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proofErr w:type="spellStart"/>
      <w:r>
        <w:rPr>
          <w:rStyle w:val="wwc-pali"/>
        </w:rPr>
        <w:t>taṇhā</w:t>
      </w:r>
      <w:proofErr w:type="spellEnd"/>
      <w:r>
        <w:t xml:space="preserve">) literally means ‘thirst’. But </w:t>
      </w:r>
      <w:proofErr w:type="spellStart"/>
      <w:r>
        <w:rPr>
          <w:rStyle w:val="wwc-pali"/>
        </w:rPr>
        <w:t>taṇhā</w:t>
      </w:r>
      <w:proofErr w:type="spellEnd"/>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5" w:name="bqseg67"/>
      <w:bookmarkEnd w:id="75"/>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6" w:name="bqseg68"/>
      <w:bookmarkEnd w:id="76"/>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7" w:name="bqseg69"/>
      <w:bookmarkEnd w:id="77"/>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w:t>
      </w:r>
      <w:proofErr w:type="spellStart"/>
      <w:r>
        <w:t>Pāli</w:t>
      </w:r>
      <w:proofErr w:type="spellEnd"/>
      <w:r>
        <w:t xml:space="preserve">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8" w:name="bqseg70"/>
      <w:bookmarkEnd w:id="78"/>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proofErr w:type="spellStart"/>
      <w:r>
        <w:rPr>
          <w:rStyle w:val="wwc-pali"/>
        </w:rPr>
        <w:t>upādāna</w:t>
      </w:r>
      <w:proofErr w:type="spellEnd"/>
      <w:r>
        <w:t>) of nutriments, which leads to the end of existence. This is stated in the cessation sequence as: “If craving ceases, fuel/taking up (</w:t>
      </w:r>
      <w:proofErr w:type="spellStart"/>
      <w:r>
        <w:rPr>
          <w:rStyle w:val="wwc-pali"/>
        </w:rPr>
        <w:t>upādāna</w:t>
      </w:r>
      <w:proofErr w:type="spellEnd"/>
      <w:r>
        <w:t xml:space="preserve">) will cease. If fuel/taking up ceases, existence will cease.” Here </w:t>
      </w:r>
      <w:proofErr w:type="spellStart"/>
      <w:r>
        <w:rPr>
          <w:rStyle w:val="wwc-pali"/>
        </w:rPr>
        <w:t>upādāna</w:t>
      </w:r>
      <w:proofErr w:type="spellEnd"/>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22A7E860">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1E8A7C53">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79" w:name="bqseg71"/>
      <w:bookmarkEnd w:id="79"/>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xml:space="preserve">) is usually translated as ‘established’. This translation is not wrong per se, but it does not fit the simile very well, because in English we wouldn’t say a seed is “established” in the ground. However, in </w:t>
      </w:r>
      <w:proofErr w:type="spellStart"/>
      <w:r>
        <w:t>Pāli</w:t>
      </w:r>
      <w:proofErr w:type="spellEnd"/>
      <w:r>
        <w:t xml:space="preserve">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1D040A3">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5BB3F0E6">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212D9CF8">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w:t>
      </w:r>
      <w:proofErr w:type="spellStart"/>
      <w:r>
        <w:t>Pāli</w:t>
      </w:r>
      <w:proofErr w:type="spellEnd"/>
      <w:r>
        <w:t xml:space="preserve">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0" w:name="bqseg72"/>
      <w:bookmarkEnd w:id="80"/>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proofErr w:type="spellStart"/>
      <w:r>
        <w:rPr>
          <w:rStyle w:val="wwc-sesame"/>
        </w:rPr>
        <w:t>Visuddhimagga</w:t>
      </w:r>
      <w:proofErr w:type="spellEnd"/>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w:t>
      </w:r>
      <w:proofErr w:type="spellStart"/>
      <w:r>
        <w:t>Pāli</w:t>
      </w:r>
      <w:proofErr w:type="spellEnd"/>
      <w:r>
        <w:t xml:space="preserve">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1" w:name="bqseg73"/>
      <w:bookmarkEnd w:id="81"/>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2" w:name="bqseg74"/>
      <w:bookmarkEnd w:id="82"/>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3" w:name="bqseg75"/>
      <w:bookmarkEnd w:id="83"/>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lastRenderedPageBreak/>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4" w:name="bqseg76"/>
      <w:bookmarkEnd w:id="84"/>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t>“Yes, sir.”</w:t>
      </w:r>
      <w:r>
        <w:rPr>
          <w:rStyle w:val="FootnoteReference"/>
        </w:rPr>
        <w:footnoteReference w:id="277"/>
      </w:r>
    </w:p>
    <w:p w14:paraId="13F9C336" w14:textId="77777777" w:rsidR="00FE3964" w:rsidRDefault="00000000">
      <w:pPr>
        <w:pStyle w:val="WW-blockquote"/>
      </w:pPr>
      <w:r>
        <w:lastRenderedPageBreak/>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8" w:name="figure18"/>
      <w:bookmarkEnd w:id="88"/>
      <w:r>
        <w:rPr>
          <w:noProof/>
          <w:lang w:val="en-US"/>
        </w:rPr>
        <w:drawing>
          <wp:inline distT="0" distB="0" distL="0" distR="0" wp14:anchorId="058A558B" wp14:editId="6DEBA1C5">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03A9EDF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89" w:name="bqseg77"/>
      <w:bookmarkEnd w:id="89"/>
      <w: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lastRenderedPageBreak/>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The </w:t>
      </w:r>
      <w:r>
        <w:rPr>
          <w:rStyle w:val="wwc-sesame"/>
        </w:rPr>
        <w:t>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w:t>
      </w:r>
      <w:r>
        <w:lastRenderedPageBreak/>
        <w:t>‘consciousness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0" w:name="bqseg78"/>
      <w:bookmarkEnd w:id="90"/>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lastRenderedPageBreak/>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2919F544">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lastRenderedPageBreak/>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1" w:name="bqseg79"/>
      <w:bookmarkEnd w:id="91"/>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w:t>
      </w:r>
      <w:r>
        <w:lastRenderedPageBreak/>
        <w:t>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63E30CD0">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186F82F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proofErr w:type="spellStart"/>
      <w:r>
        <w:rPr>
          <w:rStyle w:val="wwc-pali"/>
        </w:rPr>
        <w:t>upādāna</w:t>
      </w:r>
      <w:proofErr w:type="spellEnd"/>
      <w:r>
        <w:t>, which earlier I translated with the two terms ‘fuel/taking up’. Often both meanings are implied, but in this discourse ‘fuel’ is the primary meaning, since it reoccurs in the metaphor in which the water and soil are called fuel (</w:t>
      </w:r>
      <w:proofErr w:type="spellStart"/>
      <w:r>
        <w:rPr>
          <w:rStyle w:val="wwc-pali"/>
        </w:rPr>
        <w:t>upādāna</w:t>
      </w:r>
      <w:proofErr w:type="spellEnd"/>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proofErr w:type="spellStart"/>
      <w:r>
        <w:rPr>
          <w:rStyle w:val="wwc-pali"/>
        </w:rPr>
        <w:t>upādāna</w:t>
      </w:r>
      <w:proofErr w:type="spellEnd"/>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proofErr w:type="spellStart"/>
      <w:r>
        <w:rPr>
          <w:rStyle w:val="wwc-pali"/>
        </w:rPr>
        <w:t>upādāna</w:t>
      </w:r>
      <w:proofErr w:type="spellEnd"/>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2" w:name="bqseg80"/>
      <w:bookmarkEnd w:id="92"/>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14:paraId="312E996A" w14:textId="77777777" w:rsidR="00FE3964" w:rsidRDefault="00000000">
      <w:pPr>
        <w:pStyle w:val="WW-blockquote"/>
      </w:pPr>
      <w:r>
        <w:lastRenderedPageBreak/>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3" w:name="bqseg81"/>
      <w:bookmarkEnd w:id="93"/>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lastRenderedPageBreak/>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35AF4840">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20739DF6">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pPr>
              <w:pStyle w:val="TableContents"/>
            </w:pPr>
            <w:r>
              <w:t>• Suffering,</w:t>
            </w:r>
            <w:r>
              <w:br/>
              <w:t>  incl. old age and death</w:t>
            </w:r>
          </w:p>
        </w:tc>
        <w:tc>
          <w:tcPr>
            <w:tcW w:w="2355" w:type="dxa"/>
          </w:tcPr>
          <w:p w14:paraId="4993AA64" w14:textId="77777777" w:rsidR="00FE3964" w:rsidRDefault="00000000">
            <w:pPr>
              <w:pStyle w:val="TableContents"/>
            </w:pPr>
            <w:r>
              <w:t>• Six senses</w:t>
            </w:r>
            <w:r>
              <w:br/>
              <w:t>• …</w:t>
            </w:r>
          </w:p>
        </w:tc>
        <w:tc>
          <w:tcPr>
            <w:tcW w:w="3079" w:type="dxa"/>
          </w:tcPr>
          <w:p w14:paraId="40FCA4FB" w14:textId="77777777" w:rsidR="00FE3964" w:rsidRDefault="00000000">
            <w:pPr>
              <w:pStyle w:val="TableContents"/>
            </w:pPr>
            <w:r>
              <w:t>• Six senses</w:t>
            </w:r>
            <w:r>
              <w:br/>
              <w:t>• …</w:t>
            </w:r>
          </w:p>
        </w:tc>
      </w:tr>
    </w:tbl>
    <w:p w14:paraId="609D80F0" w14:textId="77777777" w:rsidR="00FE3964" w:rsidRDefault="00000000">
      <w:pPr>
        <w:pStyle w:val="WW-paragraph"/>
      </w:pPr>
      <w:r>
        <w:t xml:space="preserve">The last two texts do not specifically mention the factors of craving and fuel after the focusing on gratification (although they do include them later in the standard sequence), but they are still </w:t>
      </w:r>
      <w:r>
        <w:lastRenderedPageBreak/>
        <w:t>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4" w:name="chapter8"/>
      <w:bookmarkEnd w:id="94"/>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5" w:name="bqseg82"/>
      <w:bookmarkEnd w:id="95"/>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6" w:name="bqseg83"/>
      <w:bookmarkEnd w:id="96"/>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7" w:name="bqseg84"/>
      <w:bookmarkEnd w:id="97"/>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w:t>
      </w:r>
      <w:proofErr w:type="spellStart"/>
      <w:r>
        <w:t>Pāli</w:t>
      </w:r>
      <w:proofErr w:type="spellEnd"/>
      <w:r>
        <w:t xml:space="preserve">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8" w:name="bqseg85"/>
      <w:bookmarkEnd w:id="98"/>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lastRenderedPageBreak/>
        <w:drawing>
          <wp:inline distT="0" distB="0" distL="0" distR="0" wp14:anchorId="60B77588" wp14:editId="09004428">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99" w:name="bqseg86"/>
      <w:bookmarkEnd w:id="99"/>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proofErr w:type="spellStart"/>
      <w:r>
        <w:rPr>
          <w:rStyle w:val="Emphasis"/>
        </w:rPr>
        <w:t>Nāma-rūpa</w:t>
      </w:r>
      <w:proofErr w:type="spellEnd"/>
      <w:r>
        <w:rPr>
          <w:rStyle w:val="Emphasis"/>
        </w:rPr>
        <w:t xml:space="preserve">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0" w:name="bqseg87"/>
      <w:bookmarkEnd w:id="100"/>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1" w:name="bqseg88"/>
      <w:bookmarkEnd w:id="101"/>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2" w:name="bqseg89"/>
      <w:bookmarkEnd w:id="102"/>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w:t>
      </w:r>
      <w:r>
        <w:lastRenderedPageBreak/>
        <w:t>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3" w:name="bqseg90"/>
      <w:bookmarkEnd w:id="103"/>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4" w:name="bqseg91"/>
      <w:bookmarkEnd w:id="104"/>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w:t>
      </w:r>
      <w:r>
        <w:lastRenderedPageBreak/>
        <w:t xml:space="preserve">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5" w:name="bqseg92"/>
      <w:bookmarkEnd w:id="105"/>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6" w:name="bqseg93"/>
      <w:bookmarkEnd w:id="106"/>
      <w:r>
        <w:rPr>
          <w:rStyle w:val="wwc-list-margin"/>
        </w:rPr>
        <w:lastRenderedPageBreak/>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proofErr w:type="spellStart"/>
      <w:r>
        <w:t>Taittirīya</w:t>
      </w:r>
      <w:proofErr w:type="spellEnd"/>
      <w:r>
        <w:t xml:space="preserve"> </w:t>
      </w:r>
      <w:proofErr w:type="spellStart"/>
      <w:r>
        <w:t>Upaniṣad</w:t>
      </w:r>
      <w:proofErr w:type="spellEnd"/>
      <w:r>
        <w:t xml:space="preserve"> 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w:t>
      </w:r>
      <w:r>
        <w:lastRenderedPageBreak/>
        <w:t xml:space="preserve">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lastRenderedPageBreak/>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xml:space="preserve">) contains the most detailed explanation of this dependency in the </w:t>
      </w:r>
      <w:proofErr w:type="spellStart"/>
      <w:r>
        <w:t>Pāli</w:t>
      </w:r>
      <w:proofErr w:type="spellEnd"/>
      <w:r>
        <w:t xml:space="preserve">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w:t>
      </w:r>
      <w:proofErr w:type="spellStart"/>
      <w:r>
        <w:t>Pāli</w:t>
      </w:r>
      <w:proofErr w:type="spellEnd"/>
      <w:r>
        <w:t xml:space="preserve"> and English here, for in English we do not use the word ‘consciousness’ to describe what gets reborn, and are more likely to use something like ‘spirit’ or ‘mind’ instead. We do not say things like “the rebirth of consciousness” or “consciousness is conceived in the womb”. In </w:t>
      </w:r>
      <w:proofErr w:type="spellStart"/>
      <w:r>
        <w:t>Pāli</w:t>
      </w:r>
      <w:proofErr w:type="spellEnd"/>
      <w:r>
        <w:t xml:space="preserve">,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w:t>
      </w:r>
      <w:proofErr w:type="spellStart"/>
      <w:r>
        <w:t>Pāli</w:t>
      </w:r>
      <w:proofErr w:type="spellEnd"/>
      <w:r>
        <w:t xml:space="preserve">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proofErr w:type="spellStart"/>
      <w:r>
        <w:rPr>
          <w:rStyle w:val="wwc-sanskrit"/>
        </w:rPr>
        <w:t>vijñāna</w:t>
      </w:r>
      <w:proofErr w:type="spellEnd"/>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w:t>
      </w:r>
      <w:proofErr w:type="spellStart"/>
      <w:r>
        <w:t>Pāli</w:t>
      </w:r>
      <w:proofErr w:type="spellEnd"/>
      <w:r>
        <w:t xml:space="preserve">-English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r>
        <w:lastRenderedPageBreak/>
        <w:t>‘</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w:t>
      </w:r>
      <w:r>
        <w:lastRenderedPageBreak/>
        <w:t xml:space="preserve">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proofErr w:type="spellStart"/>
      <w:r>
        <w:rPr>
          <w:rStyle w:val="wwc-pali"/>
        </w:rPr>
        <w:t>vijñāna</w:t>
      </w:r>
      <w:proofErr w:type="spellEnd"/>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8" w:name="bqseg94"/>
      <w:bookmarkEnd w:id="108"/>
      <w:r>
        <w:t>What is that self? It is this person—the one that consists of consciousness (</w:t>
      </w:r>
      <w:proofErr w:type="spellStart"/>
      <w:r>
        <w:rPr>
          <w:rStyle w:val="wwc-pali"/>
        </w:rPr>
        <w:t>vijñāna</w:t>
      </w:r>
      <w:proofErr w:type="spellEnd"/>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lastRenderedPageBreak/>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w:t>
      </w:r>
      <w:proofErr w:type="spellStart"/>
      <w:r>
        <w:t>Pāli</w:t>
      </w:r>
      <w:proofErr w:type="spellEnd"/>
      <w:r>
        <w:t xml:space="preserve">-English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w:t>
      </w:r>
      <w:r>
        <w:lastRenderedPageBreak/>
        <w:t>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09" w:name="bqseg95"/>
      <w:bookmarkEnd w:id="109"/>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lastRenderedPageBreak/>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w:t>
      </w:r>
      <w:proofErr w:type="spellStart"/>
      <w:r>
        <w:t>Pāli</w:t>
      </w:r>
      <w:proofErr w:type="spellEnd"/>
      <w:r>
        <w:t xml:space="preserve">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6A4360C2">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35E3F574">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lastRenderedPageBreak/>
        <w:drawing>
          <wp:inline distT="0" distB="0" distL="0" distR="0" wp14:anchorId="11A6C421" wp14:editId="054C2A1A">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0" w:name="bqseg96"/>
      <w:bookmarkEnd w:id="110"/>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1" w:name="bqseg97"/>
      <w:bookmarkEnd w:id="111"/>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r>
      <w:r>
        <w:lastRenderedPageBreak/>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proofErr w:type="spellStart"/>
      <w:r>
        <w:rPr>
          <w:rStyle w:val="wwc-sesame"/>
        </w:rPr>
        <w:t>Visuddhimagga</w:t>
      </w:r>
      <w:proofErr w:type="spellEnd"/>
      <w:r>
        <w:t>:</w:t>
      </w:r>
    </w:p>
    <w:p w14:paraId="51CBE289" w14:textId="77777777" w:rsidR="00FE3964" w:rsidRDefault="00000000">
      <w:pPr>
        <w:pStyle w:val="WW-named-section"/>
      </w:pPr>
      <w:r>
        <w:t>§98</w:t>
      </w:r>
    </w:p>
    <w:p w14:paraId="15BE856D" w14:textId="77777777" w:rsidR="00FE3964" w:rsidRDefault="00000000">
      <w:pPr>
        <w:pStyle w:val="WW-blockquote"/>
      </w:pPr>
      <w:bookmarkStart w:id="112" w:name="bqseg98"/>
      <w:bookmarkEnd w:id="112"/>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lastRenderedPageBreak/>
        <w:t xml:space="preserve">It is not unusual for verses to leave some things open to interpretation. In this case neither the brahmin nor the Buddha explicitly explains what it means to be entangled in the inside and outside. The </w:t>
      </w:r>
      <w:proofErr w:type="spellStart"/>
      <w:r>
        <w:rPr>
          <w:rStyle w:val="wwc-sesame"/>
        </w:rPr>
        <w:t>Visuddhimagga</w:t>
      </w:r>
      <w:proofErr w:type="spellEnd"/>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w:t>
      </w:r>
      <w:r>
        <w:lastRenderedPageBreak/>
        <w:t>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3" w:name="chapter9"/>
      <w:bookmarkEnd w:id="113"/>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t>Upaniṣads</w:t>
      </w:r>
      <w:proofErr w:type="spellEnd"/>
      <w:r>
        <w:t xml:space="preserve">, </w:t>
      </w:r>
      <w:proofErr w:type="spellStart"/>
      <w:r>
        <w:rPr>
          <w:rStyle w:val="wwc-pali"/>
        </w:rPr>
        <w:t>vijñāna</w:t>
      </w:r>
      <w:proofErr w:type="spellEnd"/>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w:t>
      </w:r>
      <w:proofErr w:type="spellStart"/>
      <w:r>
        <w:t>Pāli</w:t>
      </w:r>
      <w:proofErr w:type="spellEnd"/>
      <w:r>
        <w:t xml:space="preserve">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proofErr w:type="spellStart"/>
      <w:r>
        <w:rPr>
          <w:rStyle w:val="wwc-pali"/>
        </w:rPr>
        <w:t>vedanā</w:t>
      </w:r>
      <w:proofErr w:type="spellEnd"/>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4" w:name="bqseg99"/>
      <w:bookmarkEnd w:id="114"/>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w:t>
      </w:r>
      <w:proofErr w:type="spellStart"/>
      <w:r>
        <w:t>Pāli</w:t>
      </w:r>
      <w:proofErr w:type="spellEnd"/>
      <w:r>
        <w:t xml:space="preserve">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5" w:name="bqseg100"/>
      <w:bookmarkEnd w:id="115"/>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6" w:name="bqseg101"/>
      <w:bookmarkEnd w:id="116"/>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7" w:name="bqseg102"/>
      <w:bookmarkEnd w:id="117"/>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8" w:name="bqseg103"/>
      <w:bookmarkEnd w:id="118"/>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lastRenderedPageBreak/>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19" w:name="bqseg104"/>
      <w:bookmarkEnd w:id="119"/>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0" w:name="bqseg105"/>
      <w:bookmarkEnd w:id="120"/>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1" w:name="bqseg106"/>
      <w:bookmarkEnd w:id="121"/>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3" w:name="bqseg107"/>
      <w:bookmarkEnd w:id="123"/>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4" w:name="bqseg108"/>
      <w:bookmarkEnd w:id="124"/>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 xml:space="preserve">The </w:t>
      </w:r>
      <w:proofErr w:type="spellStart"/>
      <w:r>
        <w:t>Pāli</w:t>
      </w:r>
      <w:proofErr w:type="spellEnd"/>
      <w:r>
        <w:t xml:space="preserve">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w:t>
      </w:r>
      <w:proofErr w:type="spellStart"/>
      <w:r>
        <w:t>Pāli</w:t>
      </w:r>
      <w:proofErr w:type="spellEnd"/>
      <w:r>
        <w:t xml:space="preserve">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w:t>
      </w:r>
      <w:proofErr w:type="spellStart"/>
      <w:r>
        <w:t>Pāli</w:t>
      </w:r>
      <w:proofErr w:type="spellEnd"/>
      <w:r>
        <w:t xml:space="preserve">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lastRenderedPageBreak/>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xml:space="preserve">] occurrence in the latter sense [of objects] is merely proportional to </w:t>
      </w:r>
      <w:r>
        <w:lastRenderedPageBreak/>
        <w:t>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w:t>
      </w:r>
      <w:r>
        <w:lastRenderedPageBreak/>
        <w:t>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proofErr w:type="spellStart"/>
      <w:r>
        <w:rPr>
          <w:rStyle w:val="wwc-pali"/>
        </w:rPr>
        <w:t>vijñāna</w:t>
      </w:r>
      <w:proofErr w:type="spellEnd"/>
      <w:r>
        <w:t xml:space="preserve">, and this is appropriate for the living sentient body, which becomes as such only through </w:t>
      </w:r>
      <w:proofErr w:type="spellStart"/>
      <w:r>
        <w:rPr>
          <w:rStyle w:val="wwc-pali"/>
        </w:rPr>
        <w:t>vijñāna</w:t>
      </w:r>
      <w:proofErr w:type="spellEnd"/>
      <w:r>
        <w:t xml:space="preserve"> [continuing from the past life], but it would be remarkable for the objects. Indeed, in [this discourse] there is no mention that ‘external name-and-form’, i.e. the objects, are conditioned by </w:t>
      </w:r>
      <w:proofErr w:type="spellStart"/>
      <w:r>
        <w:rPr>
          <w:rStyle w:val="wwc-pali"/>
        </w:rPr>
        <w:t>vijñāna</w:t>
      </w:r>
      <w:proofErr w:type="spellEnd"/>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lastRenderedPageBreak/>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w:t>
      </w:r>
      <w:proofErr w:type="spellStart"/>
      <w:r>
        <w:t>Pāli</w:t>
      </w:r>
      <w:proofErr w:type="spellEnd"/>
      <w:r>
        <w:t xml:space="preserve">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7" w:name="bqseg109"/>
      <w:bookmarkEnd w:id="127"/>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lastRenderedPageBreak/>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w:t>
      </w:r>
      <w:r>
        <w:lastRenderedPageBreak/>
        <w:t xml:space="preserve">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w:t>
      </w:r>
      <w:proofErr w:type="spellStart"/>
      <w:r>
        <w:t>Pāli</w:t>
      </w:r>
      <w:proofErr w:type="spellEnd"/>
      <w:r>
        <w:t xml:space="preserve">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w:t>
      </w:r>
      <w:proofErr w:type="spellStart"/>
      <w:r>
        <w:t>Pāli</w:t>
      </w:r>
      <w:proofErr w:type="spellEnd"/>
      <w:r>
        <w:t xml:space="preserve">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8" w:name="bqseg110"/>
      <w:bookmarkEnd w:id="128"/>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lastRenderedPageBreak/>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w:t>
      </w:r>
      <w:proofErr w:type="spellStart"/>
      <w:r>
        <w:t>Pāli</w:t>
      </w:r>
      <w:proofErr w:type="spellEnd"/>
      <w:r>
        <w:t xml:space="preserve">. The wording is much simpler, and it also combines statements 3 and 4—which say the same thing, anyway—into one. It is impossible to tell whether these are simplifications made by the original Chinese translator or whether this version is more authentic, although the </w:t>
      </w:r>
      <w:proofErr w:type="spellStart"/>
      <w:r>
        <w:t>Pāli</w:t>
      </w:r>
      <w:proofErr w:type="spellEnd"/>
      <w:r>
        <w:t xml:space="preserve">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w:t>
      </w:r>
      <w:proofErr w:type="spellStart"/>
      <w:r>
        <w:t>Pāli</w:t>
      </w:r>
      <w:proofErr w:type="spellEnd"/>
      <w:r>
        <w:t xml:space="preserve">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w:t>
      </w:r>
      <w:r>
        <w:lastRenderedPageBreak/>
        <w:t>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w:t>
      </w:r>
      <w:proofErr w:type="spellStart"/>
      <w:r>
        <w:t>Pāli</w:t>
      </w:r>
      <w:proofErr w:type="spellEnd"/>
      <w:r>
        <w:t xml:space="preserve">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29" w:name="bqseg111"/>
      <w:bookmarkEnd w:id="129"/>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0" w:name="bqseg112"/>
      <w:bookmarkEnd w:id="130"/>
      <w:r>
        <w:lastRenderedPageBreak/>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1" w:name="bqseg113"/>
      <w:bookmarkEnd w:id="131"/>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lastRenderedPageBreak/>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2" w:name="bqseg114"/>
      <w:bookmarkEnd w:id="132"/>
      <w: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 xml:space="preserve">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w:t>
      </w:r>
      <w:r>
        <w:lastRenderedPageBreak/>
        <w:t>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the </w:t>
      </w:r>
      <w:proofErr w:type="spellStart"/>
      <w:r>
        <w:rPr>
          <w:rStyle w:val="wwc-sesame"/>
        </w:rPr>
        <w:t>Paṭiccasamuppāda</w:t>
      </w:r>
      <w:proofErr w:type="spellEnd"/>
      <w:r>
        <w:rPr>
          <w:rStyle w:val="wwc-sesame"/>
        </w:rPr>
        <w:t xml:space="preserve"> </w:t>
      </w:r>
      <w:proofErr w:type="spellStart"/>
      <w:r>
        <w:rPr>
          <w:rStyle w:val="wwc-sesame"/>
        </w:rPr>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04D17290" w14:textId="77777777" w:rsidR="00FE3964" w:rsidRDefault="00000000">
      <w:pPr>
        <w:pStyle w:val="WW-epigram-image"/>
      </w:pPr>
      <w:r>
        <w:lastRenderedPageBreak/>
        <w:t>fleuron/beam2.png=</w:t>
      </w:r>
      <w:proofErr w:type="spellStart"/>
      <w:proofErr w:type="gramStart"/>
      <w:r>
        <w:t>Fleuron:A</w:t>
      </w:r>
      <w:proofErr w:type="spellEnd"/>
      <w:proofErr w:type="gramEnd"/>
      <w:r>
        <w:t xml:space="preserve"> drawing of car headlight=10</w:t>
      </w:r>
    </w:p>
    <w:p w14:paraId="7224A62C" w14:textId="77777777"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3" w:name="bqseg115"/>
      <w:bookmarkEnd w:id="13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w:t>
      </w:r>
      <w:proofErr w:type="spellStart"/>
      <w:r>
        <w:t>Pāli</w:t>
      </w:r>
      <w:proofErr w:type="spellEnd"/>
      <w:r>
        <w:t xml:space="preserve">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Pr>
          <w:rStyle w:val="wwc-sesame"/>
          <w:b/>
          <w:u w:val="single"/>
        </w:rPr>
        <w:t>Nidāna</w:t>
      </w:r>
      <w:proofErr w:type="spellEnd"/>
      <w:r>
        <w:rPr>
          <w:rStyle w:val="wwc-sesame"/>
          <w:b/>
          <w:u w:val="single"/>
        </w:rPr>
        <w:t xml:space="preserve"> </w:t>
      </w:r>
      <w:proofErr w:type="spellStart"/>
      <w:r>
        <w:rPr>
          <w:rStyle w:val="wwc-sesame"/>
          <w:b/>
          <w:u w:val="singl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4" w:name="bqseg116"/>
      <w:bookmarkEnd w:id="134"/>
      <w: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lastRenderedPageBreak/>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w:t>
      </w:r>
      <w:proofErr w:type="spellStart"/>
      <w:r>
        <w:t>Pāli</w:t>
      </w:r>
      <w:proofErr w:type="spellEnd"/>
      <w:r>
        <w:t xml:space="preserve">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proofErr w:type="spellStart"/>
      <w:r>
        <w:rPr>
          <w:rStyle w:val="wwc-pali"/>
        </w:rPr>
        <w:t>upādāna</w:t>
      </w:r>
      <w:proofErr w:type="spellEnd"/>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6" w:name="bqseg117"/>
      <w:bookmarkEnd w:id="136"/>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7" w:name="bqseg118"/>
      <w:bookmarkEnd w:id="137"/>
      <w: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lastRenderedPageBreak/>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8" w:name="bqseg119"/>
      <w:bookmarkEnd w:id="138"/>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39" w:name="bqseg120"/>
      <w:bookmarkEnd w:id="139"/>
      <w:r>
        <w:lastRenderedPageBreak/>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pPr>
              <w:pStyle w:val="TableContents"/>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pPr>
              <w:pStyle w:val="TableContents"/>
            </w:pPr>
            <w:r>
              <w:t>8. No craving</w:t>
            </w:r>
            <w:r>
              <w:br/>
              <w:t>9. No taking up</w:t>
            </w:r>
          </w:p>
        </w:tc>
        <w:tc>
          <w:tcPr>
            <w:tcW w:w="1504" w:type="dxa"/>
          </w:tcPr>
          <w:p w14:paraId="2ECF6F3D" w14:textId="77777777" w:rsidR="00FE3964" w:rsidRDefault="00000000">
            <w:pPr>
              <w:pStyle w:val="TableContents"/>
            </w:pPr>
            <w:r>
              <w:t>• No desire</w:t>
            </w:r>
            <w:r>
              <w:br/>
              <w:t>• No taking up</w:t>
            </w:r>
          </w:p>
        </w:tc>
        <w:tc>
          <w:tcPr>
            <w:tcW w:w="2025" w:type="dxa"/>
          </w:tcPr>
          <w:p w14:paraId="66EB40AA" w14:textId="77777777" w:rsidR="00FE3964" w:rsidRDefault="00000000">
            <w:pPr>
              <w:pStyle w:val="TableContents"/>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pPr>
              <w:pStyle w:val="TableContents"/>
            </w:pPr>
            <w:r>
              <w:t>3. No consciousness</w:t>
            </w:r>
            <w:r>
              <w:br/>
              <w:t xml:space="preserve">4. No </w:t>
            </w:r>
            <w:proofErr w:type="spellStart"/>
            <w:r>
              <w:t>nāmarūpa</w:t>
            </w:r>
            <w:proofErr w:type="spellEnd"/>
          </w:p>
        </w:tc>
        <w:tc>
          <w:tcPr>
            <w:tcW w:w="2448" w:type="dxa"/>
          </w:tcPr>
          <w:p w14:paraId="24118466" w14:textId="77777777" w:rsidR="00FE3964" w:rsidRDefault="00000000">
            <w:pPr>
              <w:pStyle w:val="TableContents"/>
            </w:pPr>
            <w:r>
              <w:t>10. No existence</w:t>
            </w:r>
            <w:r>
              <w:br/>
              <w:t>11. No birth</w:t>
            </w:r>
          </w:p>
        </w:tc>
        <w:tc>
          <w:tcPr>
            <w:tcW w:w="1504" w:type="dxa"/>
          </w:tcPr>
          <w:p w14:paraId="4F110942" w14:textId="77777777" w:rsidR="00FE3964" w:rsidRDefault="00000000">
            <w:pPr>
              <w:pStyle w:val="TableContents"/>
            </w:pPr>
            <w:r>
              <w:t>• No rebirth</w:t>
            </w:r>
          </w:p>
        </w:tc>
        <w:tc>
          <w:tcPr>
            <w:tcW w:w="2025" w:type="dxa"/>
          </w:tcPr>
          <w:p w14:paraId="5B9CF866" w14:textId="77777777" w:rsidR="00FE3964" w:rsidRDefault="00000000">
            <w:pPr>
              <w:pStyle w:val="TableContents"/>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pPr>
              <w:pStyle w:val="TableContents"/>
            </w:pPr>
            <w:r>
              <w:t>5. No six senses</w:t>
            </w:r>
            <w:r>
              <w:br/>
              <w:t>6. …</w:t>
            </w:r>
          </w:p>
        </w:tc>
        <w:tc>
          <w:tcPr>
            <w:tcW w:w="2448" w:type="dxa"/>
          </w:tcPr>
          <w:p w14:paraId="1E450580" w14:textId="77777777" w:rsidR="00FE3964" w:rsidRDefault="00000000">
            <w:pPr>
              <w:pStyle w:val="TableContents"/>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pPr>
              <w:pStyle w:val="TableContents"/>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w:t>
      </w:r>
      <w:r>
        <w:lastRenderedPageBreak/>
        <w:t>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109168">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0" w:name="chapter11"/>
      <w:bookmarkEnd w:id="140"/>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1" w:name="bqseg121"/>
      <w:bookmarkEnd w:id="141"/>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t>[Similar for the other nutriments.]</w:t>
      </w:r>
      <w:r>
        <w:rPr>
          <w:rStyle w:val="FootnoteReference"/>
        </w:rPr>
        <w:footnoteReference w:id="489"/>
      </w:r>
    </w:p>
    <w:p w14:paraId="5781E401" w14:textId="77777777" w:rsidR="00FE3964" w:rsidRDefault="00000000">
      <w:pPr>
        <w:pStyle w:val="WW-paragraph"/>
      </w:pPr>
      <w:r>
        <w:lastRenderedPageBreak/>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2" w:name="bqseg122"/>
      <w:bookmarkEnd w:id="142"/>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3" w:name="bqseg123"/>
      <w:bookmarkEnd w:id="143"/>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xml:space="preserve">, but that his consciousness, </w:t>
      </w:r>
      <w:r>
        <w:lastRenderedPageBreak/>
        <w:t>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pPr>
              <w:pStyle w:val="TableHeading"/>
            </w:pPr>
            <w:r>
              <w:rPr>
                <w:rStyle w:val="Strong"/>
                <w:b/>
                <w:bCs/>
              </w:rPr>
              <w:t>Standard sequence</w:t>
            </w:r>
          </w:p>
        </w:tc>
        <w:tc>
          <w:tcPr>
            <w:tcW w:w="2919" w:type="dxa"/>
          </w:tcPr>
          <w:p w14:paraId="3FC725B8" w14:textId="77777777" w:rsidR="00FE3964" w:rsidRDefault="00000000">
            <w:pPr>
              <w:pStyle w:val="TableHeading"/>
            </w:pPr>
            <w:r>
              <w:rPr>
                <w:rStyle w:val="Strong"/>
                <w:b/>
                <w:bCs/>
              </w:rPr>
              <w:t>Second Discourse</w:t>
            </w:r>
            <w:r>
              <w:rPr>
                <w:rStyle w:val="Strong"/>
                <w:b/>
                <w:bCs/>
              </w:rPr>
              <w:br/>
              <w:t>on Intention (</w:t>
            </w:r>
            <w:hyperlink w:anchor="bqseg122">
              <w:r>
                <w:rPr>
                  <w:rStyle w:val="Hyperlink"/>
                </w:rPr>
                <w:t>§122</w:t>
              </w:r>
            </w:hyperlink>
            <w:r>
              <w:rPr>
                <w:rStyle w:val="Strong"/>
                <w:b/>
                <w:bCs/>
              </w:rPr>
              <w:t>)</w:t>
            </w:r>
          </w:p>
        </w:tc>
        <w:tc>
          <w:tcPr>
            <w:tcW w:w="2966" w:type="dxa"/>
          </w:tcPr>
          <w:p w14:paraId="55FEE4CD" w14:textId="77777777" w:rsidR="00FE3964" w:rsidRDefault="00000000">
            <w:pPr>
              <w:pStyle w:val="TableHeading"/>
            </w:pPr>
            <w:r>
              <w:rPr>
                <w:rStyle w:val="Strong"/>
                <w:b/>
                <w:bCs/>
              </w:rPr>
              <w:t>If There Is Desire</w:t>
            </w:r>
            <w:r>
              <w:rPr>
                <w:rStyle w:val="Strong"/>
                <w:b/>
                <w:bCs/>
              </w:rPr>
              <w:br/>
              <w:t>Discourse (</w:t>
            </w:r>
            <w:hyperlink w:anchor="bqseg121">
              <w:r>
                <w:rPr>
                  <w:rStyle w:val="Hyperlink"/>
                </w:rPr>
                <w:t>§121</w:t>
              </w:r>
            </w:hyperlink>
            <w:r>
              <w:rPr>
                <w:rStyle w:val="Strong"/>
                <w:b/>
                <w:bCs/>
              </w:rPr>
              <w:t>)</w:t>
            </w:r>
          </w:p>
        </w:tc>
      </w:tr>
      <w:tr w:rsidR="00FE3964" w14:paraId="1F008821" w14:textId="77777777" w:rsidTr="007060FA">
        <w:tc>
          <w:tcPr>
            <w:tcW w:w="2092" w:type="dxa"/>
          </w:tcPr>
          <w:p w14:paraId="414D19E4" w14:textId="77777777" w:rsidR="00FE3964" w:rsidRDefault="00000000">
            <w:pPr>
              <w:pStyle w:val="TableContents"/>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pPr>
              <w:pStyle w:val="TableContents"/>
            </w:pPr>
            <w:r>
              <w:br/>
              <w:t>• You don’t intend, etc.</w:t>
            </w:r>
          </w:p>
        </w:tc>
        <w:tc>
          <w:tcPr>
            <w:tcW w:w="2966" w:type="dxa"/>
          </w:tcPr>
          <w:p w14:paraId="4BA89FA0" w14:textId="77777777" w:rsidR="00FE3964" w:rsidRDefault="00000000">
            <w:pPr>
              <w:pStyle w:val="TableContents"/>
            </w:pPr>
            <w:r>
              <w:br/>
              <w:t>• There is no desire, etc.</w:t>
            </w:r>
          </w:p>
        </w:tc>
      </w:tr>
      <w:tr w:rsidR="00FE3964" w14:paraId="0E893C2A" w14:textId="77777777" w:rsidTr="007060FA">
        <w:tc>
          <w:tcPr>
            <w:tcW w:w="2092" w:type="dxa"/>
          </w:tcPr>
          <w:p w14:paraId="72732D02" w14:textId="77777777" w:rsidR="00FE3964" w:rsidRDefault="00000000">
            <w:pPr>
              <w:pStyle w:val="TableContents"/>
            </w:pPr>
            <w:r>
              <w:t>3. No consciousness</w:t>
            </w:r>
            <w:r>
              <w:br/>
              <w:t xml:space="preserve">4. No </w:t>
            </w:r>
            <w:proofErr w:type="spellStart"/>
            <w:r>
              <w:t>nāmarūpa</w:t>
            </w:r>
            <w:proofErr w:type="spellEnd"/>
          </w:p>
        </w:tc>
        <w:tc>
          <w:tcPr>
            <w:tcW w:w="2919" w:type="dxa"/>
          </w:tcPr>
          <w:p w14:paraId="47928975" w14:textId="77777777" w:rsidR="00FE3964" w:rsidRDefault="00000000">
            <w:pPr>
              <w:pStyle w:val="TableContents"/>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pPr>
              <w:pStyle w:val="TableContents"/>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pPr>
              <w:pStyle w:val="TableContents"/>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pPr>
              <w:pStyle w:val="TableContents"/>
            </w:pPr>
            <w:r>
              <w:t>• No six senses</w:t>
            </w:r>
            <w:r>
              <w:br/>
              <w:t>• No sense impressions</w:t>
            </w:r>
            <w:r>
              <w:br/>
              <w:t>• …</w:t>
            </w:r>
          </w:p>
        </w:tc>
        <w:tc>
          <w:tcPr>
            <w:tcW w:w="2966" w:type="dxa"/>
          </w:tcPr>
          <w:p w14:paraId="1693E144" w14:textId="77777777" w:rsidR="00FE3964" w:rsidRDefault="00000000">
            <w:pPr>
              <w:pStyle w:val="TableContents"/>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4" w:name="bqseg124"/>
      <w:bookmarkEnd w:id="144"/>
      <w:r>
        <w:t xml:space="preserve">But if you don’t intend, don’t plan, and do not have a tendency towards anything, there is no foundation for the continuation of consciousness. If there is no foundation, there will be no support </w:t>
      </w:r>
      <w:r>
        <w:lastRenderedPageBreak/>
        <w:t>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drawing>
          <wp:inline distT="0" distB="0" distL="0" distR="0" wp14:anchorId="1D11AD84" wp14:editId="3EA713A1">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1A1BB76D">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w:t>
      </w:r>
      <w:r>
        <w:lastRenderedPageBreak/>
        <w:t>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w:t>
      </w:r>
      <w:proofErr w:type="spellStart"/>
      <w:r>
        <w:t>Pāli</w:t>
      </w:r>
      <w:proofErr w:type="spellEnd"/>
      <w:r>
        <w:t xml:space="preserve">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w:t>
      </w:r>
      <w:proofErr w:type="spellStart"/>
      <w:r>
        <w:t>Pāli</w:t>
      </w:r>
      <w:proofErr w:type="spellEnd"/>
      <w:r>
        <w:t>, but the cessation of consciousness with a painter who fails to paint an image on empty space.</w:t>
      </w:r>
      <w:r>
        <w:rPr>
          <w:rStyle w:val="FootnoteReference"/>
        </w:rPr>
        <w:footnoteReference w:id="499"/>
      </w:r>
      <w:r>
        <w:t xml:space="preserve"> The idea of being unable to paint on empty space also occurs elsewhere in the </w:t>
      </w:r>
      <w:proofErr w:type="spellStart"/>
      <w:r>
        <w:t>Pāli</w:t>
      </w:r>
      <w:proofErr w:type="spellEnd"/>
      <w:r>
        <w:t xml:space="preserve">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drawing>
          <wp:inline distT="0" distB="0" distL="0" distR="0" wp14:anchorId="25F0C44A" wp14:editId="1F41B62B">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6F645A5">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lastRenderedPageBreak/>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6" w:name="bqseg125"/>
      <w:bookmarkEnd w:id="146"/>
      <w:r>
        <w:t xml:space="preserve">Consciousness that is permanent, constant, eternal, and not of the nature to change, that the wise in the world agree does not exist, and I also say it does not exist. […] Consciousness that is temporary, </w:t>
      </w:r>
      <w:r>
        <w:lastRenderedPageBreak/>
        <w:t>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7" w:name="bqseg126"/>
      <w:bookmarkEnd w:id="147"/>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lastRenderedPageBreak/>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8" w:name="bqseg127"/>
      <w:bookmarkEnd w:id="148"/>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w:t>
      </w:r>
      <w:r>
        <w:lastRenderedPageBreak/>
        <w:t xml:space="preserve">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49" w:name="bqseg128"/>
      <w:bookmarkEnd w:id="149"/>
      <w: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0" w:name="bqseg129"/>
      <w:bookmarkEnd w:id="150"/>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w:t>
      </w:r>
      <w:r>
        <w:lastRenderedPageBreak/>
        <w:t xml:space="preserve">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1" w:name="chapter12"/>
      <w:bookmarkEnd w:id="151"/>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2" w:name="bqseg130"/>
      <w:bookmarkEnd w:id="152"/>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3" w:name="bqseg131"/>
      <w:bookmarkEnd w:id="153"/>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4" w:name="bqseg132"/>
      <w:bookmarkEnd w:id="154"/>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5" w:name="bqseg133"/>
      <w:bookmarkEnd w:id="155"/>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 xml:space="preserve">There are a couple of verses in the </w:t>
      </w:r>
      <w:proofErr w:type="spellStart"/>
      <w:r>
        <w:t>Pāli</w:t>
      </w:r>
      <w:proofErr w:type="spellEnd"/>
      <w:r>
        <w:t xml:space="preserve">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6" w:name="bqseg134"/>
      <w:bookmarkEnd w:id="156"/>
      <w:r>
        <w:t>They stopped defining themselves, didn’t fall into conceit.</w:t>
      </w:r>
      <w:r>
        <w:br/>
        <w:t>They cut the knots, were untroubled, without wants.</w:t>
      </w:r>
      <w:r>
        <w:br/>
        <w:t>In life they cut off craving for any immaterial aspects or body.</w:t>
      </w:r>
      <w:r>
        <w:br/>
        <w:t>Though humans and gods may search for them</w:t>
      </w:r>
      <w:r>
        <w:br/>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lastRenderedPageBreak/>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w:t>
      </w:r>
      <w:r>
        <w:lastRenderedPageBreak/>
        <w:t xml:space="preserve">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7" w:name="bqseg135"/>
      <w:bookmarkEnd w:id="157"/>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8" w:name="bqseg136"/>
      <w:bookmarkEnd w:id="158"/>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are just conventional labels that people use; they don’t exist in any fundamental sense, just 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lastRenderedPageBreak/>
        <w:t>§137</w:t>
      </w:r>
    </w:p>
    <w:p w14:paraId="26737EA6" w14:textId="77777777" w:rsidR="00FE3964" w:rsidRDefault="00000000">
      <w:pPr>
        <w:pStyle w:val="WW-blockquote"/>
      </w:pPr>
      <w:bookmarkStart w:id="159" w:name="bqseg137"/>
      <w:bookmarkEnd w:id="159"/>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lastRenderedPageBreak/>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0" w:name="bqseg138"/>
      <w:bookmarkEnd w:id="160"/>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lastRenderedPageBreak/>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1" w:name="bqseg139"/>
      <w:bookmarkEnd w:id="161"/>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lastRenderedPageBreak/>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w:t>
      </w:r>
      <w:proofErr w:type="spellStart"/>
      <w:r>
        <w:t>Pāli</w:t>
      </w:r>
      <w:proofErr w:type="spellEnd"/>
      <w:r>
        <w:t xml:space="preserve">.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t>
      </w:r>
      <w:r>
        <w:lastRenderedPageBreak/>
        <w:t xml:space="preserve">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2" w:name="bqseg140"/>
      <w:bookmarkEnd w:id="162"/>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3" w:name="bqseg141"/>
      <w:bookmarkEnd w:id="163"/>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4" w:name="bqseg142"/>
      <w:bookmarkEnd w:id="164"/>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lastRenderedPageBreak/>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5" w:name="bqseg143"/>
      <w:bookmarkEnd w:id="165"/>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6" w:name="bqseg144"/>
      <w:bookmarkEnd w:id="166"/>
      <w:r>
        <w:lastRenderedPageBreak/>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lastRenderedPageBreak/>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7" w:name="bqseg145"/>
      <w:bookmarkEnd w:id="167"/>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r>
      <w:r>
        <w:lastRenderedPageBreak/>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w:t>
      </w:r>
      <w:proofErr w:type="spellStart"/>
      <w:r>
        <w:t>Pāli</w:t>
      </w:r>
      <w:proofErr w:type="spellEnd"/>
      <w:r>
        <w:t xml:space="preserve">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8" w:name="bqseg146"/>
      <w:bookmarkEnd w:id="168"/>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 xml:space="preserve">One of the most profound descriptions of right view in the </w:t>
      </w:r>
      <w:proofErr w:type="spellStart"/>
      <w:r>
        <w:t>Pāli</w:t>
      </w:r>
      <w:proofErr w:type="spellEnd"/>
      <w:r>
        <w:t xml:space="preserve">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proofErr w:type="spellStart"/>
            <w:r>
              <w:t>Pāli</w:t>
            </w:r>
            <w:proofErr w:type="spellEnd"/>
            <w:r>
              <w:t xml:space="preserve">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proofErr w:type="spellStart"/>
            <w:r>
              <w:t>Visuddhimagga</w:t>
            </w:r>
            <w:proofErr w:type="spellEnd"/>
            <w:r>
              <w:t xml:space="preserve">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16B325" w14:textId="77777777" w:rsidR="00A50EF1" w:rsidRDefault="00A50EF1" w:rsidP="00422B5B">
      <w:r>
        <w:separator/>
      </w:r>
    </w:p>
  </w:endnote>
  <w:endnote w:type="continuationSeparator" w:id="0">
    <w:p w14:paraId="73CFF099" w14:textId="77777777" w:rsidR="00A50EF1" w:rsidRDefault="00A50EF1"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8B59B" w14:textId="77777777" w:rsidR="00A50EF1" w:rsidRDefault="00A50EF1" w:rsidP="00AF7A6C">
      <w:r>
        <w:separator/>
      </w:r>
    </w:p>
  </w:footnote>
  <w:footnote w:type="continuationSeparator" w:id="0">
    <w:p w14:paraId="181CC372" w14:textId="77777777" w:rsidR="00A50EF1" w:rsidRDefault="00A50EF1"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 xml:space="preserve">in the </w:t>
      </w:r>
      <w:proofErr w:type="spellStart"/>
      <w:r>
        <w:t>Pāli</w:t>
      </w:r>
      <w:proofErr w:type="spellEnd"/>
      <w:r>
        <w:t xml:space="preserve">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proofErr w:type="spellStart"/>
      <w:r>
        <w:rPr>
          <w:rStyle w:val="wwc-pali"/>
        </w:rPr>
        <w:t>upādāna</w:t>
      </w:r>
      <w:proofErr w:type="spellEnd"/>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proofErr w:type="spellStart"/>
      <w:r>
        <w:rPr>
          <w:rStyle w:val="wwc-pali"/>
        </w:rPr>
        <w:t>upādāna</w:t>
      </w:r>
      <w:proofErr w:type="spellEnd"/>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w:t>
      </w:r>
      <w:proofErr w:type="spellStart"/>
      <w:r>
        <w:t>Pāli</w:t>
      </w:r>
      <w:proofErr w:type="spellEnd"/>
      <w:r>
        <w:t xml:space="preserve">.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proofErr w:type="spellStart"/>
      <w:r>
        <w:rPr>
          <w:rStyle w:val="wwc-pali"/>
        </w:rPr>
        <w:t>vedanā</w:t>
      </w:r>
      <w:proofErr w:type="spellEnd"/>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xml:space="preserve">). In this book I just refer to the discourse by its </w:t>
      </w:r>
      <w:proofErr w:type="spellStart"/>
      <w:r>
        <w:t>Pāli</w:t>
      </w:r>
      <w:proofErr w:type="spellEnd"/>
      <w:r>
        <w:t xml:space="preserve"> name.</w:t>
      </w:r>
    </w:p>
    <w:p w14:paraId="58D1ACA8" w14:textId="77777777" w:rsidR="00FE3964" w:rsidRDefault="00000000">
      <w:pPr>
        <w:pStyle w:val="FootnoteText"/>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proofErr w:type="spellStart"/>
      <w:r>
        <w:rPr>
          <w:rStyle w:val="wwc-sesame-zot-reference"/>
        </w:rPr>
        <w:t>Nyanatiloka</w:t>
      </w:r>
      <w:proofErr w:type="spellEnd"/>
      <w:r>
        <w:t xml:space="preserve"> p.7</w:t>
      </w:r>
    </w:p>
  </w:footnote>
  <w:footnote w:id="39">
    <w:p w14:paraId="3D502C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proofErr w:type="spellStart"/>
      <w:r>
        <w:rPr>
          <w:rStyle w:val="wwc-sesame-zot-reference"/>
        </w:rPr>
        <w:t>Mejor</w:t>
      </w:r>
      <w:proofErr w:type="spellEnd"/>
      <w:r>
        <w:t xml:space="preserve"> p.123, </w:t>
      </w:r>
      <w:proofErr w:type="spellStart"/>
      <w:r>
        <w:rPr>
          <w:rStyle w:val="wwc-sesame-zot-reference"/>
        </w:rPr>
        <w:t>Schmithausen</w:t>
      </w:r>
      <w:proofErr w:type="spellEnd"/>
      <w:r>
        <w:rPr>
          <w:rStyle w:val="wwc-sesame-zot-reference"/>
        </w:rPr>
        <w:t xml:space="preserve"> 2000</w:t>
      </w:r>
      <w:r>
        <w:t xml:space="preserve"> p.45, </w:t>
      </w:r>
      <w:proofErr w:type="spellStart"/>
      <w:r>
        <w:rPr>
          <w:rStyle w:val="wwc-sesame-zot-reference"/>
        </w:rPr>
        <w:t>Jurewicz</w:t>
      </w:r>
      <w:proofErr w:type="spellEnd"/>
      <w:r>
        <w:t xml:space="preserve"> p.177, </w:t>
      </w:r>
      <w:proofErr w:type="spellStart"/>
      <w:r>
        <w:rPr>
          <w:rStyle w:val="wwc-sesame-zot-reference"/>
        </w:rPr>
        <w:t>Ronkin</w:t>
      </w:r>
      <w:proofErr w:type="spellEnd"/>
      <w:r>
        <w:t xml:space="preserve"> n.43 p.238, </w:t>
      </w:r>
      <w:r>
        <w:rPr>
          <w:rStyle w:val="wwc-sesame-zot-reference"/>
        </w:rPr>
        <w:t>Shulman</w:t>
      </w:r>
      <w:r>
        <w:t xml:space="preserve"> p.89 n.71, </w:t>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w:t>
      </w:r>
      <w:proofErr w:type="gramStart"/>
      <w:r>
        <w:t>example</w:t>
      </w:r>
      <w:proofErr w:type="gramEnd"/>
      <w:r>
        <w:t xml:space="preserv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proofErr w:type="spellStart"/>
      <w:r>
        <w:rPr>
          <w:rStyle w:val="wwc-sesame-zot-reference"/>
        </w:rPr>
        <w:t>Ñāṇavīra</w:t>
      </w:r>
      <w:proofErr w:type="spellEnd"/>
      <w:r>
        <w:t xml:space="preserve"> p.19, </w:t>
      </w:r>
      <w:proofErr w:type="spellStart"/>
      <w:r>
        <w:rPr>
          <w:rStyle w:val="wwc-sesame-zot-reference"/>
        </w:rPr>
        <w:t>Ñāṇananda</w:t>
      </w:r>
      <w:proofErr w:type="spellEnd"/>
      <w:r>
        <w:rPr>
          <w:rStyle w:val="wwc-sesame-zot-reference"/>
        </w:rPr>
        <w:t xml:space="preserve"> 2015</w:t>
      </w:r>
      <w:r>
        <w:t xml:space="preserve"> p.56, </w:t>
      </w:r>
      <w:proofErr w:type="spellStart"/>
      <w:r>
        <w:rPr>
          <w:rStyle w:val="wwc-sesame-zot-reference"/>
        </w:rPr>
        <w:t>Brasington</w:t>
      </w:r>
      <w:proofErr w:type="spellEnd"/>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77777777" w:rsidR="00FE3964" w:rsidRDefault="00000000">
      <w:pPr>
        <w:pStyle w:val="FootnoteText"/>
      </w:pPr>
      <w:r>
        <w:rPr>
          <w:rStyle w:val="FootnoteCharacters"/>
        </w:rPr>
        <w:footnoteRef/>
      </w:r>
      <w:r>
        <w:t>For the translation of the discourse title see note 29</w:t>
      </w:r>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proofErr w:type="spellStart"/>
      <w:r>
        <w:rPr>
          <w:rStyle w:val="wwc-pali"/>
        </w:rPr>
        <w:t>upādāna</w:t>
      </w:r>
      <w:proofErr w:type="spellEnd"/>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proofErr w:type="spellStart"/>
      <w:r>
        <w:rPr>
          <w:rStyle w:val="wwc-pali"/>
        </w:rPr>
        <w:t>jāti</w:t>
      </w:r>
      <w:proofErr w:type="spellEnd"/>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29" w:name="footnote113"/>
      <w:bookmarkEnd w:id="29"/>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w:t>
      </w:r>
      <w:proofErr w:type="spellStart"/>
      <w:r>
        <w:t>Pāli</w:t>
      </w:r>
      <w:proofErr w:type="spellEnd"/>
      <w:r>
        <w:t xml:space="preserve">,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2" w:name="footnote139"/>
      <w:bookmarkEnd w:id="32"/>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4" w:name="footnote152"/>
        <w:bookmarkEnd w:id="34"/>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w:t>
      </w:r>
      <w:proofErr w:type="spellStart"/>
      <w:r>
        <w:t>Pāli</w:t>
      </w:r>
      <w:proofErr w:type="spellEnd"/>
      <w:r>
        <w:t xml:space="preserve">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w:t>
      </w:r>
      <w:proofErr w:type="spellStart"/>
      <w:r>
        <w:t>Pāli</w:t>
      </w:r>
      <w:proofErr w:type="spellEnd"/>
      <w:r>
        <w:t xml:space="preserve">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0" w:name="footnote166"/>
      <w:bookmarkEnd w:id="40"/>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proofErr w:type="spellStart"/>
      <w:r>
        <w:rPr>
          <w:rStyle w:val="wwc-sesame-zot-reference"/>
        </w:rPr>
        <w:t>Nyanatiloka</w:t>
      </w:r>
      <w:proofErr w:type="spellEnd"/>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2" w:name="footnote192"/>
      <w:bookmarkEnd w:id="52"/>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Pr>
          <w:rStyle w:val="wwc-sesame"/>
        </w:rPr>
        <w:t>Gombrich</w:t>
      </w:r>
      <w:proofErr w:type="spellEnd"/>
      <w:r>
        <w:rPr>
          <w:rStyle w:val="wwc-sesam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Pr>
          <w:rStyle w:val="wwc-sesame"/>
        </w:rPr>
        <w:t>Sujato</w:t>
      </w:r>
      <w:proofErr w:type="spellEnd"/>
      <w:r>
        <w:rPr>
          <w:rStyle w:val="wwc-sesam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Pr>
          <w:rStyle w:val="wwc-sesam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5" w:name="footnote277"/>
      <w:bookmarkEnd w:id="85"/>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6" w:name="footnote278"/>
      <w:bookmarkEnd w:id="86"/>
      <w:r>
        <w:t xml:space="preserve">As an exception I have adopted the reading of the Chinese parallel. The </w:t>
      </w:r>
      <w:proofErr w:type="spellStart"/>
      <w:r>
        <w:t>Pāli</w:t>
      </w:r>
      <w:proofErr w:type="spellEnd"/>
      <w:r>
        <w:t xml:space="preserve">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7" w:name="footnote279"/>
      <w:bookmarkEnd w:id="87"/>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w:t>
      </w:r>
      <w:proofErr w:type="spellStart"/>
      <w:r>
        <w:t>Pāli</w:t>
      </w:r>
      <w:proofErr w:type="spellEnd"/>
      <w:r>
        <w:t xml:space="preserve">.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xml:space="preserve">, seems more on point than the </w:t>
      </w:r>
      <w:proofErr w:type="spellStart"/>
      <w:r>
        <w:t>Pāli</w:t>
      </w:r>
      <w:proofErr w:type="spellEnd"/>
      <w:r>
        <w:t>.</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Pr>
          <w:rStyle w:val="wwc-sesame"/>
        </w:rPr>
        <w:t>Sujato</w:t>
      </w:r>
      <w:proofErr w:type="spellEnd"/>
      <w:r>
        <w:rPr>
          <w:rStyle w:val="wwc-sesame"/>
        </w:rPr>
        <w:t xml:space="preserve"> 2023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Pr>
          <w:rStyle w:val="wwc-sesame"/>
        </w:rPr>
        <w:t>Sujato</w:t>
      </w:r>
      <w:proofErr w:type="spellEnd"/>
      <w:r>
        <w:rPr>
          <w:rStyle w:val="wwc-sesame"/>
        </w:rPr>
        <w:t xml:space="preserve"> 2023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w:t>
      </w:r>
      <w:proofErr w:type="spellStart"/>
      <w:r>
        <w:rPr>
          <w:rStyle w:val="wwc-pali"/>
        </w:rPr>
        <w:t>vijñāna-ghana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7" w:name="footnote361"/>
      <w:bookmarkEnd w:id="107"/>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w:t>
      </w:r>
      <w:proofErr w:type="spellStart"/>
      <w:r>
        <w:t>Pāli</w:t>
      </w:r>
      <w:proofErr w:type="spellEnd"/>
      <w:r>
        <w:t xml:space="preserve">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proofErr w:type="spellStart"/>
      <w:r>
        <w:rPr>
          <w:rStyle w:val="wwc-pali"/>
        </w:rPr>
        <w:t>vedanā</w:t>
      </w:r>
      <w:proofErr w:type="spellEnd"/>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77777777" w:rsidR="00FE3964" w:rsidRDefault="00000000">
      <w:pPr>
        <w:pStyle w:val="FootnoteText"/>
      </w:pPr>
      <w:r>
        <w:rPr>
          <w:rStyle w:val="FootnoteCharacters"/>
        </w:rPr>
        <w:footnoteRef/>
      </w:r>
      <w:hyperlink r:id="rId431" w:anchor="YYY" w:history="1">
        <w:r>
          <w:rPr>
            <w:rStyle w:val="Hyperlink"/>
          </w:rPr>
          <w:t>MN 28:17.1</w:t>
        </w:r>
      </w:hyperlink>
      <w:r>
        <w:t xml:space="preserve"> </w:t>
      </w:r>
      <w:r>
        <w:rPr>
          <w:rStyle w:val="wwc-PTS-reference"/>
        </w:rPr>
        <w:t>M I 188</w:t>
      </w:r>
    </w:p>
  </w:footnote>
  <w:footnote w:id="414">
    <w:p w14:paraId="6548E4A6" w14:textId="77777777" w:rsidR="00FE3964" w:rsidRDefault="00000000">
      <w:pPr>
        <w:pStyle w:val="FootnoteText"/>
      </w:pPr>
      <w:r>
        <w:rPr>
          <w:rStyle w:val="FootnoteCharacters"/>
        </w:rPr>
        <w:footnoteRef/>
      </w:r>
      <w:r>
        <w:t xml:space="preserve">See for example </w:t>
      </w:r>
      <w:hyperlink r:id="rId432"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3"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4"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5"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6"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7"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38"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39" w:anchor="YYY" w:history="1">
        <w:bookmarkStart w:id="122" w:name="footnote422"/>
        <w:bookmarkEnd w:id="122"/>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0" w:anchor="YYY" w:history="1">
        <w:r>
          <w:rPr>
            <w:rStyle w:val="Hyperlink"/>
          </w:rPr>
          <w:t>SN 36.6:2.1</w:t>
        </w:r>
      </w:hyperlink>
      <w:r>
        <w:t xml:space="preserve">. See also </w:t>
      </w:r>
      <w:hyperlink r:id="rId441"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2"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3">
        <w:r>
          <w:rPr>
            <w:rStyle w:val="Hyperlink"/>
          </w:rPr>
          <w:t>SF 161</w:t>
        </w:r>
      </w:hyperlink>
      <w:r>
        <w:t xml:space="preserve">) and </w:t>
      </w:r>
      <w:r>
        <w:t>識身</w:t>
      </w:r>
      <w:r>
        <w:t xml:space="preserve"> (</w:t>
      </w:r>
      <w:hyperlink r:id="rId444">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5"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5" w:name="footnote435"/>
      <w:bookmarkEnd w:id="125"/>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6" w:name="footnote436"/>
      <w:bookmarkEnd w:id="126"/>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6"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7"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48"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49" w:anchor="YYY" w:history="1">
        <w:r>
          <w:rPr>
            <w:rStyle w:val="Hyperlink"/>
          </w:rPr>
          <w:t>MN 43:21.1–21.6</w:t>
        </w:r>
      </w:hyperlink>
      <w:r>
        <w:t xml:space="preserve"> </w:t>
      </w:r>
      <w:r>
        <w:rPr>
          <w:rStyle w:val="wwc-PTS-reference"/>
        </w:rPr>
        <w:t>M I 295</w:t>
      </w:r>
      <w:r>
        <w:t xml:space="preserve">, </w:t>
      </w:r>
      <w:hyperlink r:id="rId450"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1"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2">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3">
        <w:r>
          <w:rPr>
            <w:rStyle w:val="Hyperlink"/>
          </w:rPr>
          <w:t>DĀ 13</w:t>
        </w:r>
      </w:hyperlink>
      <w:r>
        <w:t xml:space="preserve"> at 61b3, </w:t>
      </w:r>
      <w:hyperlink r:id="rId454">
        <w:r>
          <w:rPr>
            <w:rStyle w:val="Hyperlink"/>
          </w:rPr>
          <w:t>MĀ 97</w:t>
        </w:r>
      </w:hyperlink>
      <w:r>
        <w:t xml:space="preserve"> at 579c7, </w:t>
      </w:r>
      <w:hyperlink r:id="rId455">
        <w:r>
          <w:rPr>
            <w:rStyle w:val="Hyperlink"/>
          </w:rPr>
          <w:t>T 14</w:t>
        </w:r>
      </w:hyperlink>
      <w:r>
        <w:t xml:space="preserve"> at 243b8; </w:t>
      </w:r>
      <w:hyperlink r:id="rId456">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7">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58"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59"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0"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1"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w:t>
      </w:r>
      <w:proofErr w:type="spellStart"/>
      <w:r>
        <w:t>Pāli</w:t>
      </w:r>
      <w:proofErr w:type="spellEnd"/>
      <w:r>
        <w:t xml:space="preserve">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2"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3"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4"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5"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6" w:anchor="YYY" w:history="1">
        <w:r>
          <w:rPr>
            <w:rStyle w:val="Hyperlink"/>
          </w:rPr>
          <w:t>SN 12.38</w:t>
        </w:r>
      </w:hyperlink>
      <w:r>
        <w:t xml:space="preserve">, </w:t>
      </w:r>
      <w:hyperlink r:id="rId467" w:anchor="YYY" w:history="1">
        <w:r>
          <w:rPr>
            <w:rStyle w:val="Hyperlink"/>
          </w:rPr>
          <w:t>SN 12.39</w:t>
        </w:r>
      </w:hyperlink>
      <w:r>
        <w:t xml:space="preserve">, </w:t>
      </w:r>
      <w:hyperlink r:id="rId468"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69">
        <w:r>
          <w:rPr>
            <w:rStyle w:val="Hyperlink"/>
          </w:rPr>
          <w:t>SĀ 359</w:t>
        </w:r>
      </w:hyperlink>
      <w:r>
        <w:t xml:space="preserve">, </w:t>
      </w:r>
      <w:hyperlink r:id="rId470">
        <w:r>
          <w:rPr>
            <w:rStyle w:val="Hyperlink"/>
          </w:rPr>
          <w:t>SĀ 360</w:t>
        </w:r>
      </w:hyperlink>
      <w:r>
        <w:t xml:space="preserve">, </w:t>
      </w:r>
      <w:hyperlink r:id="rId471">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2" w:anchor="YYY" w:history="1">
        <w:r>
          <w:rPr>
            <w:rStyle w:val="Hyperlink"/>
          </w:rPr>
          <w:t>MN 144:11.3–11.9</w:t>
        </w:r>
      </w:hyperlink>
      <w:r>
        <w:t xml:space="preserve"> </w:t>
      </w:r>
      <w:r>
        <w:rPr>
          <w:rStyle w:val="wwc-PTS-reference"/>
        </w:rPr>
        <w:t>M III 266</w:t>
      </w:r>
      <w:r>
        <w:t xml:space="preserve">, </w:t>
      </w:r>
      <w:hyperlink r:id="rId473" w:anchor="YYY" w:history="1">
        <w:r>
          <w:rPr>
            <w:rStyle w:val="Hyperlink"/>
          </w:rPr>
          <w:t>SN 35.87:11.3–11.9</w:t>
        </w:r>
      </w:hyperlink>
      <w:r>
        <w:t xml:space="preserve">, </w:t>
      </w:r>
      <w:hyperlink r:id="rId474"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5" w:anchor="YYY" w:history="1">
        <w:r>
          <w:rPr>
            <w:rStyle w:val="Hyperlink"/>
          </w:rPr>
          <w:t>SN 35.87</w:t>
        </w:r>
      </w:hyperlink>
      <w:r>
        <w:t xml:space="preserve">). In discussing </w:t>
      </w:r>
      <w:hyperlink r:id="rId476"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5" w:name="footnote479"/>
      <w:bookmarkEnd w:id="135"/>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7"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78"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79"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0" w:anchor="YYY" w:history="1">
        <w:r>
          <w:rPr>
            <w:rStyle w:val="Hyperlink"/>
          </w:rPr>
          <w:t>DN 9:17.7</w:t>
        </w:r>
      </w:hyperlink>
      <w:r>
        <w:t xml:space="preserve">, ‘not intending, not willing’. Similar instances of these synonyms are found in </w:t>
      </w:r>
      <w:hyperlink r:id="rId481" w:anchor="YYY" w:history="1">
        <w:r>
          <w:rPr>
            <w:rStyle w:val="Hyperlink"/>
          </w:rPr>
          <w:t>MN 140:22.10</w:t>
        </w:r>
      </w:hyperlink>
      <w:r>
        <w:t xml:space="preserve">, </w:t>
      </w:r>
      <w:hyperlink r:id="rId482" w:anchor="YYY" w:history="1">
        <w:r>
          <w:rPr>
            <w:rStyle w:val="Hyperlink"/>
          </w:rPr>
          <w:t>SN 12.51:9.5</w:t>
        </w:r>
      </w:hyperlink>
      <w:r>
        <w:t xml:space="preserve">, and </w:t>
      </w:r>
      <w:hyperlink r:id="rId483"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4"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5"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6"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7"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88"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89"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0"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1"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w:t>
      </w:r>
      <w:proofErr w:type="spellStart"/>
      <w:r>
        <w:t>Pāli</w:t>
      </w:r>
      <w:proofErr w:type="spellEnd"/>
      <w:r>
        <w:t xml:space="preserve">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2"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3">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4"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5"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5" w:name="footnote504"/>
      <w:bookmarkEnd w:id="145"/>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6"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7"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498"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499"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0"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1"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2"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3"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4"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5">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6"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7">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08" w:anchor="YYY" w:history="1">
        <w:proofErr w:type="spellStart"/>
        <w:r>
          <w:rPr>
            <w:rStyle w:val="Hyperlink"/>
          </w:rPr>
          <w:t>Snp</w:t>
        </w:r>
        <w:proofErr w:type="spellEnd"/>
        <w:r>
          <w:rPr>
            <w:rStyle w:val="Hyperlink"/>
          </w:rPr>
          <w:t xml:space="preserve"> 3.5</w:t>
        </w:r>
      </w:hyperlink>
      <w:r>
        <w:t xml:space="preserve">; </w:t>
      </w:r>
      <w:hyperlink r:id="rId509" w:anchor="YYY" w:history="1">
        <w:proofErr w:type="spellStart"/>
        <w:r>
          <w:rPr>
            <w:rStyle w:val="Hyperlink"/>
          </w:rPr>
          <w:t>Thag</w:t>
        </w:r>
        <w:proofErr w:type="spellEnd"/>
        <w:r>
          <w:rPr>
            <w:rStyle w:val="Hyperlink"/>
          </w:rPr>
          <w:t xml:space="preserve"> 2.48</w:t>
        </w:r>
      </w:hyperlink>
      <w:r>
        <w:t xml:space="preserve">; </w:t>
      </w:r>
      <w:hyperlink r:id="rId510"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1" w:anchor="YYY" w:history="1">
        <w:r>
          <w:rPr>
            <w:rStyle w:val="Hyperlink"/>
          </w:rPr>
          <w:t>MN 98:11.101–11.104</w:t>
        </w:r>
      </w:hyperlink>
      <w:r>
        <w:t xml:space="preserve"> </w:t>
      </w:r>
      <w:r>
        <w:rPr>
          <w:rStyle w:val="wwc-PTS-reference"/>
        </w:rPr>
        <w:t>M II 122</w:t>
      </w:r>
      <w:r>
        <w:t xml:space="preserve">; </w:t>
      </w:r>
      <w:hyperlink r:id="rId512" w:anchor="YYY" w:history="1">
        <w:proofErr w:type="spellStart"/>
        <w:r>
          <w:rPr>
            <w:rStyle w:val="Hyperlink"/>
          </w:rPr>
          <w:t>Snp</w:t>
        </w:r>
        <w:proofErr w:type="spellEnd"/>
        <w:r>
          <w:rPr>
            <w:rStyle w:val="Hyperlink"/>
          </w:rPr>
          <w:t xml:space="preserve"> 3.9:56.1–56.4</w:t>
        </w:r>
      </w:hyperlink>
      <w:r>
        <w:t xml:space="preserve">; </w:t>
      </w:r>
      <w:hyperlink r:id="rId513"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4"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5">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6"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17"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18"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19" w:anchor="YYY" w:history="1">
        <w:r>
          <w:rPr>
            <w:rStyle w:val="Hyperlink"/>
          </w:rPr>
          <w:t>SN 1.34</w:t>
        </w:r>
      </w:hyperlink>
      <w:r>
        <w:t xml:space="preserve">, </w:t>
      </w:r>
      <w:hyperlink r:id="rId520"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1"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2"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3"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4"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5"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6" w:anchor="YYY" w:history="1">
        <w:r>
          <w:rPr>
            <w:rStyle w:val="Hyperlink"/>
          </w:rPr>
          <w:t>SN 4.1:2.1</w:t>
        </w:r>
      </w:hyperlink>
      <w:r>
        <w:t xml:space="preserve"> and </w:t>
      </w:r>
      <w:hyperlink r:id="rId527"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28">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29" w:anchor="YYY" w:history="1">
        <w:r>
          <w:rPr>
            <w:rStyle w:val="Hyperlink"/>
          </w:rPr>
          <w:t>SN 5.10</w:t>
        </w:r>
      </w:hyperlink>
      <w:r>
        <w:t xml:space="preserve">. See also </w:t>
      </w:r>
      <w:hyperlink r:id="rId530"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1"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2" w:anchor="YYY" w:history="1">
        <w:r>
          <w:rPr>
            <w:rStyle w:val="Hyperlink"/>
          </w:rPr>
          <w:t>SN 1.49</w:t>
        </w:r>
      </w:hyperlink>
      <w:r>
        <w:t xml:space="preserve">, </w:t>
      </w:r>
      <w:hyperlink r:id="rId533" w:anchor="YYY" w:history="1">
        <w:r>
          <w:rPr>
            <w:rStyle w:val="Hyperlink"/>
          </w:rPr>
          <w:t>SN 3.17</w:t>
        </w:r>
      </w:hyperlink>
      <w:r>
        <w:t xml:space="preserve">, </w:t>
      </w:r>
      <w:hyperlink r:id="rId534" w:anchor="YYY" w:history="1">
        <w:r>
          <w:rPr>
            <w:rStyle w:val="Hyperlink"/>
          </w:rPr>
          <w:t>SN 12.41</w:t>
        </w:r>
      </w:hyperlink>
      <w:r>
        <w:t xml:space="preserve">, </w:t>
      </w:r>
      <w:hyperlink r:id="rId535" w:anchor="YYY" w:history="1">
        <w:r>
          <w:rPr>
            <w:rStyle w:val="Hyperlink"/>
          </w:rPr>
          <w:t>AN 2.1</w:t>
        </w:r>
      </w:hyperlink>
      <w:r>
        <w:t xml:space="preserve">, </w:t>
      </w:r>
      <w:hyperlink r:id="rId536" w:anchor="YYY" w:history="1">
        <w:r>
          <w:rPr>
            <w:rStyle w:val="Hyperlink"/>
          </w:rPr>
          <w:t>AN 3.34</w:t>
        </w:r>
      </w:hyperlink>
      <w:r>
        <w:t xml:space="preserve">, </w:t>
      </w:r>
      <w:hyperlink r:id="rId537" w:anchor="YYY" w:history="1">
        <w:r>
          <w:rPr>
            <w:rStyle w:val="Hyperlink"/>
          </w:rPr>
          <w:t>AN 3.69</w:t>
        </w:r>
      </w:hyperlink>
      <w:r>
        <w:t xml:space="preserve">, </w:t>
      </w:r>
      <w:hyperlink r:id="rId538" w:anchor="YYY" w:history="1">
        <w:r>
          <w:rPr>
            <w:rStyle w:val="Hyperlink"/>
          </w:rPr>
          <w:t>Iti 23</w:t>
        </w:r>
      </w:hyperlink>
      <w:r>
        <w:t xml:space="preserve">, </w:t>
      </w:r>
      <w:hyperlink r:id="rId539" w:anchor="YYY" w:history="1">
        <w:r>
          <w:rPr>
            <w:rStyle w:val="Hyperlink"/>
          </w:rPr>
          <w:t>Iti 28</w:t>
        </w:r>
      </w:hyperlink>
      <w:r>
        <w:t>/</w:t>
      </w:r>
      <w:hyperlink r:id="rId540" w:anchor="YYY" w:history="1">
        <w:r>
          <w:rPr>
            <w:rStyle w:val="Hyperlink"/>
            <w:lang w:val="en-US"/>
          </w:rPr>
          <w:t>Iti 29</w:t>
        </w:r>
      </w:hyperlink>
      <w:r>
        <w:rPr>
          <w:lang w:val="en-US"/>
        </w:rPr>
        <w:t xml:space="preserve">, </w:t>
      </w:r>
      <w:hyperlink r:id="rId541" w:anchor="YYY" w:history="1">
        <w:r>
          <w:rPr>
            <w:rStyle w:val="Hyperlink"/>
          </w:rPr>
          <w:t>Iti 41</w:t>
        </w:r>
      </w:hyperlink>
      <w:r>
        <w:t xml:space="preserve">, </w:t>
      </w:r>
      <w:hyperlink r:id="rId542" w:anchor="YYY" w:history="1">
        <w:r>
          <w:rPr>
            <w:rStyle w:val="Hyperlink"/>
          </w:rPr>
          <w:t>Iti 44</w:t>
        </w:r>
      </w:hyperlink>
      <w:r>
        <w:t xml:space="preserve">, </w:t>
      </w:r>
      <w:hyperlink r:id="rId543"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4"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5"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6"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7"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48"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49"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0"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1"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2"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3"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4"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5"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proofErr w:type="spellStart"/>
      <w:r>
        <w:rPr>
          <w:rStyle w:val="wwc-pali"/>
        </w:rPr>
        <w:t>vedanā</w:t>
      </w:r>
      <w:proofErr w:type="spellEnd"/>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6"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57"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58"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59"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0" w:anchor="YYY" w:history="1">
        <w:r>
          <w:rPr>
            <w:rStyle w:val="Hyperlink"/>
          </w:rPr>
          <w:t>SN 12.68</w:t>
        </w:r>
      </w:hyperlink>
      <w:r>
        <w:t xml:space="preserve">, </w:t>
      </w:r>
      <w:hyperlink r:id="rId561"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2"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3" w:anchor="YYY" w:history="1">
        <w:r>
          <w:rPr>
            <w:rStyle w:val="Hyperlink"/>
          </w:rPr>
          <w:t>MN 59:16.1–16.6</w:t>
        </w:r>
      </w:hyperlink>
      <w:r>
        <w:t xml:space="preserve"> </w:t>
      </w:r>
      <w:r>
        <w:rPr>
          <w:rStyle w:val="wwc-PTS-reference"/>
        </w:rPr>
        <w:t>M I 400</w:t>
      </w:r>
      <w:r>
        <w:t xml:space="preserve">, </w:t>
      </w:r>
      <w:hyperlink r:id="rId564" w:anchor="YYY" w:history="1">
        <w:r>
          <w:rPr>
            <w:rStyle w:val="Hyperlink"/>
          </w:rPr>
          <w:t>SN 36.19:16.1–16.6</w:t>
        </w:r>
      </w:hyperlink>
      <w:r>
        <w:t>, compare with</w:t>
      </w:r>
    </w:p>
    <w:p w14:paraId="714C0EF3" w14:textId="77777777" w:rsidR="00FE3964" w:rsidRDefault="00000000">
      <w:pPr>
        <w:pStyle w:val="FootnoteText"/>
      </w:pPr>
      <w:hyperlink r:id="rId565" w:anchor="YYY" w:history="1">
        <w:r>
          <w:rPr>
            <w:rStyle w:val="Hyperlink"/>
          </w:rPr>
          <w:t>AN 9.34</w:t>
        </w:r>
      </w:hyperlink>
      <w:r>
        <w:t xml:space="preserve">; </w:t>
      </w:r>
      <w:hyperlink r:id="rId566"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7"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68"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69" w:anchor="YYY" w:history="1">
        <w:r>
          <w:rPr>
            <w:rStyle w:val="Hyperlink"/>
          </w:rPr>
          <w:t>DN 15:1.3–1.8</w:t>
        </w:r>
      </w:hyperlink>
      <w:r>
        <w:t xml:space="preserve"> </w:t>
      </w:r>
      <w:r>
        <w:rPr>
          <w:rStyle w:val="wwc-PTS-reference"/>
        </w:rPr>
        <w:t>D II 55</w:t>
      </w:r>
      <w:r>
        <w:t xml:space="preserve">. See also </w:t>
      </w:r>
      <w:hyperlink r:id="rId570"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1"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2"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3"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4" w:anchor="YYY" w:history="1">
        <w:r>
          <w:rPr>
            <w:rStyle w:val="Hyperlink"/>
          </w:rPr>
          <w:t>SN 12.41</w:t>
        </w:r>
      </w:hyperlink>
      <w:r>
        <w:t xml:space="preserve">, </w:t>
      </w:r>
      <w:hyperlink r:id="rId575"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57047"/>
    <w:rsid w:val="000873AD"/>
    <w:rsid w:val="00101A5A"/>
    <w:rsid w:val="0010474B"/>
    <w:rsid w:val="00116CB5"/>
    <w:rsid w:val="00157904"/>
    <w:rsid w:val="00223819"/>
    <w:rsid w:val="0029727B"/>
    <w:rsid w:val="002C7899"/>
    <w:rsid w:val="002E2E7F"/>
    <w:rsid w:val="002E4D75"/>
    <w:rsid w:val="00315E38"/>
    <w:rsid w:val="003202C4"/>
    <w:rsid w:val="00335C0D"/>
    <w:rsid w:val="003514C3"/>
    <w:rsid w:val="003E36CD"/>
    <w:rsid w:val="00422B5B"/>
    <w:rsid w:val="00444B0C"/>
    <w:rsid w:val="00513238"/>
    <w:rsid w:val="005B6501"/>
    <w:rsid w:val="005B77EF"/>
    <w:rsid w:val="005D1FB5"/>
    <w:rsid w:val="005F3EED"/>
    <w:rsid w:val="006C328E"/>
    <w:rsid w:val="006E13DC"/>
    <w:rsid w:val="006F4F1E"/>
    <w:rsid w:val="006F507C"/>
    <w:rsid w:val="007060FA"/>
    <w:rsid w:val="0070729B"/>
    <w:rsid w:val="00711A85"/>
    <w:rsid w:val="00742DE5"/>
    <w:rsid w:val="007664E6"/>
    <w:rsid w:val="00794E35"/>
    <w:rsid w:val="007A1CDD"/>
    <w:rsid w:val="008D2515"/>
    <w:rsid w:val="0095428E"/>
    <w:rsid w:val="00A40506"/>
    <w:rsid w:val="00A50EF1"/>
    <w:rsid w:val="00AC25F3"/>
    <w:rsid w:val="00AC5B2A"/>
    <w:rsid w:val="00AD47FB"/>
    <w:rsid w:val="00AF7A6C"/>
    <w:rsid w:val="00B61EC1"/>
    <w:rsid w:val="00BC088A"/>
    <w:rsid w:val="00C92882"/>
    <w:rsid w:val="00CC3BE8"/>
    <w:rsid w:val="00D42252"/>
    <w:rsid w:val="00D43D4E"/>
    <w:rsid w:val="00E77EEA"/>
    <w:rsid w:val="00EB7E5D"/>
    <w:rsid w:val="00EC5E70"/>
    <w:rsid w:val="00ED5972"/>
    <w:rsid w:val="00F40796"/>
    <w:rsid w:val="00F53196"/>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A6C"/>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52"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sa-2.30"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sa360"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ma62"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da13"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uttacentral.net/sf161"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ma97"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t52"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XXX/en/sujato"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sa359"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sa1265"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61"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sa377" TargetMode="External"/><Relationship Id="rId507" Type="http://schemas.openxmlformats.org/officeDocument/2006/relationships/hyperlink" Target="https://suttacentral.net/ea26.10"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da13"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sa294"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t14"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9213</TotalTime>
  <Pages>198</Pages>
  <Words>66438</Words>
  <Characters>378697</Characters>
  <Application>Microsoft Office Word</Application>
  <DocSecurity>0</DocSecurity>
  <Lines>3155</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38</cp:revision>
  <dcterms:created xsi:type="dcterms:W3CDTF">2025-11-08T11:59:00Z</dcterms:created>
  <dcterms:modified xsi:type="dcterms:W3CDTF">2025-11-10T14:45:00Z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