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Pr="001340AE" w:rsidRDefault="001340AE" w:rsidP="0038200B">
      <w:pPr>
        <w:rPr>
          <w:rStyle w:val="wwc-sesame"/>
        </w:rPr>
      </w:pPr>
      <w:r w:rsidRPr="001340AE">
        <w:rPr>
          <w:rStyle w:val="wwc-sesame"/>
        </w:rPr>
        <w:t>Temp Sesame</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w:t>
      </w:r>
      <w:r w:rsidRPr="000209BC">
        <w:lastRenderedPageBreak/>
        <w:t xml:space="preserve">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w:t>
      </w:r>
      <w:r w:rsidRPr="000209BC">
        <w:lastRenderedPageBreak/>
        <w:t xml:space="preserve">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xml:space="preserve">), the </w:t>
      </w:r>
      <w:r w:rsidRPr="000209BC">
        <w:lastRenderedPageBreak/>
        <w:t>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lastRenderedPageBreak/>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w:t>
      </w:r>
      <w:r w:rsidRPr="000209BC">
        <w:lastRenderedPageBreak/>
        <w:t xml:space="preserve">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lastRenderedPageBreak/>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w:t>
      </w:r>
      <w:r w:rsidRPr="000209BC">
        <w:lastRenderedPageBreak/>
        <w:t xml:space="preserve">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w:t>
      </w:r>
      <w:r w:rsidRPr="000209BC">
        <w:lastRenderedPageBreak/>
        <w:t xml:space="preserve">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lastRenderedPageBreak/>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w:t>
      </w:r>
      <w:r w:rsidRPr="000209BC">
        <w:lastRenderedPageBreak/>
        <w:t>schools, identified by Frauwallner as harking back to a common, presectarian ancestor.</w:t>
      </w:r>
    </w:p>
    <w:p w14:paraId="757729CE" w14:textId="77777777" w:rsidR="000209BC" w:rsidRPr="000209BC" w:rsidRDefault="000209BC" w:rsidP="00467E65">
      <w:pPr>
        <w:pStyle w:val="WW-paragraph"/>
      </w:pPr>
      <w:r w:rsidRPr="000209BC">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lastRenderedPageBreak/>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lastRenderedPageBreak/>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w:t>
      </w:r>
      <w:r w:rsidRPr="000209BC">
        <w:lastRenderedPageBreak/>
        <w:t>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lastRenderedPageBreak/>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68B6CF1F" w:rsidR="000209BC" w:rsidRPr="000209BC" w:rsidRDefault="000209BC" w:rsidP="00FF1EC2">
            <w:pPr>
              <w:pStyle w:val="WW-paragraph"/>
            </w:pPr>
            <w:r w:rsidRPr="006F75ED">
              <w:rPr>
                <w:rStyle w:val="wwc-superscript"/>
              </w:rPr>
              <w:t>3</w:t>
            </w:r>
            <w:r w:rsidR="00036596">
              <w:t xml:space="preserve"> </w:t>
            </w:r>
            <w:r w:rsidRPr="000209BC">
              <w:t>E.g. SN 24/SA 4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4DB5E292" w:rsidR="000209BC" w:rsidRPr="000209BC" w:rsidRDefault="000209BC" w:rsidP="00FF1EC2">
            <w:pPr>
              <w:pStyle w:val="WW-paragraph"/>
            </w:pPr>
            <w:r w:rsidRPr="006F75ED">
              <w:rPr>
                <w:rStyle w:val="wwc-superscript"/>
              </w:rPr>
              <w:t>5</w:t>
            </w:r>
            <w:r w:rsidR="00036596">
              <w:t xml:space="preserve"> </w:t>
            </w:r>
            <w:r w:rsidRPr="000209BC">
              <w:t>SA 41, omitted in SN but likely to be original.</w:t>
            </w:r>
          </w:p>
        </w:tc>
      </w:tr>
      <w:tr w:rsidR="000209BC" w:rsidRPr="000209BC" w14:paraId="2949D9BE" w14:textId="77777777" w:rsidTr="00FF1EC2">
        <w:tc>
          <w:tcPr>
            <w:tcW w:w="0" w:type="auto"/>
            <w:gridSpan w:val="3"/>
            <w:hideMark/>
          </w:tcPr>
          <w:p w14:paraId="7EEB708D" w14:textId="06C31C6A" w:rsidR="000209BC" w:rsidRPr="000209BC" w:rsidRDefault="000209BC" w:rsidP="00FF1EC2">
            <w:pPr>
              <w:pStyle w:val="WW-paragraph"/>
            </w:pPr>
            <w:r w:rsidRPr="006F75ED">
              <w:rPr>
                <w:rStyle w:val="wwc-superscript"/>
              </w:rPr>
              <w:t>6</w:t>
            </w:r>
            <w:r w:rsidR="00036596">
              <w:t xml:space="preserve"> </w:t>
            </w:r>
            <w:r w:rsidRPr="000209BC">
              <w:t>E.g. SN 43/SA 890 Asaṅkhata, SN 55/SA 30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lastRenderedPageBreak/>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183421AD" w:rsidR="000209BC" w:rsidRPr="000209BC" w:rsidRDefault="000209BC" w:rsidP="00FF1EC2">
            <w:pPr>
              <w:pStyle w:val="WW-paragraph"/>
            </w:pPr>
            <w:r w:rsidRPr="006F75ED">
              <w:rPr>
                <w:rStyle w:val="wwc-superscript"/>
              </w:rPr>
              <w:t>9</w:t>
            </w:r>
            <w:r w:rsidR="00036596">
              <w:t xml:space="preserve"> </w:t>
            </w:r>
            <w:r w:rsidRPr="000209BC">
              <w:t>SA 29,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t>
      </w:r>
      <w:r w:rsidRPr="000209BC">
        <w:lastRenderedPageBreak/>
        <w:t xml:space="preserve">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w:t>
      </w:r>
      <w:r w:rsidRPr="000209BC">
        <w:lastRenderedPageBreak/>
        <w:t>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w:t>
      </w:r>
      <w:r w:rsidRPr="000209BC">
        <w:lastRenderedPageBreak/>
        <w:t>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0209BC">
        <w:rPr>
          <w:i/>
          <w:iCs/>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7777777" w:rsidR="000209BC" w:rsidRDefault="000209BC" w:rsidP="00A17324">
            <w:pPr>
              <w:pStyle w:val="WW-paragraph"/>
            </w:pPr>
            <w:r w:rsidRPr="00ED6D28">
              <w:rPr>
                <w:rStyle w:val="wwc-superscript"/>
              </w:rPr>
              <w:t>1</w:t>
            </w:r>
            <w:r w:rsidR="00036596">
              <w:t xml:space="preserve"> </w:t>
            </w:r>
            <w:r w:rsidRPr="000209BC">
              <w:t>Śrāvakabhūmi, pg. 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0209BC">
        <w:rPr>
          <w:i/>
          <w:iCs/>
        </w:rPr>
        <w:t>aṅgas</w:t>
      </w:r>
      <w:r w:rsidR="00036596">
        <w:t xml:space="preserve"> </w:t>
      </w:r>
      <w:r w:rsidRPr="000209BC">
        <w:t>(sections):</w:t>
      </w:r>
      <w:r w:rsidR="00036596">
        <w:t xml:space="preserve"> </w:t>
      </w:r>
      <w:r w:rsidRPr="000209BC">
        <w:rPr>
          <w:i/>
          <w:iCs/>
        </w:rPr>
        <w:t>sutta</w:t>
      </w:r>
      <w:r w:rsidR="00036596">
        <w:t xml:space="preserve"> </w:t>
      </w:r>
      <w:r w:rsidRPr="000209BC">
        <w:t>(basic prose texts),</w:t>
      </w:r>
      <w:r w:rsidR="00036596">
        <w:t xml:space="preserve"> </w:t>
      </w:r>
      <w:r w:rsidRPr="000209BC">
        <w:rPr>
          <w:i/>
          <w:iCs/>
        </w:rPr>
        <w:t>geyya</w:t>
      </w:r>
      <w:r w:rsidR="00036596">
        <w:t xml:space="preserve"> </w:t>
      </w:r>
      <w:r w:rsidRPr="000209BC">
        <w:t>(verses), and</w:t>
      </w:r>
      <w:r w:rsidR="00036596">
        <w:t xml:space="preserve"> </w:t>
      </w:r>
      <w:r w:rsidRPr="000209BC">
        <w:rPr>
          <w:i/>
          <w:iCs/>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vedalla</w:t>
      </w:r>
      <w:r w:rsidRPr="000209BC">
        <w:t>, and</w:t>
      </w:r>
      <w:r w:rsidR="00036596">
        <w:t xml:space="preserve"> </w:t>
      </w:r>
      <w:r w:rsidRPr="000209BC">
        <w:rPr>
          <w:i/>
          <w:iCs/>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0209BC">
        <w:rPr>
          <w:i/>
          <w:iCs/>
        </w:rPr>
        <w:t>nidāna</w:t>
      </w:r>
      <w:r w:rsidRPr="000209BC">
        <w:t>,</w:t>
      </w:r>
      <w:r w:rsidR="00036596">
        <w:t xml:space="preserve"> </w:t>
      </w:r>
      <w:r w:rsidRPr="000209BC">
        <w:rPr>
          <w:i/>
          <w:iCs/>
        </w:rPr>
        <w:t>avadāna</w:t>
      </w:r>
      <w:r w:rsidRPr="000209BC">
        <w:t>, and</w:t>
      </w:r>
      <w:r w:rsidR="00036596">
        <w:t xml:space="preserve"> </w:t>
      </w:r>
      <w:r w:rsidRPr="000209BC">
        <w:rPr>
          <w:i/>
          <w:iCs/>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0CA267A3" w14:textId="77777777" w:rsidR="00020263" w:rsidRDefault="000209BC" w:rsidP="006807A5">
      <w:pPr>
        <w:pStyle w:val="WW-paragraph"/>
      </w:pPr>
      <w:r w:rsidRPr="000209BC">
        <w:t xml:space="preserve">Lamotte is quite correct to say that the aṅga classification is ambiguous. This, however, does not show that it was never used as a real division of the teachings, only that any such division would be imperfect. </w:t>
      </w:r>
    </w:p>
    <w:p w14:paraId="27561B6E" w14:textId="79255B56" w:rsidR="00020263" w:rsidRDefault="00020263" w:rsidP="00020263">
      <w:pPr>
        <w:pStyle w:val="WW-Chapter"/>
      </w:pPr>
      <w:r>
        <w:t>HERE…………………….</w:t>
      </w:r>
    </w:p>
    <w:p w14:paraId="3AA405C3" w14:textId="4D6E9BA6" w:rsidR="000209BC" w:rsidRPr="000209BC" w:rsidRDefault="000209BC" w:rsidP="006807A5">
      <w:pPr>
        <w:pStyle w:val="WW-paragraph"/>
      </w:pPr>
      <w:r w:rsidRPr="000209BC">
        <w:t>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w:t>
      </w:r>
      <w:r w:rsidRPr="000209BC">
        <w:lastRenderedPageBreak/>
        <w:t>shorter, and that as other books were compiled their names were added to the list. This is a less radical hypothesis than the proposition that the very 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in depth consideration of the first three. None of these attributions are beyond dispute. However, we can establish that it is possible, even plausible, that they referred to specific groupings of texts, many of which are still available.</w:t>
      </w:r>
    </w:p>
    <w:p w14:paraId="147D93E5" w14:textId="2059BFAA" w:rsidR="000209BC" w:rsidRPr="000209BC" w:rsidRDefault="000209BC" w:rsidP="006807A5">
      <w:pPr>
        <w:pStyle w:val="WW-paragraph"/>
      </w:pPr>
      <w:r w:rsidRPr="000209BC">
        <w:rPr>
          <w:b/>
          <w:bCs/>
          <w:i/>
          <w:i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MA 33),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3B33894C" w:rsidR="000209BC" w:rsidRPr="000209BC" w:rsidRDefault="000209BC" w:rsidP="006807A5">
      <w:pPr>
        <w:pStyle w:val="WW-paragraph"/>
      </w:pPr>
      <w:r w:rsidRPr="000209BC">
        <w:rPr>
          <w:b/>
          <w:bCs/>
          <w:i/>
          <w:i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0209BC">
        <w:rPr>
          <w:i/>
          <w:iCs/>
        </w:rPr>
        <w:t>udānas</w:t>
      </w:r>
      <w:r w:rsidRPr="000209BC">
        <w:t xml:space="preserve">, and were later embedded in background material of </w:t>
      </w:r>
      <w:r w:rsidRPr="000209BC">
        <w:lastRenderedPageBreak/>
        <w:t>varying authenticity. A certain stage in this process is marked by the Pali 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Kaṭhinadhamma Sutta).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0209BC">
        <w:rPr>
          <w:b/>
          <w:bCs/>
          <w:i/>
          <w:i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0209BC">
        <w:rPr>
          <w:i/>
          <w:iCs/>
        </w:rPr>
        <w:t>itivuttaka</w:t>
      </w:r>
      <w:r w:rsidR="00036596">
        <w:t xml:space="preserve"> </w:t>
      </w:r>
      <w:r w:rsidRPr="000209BC">
        <w:lastRenderedPageBreak/>
        <w:t>could mean ‘sayings of the past’.</w:t>
      </w:r>
      <w:r w:rsidR="00036596">
        <w:t xml:space="preserve"> </w:t>
      </w:r>
      <w:r w:rsidRPr="000209BC">
        <w:rPr>
          <w:i/>
          <w:iCs/>
        </w:rPr>
        <w:t>Itivuttaka</w:t>
      </w:r>
      <w:r w:rsidR="00036596">
        <w:t xml:space="preserve"> </w:t>
      </w:r>
      <w:r w:rsidRPr="000209BC">
        <w:t>might then refer to the legendary 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0209BC">
        <w:rPr>
          <w:i/>
          <w:iCs/>
        </w:rPr>
        <w:t>itivuttakas</w:t>
      </w:r>
      <w:r w:rsidR="00036596">
        <w:t xml:space="preserve"> </w:t>
      </w:r>
      <w:r w:rsidRPr="000209BC">
        <w:t>as stories of the past, sometimes interchangeably with</w:t>
      </w:r>
      <w:r w:rsidR="00036596">
        <w:t xml:space="preserve"> </w:t>
      </w:r>
      <w:r w:rsidRPr="000209BC">
        <w:rPr>
          <w:i/>
          <w:iCs/>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527034CF" w:rsidR="000209BC" w:rsidRPr="000209BC" w:rsidRDefault="000209BC" w:rsidP="006807A5">
      <w:pPr>
        <w:pStyle w:val="WW-paragraph"/>
      </w:pPr>
      <w:r w:rsidRPr="000209BC">
        <w:rPr>
          <w:b/>
          <w:bCs/>
          <w:i/>
          <w:i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[MA 60]). However, the terms</w:t>
      </w:r>
      <w:r w:rsidR="00036596">
        <w:t xml:space="preserve"> </w:t>
      </w:r>
      <w:r w:rsidRPr="000209BC">
        <w:rPr>
          <w:i/>
          <w:iCs/>
        </w:rPr>
        <w:t>jātaka</w:t>
      </w:r>
      <w:r w:rsidRPr="000209BC">
        <w:t>, ‘</w:t>
      </w:r>
      <w:r w:rsidRPr="000209BC">
        <w:rPr>
          <w:i/>
          <w:iCs/>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t xml:space="preserve">These ‘stories of the present’ presuppose a stage in the development of the bodhisatta doctrine significantly in advance of the early discourses. The </w:t>
      </w:r>
      <w:r w:rsidRPr="000209BC">
        <w:lastRenderedPageBreak/>
        <w:t>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i/>
          <w:iCs/>
        </w:rPr>
        <w:t>bodhiśakta</w:t>
      </w:r>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0209BC">
        <w:rPr>
          <w:b/>
          <w:bCs/>
          <w:i/>
          <w:i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the second-last chapter; thus, bearing in mind that textual units seem to frequently move about in chapters (vaggas) of ten or so discourses, they </w:t>
      </w:r>
      <w:r w:rsidRPr="000209BC">
        <w:lastRenderedPageBreak/>
        <w:t>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0209BC">
        <w:rPr>
          <w:i/>
          <w:iCs/>
        </w:rPr>
        <w:t>vyākaraṇas</w:t>
      </w:r>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‘Sankhārabhājanīya Sutta’ (implausibly identified with the Sankhāruppatti Sutta). The term</w:t>
      </w:r>
      <w:r w:rsidR="00036596">
        <w:t xml:space="preserve"> </w:t>
      </w:r>
      <w:r w:rsidRPr="000209BC">
        <w:rPr>
          <w:i/>
          <w:iCs/>
        </w:rPr>
        <w:t>bhājanīya</w:t>
      </w:r>
      <w:r w:rsidR="00036596">
        <w:t xml:space="preserve"> </w:t>
      </w:r>
      <w:r w:rsidRPr="000209BC">
        <w:t>(‘exposition’), from the same root as ‘</w:t>
      </w:r>
      <w:r w:rsidRPr="000209BC">
        <w:rPr>
          <w:i/>
          <w:iCs/>
        </w:rPr>
        <w:t>vibhaṅga</w:t>
      </w:r>
      <w:r w:rsidRPr="000209BC">
        <w:t>’, is rare in the early discourses, and its most familiar appearance is in the chapter titles of the Abhidhamma Vibhaṅga, which is not too dissimilar to the existing</w:t>
      </w:r>
      <w:r w:rsidR="00036596">
        <w:t xml:space="preserve"> </w:t>
      </w:r>
      <w:r w:rsidRPr="000209BC">
        <w:rPr>
          <w:i/>
          <w:iCs/>
        </w:rPr>
        <w:t>vedallas</w:t>
      </w:r>
      <w:r w:rsidRPr="000209BC">
        <w:t>. The PED is unsure about the derivation of</w:t>
      </w:r>
      <w:r w:rsidR="00036596">
        <w:t xml:space="preserve"> </w:t>
      </w:r>
      <w:r w:rsidRPr="000209BC">
        <w:rPr>
          <w:i/>
          <w:iCs/>
        </w:rPr>
        <w:t>vedalla</w:t>
      </w:r>
      <w:r w:rsidRPr="000209BC">
        <w:t>, improbably suggesting</w:t>
      </w:r>
      <w:r w:rsidR="00036596">
        <w:t xml:space="preserve"> </w:t>
      </w:r>
      <w:r w:rsidRPr="000209BC">
        <w:rPr>
          <w:i/>
          <w:iCs/>
        </w:rPr>
        <w:t>veda</w:t>
      </w:r>
      <w:r w:rsidR="00C16309">
        <w:t xml:space="preserve"> </w:t>
      </w:r>
      <w:r w:rsidRPr="000209BC">
        <w:t>+</w:t>
      </w:r>
      <w:r w:rsidR="00C16309">
        <w:t xml:space="preserve"> </w:t>
      </w:r>
      <w:r w:rsidRPr="000209BC">
        <w:rPr>
          <w:i/>
          <w:iCs/>
        </w:rPr>
        <w:t>ariya</w:t>
      </w:r>
      <w:r w:rsidRPr="000209BC">
        <w:t>. But there is a root</w:t>
      </w:r>
      <w:r w:rsidR="00036596">
        <w:t xml:space="preserve"> </w:t>
      </w:r>
      <w:r w:rsidRPr="000209BC">
        <w:rPr>
          <w:i/>
          <w:iCs/>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0209BC">
        <w:rPr>
          <w:i/>
          <w:iCs/>
        </w:rPr>
        <w:t>vidala</w:t>
      </w:r>
      <w:r w:rsidRPr="000209BC">
        <w:t>, attested in Sanskrit with the meaning ‘dividing, separating’, is exactly parallel with vibhaṅga,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proto-abhidhamma text we call *Vibhaṅga Mūla. However, 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 xml:space="preserve">were probably paired up together before </w:t>
      </w:r>
      <w:r w:rsidRPr="000209BC">
        <w:lastRenderedPageBreak/>
        <w:t>being brought into the Majjhimas. The Sanskrit term here varies, but is usually</w:t>
      </w:r>
      <w:r w:rsidR="00036596">
        <w:t xml:space="preserve"> </w:t>
      </w:r>
      <w:r w:rsidRPr="000209BC">
        <w:rPr>
          <w:i/>
          <w:iCs/>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0209BC">
        <w:rPr>
          <w:i/>
          <w:iCs/>
        </w:rPr>
        <w:t>vaipulya</w:t>
      </w:r>
      <w:r w:rsidR="00036596">
        <w:t xml:space="preserve"> </w:t>
      </w:r>
      <w:r w:rsidRPr="000209BC">
        <w:t>(it helps all beings, and is profound),</w:t>
      </w:r>
      <w:r w:rsidR="00036596">
        <w:t xml:space="preserve"> </w:t>
      </w:r>
      <w:r w:rsidRPr="000209BC">
        <w:rPr>
          <w:i/>
          <w:iCs/>
        </w:rPr>
        <w:t>vaidalya</w:t>
      </w:r>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r w:rsidRPr="000209BC">
        <w:rPr>
          <w:i/>
          <w:iCs/>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668CD9A0" w:rsidR="000209BC" w:rsidRPr="000209BC" w:rsidRDefault="000209BC" w:rsidP="006807A5">
      <w:pPr>
        <w:pStyle w:val="WW-paragraph"/>
      </w:pPr>
      <w:r w:rsidRPr="000209BC">
        <w:rPr>
          <w:b/>
          <w:bCs/>
          <w:i/>
          <w:iCs/>
        </w:rPr>
        <w:t>Abbhūtadhamma</w:t>
      </w:r>
      <w:r w:rsidRPr="000209BC">
        <w:rPr>
          <w:b/>
          <w:bCs/>
        </w:rPr>
        <w:t>:</w:t>
      </w:r>
      <w:r w:rsidR="00036596">
        <w:t xml:space="preserve"> </w:t>
      </w:r>
      <w:r w:rsidRPr="000209BC">
        <w:t>Probably the most straightforward of the aṅgas to interpret, this refers to such discourses as the Acchariya-abbhūta Sutta (MN 123/MA 32), the Bakkula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(MA 33).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fact, at AN 4.127–130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r>
      <w:r w:rsidRPr="000209BC">
        <w:lastRenderedPageBreak/>
        <w:t>vagga. Thus</w:t>
      </w:r>
      <w:r w:rsidR="00036596">
        <w:t xml:space="preserve"> </w:t>
      </w:r>
      <w:r w:rsidRPr="000209BC">
        <w:rPr>
          <w:i/>
          <w:iCs/>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0209BC">
        <w:rPr>
          <w:b/>
          <w:bCs/>
          <w:i/>
          <w:i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0209BC">
        <w:rPr>
          <w:i/>
          <w:iCs/>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0209BC">
        <w:rPr>
          <w:b/>
          <w:bCs/>
          <w:i/>
          <w:iCs/>
        </w:rPr>
        <w:t>Apadāna</w:t>
      </w:r>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r w:rsidRPr="000209BC">
        <w:rPr>
          <w:i/>
          <w:iCs/>
        </w:rPr>
        <w:t>apadānas</w:t>
      </w:r>
      <w:r w:rsidR="00036596">
        <w:t xml:space="preserve"> </w:t>
      </w:r>
      <w:r w:rsidRPr="000209BC">
        <w:t>are past lives of disciples, while</w:t>
      </w:r>
      <w:r w:rsidR="00036596">
        <w:t xml:space="preserve"> </w:t>
      </w:r>
      <w:r w:rsidRPr="000209BC">
        <w:rPr>
          <w:i/>
          <w:iCs/>
        </w:rPr>
        <w:t>jātakas</w:t>
      </w:r>
      <w:r w:rsidR="00036596">
        <w:t xml:space="preserve"> </w:t>
      </w:r>
      <w:r w:rsidRPr="000209BC">
        <w:t xml:space="preserve">are past lives of the Buddha; but this distinction is not maintained consistently. According to Cone, the term has the basic meaning of ‘cutting, reaping, harvest’, applied in a metaphorical sense of ‘reaping’ of the fruits of one’s actions (especially in past lives), and </w:t>
      </w:r>
      <w:r w:rsidRPr="000209BC">
        <w:lastRenderedPageBreak/>
        <w:t>then to a story about kamma and result. The earliest usage in this sense is the Mahāpadāna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r w:rsidRPr="000209BC">
        <w:rPr>
          <w:i/>
          <w:iCs/>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0209BC">
        <w:rPr>
          <w:i/>
          <w:iCs/>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0209BC">
        <w:rPr>
          <w:b/>
          <w:bCs/>
          <w:i/>
          <w:i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r w:rsidRPr="000209BC">
        <w:rPr>
          <w:i/>
          <w:iCs/>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0209BC">
        <w:rPr>
          <w:i/>
          <w:iCs/>
        </w:rPr>
        <w:t>nidānas</w:t>
      </w:r>
      <w:r w:rsidR="00036596">
        <w:t xml:space="preserve"> </w:t>
      </w:r>
      <w:r w:rsidRPr="000209BC">
        <w:t>are the origin stories for the rules, while the</w:t>
      </w:r>
      <w:r w:rsidR="00036596">
        <w:t xml:space="preserve"> </w:t>
      </w:r>
      <w:r w:rsidRPr="000209BC">
        <w:rPr>
          <w:i/>
          <w:iCs/>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0209BC">
        <w:rPr>
          <w:i/>
          <w:iCs/>
        </w:rPr>
        <w:t>apadāna</w:t>
      </w:r>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 xml:space="preserve">is the Abhidhamma. This suggests that the difference between the nine and the twelve aṅgas is not necessarily a matter of </w:t>
      </w:r>
      <w:r w:rsidRPr="000209BC">
        <w:lastRenderedPageBreak/>
        <w:t>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r w:rsidRPr="000209BC">
        <w:rPr>
          <w:i/>
          <w:iCs/>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0209BC">
        <w:rPr>
          <w:i/>
          <w:iCs/>
        </w:rPr>
        <w:t>avadāna</w:t>
      </w:r>
      <w:r w:rsidRPr="000209BC">
        <w:t>, includes many</w:t>
      </w:r>
      <w:r w:rsidR="00036596">
        <w:t xml:space="preserve"> </w:t>
      </w:r>
      <w:r w:rsidRPr="000209BC">
        <w:rPr>
          <w:i/>
          <w:iCs/>
        </w:rPr>
        <w:t>avadānas</w:t>
      </w:r>
      <w:r w:rsidRPr="000209BC">
        <w:t>, and is sometimes suggestively referred to as the Mahāvastu-avadāna. An</w:t>
      </w:r>
      <w:r w:rsidR="00036596">
        <w:t xml:space="preserve"> </w:t>
      </w:r>
      <w:r w:rsidRPr="000209BC">
        <w:rPr>
          <w:i/>
          <w:iCs/>
        </w:rPr>
        <w:t>apadāna</w:t>
      </w:r>
      <w:r w:rsidR="00036596">
        <w:t xml:space="preserve"> </w:t>
      </w:r>
      <w:r w:rsidRPr="000209BC">
        <w:t>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t xml:space="preserve">‘It may be asked: “By what title is this Book to be called?” to which we reply, the Mahāsaṅghikas call it “Mahāvastu”; the Sarvāstivādins call it “Mahā Lalitavistara”; the Kaśyapīyas call it “Buddha-jātaka-nidāna”; the </w:t>
      </w:r>
      <w:r w:rsidRPr="000209BC">
        <w:lastRenderedPageBreak/>
        <w:t>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i/>
          <w:iCs/>
        </w:rPr>
        <w:t>nidānas</w:t>
      </w:r>
      <w:r w:rsidRPr="000209BC">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lastRenderedPageBreak/>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lastRenderedPageBreak/>
        <w:t>‘Ānanda, it is not worthy for a disciple to follow a Teacher for the sake of</w:t>
      </w:r>
      <w:r w:rsidR="00036596">
        <w:t xml:space="preserve"> </w:t>
      </w:r>
      <w:r w:rsidRPr="000209BC">
        <w:rPr>
          <w:i/>
          <w:iCs/>
        </w:rPr>
        <w:t>suttas</w:t>
      </w:r>
      <w:r w:rsidRPr="000209BC">
        <w:t>,</w:t>
      </w:r>
      <w:r w:rsidR="00036596">
        <w:t xml:space="preserve"> </w:t>
      </w:r>
      <w:r w:rsidRPr="000209BC">
        <w:rPr>
          <w:i/>
          <w:iCs/>
        </w:rPr>
        <w:t>geyyas</w:t>
      </w:r>
      <w:r w:rsidRPr="000209BC">
        <w:t>, and</w:t>
      </w:r>
      <w:r w:rsidR="00036596">
        <w:t xml:space="preserve"> </w:t>
      </w:r>
      <w:r w:rsidRPr="000209BC">
        <w:rPr>
          <w:i/>
          <w:iCs/>
        </w:rPr>
        <w:t>vyākaraṇas</w:t>
      </w:r>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w:t>
      </w:r>
      <w:r w:rsidRPr="000209BC">
        <w:lastRenderedPageBreak/>
        <w:t>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0209BC">
        <w:rPr>
          <w:i/>
          <w:iCs/>
        </w:rPr>
        <w:t>sūtra</w:t>
      </w:r>
      <w:r w:rsidRPr="000209BC">
        <w:rPr>
          <w:rFonts w:ascii="Cambria" w:hAnsi="Cambria" w:cs="Cambria"/>
          <w:i/>
          <w:iCs/>
        </w:rPr>
        <w:t>ṁ</w:t>
      </w:r>
      <w:r w:rsidRPr="000209BC">
        <w:rPr>
          <w:i/>
          <w:iCs/>
        </w:rPr>
        <w:t xml:space="preserve"> geya</w:t>
      </w:r>
      <w:r w:rsidRPr="000209BC">
        <w:rPr>
          <w:rFonts w:ascii="Cambria" w:hAnsi="Cambria" w:cs="Cambria"/>
          <w:i/>
          <w:iCs/>
        </w:rPr>
        <w:t>ṁ</w:t>
      </w:r>
      <w:r w:rsidRPr="000209BC">
        <w:rPr>
          <w:i/>
          <w:iCs/>
        </w:rPr>
        <w:t xml:space="preserve"> 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w:t>
      </w:r>
      <w:r w:rsidRPr="000209BC">
        <w:lastRenderedPageBreak/>
        <w:t>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r w:rsidRPr="000209BC">
        <w:rPr>
          <w:i/>
          <w:iCs/>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r w:rsidRPr="000209BC">
        <w:rPr>
          <w:i/>
          <w:iCs/>
        </w:rPr>
        <w:t>vyākaraṇas</w:t>
      </w:r>
      <w:r w:rsidR="00036596">
        <w:rPr>
          <w:i/>
          <w:iCs/>
        </w:rPr>
        <w:t xml:space="preserve"> </w:t>
      </w:r>
      <w:r w:rsidRPr="000209BC">
        <w:t>should be assessed with</w:t>
      </w:r>
      <w:r w:rsidR="00036596">
        <w:t xml:space="preserve"> </w:t>
      </w:r>
      <w:r w:rsidRPr="000209BC">
        <w:rPr>
          <w:i/>
          <w:iCs/>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0209BC">
        <w:rPr>
          <w:i/>
          <w:iCs/>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r w:rsidRPr="000209BC">
        <w:rPr>
          <w:i/>
          <w:iCs/>
        </w:rPr>
        <w:t>vyākaraṇa</w:t>
      </w:r>
      <w:r w:rsidRPr="000209BC">
        <w:t xml:space="preserve">in which one or other of these six dhammas is not </w:t>
      </w:r>
      <w:r w:rsidRPr="000209BC">
        <w:lastRenderedPageBreak/>
        <w:t>apparent.’</w:t>
      </w:r>
      <w:r w:rsidR="00495C55">
        <w:rPr>
          <w:rStyle w:val="FootnoteReference"/>
        </w:rPr>
        <w:footnoteReference w:id="82"/>
      </w:r>
      <w:r w:rsidR="00036596">
        <w:t xml:space="preserve"> </w:t>
      </w:r>
      <w:r w:rsidRPr="000209BC">
        <w:t>Ñāṇamoli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0209BC">
        <w:rPr>
          <w:i/>
          <w:iCs/>
        </w:rPr>
        <w:t>sutta</w:t>
      </w:r>
      <w:r w:rsidRPr="000209BC">
        <w:rPr>
          <w:rFonts w:ascii="Cambria" w:hAnsi="Cambria" w:cs="Cambria"/>
          <w:i/>
          <w:iCs/>
        </w:rPr>
        <w:t>ṁ</w:t>
      </w:r>
      <w:r w:rsidRPr="000209BC">
        <w:rPr>
          <w:i/>
          <w:iCs/>
        </w:rPr>
        <w:t xml:space="preserve"> v</w:t>
      </w:r>
      <w:r w:rsidRPr="000209BC">
        <w:rPr>
          <w:rFonts w:cs="Source Serif Pro"/>
          <w:i/>
          <w:iCs/>
        </w:rPr>
        <w:t>ā</w:t>
      </w:r>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v</w:t>
      </w:r>
      <w:r w:rsidRPr="000209BC">
        <w:rPr>
          <w:rFonts w:cs="Source Serif Pro"/>
          <w:i/>
          <w:iCs/>
        </w:rPr>
        <w:t>ā</w:t>
      </w:r>
      <w:r w:rsidRPr="000209BC">
        <w:rPr>
          <w:i/>
          <w:iCs/>
        </w:rPr>
        <w:t xml:space="preserve"> 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v</w:t>
      </w:r>
      <w:r w:rsidRPr="000209BC">
        <w:rPr>
          <w:rFonts w:cs="Source Serif Pro"/>
          <w:i/>
          <w:iCs/>
        </w:rPr>
        <w:t>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r w:rsidRPr="000209BC">
        <w:rPr>
          <w:i/>
          <w:iCs/>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r w:rsidRPr="000209BC">
        <w:rPr>
          <w:i/>
          <w:iCs/>
        </w:rPr>
        <w:t>aṭṭhakavagga</w:t>
      </w:r>
      <w:r w:rsidRPr="000209BC">
        <w:t>,</w:t>
      </w:r>
      <w:r w:rsidR="00036596">
        <w:t xml:space="preserve"> </w:t>
      </w:r>
      <w:r w:rsidRPr="000209BC">
        <w:rPr>
          <w:i/>
          <w:iCs/>
        </w:rPr>
        <w:t>dhammapāda</w:t>
      </w:r>
      <w:r w:rsidRPr="000209BC">
        <w:t>,</w:t>
      </w:r>
      <w:r w:rsidR="00036596">
        <w:t xml:space="preserve"> </w:t>
      </w:r>
      <w:r w:rsidRPr="000209BC">
        <w:rPr>
          <w:i/>
          <w:iCs/>
        </w:rPr>
        <w:t>pārāyana</w:t>
      </w:r>
      <w:r w:rsidR="00036596">
        <w:t xml:space="preserve"> </w:t>
      </w:r>
      <w:r w:rsidRPr="000209BC">
        <w:t>(? doubtful, perhaps ‘various problems’),</w:t>
      </w:r>
      <w:r w:rsidR="00036596">
        <w:t xml:space="preserve"> </w:t>
      </w:r>
      <w:r w:rsidRPr="000209BC">
        <w:rPr>
          <w:i/>
          <w:iCs/>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sutta vibhaṅga</w:t>
      </w:r>
      <w:r w:rsidR="00C16309">
        <w:t xml:space="preserve"> </w:t>
      </w:r>
      <w:r w:rsidRPr="000209BC">
        <w:t>(‘analysis of the</w:t>
      </w:r>
      <w:r w:rsidR="00C16309">
        <w:t xml:space="preserve"> </w:t>
      </w:r>
      <w:r w:rsidRPr="000209BC">
        <w:rPr>
          <w:i/>
          <w:iCs/>
        </w:rPr>
        <w:t>sutta</w:t>
      </w:r>
      <w:r w:rsidRPr="000209BC">
        <w:t>’). This</w:t>
      </w:r>
      <w:r w:rsidR="00C16309">
        <w:t xml:space="preserve"> </w:t>
      </w:r>
      <w:r w:rsidRPr="000209BC">
        <w:rPr>
          <w:i/>
          <w:iCs/>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0209BC">
        <w:rPr>
          <w:i/>
          <w:iCs/>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0209BC">
        <w:rPr>
          <w:i/>
          <w:iCs/>
        </w:rPr>
        <w:t>vyākaraṇ</w:t>
      </w:r>
      <w:r w:rsidRPr="000209BC">
        <w:t>-ed’. The unanswered questions are, of course, those such as ‘does the Tathāgata exist after death’ and so on. What is declared (</w:t>
      </w:r>
      <w:r w:rsidRPr="000209BC">
        <w:rPr>
          <w:i/>
          <w:iCs/>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0209BC">
        <w:rPr>
          <w:i/>
          <w:iCs/>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0209BC">
        <w:rPr>
          <w:i/>
          <w:iCs/>
        </w:rPr>
        <w:t>pañha</w:t>
      </w:r>
      <w:r w:rsidRPr="000209BC">
        <w:t>), one summary (</w:t>
      </w:r>
      <w:r w:rsidRPr="000209BC">
        <w:rPr>
          <w:i/>
          <w:iCs/>
        </w:rPr>
        <w:t>uddesa</w:t>
      </w:r>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to questions’: answering by definitive statement, by analysis (</w:t>
      </w:r>
      <w:r w:rsidRPr="000209BC">
        <w:rPr>
          <w:i/>
          <w:iCs/>
        </w:rPr>
        <w:t>vibhaṅga</w:t>
      </w:r>
      <w:r w:rsidRPr="000209BC">
        <w:t xml:space="preserve">), by </w:t>
      </w:r>
      <w:r w:rsidRPr="000209BC">
        <w:lastRenderedPageBreak/>
        <w:t>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r w:rsidRPr="000209BC">
        <w:rPr>
          <w:i/>
          <w:iCs/>
        </w:rPr>
        <w:t>vyākaraṇas</w:t>
      </w:r>
      <w:r w:rsidR="00C16309">
        <w:t xml:space="preserve"> </w:t>
      </w:r>
      <w:r w:rsidRPr="000209BC">
        <w:t>as explanations of the</w:t>
      </w:r>
      <w:r w:rsidR="00C16309">
        <w:t xml:space="preserve"> </w:t>
      </w:r>
      <w:r w:rsidRPr="000209BC">
        <w:rPr>
          <w:i/>
          <w:iCs/>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0209BC">
        <w:rPr>
          <w:i/>
          <w:iCs/>
        </w:rPr>
        <w:t>apadāna</w:t>
      </w:r>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lastRenderedPageBreak/>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0209BC">
        <w:rPr>
          <w:i/>
          <w:iCs/>
        </w:rPr>
        <w:t>vyākaraṇas</w:t>
      </w:r>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lastRenderedPageBreak/>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3E6DFEF7"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35.109/SA 239)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r w:rsidRPr="000209BC">
        <w:rPr>
          <w:i/>
          <w:iCs/>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 xml:space="preserve">Sutta, is the root text setting </w:t>
      </w:r>
      <w:r w:rsidRPr="000209BC">
        <w:lastRenderedPageBreak/>
        <w:t>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lastRenderedPageBreak/>
        <w:t>occurs in both the sixfold and the twelvefold Vedas, but there it means ‘grammar’; however it also occurs in the Jain aṅgas where it means ‘answers’. We have also encountered the term</w:t>
      </w:r>
      <w:r w:rsidR="00C16309">
        <w:t xml:space="preserve"> </w:t>
      </w:r>
      <w:r w:rsidRPr="000209BC">
        <w:rPr>
          <w:i/>
          <w:iCs/>
        </w:rPr>
        <w:t>suttaṅga</w:t>
      </w:r>
      <w:r w:rsidR="00C16309">
        <w:t xml:space="preserve"> </w:t>
      </w:r>
      <w:r w:rsidRPr="000209BC">
        <w:t>to parallel the</w:t>
      </w:r>
      <w:r w:rsidR="00C16309">
        <w:t xml:space="preserve"> </w:t>
      </w:r>
      <w:r w:rsidRPr="000209BC">
        <w:rPr>
          <w:i/>
          <w:iCs/>
        </w:rPr>
        <w:t>vedaṅga</w:t>
      </w:r>
      <w:r w:rsidRPr="000209BC">
        <w:t>; in addition the term</w:t>
      </w:r>
      <w:r w:rsidR="00C16309">
        <w:t xml:space="preserve"> </w:t>
      </w:r>
      <w:r w:rsidRPr="000209BC">
        <w:rPr>
          <w:i/>
          <w:iCs/>
        </w:rPr>
        <w:t>suttanta</w:t>
      </w:r>
      <w:r w:rsidR="00C16309">
        <w:t xml:space="preserve"> </w:t>
      </w:r>
      <w:r w:rsidRPr="000209BC">
        <w:t>echoes</w:t>
      </w:r>
      <w:r w:rsidR="00C16309">
        <w:t xml:space="preserve"> </w:t>
      </w:r>
      <w:r w:rsidRPr="000209BC">
        <w:rPr>
          <w:i/>
          <w:iCs/>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Pr="000209BC">
        <w:rPr>
          <w:i/>
          <w:iCs/>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w:t>
      </w:r>
      <w:r w:rsidRPr="000209BC">
        <w:lastRenderedPageBreak/>
        <w:t xml:space="preserve">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xml:space="preserve">, </w:t>
      </w:r>
      <w:r w:rsidRPr="000209BC">
        <w:lastRenderedPageBreak/>
        <w:t>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lastRenderedPageBreak/>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xml:space="preserve">, too, internally </w:t>
      </w:r>
      <w:r w:rsidRPr="000209BC">
        <w:lastRenderedPageBreak/>
        <w:t>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466A4F7"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r w:rsidRPr="000209BC">
        <w:t xml:space="preserve">SN 56.22/SA 392 is evidently anomalous, for the text is closely related to SN 56.21/SA 403.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637FB7D6" w:rsidR="000209BC" w:rsidRPr="000209BC" w:rsidRDefault="000209BC" w:rsidP="00B537E1">
      <w:pPr>
        <w:pStyle w:val="WW-paragraph"/>
      </w:pPr>
      <w:r w:rsidRPr="000209BC">
        <w:t>Another striking correspondence is that, in several cases, an identifiable group of texts is found in both collections. For example, take the texts SA 408–412. This group of</w:t>
      </w:r>
      <w:r w:rsidR="00C16309">
        <w:t xml:space="preserve"> </w:t>
      </w:r>
      <w:r w:rsidRPr="000209BC">
        <w:rPr>
          <w:i/>
          <w:iCs/>
        </w:rPr>
        <w:t>suttas</w:t>
      </w:r>
      <w:r w:rsidR="00C16309">
        <w:t xml:space="preserve"> </w:t>
      </w:r>
      <w:r w:rsidRPr="000209BC">
        <w:t xml:space="preserve">corresponds with the group SN 56.7–10. It is a pre-existing unit common to both traditions. A similar situation obtains with </w:t>
      </w:r>
      <w:r w:rsidRPr="000209BC">
        <w:lastRenderedPageBreak/>
        <w:t>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7777777"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 xml:space="preserve">s suggested restoration of the two final texts (SA 905, 906).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w:t>
      </w:r>
      <w:r w:rsidRPr="000209BC">
        <w:lastRenderedPageBreak/>
        <w:t>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lastRenderedPageBreak/>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77777777" w:rsidR="000209BC" w:rsidRPr="000209BC" w:rsidRDefault="000209BC" w:rsidP="002D06FE">
            <w:pPr>
              <w:pStyle w:val="WW-paragraph"/>
            </w:pPr>
            <w:r w:rsidRPr="000209BC">
              <w:t>DN 34 Dasuttara</w:t>
            </w:r>
          </w:p>
        </w:tc>
        <w:tc>
          <w:tcPr>
            <w:tcW w:w="0" w:type="auto"/>
            <w:hideMark/>
          </w:tcPr>
          <w:p w14:paraId="2FB0BA73" w14:textId="77777777" w:rsidR="000209BC" w:rsidRPr="000209BC" w:rsidRDefault="000209BC" w:rsidP="002D06FE">
            <w:pPr>
              <w:pStyle w:val="WW-paragraph"/>
            </w:pPr>
            <w:r w:rsidRPr="000209BC">
              <w:t>DA 10, 11</w:t>
            </w:r>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77777777" w:rsidR="000209BC" w:rsidRPr="000209BC" w:rsidRDefault="000209BC" w:rsidP="002D06FE">
            <w:pPr>
              <w:pStyle w:val="WW-paragraph"/>
            </w:pPr>
            <w:r w:rsidRPr="000209BC">
              <w:t>DN 33 Saṅgīti</w:t>
            </w:r>
          </w:p>
        </w:tc>
        <w:tc>
          <w:tcPr>
            <w:tcW w:w="0" w:type="auto"/>
            <w:hideMark/>
          </w:tcPr>
          <w:p w14:paraId="74A62FFB" w14:textId="77777777" w:rsidR="000209BC" w:rsidRPr="000209BC" w:rsidRDefault="000209BC" w:rsidP="002D06FE">
            <w:pPr>
              <w:pStyle w:val="WW-paragraph"/>
            </w:pPr>
            <w:r w:rsidRPr="000209BC">
              <w:t>DA 9</w:t>
            </w:r>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77777777" w:rsidR="000209BC" w:rsidRPr="000209BC" w:rsidRDefault="000209BC" w:rsidP="002D06FE">
            <w:pPr>
              <w:pStyle w:val="WW-paragraph"/>
            </w:pPr>
            <w:r w:rsidRPr="000209BC">
              <w:t>DN 14 Mahāpadāna</w:t>
            </w:r>
          </w:p>
        </w:tc>
        <w:tc>
          <w:tcPr>
            <w:tcW w:w="0" w:type="auto"/>
            <w:hideMark/>
          </w:tcPr>
          <w:p w14:paraId="508306D5" w14:textId="77777777" w:rsidR="000209BC" w:rsidRPr="000209BC" w:rsidRDefault="000209BC" w:rsidP="002D06FE">
            <w:pPr>
              <w:pStyle w:val="WW-paragraph"/>
            </w:pPr>
            <w:r w:rsidRPr="000209BC">
              <w:t>DA 1</w:t>
            </w:r>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77777777" w:rsidR="000209BC" w:rsidRPr="000209BC" w:rsidRDefault="000209BC" w:rsidP="002D06FE">
            <w:pPr>
              <w:pStyle w:val="WW-paragraph"/>
            </w:pPr>
            <w:r w:rsidRPr="000209BC">
              <w:t>DN 16 Mahāparinibbāna</w:t>
            </w:r>
          </w:p>
        </w:tc>
        <w:tc>
          <w:tcPr>
            <w:tcW w:w="0" w:type="auto"/>
            <w:hideMark/>
          </w:tcPr>
          <w:p w14:paraId="55598D85" w14:textId="77777777" w:rsidR="000209BC" w:rsidRPr="000209BC" w:rsidRDefault="000209BC" w:rsidP="002D06FE">
            <w:pPr>
              <w:pStyle w:val="WW-paragraph"/>
            </w:pPr>
            <w:r w:rsidRPr="000209BC">
              <w:t>DA 2</w:t>
            </w:r>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13 Janavasabha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15 Sampas</w:t>
      </w:r>
      <w:r w:rsidRPr="000209BC">
        <w:rPr>
          <w:rFonts w:cs="Source Serif Pro"/>
        </w:rPr>
        <w:t>ā</w:t>
      </w:r>
      <w:r w:rsidRPr="000209BC">
        <w:t>dan</w:t>
      </w:r>
      <w:r w:rsidRPr="000209BC">
        <w:rPr>
          <w:rFonts w:cs="Source Serif Pro"/>
        </w:rPr>
        <w:t>ī</w:t>
      </w:r>
      <w:r w:rsidRPr="000209BC">
        <w:t>ya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77777777" w:rsidR="000209BC" w:rsidRPr="000209BC" w:rsidRDefault="000209BC" w:rsidP="002D3409">
            <w:pPr>
              <w:pStyle w:val="WW-paragraph"/>
            </w:pPr>
            <w:r w:rsidRPr="000209BC">
              <w:t>MN 60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77777777" w:rsidR="000209BC" w:rsidRPr="000209BC" w:rsidRDefault="000209BC" w:rsidP="002D3409">
            <w:pPr>
              <w:pStyle w:val="WW-paragraph"/>
            </w:pPr>
            <w:r w:rsidRPr="000209BC">
              <w:t>DN 24 Pāṭika</w:t>
            </w:r>
          </w:p>
        </w:tc>
        <w:tc>
          <w:tcPr>
            <w:tcW w:w="0" w:type="auto"/>
            <w:hideMark/>
          </w:tcPr>
          <w:p w14:paraId="04F93BA0" w14:textId="77777777" w:rsidR="000209BC" w:rsidRPr="000209BC" w:rsidRDefault="000209BC" w:rsidP="002D3409">
            <w:pPr>
              <w:pStyle w:val="WW-paragraph"/>
            </w:pPr>
            <w:r w:rsidRPr="000209BC">
              <w:t>DA 15</w:t>
            </w:r>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7777777" w:rsidR="000209BC" w:rsidRPr="000209BC" w:rsidRDefault="000209BC" w:rsidP="002D3409">
            <w:pPr>
              <w:pStyle w:val="WW-paragraph"/>
            </w:pPr>
            <w:r w:rsidRPr="000209BC">
              <w:t>MN 105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77777777" w:rsidR="000209BC" w:rsidRPr="000209BC" w:rsidRDefault="000209BC" w:rsidP="002D3409">
            <w:pPr>
              <w:pStyle w:val="WW-paragraph"/>
            </w:pPr>
            <w:r w:rsidRPr="000209BC">
              <w:t>MN 4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77777777" w:rsidR="000209BC" w:rsidRPr="000209BC" w:rsidRDefault="000209BC" w:rsidP="002D3409">
            <w:pPr>
              <w:pStyle w:val="WW-paragraph"/>
            </w:pPr>
            <w:r w:rsidRPr="000209BC">
              <w:t>MN 12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77777777" w:rsidR="000209BC" w:rsidRPr="000209BC" w:rsidRDefault="000209BC" w:rsidP="002D3409">
            <w:pPr>
              <w:pStyle w:val="WW-paragraph"/>
            </w:pPr>
            <w:r w:rsidRPr="000209BC">
              <w:t>DN 18 Janavasabha</w:t>
            </w:r>
          </w:p>
        </w:tc>
        <w:tc>
          <w:tcPr>
            <w:tcW w:w="0" w:type="auto"/>
            <w:hideMark/>
          </w:tcPr>
          <w:p w14:paraId="47BDA580" w14:textId="77777777" w:rsidR="000209BC" w:rsidRPr="000209BC" w:rsidRDefault="000209BC" w:rsidP="002D3409">
            <w:pPr>
              <w:pStyle w:val="WW-paragraph"/>
            </w:pPr>
            <w:r w:rsidRPr="000209BC">
              <w:t>DA 4</w:t>
            </w:r>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77777777" w:rsidR="000209BC" w:rsidRPr="000209BC" w:rsidRDefault="000209BC" w:rsidP="002D3409">
            <w:pPr>
              <w:pStyle w:val="WW-paragraph"/>
            </w:pPr>
            <w:r w:rsidRPr="000209BC">
              <w:t>DA 3</w:t>
            </w:r>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7777777" w:rsidR="000209BC" w:rsidRPr="000209BC" w:rsidRDefault="000209BC" w:rsidP="002D3409">
            <w:pPr>
              <w:pStyle w:val="WW-paragraph"/>
            </w:pPr>
            <w:r w:rsidRPr="000209BC">
              <w:t>DN 28 Sampasādanīya</w:t>
            </w:r>
          </w:p>
        </w:tc>
        <w:tc>
          <w:tcPr>
            <w:tcW w:w="0" w:type="auto"/>
            <w:hideMark/>
          </w:tcPr>
          <w:p w14:paraId="52F7233D" w14:textId="77777777" w:rsidR="000209BC" w:rsidRPr="000209BC" w:rsidRDefault="000209BC" w:rsidP="002D3409">
            <w:pPr>
              <w:pStyle w:val="WW-paragraph"/>
            </w:pPr>
            <w:r w:rsidRPr="000209BC">
              <w:t>DA 18</w:t>
            </w:r>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7777777" w:rsidR="000209BC" w:rsidRPr="000209BC" w:rsidRDefault="000209BC" w:rsidP="002D3409">
            <w:pPr>
              <w:pStyle w:val="WW-paragraph"/>
            </w:pPr>
            <w:r w:rsidRPr="000209BC">
              <w:t>DN 29 Pāsādika</w:t>
            </w:r>
          </w:p>
        </w:tc>
        <w:tc>
          <w:tcPr>
            <w:tcW w:w="0" w:type="auto"/>
            <w:hideMark/>
          </w:tcPr>
          <w:p w14:paraId="5B10E2F1" w14:textId="77777777" w:rsidR="000209BC" w:rsidRPr="000209BC" w:rsidRDefault="000209BC" w:rsidP="002D3409">
            <w:pPr>
              <w:pStyle w:val="WW-paragraph"/>
            </w:pPr>
            <w:r w:rsidRPr="000209BC">
              <w:t>DA 17</w:t>
            </w:r>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77777777" w:rsidR="000209BC" w:rsidRPr="000209BC" w:rsidRDefault="000209BC" w:rsidP="002D3409">
            <w:pPr>
              <w:pStyle w:val="WW-paragraph"/>
            </w:pPr>
            <w:r w:rsidRPr="000209BC">
              <w:t>MN 102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77777777" w:rsidR="000209BC" w:rsidRPr="000209BC" w:rsidRDefault="000209BC" w:rsidP="002D3409">
            <w:pPr>
              <w:pStyle w:val="WW-paragraph"/>
            </w:pPr>
            <w:r w:rsidRPr="000209BC">
              <w:t>MN 95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77777777" w:rsidR="000209BC" w:rsidRPr="000209BC" w:rsidRDefault="000209BC" w:rsidP="002D3409">
            <w:pPr>
              <w:pStyle w:val="WW-paragraph"/>
            </w:pPr>
            <w:r w:rsidRPr="000209BC">
              <w:t>MN 36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7777777" w:rsidR="000209BC" w:rsidRPr="000209BC" w:rsidRDefault="000209BC" w:rsidP="002D3409">
            <w:pPr>
              <w:pStyle w:val="WW-paragraph"/>
            </w:pPr>
            <w:r w:rsidRPr="000209BC">
              <w:t>MN 85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7777777" w:rsidR="000209BC" w:rsidRPr="000209BC" w:rsidRDefault="000209BC" w:rsidP="002D3409">
            <w:pPr>
              <w:pStyle w:val="WW-paragraph"/>
            </w:pPr>
            <w:r w:rsidRPr="000209BC">
              <w:t>MN 100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77777777" w:rsidR="000209BC" w:rsidRPr="000209BC" w:rsidRDefault="000209BC" w:rsidP="002D3409">
            <w:pPr>
              <w:pStyle w:val="WW-paragraph"/>
            </w:pPr>
            <w:r w:rsidRPr="000209BC">
              <w:t>DN 32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77777777" w:rsidR="000209BC" w:rsidRPr="000209BC" w:rsidRDefault="000209BC" w:rsidP="002D3409">
            <w:pPr>
              <w:pStyle w:val="WW-paragraph"/>
            </w:pPr>
            <w:r w:rsidRPr="000209BC">
              <w:t>DA 19</w:t>
            </w:r>
          </w:p>
        </w:tc>
      </w:tr>
    </w:tbl>
    <w:p w14:paraId="59E565D1" w14:textId="79C2B94B" w:rsidR="000209BC" w:rsidRPr="000209BC" w:rsidRDefault="000209BC" w:rsidP="002D3409">
      <w:pPr>
        <w:pStyle w:val="WW-paragraph"/>
      </w:pPr>
      <w:r w:rsidRPr="000209BC">
        <w:t>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10 Sunakkhatta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 are episodes in the dismal spiritual career of the wanderer Sunakkhatta,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13.2. This also deals with the Bodhisatta</w:t>
      </w:r>
      <w:r w:rsidRPr="000209BC">
        <w:rPr>
          <w:rFonts w:cs="Source Serif Pro"/>
        </w:rPr>
        <w:t>’</w:t>
      </w:r>
      <w:r w:rsidRPr="000209BC">
        <w:t>s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20 Mah</w:t>
      </w:r>
      <w:r w:rsidRPr="000209BC">
        <w:rPr>
          <w:rFonts w:cs="Source Serif Pro"/>
        </w:rPr>
        <w:t>ā</w:t>
      </w:r>
      <w:r w:rsidRPr="000209BC">
        <w:t>saccaka,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21 Bodhir</w:t>
      </w:r>
      <w:r w:rsidRPr="000209BC">
        <w:rPr>
          <w:rFonts w:cs="Source Serif Pro"/>
        </w:rPr>
        <w:t>ā</w:t>
      </w:r>
      <w:r w:rsidRPr="000209BC">
        <w:t>jakum</w:t>
      </w:r>
      <w:r w:rsidRPr="000209BC">
        <w:rPr>
          <w:rFonts w:cs="Source Serif Pro"/>
        </w:rPr>
        <w:t>ā</w:t>
      </w:r>
      <w:r w:rsidRPr="000209BC">
        <w:t>ra,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s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r w:rsidRPr="000209BC">
        <w:lastRenderedPageBreak/>
        <w:t>Apa</w:t>
      </w:r>
      <w:r w:rsidRPr="000209BC">
        <w:rPr>
          <w:rFonts w:cs="Source Serif Pro"/>
        </w:rPr>
        <w:t>ṇṇ</w:t>
      </w:r>
      <w:r w:rsidRPr="000209BC">
        <w:t>aka,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11 Bhayabherava,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20 Mah</w:t>
      </w:r>
      <w:r w:rsidRPr="000209BC">
        <w:rPr>
          <w:rFonts w:cs="Source Serif Pro"/>
        </w:rPr>
        <w:t>ā</w:t>
      </w:r>
      <w:r w:rsidRPr="000209BC">
        <w:t>saccaka, MN</w:t>
      </w:r>
      <w:r w:rsidRPr="000209BC">
        <w:rPr>
          <w:rFonts w:ascii="Times New Roman" w:hAnsi="Times New Roman"/>
        </w:rPr>
        <w:t> </w:t>
      </w:r>
      <w:r w:rsidRPr="000209BC">
        <w:t>85/ DA</w:t>
      </w:r>
      <w:r w:rsidRPr="00001D32">
        <w:rPr>
          <w:rStyle w:val="wwc-superscript"/>
        </w:rPr>
        <w:t>2</w:t>
      </w:r>
      <w:r w:rsidRPr="000209BC">
        <w:rPr>
          <w:rFonts w:ascii="Times New Roman" w:hAnsi="Times New Roman"/>
        </w:rPr>
        <w:t> </w:t>
      </w:r>
      <w:r w:rsidRPr="000209BC">
        <w:t>21 Bodhir</w:t>
      </w:r>
      <w:r w:rsidRPr="000209BC">
        <w:rPr>
          <w:rFonts w:cs="Source Serif Pro"/>
        </w:rPr>
        <w:t>ā</w:t>
      </w:r>
      <w:r w:rsidRPr="000209BC">
        <w:t>jakum</w:t>
      </w:r>
      <w:r w:rsidRPr="000209BC">
        <w:rPr>
          <w:rFonts w:cs="Source Serif Pro"/>
        </w:rPr>
        <w:t>ā</w:t>
      </w:r>
      <w:r w:rsidRPr="000209BC">
        <w:t>ra,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is 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Sudassana, DN</w:t>
      </w:r>
      <w:r w:rsidRPr="000209BC">
        <w:rPr>
          <w:rFonts w:ascii="Times New Roman" w:hAnsi="Times New Roman"/>
        </w:rPr>
        <w:t> </w:t>
      </w:r>
      <w:r w:rsidRPr="000209BC">
        <w:t>21/MA</w:t>
      </w:r>
      <w:r w:rsidRPr="000209BC">
        <w:rPr>
          <w:rFonts w:ascii="Times New Roman" w:hAnsi="Times New Roman"/>
        </w:rPr>
        <w:t> </w:t>
      </w:r>
      <w:r w:rsidRPr="000209BC">
        <w:t>134 Sakkapa</w:t>
      </w:r>
      <w:r w:rsidRPr="000209BC">
        <w:rPr>
          <w:rFonts w:cs="Source Serif Pro"/>
        </w:rPr>
        <w:t>ñ</w:t>
      </w:r>
      <w:r w:rsidRPr="000209BC">
        <w:t>ha,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71 P</w:t>
      </w:r>
      <w:r w:rsidRPr="000209BC">
        <w:rPr>
          <w:rFonts w:cs="Source Serif Pro"/>
        </w:rPr>
        <w:t>ā</w:t>
      </w:r>
      <w:r w:rsidRPr="000209BC">
        <w:t>y</w:t>
      </w:r>
      <w:r w:rsidRPr="000209BC">
        <w:rPr>
          <w:rFonts w:cs="Source Serif Pro"/>
        </w:rPr>
        <w:t>ā</w:t>
      </w:r>
      <w:r w:rsidRPr="000209BC">
        <w:t>si, DN</w:t>
      </w:r>
      <w:r w:rsidRPr="000209BC">
        <w:rPr>
          <w:rFonts w:ascii="Times New Roman" w:hAnsi="Times New Roman"/>
        </w:rPr>
        <w:t> </w:t>
      </w:r>
      <w:r w:rsidRPr="000209BC">
        <w:t>25/MA</w:t>
      </w:r>
      <w:r w:rsidRPr="000209BC">
        <w:rPr>
          <w:rFonts w:ascii="Times New Roman" w:hAnsi="Times New Roman"/>
        </w:rPr>
        <w:t> </w:t>
      </w:r>
      <w:r w:rsidRPr="000209BC">
        <w:t>104 Udumbarikas</w:t>
      </w:r>
      <w:r w:rsidRPr="000209BC">
        <w:rPr>
          <w:rFonts w:cs="Source Serif Pro"/>
        </w:rPr>
        <w:t>ī</w:t>
      </w:r>
      <w:r w:rsidRPr="000209BC">
        <w:t>han</w:t>
      </w:r>
      <w:r w:rsidRPr="000209BC">
        <w:rPr>
          <w:rFonts w:cs="Source Serif Pro"/>
        </w:rPr>
        <w:t>ā</w:t>
      </w:r>
      <w:r w:rsidRPr="000209BC">
        <w:t>da, DN</w:t>
      </w:r>
      <w:r w:rsidRPr="000209BC">
        <w:rPr>
          <w:rFonts w:ascii="Times New Roman" w:hAnsi="Times New Roman"/>
        </w:rPr>
        <w:t> </w:t>
      </w:r>
      <w:r w:rsidRPr="000209BC">
        <w:t>26/MA</w:t>
      </w:r>
      <w:r w:rsidRPr="000209BC">
        <w:rPr>
          <w:rFonts w:ascii="Times New Roman" w:hAnsi="Times New Roman"/>
        </w:rPr>
        <w:t> </w:t>
      </w:r>
      <w:r w:rsidRPr="000209BC">
        <w:t>70 Cakkavattis</w:t>
      </w:r>
      <w:r w:rsidRPr="000209BC">
        <w:rPr>
          <w:rFonts w:cs="Source Serif Pro"/>
        </w:rPr>
        <w:t>ī</w:t>
      </w:r>
      <w:r w:rsidRPr="000209BC">
        <w:t>han</w:t>
      </w:r>
      <w:r w:rsidRPr="000209BC">
        <w:rPr>
          <w:rFonts w:cs="Source Serif Pro"/>
        </w:rPr>
        <w:t>ā</w:t>
      </w:r>
      <w:r w:rsidRPr="000209BC">
        <w:t>da, DN</w:t>
      </w:r>
      <w:r w:rsidRPr="000209BC">
        <w:rPr>
          <w:rFonts w:ascii="Times New Roman" w:hAnsi="Times New Roman"/>
        </w:rPr>
        <w:t> </w:t>
      </w:r>
      <w:r w:rsidRPr="000209BC">
        <w:t>27/MA</w:t>
      </w:r>
      <w:r w:rsidRPr="000209BC">
        <w:rPr>
          <w:rFonts w:ascii="Times New Roman" w:hAnsi="Times New Roman"/>
        </w:rPr>
        <w:t> </w:t>
      </w:r>
      <w:r w:rsidRPr="000209BC">
        <w:t>154 Agga</w:t>
      </w:r>
      <w:r w:rsidRPr="000209BC">
        <w:rPr>
          <w:rFonts w:cs="Source Serif Pro"/>
        </w:rPr>
        <w:t>ññ</w:t>
      </w:r>
      <w:r w:rsidRPr="000209BC">
        <w:t>a, DN</w:t>
      </w:r>
      <w:r w:rsidRPr="000209BC">
        <w:rPr>
          <w:rFonts w:ascii="Times New Roman" w:hAnsi="Times New Roman"/>
        </w:rPr>
        <w:t> </w:t>
      </w:r>
      <w:r w:rsidRPr="000209BC">
        <w:t>30/ MA</w:t>
      </w:r>
      <w:r w:rsidRPr="000209BC">
        <w:rPr>
          <w:rFonts w:ascii="Times New Roman" w:hAnsi="Times New Roman"/>
        </w:rPr>
        <w:t> </w:t>
      </w:r>
      <w:r w:rsidRPr="000209BC">
        <w:t>59 Lakkha</w:t>
      </w:r>
      <w:r w:rsidRPr="000209BC">
        <w:rPr>
          <w:rFonts w:cs="Source Serif Pro"/>
        </w:rPr>
        <w:t>ṇ</w:t>
      </w:r>
      <w:r w:rsidRPr="000209BC">
        <w:t>a, DN</w:t>
      </w:r>
      <w:r w:rsidRPr="000209BC">
        <w:rPr>
          <w:rFonts w:ascii="Times New Roman" w:hAnsi="Times New Roman"/>
        </w:rPr>
        <w:t> </w:t>
      </w:r>
      <w:r w:rsidRPr="000209BC">
        <w:t>31/MA</w:t>
      </w:r>
      <w:r w:rsidRPr="000209BC">
        <w:rPr>
          <w:rFonts w:ascii="Times New Roman" w:hAnsi="Times New Roman"/>
        </w:rPr>
        <w:t> </w:t>
      </w:r>
      <w:r w:rsidRPr="000209BC">
        <w:t>135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w:t>
      </w:r>
      <w:r w:rsidRPr="000209BC">
        <w:lastRenderedPageBreak/>
        <w:t xml:space="preserve">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DN 12 Lohicca</w:t>
            </w:r>
          </w:p>
        </w:tc>
        <w:tc>
          <w:tcPr>
            <w:tcW w:w="0" w:type="auto"/>
            <w:hideMark/>
          </w:tcPr>
          <w:p w14:paraId="37748E8D" w14:textId="77777777" w:rsidR="000209BC" w:rsidRPr="000209BC" w:rsidRDefault="000209BC" w:rsidP="002D3409">
            <w:pPr>
              <w:pStyle w:val="WW-paragraph"/>
            </w:pPr>
            <w:r w:rsidRPr="000209BC">
              <w:t>DA 29</w:t>
            </w:r>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DN 12 Lohicca</w:t>
            </w:r>
          </w:p>
        </w:tc>
        <w:tc>
          <w:tcPr>
            <w:tcW w:w="0" w:type="auto"/>
            <w:hideMark/>
          </w:tcPr>
          <w:p w14:paraId="0F919A93" w14:textId="77777777" w:rsidR="000209BC" w:rsidRPr="000209BC" w:rsidRDefault="000209BC" w:rsidP="002D3409">
            <w:pPr>
              <w:pStyle w:val="WW-paragraph"/>
            </w:pPr>
            <w:r w:rsidRPr="000209BC">
              <w:t>DA 29</w:t>
            </w:r>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7777777" w:rsidR="000209BC" w:rsidRPr="000209BC" w:rsidRDefault="000209BC" w:rsidP="002D3409">
            <w:pPr>
              <w:pStyle w:val="WW-paragraph"/>
            </w:pPr>
            <w:r w:rsidRPr="000209BC">
              <w:t>DN 11 Kevaddha</w:t>
            </w:r>
          </w:p>
        </w:tc>
        <w:tc>
          <w:tcPr>
            <w:tcW w:w="0" w:type="auto"/>
            <w:hideMark/>
          </w:tcPr>
          <w:p w14:paraId="29E7FC54" w14:textId="77777777" w:rsidR="000209BC" w:rsidRPr="000209BC" w:rsidRDefault="000209BC" w:rsidP="002D3409">
            <w:pPr>
              <w:pStyle w:val="WW-paragraph"/>
            </w:pPr>
            <w:r w:rsidRPr="000209BC">
              <w:t>DA 24</w:t>
            </w:r>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DN 7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DN 7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77777777" w:rsidR="000209BC" w:rsidRPr="000209BC" w:rsidRDefault="000209BC" w:rsidP="002D3409">
            <w:pPr>
              <w:pStyle w:val="WW-paragraph"/>
            </w:pPr>
            <w:r w:rsidRPr="000209BC">
              <w:t>DN 6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77777777" w:rsidR="000209BC" w:rsidRPr="000209BC" w:rsidRDefault="000209BC" w:rsidP="002D3409">
            <w:pPr>
              <w:pStyle w:val="WW-paragraph"/>
            </w:pPr>
            <w:r w:rsidRPr="000209BC">
              <w:t>DN 4 Soṇadaṇḍa</w:t>
            </w:r>
          </w:p>
        </w:tc>
        <w:tc>
          <w:tcPr>
            <w:tcW w:w="0" w:type="auto"/>
            <w:hideMark/>
          </w:tcPr>
          <w:p w14:paraId="6EF3E5FA" w14:textId="77777777" w:rsidR="000209BC" w:rsidRPr="000209BC" w:rsidRDefault="000209BC" w:rsidP="002D3409">
            <w:pPr>
              <w:pStyle w:val="WW-paragraph"/>
            </w:pPr>
            <w:r w:rsidRPr="000209BC">
              <w:t>DA 22</w:t>
            </w:r>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7777777" w:rsidR="000209BC" w:rsidRPr="000209BC" w:rsidRDefault="000209BC" w:rsidP="002D3409">
            <w:pPr>
              <w:pStyle w:val="WW-paragraph"/>
            </w:pPr>
            <w:r w:rsidRPr="000209BC">
              <w:t>DN 5 Kūṭadanta</w:t>
            </w:r>
          </w:p>
        </w:tc>
        <w:tc>
          <w:tcPr>
            <w:tcW w:w="0" w:type="auto"/>
            <w:hideMark/>
          </w:tcPr>
          <w:p w14:paraId="428DA727" w14:textId="77777777" w:rsidR="000209BC" w:rsidRPr="000209BC" w:rsidRDefault="000209BC" w:rsidP="002D3409">
            <w:pPr>
              <w:pStyle w:val="WW-paragraph"/>
            </w:pPr>
            <w:r w:rsidRPr="000209BC">
              <w:t>DA 23</w:t>
            </w:r>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77777777" w:rsidR="000209BC" w:rsidRPr="000209BC" w:rsidRDefault="000209BC" w:rsidP="002D3409">
            <w:pPr>
              <w:pStyle w:val="WW-paragraph"/>
            </w:pPr>
            <w:r w:rsidRPr="000209BC">
              <w:t>DN 3 Ambaṭṭha</w:t>
            </w:r>
          </w:p>
        </w:tc>
        <w:tc>
          <w:tcPr>
            <w:tcW w:w="0" w:type="auto"/>
            <w:hideMark/>
          </w:tcPr>
          <w:p w14:paraId="616F50DE" w14:textId="77777777" w:rsidR="000209BC" w:rsidRPr="000209BC" w:rsidRDefault="000209BC" w:rsidP="002D3409">
            <w:pPr>
              <w:pStyle w:val="WW-paragraph"/>
            </w:pPr>
            <w:r w:rsidRPr="000209BC">
              <w:t>DA 20</w:t>
            </w:r>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77777777" w:rsidR="000209BC" w:rsidRPr="000209BC" w:rsidRDefault="000209BC" w:rsidP="002D3409">
            <w:pPr>
              <w:pStyle w:val="WW-paragraph"/>
            </w:pPr>
            <w:r w:rsidRPr="000209BC">
              <w:t>DN 9 Poṭṭhapāda</w:t>
            </w:r>
          </w:p>
        </w:tc>
        <w:tc>
          <w:tcPr>
            <w:tcW w:w="0" w:type="auto"/>
            <w:hideMark/>
          </w:tcPr>
          <w:p w14:paraId="691F0DC1" w14:textId="77777777" w:rsidR="000209BC" w:rsidRPr="000209BC" w:rsidRDefault="000209BC" w:rsidP="002D3409">
            <w:pPr>
              <w:pStyle w:val="WW-paragraph"/>
            </w:pPr>
            <w:r w:rsidRPr="000209BC">
              <w:t>DA 28</w:t>
            </w:r>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77777777" w:rsidR="000209BC" w:rsidRPr="000209BC" w:rsidRDefault="000209BC" w:rsidP="002D3409">
            <w:pPr>
              <w:pStyle w:val="WW-paragraph"/>
            </w:pPr>
            <w:r w:rsidRPr="000209BC">
              <w:t>MN 55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7777777" w:rsidR="000209BC" w:rsidRPr="000209BC" w:rsidRDefault="000209BC" w:rsidP="002D3409">
            <w:pPr>
              <w:pStyle w:val="WW-paragraph"/>
            </w:pPr>
            <w:r w:rsidRPr="000209BC">
              <w:t>DA 27</w:t>
            </w:r>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77777777" w:rsidR="000209BC" w:rsidRPr="000209BC" w:rsidRDefault="000209BC" w:rsidP="002D3409">
            <w:pPr>
              <w:pStyle w:val="WW-paragraph"/>
            </w:pPr>
            <w:r w:rsidRPr="000209BC">
              <w:t>DN 13 Tevijja</w:t>
            </w:r>
          </w:p>
        </w:tc>
        <w:tc>
          <w:tcPr>
            <w:tcW w:w="0" w:type="auto"/>
            <w:hideMark/>
          </w:tcPr>
          <w:p w14:paraId="658BF914" w14:textId="77777777" w:rsidR="000209BC" w:rsidRPr="000209BC" w:rsidRDefault="000209BC" w:rsidP="002D3409">
            <w:pPr>
              <w:pStyle w:val="WW-paragraph"/>
            </w:pPr>
            <w:r w:rsidRPr="000209BC">
              <w:t>DA 26</w:t>
            </w:r>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77777777" w:rsidR="000209BC" w:rsidRPr="000209BC" w:rsidRDefault="000209BC" w:rsidP="002D3409">
            <w:pPr>
              <w:pStyle w:val="WW-paragraph"/>
            </w:pPr>
            <w:r w:rsidRPr="000209BC">
              <w:t>DN 8 Kassapasīhanāda</w:t>
            </w:r>
          </w:p>
        </w:tc>
        <w:tc>
          <w:tcPr>
            <w:tcW w:w="0" w:type="auto"/>
            <w:hideMark/>
          </w:tcPr>
          <w:p w14:paraId="0F665618" w14:textId="77777777" w:rsidR="000209BC" w:rsidRPr="000209BC" w:rsidRDefault="000209BC" w:rsidP="002D3409">
            <w:pPr>
              <w:pStyle w:val="WW-paragraph"/>
            </w:pPr>
            <w:r w:rsidRPr="000209BC">
              <w:t>DA 25</w:t>
            </w:r>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77777777" w:rsidR="000209BC" w:rsidRPr="000209BC" w:rsidRDefault="000209BC" w:rsidP="002D3409">
            <w:pPr>
              <w:pStyle w:val="WW-paragraph"/>
            </w:pPr>
            <w:r w:rsidRPr="000209BC">
              <w:t>DA 21</w:t>
            </w:r>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64793B86"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12.4–9/SA 366).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din text SN 12.22 but not in its counterpart SA 348).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w:t>
      </w:r>
      <w:r w:rsidRPr="000209BC">
        <w:lastRenderedPageBreak/>
        <w:t>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77777777"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lastRenderedPageBreak/>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in mind they should be investigated; having been investigated they should </w:t>
      </w:r>
      <w:r w:rsidRPr="000209BC">
        <w:lastRenderedPageBreak/>
        <w:t>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w:t>
      </w:r>
      <w:r w:rsidRPr="000209BC">
        <w:lastRenderedPageBreak/>
        <w:t>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w:t>
      </w:r>
      <w:r w:rsidRPr="000209BC">
        <w:lastRenderedPageBreak/>
        <w:t>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r w:rsidRPr="000209BC">
        <w:lastRenderedPageBreak/>
        <w:t>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r w:rsidRPr="000209BC">
        <w:lastRenderedPageBreak/>
        <w:t>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 xml:space="preserve">verses, starting with the Request of Brahmā, are </w:t>
      </w:r>
      <w:r w:rsidRPr="000209BC">
        <w:lastRenderedPageBreak/>
        <w:t>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w:t>
      </w:r>
      <w:r w:rsidRPr="000209BC">
        <w:lastRenderedPageBreak/>
        <w:t xml:space="preserve">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9B80A3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w:t>
      </w:r>
      <w:r w:rsidRPr="000209BC">
        <w:lastRenderedPageBreak/>
        <w:t>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Parinirvāṇa, whose main </w:t>
      </w:r>
      <w:r w:rsidRPr="000209BC">
        <w:lastRenderedPageBreak/>
        <w:t>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framework for the Buddha’s instruction that, after he is gone, his followers should rely on the Dhamma &amp; Vinaya. As we have seen, the Dhamma is </w:t>
      </w:r>
      <w:r w:rsidRPr="000209BC">
        <w:lastRenderedPageBreak/>
        <w:t>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w:t>
      </w:r>
      <w:r w:rsidRPr="000209BC">
        <w:lastRenderedPageBreak/>
        <w:t>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58960FBA"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t xml:space="preserve">Schmithausen,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r w:rsidRPr="000209BC">
        <w:rPr>
          <w:i/>
          <w:iCs/>
        </w:rPr>
        <w:t>sampajānakārī hoti</w:t>
      </w:r>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w:t>
      </w:r>
      <w:r w:rsidRPr="000209BC">
        <w:lastRenderedPageBreak/>
        <w:t>version of the 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is ‘a 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lastRenderedPageBreak/>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are also found in satipaṭṭhāna: the breath, water, fire, space, bliss, mind, etc. So Crangle’s suggestion can be accepted. The major contemplative practice of 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lastRenderedPageBreak/>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 xml:space="preserve">This suggests that the Upaniṣadic schools were in existence, but their tenets were still in ferment. Perhaps the Upaniṣads that we have today derive from </w:t>
      </w:r>
      <w:r w:rsidRPr="000209BC">
        <w:lastRenderedPageBreak/>
        <w:t>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 xml:space="preserve">and if she still does not grant him his desire, he should beat her with a stick or his hand and </w:t>
      </w:r>
      <w:r w:rsidRPr="000209BC">
        <w:lastRenderedPageBreak/>
        <w:t>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lastRenderedPageBreak/>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lastRenderedPageBreak/>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The breath is a prime exercise in satipaṭṭhāna body contemplation, and other aspects suggestive of satipaṭṭhāna can also be discerned in the 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 xml:space="preserve">yu (air) was also worshipped in the Vedas. The Earth (Mother), whose symbols pervade the iconography of Buddhism, was also </w:t>
      </w:r>
      <w:r w:rsidRPr="000209BC">
        <w:lastRenderedPageBreak/>
        <w:t>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w:t>
      </w:r>
      <w:r w:rsidRPr="000209BC">
        <w:lastRenderedPageBreak/>
        <w:t>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w:t>
      </w:r>
      <w:r w:rsidRPr="000209BC">
        <w:lastRenderedPageBreak/>
        <w:t>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w:t>
      </w:r>
      <w:r w:rsidRPr="000209BC">
        <w:lastRenderedPageBreak/>
        <w:t>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study, practice, and realization. The five </w:t>
      </w:r>
      <w:r w:rsidRPr="000209BC">
        <w:lastRenderedPageBreak/>
        <w:t>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these are just the mind at peace. The difference is </w:t>
      </w:r>
      <w:r w:rsidRPr="000209BC">
        <w:lastRenderedPageBreak/>
        <w:t>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(MN 36), the Mahāvastu (of the Mahāsaṅghika Vinaya), the Saṅghabhedavastu (from the Mūlasarvāstivāda Vinaya), and the Dharmaguptaka Vinaya. Accounts in the Ekottara (EA 31.8) and the Lalitavistara attribute all four jhānas to the Bodhisatta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w:t>
      </w:r>
      <w:r w:rsidRPr="000209BC">
        <w:lastRenderedPageBreak/>
        <w:t>some parallel phrases suggests direct literary influence of one sort or another,</w:t>
      </w:r>
      <w:r w:rsidR="006E5436">
        <w:rPr>
          <w:rStyle w:val="FootnoteReference"/>
        </w:rPr>
        <w:footnoteReference w:id="198"/>
      </w:r>
      <w:r w:rsidR="00C16309">
        <w:t xml:space="preserve"> </w:t>
      </w:r>
      <w:r w:rsidRPr="000209BC">
        <w:t>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 xml:space="preserve">and say the </w:t>
      </w:r>
      <w:r w:rsidRPr="000209BC">
        <w:lastRenderedPageBreak/>
        <w:t>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160015DB" w:rsidR="000209BC" w:rsidRPr="000209BC" w:rsidRDefault="000209BC" w:rsidP="00BD668E">
      <w:pPr>
        <w:pStyle w:val="WW-paragraph"/>
      </w:pPr>
      <w:r w:rsidRPr="000209BC">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 xml:space="preserve">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w:t>
      </w:r>
      <w:r w:rsidRPr="000209BC">
        <w:lastRenderedPageBreak/>
        <w:t>This is what the Buddha was referring to when he claimed to have ‘awakened to jhāna’ (</w:t>
      </w:r>
      <w:r w:rsidRPr="000209BC">
        <w:rPr>
          <w:i/>
          <w:iCs/>
        </w:rPr>
        <w:t>jhāna</w:t>
      </w:r>
      <w:r w:rsidRPr="000209BC">
        <w:rPr>
          <w:rFonts w:ascii="Cambria" w:hAnsi="Cambria" w:cs="Cambria"/>
          <w:i/>
          <w:iCs/>
        </w:rPr>
        <w:t>ṁ</w:t>
      </w:r>
      <w:r w:rsidR="00C16309">
        <w:t xml:space="preserve"> </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lastRenderedPageBreak/>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 xml:space="preserve">‘Here, Brahman, having seen a visible form with the eye, one is not attracted to a pleasing visible form and not repelled by a displeasing visible form. One abides having established mindfulness of the body, with a measureless mind, </w:t>
      </w:r>
      <w:r w:rsidRPr="000209BC">
        <w:lastRenderedPageBreak/>
        <w:t>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arise in him…’</w:t>
      </w:r>
      <w:r w:rsidR="006E5436">
        <w:rPr>
          <w:rStyle w:val="FootnoteReference"/>
        </w:rPr>
        <w:footnoteReference w:id="210"/>
      </w:r>
      <w:r>
        <w:br/>
      </w:r>
      <w:r>
        <w:br/>
      </w:r>
      <w:r w:rsidR="000209BC" w:rsidRPr="000209BC">
        <w:lastRenderedPageBreak/>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w:t>
      </w:r>
      <w:r w:rsidRPr="000209BC">
        <w:lastRenderedPageBreak/>
        <w:t>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 xml:space="preserve">After emphasising the necessity for sincere practice and dispassion, the text goes on to speak of a form of samādhi (the word ‘samādhi’ is not used, but is </w:t>
      </w:r>
      <w:r w:rsidRPr="000209BC">
        <w:lastRenderedPageBreak/>
        <w:t>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(although again the term is not supplied in the extremely laconic text itself</w:t>
      </w:r>
      <w:r w:rsidRPr="000209BC">
        <w:rPr>
          <w:rFonts w:ascii="Times New Roman" w:hAnsi="Times New Roman"/>
        </w:rPr>
        <w:t> </w:t>
      </w:r>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xml:space="preserve">?) rebirth, or that for one without a body, such a state of consciousness is a natural condition, not something that must be </w:t>
      </w:r>
      <w:r w:rsidRPr="000209BC">
        <w:lastRenderedPageBreak/>
        <w:t>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here is in positive sense, as usual in 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w:t>
      </w:r>
      <w:r w:rsidRPr="000209BC">
        <w:lastRenderedPageBreak/>
        <w:t>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lastRenderedPageBreak/>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 xml:space="preserve">(jhāna), which is defined very </w:t>
      </w:r>
      <w:r w:rsidRPr="000209BC">
        <w:lastRenderedPageBreak/>
        <w:t>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xml:space="preserve">). In metaphysics these yogis emphasized the Self, sometimes mystically identified with the cosmos. This metaphysic was pre-eminently realized in the practice of samādhi, especially formless attainments. The chief way to develop these formless attainments </w:t>
      </w:r>
      <w:r w:rsidRPr="000209BC">
        <w:lastRenderedPageBreak/>
        <w:t>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Sāriputta, that I was always mindful in stepping forwards and stepping backwards. I was full of pity even for [the </w:t>
      </w:r>
      <w:r w:rsidRPr="000209BC">
        <w:lastRenderedPageBreak/>
        <w:t>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 xml:space="preserve">‘I thought: “Why am I afraid of that pleasure that has nothing to do with sensual pleasures and unskilful qualities?” I thought: “I am not afraid of that </w:t>
      </w:r>
      <w:r w:rsidRPr="000209BC">
        <w:lastRenderedPageBreak/>
        <w:t>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Bodhisatta developed the tranquillity and bliss of samādhi was he able to see the truth. Elsewhere in the Suttas, </w:t>
      </w:r>
      <w:r w:rsidRPr="000209BC">
        <w:lastRenderedPageBreak/>
        <w:t>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0209BC">
        <w:rPr>
          <w:i/>
          <w:iCs/>
        </w:rPr>
        <w:t>anuprekṣā</w:t>
      </w:r>
      <w:r w:rsidRPr="000209BC">
        <w:t xml:space="preserve">, is semantically </w:t>
      </w:r>
      <w:r w:rsidRPr="000209BC">
        <w:lastRenderedPageBreak/>
        <w:t>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lastRenderedPageBreak/>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lastRenderedPageBreak/>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w:t>
      </w:r>
      <w:r w:rsidRPr="000209BC">
        <w:lastRenderedPageBreak/>
        <w:t>ultimate reality is not a pan-theistic non-dual ‘ground of being’, but is the countless irreducible atomic monads or ‘souls’.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 xml:space="preserve">The function of satipaṭṭhāna as support for jhāna is suggested in a very common Sutta idiom, whose significance tends to be obscured in translation. </w:t>
      </w:r>
      <w:r w:rsidRPr="000209BC">
        <w:lastRenderedPageBreak/>
        <w:t>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 xml:space="preserve">is found everywhere. But </w:t>
      </w:r>
      <w:r w:rsidRPr="000209BC">
        <w:lastRenderedPageBreak/>
        <w:t>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 xml:space="preserve">However I have not specified their exact relationship with the relevant path-factors. They </w:t>
      </w:r>
      <w:r w:rsidRPr="000209BC">
        <w:lastRenderedPageBreak/>
        <w:t>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w:t>
      </w:r>
      <w:r w:rsidRPr="000209BC">
        <w:lastRenderedPageBreak/>
        <w:t>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 xml:space="preserve">Sutta. One’s understanding of the Dhamma impels one to renounce in search of peace; one undertakes the rules of conduct and livelihood; applies oneself to restraint and mindfulness in all activities and postures; resorts to a secluded dwelling; establishes </w:t>
      </w:r>
      <w:r w:rsidRPr="000209BC">
        <w:lastRenderedPageBreak/>
        <w:t>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This formula does not explicitly treat mindfulness as meditation. It is less closely associated with satipaṭṭhāna as such rather than ordinary 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lastRenderedPageBreak/>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how to approach the practice. I will discuss the objective </w:t>
      </w:r>
      <w:r w:rsidRPr="000209BC">
        <w:lastRenderedPageBreak/>
        <w:t>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w:t>
      </w:r>
      <w:r w:rsidRPr="000209BC">
        <w:lastRenderedPageBreak/>
        <w:t>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r w:rsidRPr="000209BC">
        <w:rPr>
          <w:i/>
          <w:iCs/>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w:t>
      </w:r>
      <w:r w:rsidRPr="000209BC">
        <w:lastRenderedPageBreak/>
        <w:t>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 xml:space="preserve">By the time of the commentaries it becomes </w:t>
      </w:r>
      <w:r w:rsidRPr="000209BC">
        <w:lastRenderedPageBreak/>
        <w:t>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DF4802">
      <w:pPr>
        <w:pStyle w:val="WW-paragraph"/>
      </w:pPr>
      <w:r w:rsidRPr="000209BC">
        <w:t>This conclusion is supported by SA 612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w:t>
      </w:r>
      <w:r w:rsidRPr="000209BC">
        <w:lastRenderedPageBreak/>
        <w:t xml:space="preserve">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lastRenderedPageBreak/>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 xml:space="preserve">underscores the </w:t>
      </w:r>
      <w:r w:rsidRPr="000209BC">
        <w:lastRenderedPageBreak/>
        <w:t>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lastRenderedPageBreak/>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lastRenderedPageBreak/>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16333A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(SN 54.10/SA 813/Skt)</w:t>
      </w:r>
      <w:r w:rsidR="00647C71">
        <w:t xml:space="preserve"> </w:t>
      </w:r>
      <w:r w:rsidR="000D3E48">
        <w:br/>
      </w:r>
      <w:r w:rsidR="000D3E48">
        <w:br/>
      </w:r>
      <w:r w:rsidRPr="000209BC">
        <w:t>When one abides contemplating a body in the body, one crushes evil unskilful qualities…</w:t>
      </w:r>
    </w:p>
    <w:p w14:paraId="6AE8F7F0" w14:textId="1AC04E2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(SN 47.11/SA 614)</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1110657"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(SN 47.4/SA 621)</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1002918F"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(SN 47.10/SA 615)</w:t>
      </w:r>
      <w:r w:rsidR="00647C71">
        <w:t xml:space="preserve"> </w:t>
      </w:r>
      <w:r w:rsidR="000D3E48">
        <w:br/>
      </w:r>
      <w:r w:rsidR="000D3E48">
        <w:br/>
      </w:r>
      <w:r w:rsidRPr="000209BC">
        <w:t>I abide contemplating a body in the body; ardent, clearly comprehending, mindful, I understand: ‘I am blissful’…</w:t>
      </w:r>
    </w:p>
    <w:p w14:paraId="7A445BED" w14:textId="2F3D48F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(SN 47.8/SA 616)</w:t>
      </w:r>
      <w:r w:rsidR="00647C71">
        <w:t xml:space="preserve"> </w:t>
      </w:r>
      <w:r w:rsidR="000D3E48">
        <w:br/>
      </w:r>
      <w:r w:rsidR="000D3E48">
        <w:lastRenderedPageBreak/>
        <w:br/>
      </w:r>
      <w:r w:rsidRPr="000209BC">
        <w:t>For one abiding contemplating a body in the body, the mind enters samādhi, the taints are abandoned…</w:t>
      </w:r>
    </w:p>
    <w:p w14:paraId="3DBE5A75" w14:textId="71089B90"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(DN 18.26/DA 4)</w:t>
      </w:r>
      <w:r w:rsidR="00647C71">
        <w:t xml:space="preserve"> </w:t>
      </w:r>
      <w:r w:rsidR="000D3E48">
        <w:br/>
      </w:r>
      <w:r w:rsidR="000D3E48">
        <w:br/>
      </w:r>
      <w:r w:rsidRPr="000209BC">
        <w:t>When one abides contemplating a body in the body, there one gains right samādhi, right clarity…</w:t>
      </w:r>
    </w:p>
    <w:p w14:paraId="2B071031" w14:textId="2F996B2A"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r w:rsidR="000209BC" w:rsidRPr="000209BC">
        <w:rPr>
          <w:rFonts w:cs="Source Serif Pro"/>
          <w:i/>
          <w:iCs/>
        </w:rPr>
        <w:t>…</w:t>
      </w:r>
      <w:r w:rsidR="000209BC" w:rsidRPr="000209BC">
        <w:t>(MN 125.24/MA 198)</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 xml:space="preserve">of </w:t>
      </w:r>
      <w:r w:rsidRPr="000209BC">
        <w:lastRenderedPageBreak/>
        <w:t>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lastRenderedPageBreak/>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lastRenderedPageBreak/>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w:t>
      </w:r>
      <w:r w:rsidRPr="000209BC">
        <w:lastRenderedPageBreak/>
        <w:t>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lastRenderedPageBreak/>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lastRenderedPageBreak/>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lastRenderedPageBreak/>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lastRenderedPageBreak/>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and so also means ‘sustained 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lastRenderedPageBreak/>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r w:rsidRPr="000209BC">
        <w:lastRenderedPageBreak/>
        <w:t>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xml:space="preserve">. This would fall within the sphere of satipaṭṭhāna. As a vipassanā </w:t>
      </w:r>
      <w:r w:rsidRPr="000209BC">
        <w:lastRenderedPageBreak/>
        <w:t>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Hatthipadopama Sutta. For example, the internal water element is defined as the watery parts of one’s own body, such as sweat and blood, etc., </w:t>
      </w:r>
      <w:r w:rsidRPr="000209BC">
        <w:lastRenderedPageBreak/>
        <w:t>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r w:rsidRPr="000209BC">
        <w:lastRenderedPageBreak/>
        <w:t>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lastRenderedPageBreak/>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77777777"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evidently the translator used this more familiar Mahāyāna term); SA 102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w:t>
      </w:r>
      <w:r w:rsidRPr="000209BC">
        <w:lastRenderedPageBreak/>
        <w:t xml:space="preserve">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t>
      </w:r>
      <w:r w:rsidRPr="000209BC">
        <w:lastRenderedPageBreak/>
        <w:t>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 xml:space="preserve">with </w:t>
      </w:r>
      <w:r w:rsidRPr="000209BC">
        <w:lastRenderedPageBreak/>
        <w:t>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The text listed as cognate by Akanuma here, SN 52.1,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C622DA"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yukta. SA 607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SA 608,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Rather, they have the Buddha encouraging the monks to be mindful since </w:t>
      </w:r>
      <w:r w:rsidRPr="000209BC">
        <w:lastRenderedPageBreak/>
        <w:t xml:space="preserve">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0209BC">
        <w:rPr>
          <w:i/>
          <w:iCs/>
        </w:rPr>
        <w:t>ekāyana</w:t>
      </w:r>
      <w:r w:rsidR="00C16309">
        <w:t xml:space="preserve"> </w:t>
      </w:r>
      <w:r w:rsidRPr="000209BC">
        <w:t xml:space="preserve">appear in the Brahmanical scriptures suggest a </w:t>
      </w:r>
      <w:r w:rsidRPr="000209BC">
        <w:lastRenderedPageBreak/>
        <w:t>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w:t>
      </w:r>
      <w:r w:rsidRPr="000209BC">
        <w:lastRenderedPageBreak/>
        <w:t>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w:t>
      </w:r>
      <w:r w:rsidRPr="000209BC">
        <w:lastRenderedPageBreak/>
        <w:t>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lastRenderedPageBreak/>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a well known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0209BC">
        <w:rPr>
          <w:i/>
          <w:iCs/>
        </w:rPr>
        <w:t>ekāyana</w:t>
      </w:r>
      <w:r w:rsidR="00C16309">
        <w:t xml:space="preserve"> </w:t>
      </w:r>
      <w:r w:rsidRPr="000209BC">
        <w:t xml:space="preserve">that is singled out as the most exact expression of this insight. This verse occurs immediately before the dramatic revelation that ‘this great being’, the cosmic self that is the All, is but a ‘sheer </w:t>
      </w:r>
      <w:r w:rsidRPr="000209BC">
        <w:lastRenderedPageBreak/>
        <w:t>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and then he released his seed into them, therefore he is called ‘Narāyana’. Closer to home, the Pārāyana Vagga says: ‘This path goes to the beyond (</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lastRenderedPageBreak/>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lastRenderedPageBreak/>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in 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 xml:space="preserve">in the context of practice, which do not mention dependent origination, or for that matter </w:t>
      </w:r>
      <w:r w:rsidRPr="000209BC">
        <w:lastRenderedPageBreak/>
        <w:t>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lastRenderedPageBreak/>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w:t>
      </w:r>
      <w:r w:rsidRPr="000209BC">
        <w:lastRenderedPageBreak/>
        <w:t>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43AE15EB" w:rsidR="000209BC" w:rsidRPr="000209BC" w:rsidRDefault="000209BC" w:rsidP="00435F86">
      <w:pPr>
        <w:pStyle w:val="WW-paragraph"/>
      </w:pPr>
      <w:r w:rsidRPr="000209BC">
        <w:rPr>
          <w:b/>
          <w:bCs/>
        </w:rPr>
        <w:lastRenderedPageBreak/>
        <w:t>SN 47.8/SA 616 The Cook:</w:t>
      </w:r>
      <w:r w:rsidR="00C16309">
        <w:t xml:space="preserve"> </w:t>
      </w:r>
      <w:r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705AC924" w:rsidR="000209BC" w:rsidRPr="000209BC" w:rsidRDefault="000209BC" w:rsidP="00435F86">
      <w:pPr>
        <w:pStyle w:val="WW-paragraph"/>
      </w:pPr>
      <w:r w:rsidRPr="000209BC">
        <w:rPr>
          <w:b/>
          <w:bCs/>
        </w:rPr>
        <w:t>SN 47.6/SA 617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6142F463" w:rsidR="000209BC" w:rsidRPr="000209BC" w:rsidRDefault="000209BC" w:rsidP="00435F86">
      <w:pPr>
        <w:pStyle w:val="WW-paragraph"/>
      </w:pPr>
      <w:r w:rsidRPr="000209BC">
        <w:rPr>
          <w:b/>
          <w:bCs/>
        </w:rPr>
        <w:t>SN 47.19/SA 619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68C16DCE" w:rsidR="000209BC" w:rsidRPr="000209BC" w:rsidRDefault="000209BC" w:rsidP="00435F86">
      <w:pPr>
        <w:pStyle w:val="WW-paragraph"/>
      </w:pPr>
      <w:r w:rsidRPr="000209BC">
        <w:rPr>
          <w:b/>
          <w:bCs/>
        </w:rPr>
        <w:t>SN 47.7/SA 620 The Monkey:</w:t>
      </w:r>
      <w:r w:rsidR="00C16309">
        <w:t xml:space="preserve"> </w:t>
      </w:r>
      <w:r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Pr="000209BC">
        <w:lastRenderedPageBreak/>
        <w:t>description of the foolish monk who goes into town with senses unrestrained.</w:t>
      </w:r>
    </w:p>
    <w:p w14:paraId="3F0D94AE" w14:textId="76DC6CB2" w:rsidR="000209BC" w:rsidRPr="000209BC" w:rsidRDefault="000209BC" w:rsidP="00435F86">
      <w:pPr>
        <w:pStyle w:val="WW-paragraph"/>
      </w:pPr>
      <w:r w:rsidRPr="000209BC">
        <w:rPr>
          <w:b/>
          <w:bCs/>
        </w:rPr>
        <w:t>SN 47.20/SA 623: The Most Beautiful Girl in the Land:</w:t>
      </w:r>
      <w:r w:rsidR="00C16309">
        <w:t xml:space="preserve"> </w:t>
      </w:r>
      <w:r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lastRenderedPageBreak/>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t>SN 47.11–14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da preferred to allocate this text to their S</w:t>
      </w:r>
      <w:r w:rsidRPr="000209BC">
        <w:rPr>
          <w:rFonts w:cs="Source Serif Pro"/>
        </w:rPr>
        <w:t>ā</w:t>
      </w:r>
      <w:r w:rsidRPr="000209BC">
        <w:t>riputta-sa</w:t>
      </w:r>
      <w:r w:rsidRPr="000209BC">
        <w:rPr>
          <w:rFonts w:ascii="Cambria" w:hAnsi="Cambria" w:cs="Cambria"/>
        </w:rPr>
        <w:t>ṁ</w:t>
      </w:r>
      <w:r w:rsidRPr="000209BC">
        <w:t xml:space="preserve">yutta. The episode is found in the </w:t>
      </w:r>
      <w:r w:rsidRPr="00FF2DC3">
        <w:lastRenderedPageBreak/>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It also forms the kernel for the much longer dialogue in the Sampas</w:t>
      </w:r>
      <w:r w:rsidRPr="000209BC">
        <w:rPr>
          <w:rFonts w:cs="Source Serif Pro"/>
        </w:rPr>
        <w:t>ā</w:t>
      </w:r>
      <w:r w:rsidRPr="000209BC">
        <w:t>dan</w:t>
      </w:r>
      <w:r w:rsidRPr="000209BC">
        <w:rPr>
          <w:rFonts w:cs="Source Serif Pro"/>
        </w:rPr>
        <w:t>ī</w:t>
      </w:r>
      <w:r w:rsidRPr="000209BC">
        <w:t>ya Sutta.</w:t>
      </w:r>
      <w:r w:rsidR="000B55EC">
        <w:rPr>
          <w:rStyle w:val="FootnoteReference"/>
        </w:rPr>
        <w:footnoteReference w:id="322"/>
      </w:r>
    </w:p>
    <w:p w14:paraId="3A878B31" w14:textId="77777777" w:rsidR="000209BC" w:rsidRPr="000209BC" w:rsidRDefault="000209BC" w:rsidP="00435F86">
      <w:pPr>
        <w:pStyle w:val="WW-paragraph"/>
      </w:pPr>
      <w:r w:rsidRPr="000209BC">
        <w:t xml:space="preserve">SN 47.13/ SA 638, the next text in the </w:t>
      </w:r>
      <w:r w:rsidRPr="00FF2DC3">
        <w:t>Theravāda</w:t>
      </w:r>
      <w:r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said by the commentary to be Venerable S</w:t>
      </w:r>
      <w:r w:rsidRPr="000209BC">
        <w:rPr>
          <w:rFonts w:cs="Source Serif Pro"/>
        </w:rPr>
        <w:t>ā</w:t>
      </w:r>
      <w:r w:rsidRPr="000209BC">
        <w:t>riputta</w:t>
      </w:r>
      <w:r w:rsidRPr="000209BC">
        <w:rPr>
          <w:rFonts w:cs="Source Serif Pro"/>
        </w:rPr>
        <w:t>’</w:t>
      </w:r>
      <w:r w:rsidRPr="000209BC">
        <w:t>s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was his attendant during his illness. On his passing away, he took Venerable S</w:t>
      </w:r>
      <w:r w:rsidRPr="000209BC">
        <w:rPr>
          <w:rFonts w:cs="Source Serif Pro"/>
        </w:rPr>
        <w:t>ā</w:t>
      </w:r>
      <w:r w:rsidRPr="000209BC">
        <w:t>riputta</w:t>
      </w:r>
      <w:r w:rsidRPr="000209BC">
        <w:rPr>
          <w:rFonts w:cs="Source Serif Pro"/>
        </w:rPr>
        <w:t>’</w:t>
      </w:r>
      <w:r w:rsidRPr="000209BC">
        <w:t xml:space="preserve">s bowl and robes and went to where the Buddha was staying. The </w:t>
      </w:r>
      <w:r w:rsidRPr="00FF2DC3">
        <w:t>Theravāda</w:t>
      </w:r>
      <w:r w:rsidRPr="000209BC">
        <w:t xml:space="preserve"> says he was at Sāvatthī, which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S</w:t>
      </w:r>
      <w:r w:rsidRPr="000209BC">
        <w:rPr>
          <w:rFonts w:cs="Source Serif Pro"/>
        </w:rPr>
        <w:t>ā</w:t>
      </w:r>
      <w:r w:rsidRPr="000209BC">
        <w:t>vatth</w:t>
      </w:r>
      <w:r w:rsidRPr="000209BC">
        <w:rPr>
          <w:rFonts w:cs="Source Serif Pro"/>
        </w:rPr>
        <w:t>ī</w:t>
      </w:r>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da says the Buddha was staying in R</w:t>
      </w:r>
      <w:r w:rsidRPr="000209BC">
        <w:rPr>
          <w:rFonts w:cs="Source Serif Pro"/>
        </w:rPr>
        <w:t>ā</w:t>
      </w:r>
      <w:r w:rsidRPr="000209BC">
        <w:t>jagaha, at the Ve</w:t>
      </w:r>
      <w:r w:rsidRPr="000209BC">
        <w:rPr>
          <w:rFonts w:cs="Source Serif Pro"/>
        </w:rPr>
        <w:t>ḷ</w:t>
      </w:r>
      <w:r w:rsidRPr="000209BC">
        <w:t>uvana. But this is little better, for the Mah</w:t>
      </w:r>
      <w:r w:rsidRPr="000209BC">
        <w:rPr>
          <w:rFonts w:cs="Source Serif Pro"/>
        </w:rPr>
        <w:t>ā</w:t>
      </w:r>
      <w:r w:rsidRPr="000209BC">
        <w:t xml:space="preserve"> Parinibb</w:t>
      </w:r>
      <w:r w:rsidRPr="000209BC">
        <w:rPr>
          <w:rFonts w:cs="Source Serif Pro"/>
        </w:rPr>
        <w:t>ā</w:t>
      </w:r>
      <w:r w:rsidRPr="000209BC">
        <w:t>na Sutta says that S</w:t>
      </w:r>
      <w:r w:rsidRPr="000209BC">
        <w:rPr>
          <w:rFonts w:cs="Source Serif Pro"/>
        </w:rPr>
        <w:t>ā</w:t>
      </w:r>
      <w:r w:rsidRPr="000209BC">
        <w:t>riputta visited the Buddha in N</w:t>
      </w:r>
      <w:r w:rsidRPr="000209BC">
        <w:rPr>
          <w:rFonts w:cs="Source Serif Pro"/>
        </w:rPr>
        <w:t>āḷ</w:t>
      </w:r>
      <w:r w:rsidRPr="000209BC">
        <w:t>and</w:t>
      </w:r>
      <w:r w:rsidRPr="000209BC">
        <w:rPr>
          <w:rFonts w:cs="Source Serif Pro"/>
        </w:rPr>
        <w:t>ā</w:t>
      </w:r>
      <w:r w:rsidRPr="000209BC">
        <w:t>, after he had already taken the north road from R</w:t>
      </w:r>
      <w:r w:rsidRPr="000209BC">
        <w:rPr>
          <w:rFonts w:cs="Source Serif Pro"/>
        </w:rPr>
        <w:t>ā</w:t>
      </w:r>
      <w:r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Pr="000209BC">
        <w:lastRenderedPageBreak/>
        <w:t>refuge.’ One does this through the practice of satipaṭṭhāna. This is much like the Mahā Parinibbāna Sutta, and it is surprising that this text finds no place in that narrative.</w:t>
      </w:r>
    </w:p>
    <w:p w14:paraId="7CF3B715" w14:textId="406A2B43" w:rsidR="000209BC" w:rsidRPr="000209BC" w:rsidRDefault="000209BC" w:rsidP="00435F86">
      <w:pPr>
        <w:pStyle w:val="WW-paragraph"/>
      </w:pPr>
      <w:r w:rsidRPr="000209BC">
        <w:t xml:space="preserve">This text forms a pair with SN 47.14/SA 639,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Next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83B1375" w:rsidR="000209BC" w:rsidRPr="000209BC" w:rsidRDefault="000209BC" w:rsidP="00435F86">
      <w:pPr>
        <w:pStyle w:val="WW-paragraph"/>
      </w:pPr>
      <w:r w:rsidRPr="000209BC">
        <w:t>These narratives enrich and inform the presentation of satipaṭṭhāna, contextualizing the abstract meditation formula within the drama of life and death. Another discourse also emphasizes satipaṭṭhāna in the context of death. This discourse, SN 47.30/SA 1038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77777777"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lastRenderedPageBreak/>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w:t>
      </w:r>
      <w:r w:rsidRPr="000209BC">
        <w:lastRenderedPageBreak/>
        <w:t>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 xml:space="preserve">The meditative development of clear comprehension described here is clearly of secondary importance; the passage occurs once only in each of the </w:t>
      </w:r>
      <w:r w:rsidRPr="000209BC">
        <w:lastRenderedPageBreak/>
        <w:t>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77777777"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ga and SN 47.42/SA 609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xml:space="preserve">) in detail. </w:t>
      </w:r>
      <w:r w:rsidRPr="000209BC">
        <w:lastRenderedPageBreak/>
        <w:t>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r w:rsidRPr="000209BC">
        <w:lastRenderedPageBreak/>
        <w:t>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4A5E604C"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w:t>
      </w:r>
      <w:r w:rsidRPr="000209BC">
        <w:lastRenderedPageBreak/>
        <w:t xml:space="preserve">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internal/external practice, while not how development is presented normally, is appropriate enough, for it teaches how to broaden and extend </w:t>
      </w:r>
      <w:r w:rsidRPr="000209BC">
        <w:lastRenderedPageBreak/>
        <w:t>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lastRenderedPageBreak/>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w:t>
      </w:r>
      <w:r w:rsidRPr="000209BC">
        <w:lastRenderedPageBreak/>
        <w:t>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lastRenderedPageBreak/>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Samudaya Sutta is an important pre-sectarian text and deserves closer consideration. It says that the origin of the </w:t>
      </w:r>
      <w:r w:rsidRPr="000209BC">
        <w:lastRenderedPageBreak/>
        <w:t>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‘endowment with mind’ (</w:t>
      </w:r>
      <w:r w:rsidRPr="000209BC">
        <w:rPr>
          <w:i/>
          <w:iCs/>
        </w:rPr>
        <w:t>cittasampadā</w:t>
      </w:r>
      <w:r w:rsidRPr="000209BC">
        <w:t>), etc. It is therefore treated under the fourth noble truth, and is ‘to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 xml:space="preserve">dhi. </w:t>
      </w:r>
      <w:r w:rsidRPr="000209BC">
        <w:lastRenderedPageBreak/>
        <w:t>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w:t>
      </w:r>
      <w:r w:rsidRPr="000209BC">
        <w:lastRenderedPageBreak/>
        <w:t>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impermanence introduced. Now, however, impermanence is introduced from the first, giving the impression, without stating so explicitly, that one may </w:t>
      </w:r>
      <w:r w:rsidRPr="000209BC">
        <w:lastRenderedPageBreak/>
        <w:t>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w:t>
      </w:r>
      <w:r w:rsidRPr="000209BC">
        <w:lastRenderedPageBreak/>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w:t>
      </w:r>
      <w:r w:rsidRPr="000209BC">
        <w:lastRenderedPageBreak/>
        <w:t>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lastRenderedPageBreak/>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w:t>
      </w:r>
      <w:r w:rsidRPr="000209BC">
        <w:lastRenderedPageBreak/>
        <w:t xml:space="preserve">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lastRenderedPageBreak/>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detailed exercise or series of exercises, few of which occur elsewhere in the </w:t>
      </w:r>
      <w:r w:rsidRPr="000209BC">
        <w:lastRenderedPageBreak/>
        <w:t>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xml:space="preserve">, a matrix or schedule of doctrinal categories, </w:t>
      </w:r>
      <w:r w:rsidRPr="000209BC">
        <w:lastRenderedPageBreak/>
        <w:t>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 xml:space="preserve">In addition to the usual threefold analysis of feelings, the satipaṭṭhāna material introduces the distinction between ‘carnal’ and ‘spiritual’ feelings. </w:t>
      </w:r>
      <w:r w:rsidRPr="000209BC">
        <w:lastRenderedPageBreak/>
        <w:t>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Develops ‘that nimitta’, compares with external</w:t>
            </w:r>
          </w:p>
        </w:tc>
        <w:tc>
          <w:tcPr>
            <w:tcW w:w="2410" w:type="dxa"/>
            <w:hideMark/>
          </w:tcPr>
          <w:p w14:paraId="73A088A2" w14:textId="77777777" w:rsidR="000209BC" w:rsidRPr="000209BC" w:rsidRDefault="000209BC" w:rsidP="003555DD">
            <w:pPr>
              <w:pStyle w:val="WW-paragraph"/>
            </w:pPr>
            <w:r w:rsidRPr="000209BC">
              <w:t>Develops ‘that nimitta’, compares with external</w:t>
            </w:r>
          </w:p>
        </w:tc>
        <w:tc>
          <w:tcPr>
            <w:tcW w:w="2268" w:type="dxa"/>
            <w:hideMark/>
          </w:tcPr>
          <w:p w14:paraId="70A6A190" w14:textId="77777777" w:rsidR="000209BC" w:rsidRPr="000209BC" w:rsidRDefault="000209BC" w:rsidP="003555DD">
            <w:pPr>
              <w:pStyle w:val="WW-paragraph"/>
            </w:pPr>
            <w:r w:rsidRPr="000209BC">
              <w:t>Develops ‘that nimitta’, compares with external</w:t>
            </w:r>
          </w:p>
        </w:tc>
        <w:tc>
          <w:tcPr>
            <w:tcW w:w="2471" w:type="dxa"/>
            <w:hideMark/>
          </w:tcPr>
          <w:p w14:paraId="4391151D" w14:textId="77777777" w:rsidR="000209BC" w:rsidRPr="000209BC" w:rsidRDefault="000209BC" w:rsidP="003555DD">
            <w:pPr>
              <w:pStyle w:val="WW-paragraph"/>
            </w:pPr>
            <w:r w:rsidRPr="000209BC">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lastRenderedPageBreak/>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 xml:space="preserve">Defines: contemplates, abides, ardent, clearly comprehending, mindful, world, </w:t>
            </w:r>
            <w:r w:rsidRPr="000209BC">
              <w:lastRenderedPageBreak/>
              <w:t>covetousness, aversion, remove</w:t>
            </w:r>
          </w:p>
        </w:tc>
        <w:tc>
          <w:tcPr>
            <w:tcW w:w="2410" w:type="dxa"/>
            <w:hideMark/>
          </w:tcPr>
          <w:p w14:paraId="048540F1" w14:textId="77777777" w:rsidR="000209BC" w:rsidRPr="000209BC" w:rsidRDefault="000209BC" w:rsidP="003555DD">
            <w:pPr>
              <w:pStyle w:val="WW-paragraph"/>
            </w:pPr>
            <w:r w:rsidRPr="000209BC">
              <w:lastRenderedPageBreak/>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w:t>
      </w:r>
      <w:r w:rsidRPr="000209BC">
        <w:lastRenderedPageBreak/>
        <w:t>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r w:rsidRPr="000209BC">
        <w:lastRenderedPageBreak/>
        <w:t>‘</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w:t>
      </w:r>
      <w:r w:rsidRPr="000209BC">
        <w:lastRenderedPageBreak/>
        <w:t>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w:t>
      </w:r>
      <w:r w:rsidRPr="000209BC">
        <w:lastRenderedPageBreak/>
        <w:t>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abhidhammic addition. Most of the definitions, or rather, strings of synonyms, are standard enough. ‘World’ is </w:t>
      </w:r>
      <w:r w:rsidRPr="000209BC">
        <w:lastRenderedPageBreak/>
        <w:t>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lastRenderedPageBreak/>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w:t>
      </w:r>
      <w:r w:rsidR="00541B60">
        <w:rPr>
          <w:rStyle w:val="FootnoteReference"/>
        </w:rPr>
        <w:footnoteReference w:id="362"/>
      </w:r>
      <w:r w:rsidR="00C16309">
        <w:t xml:space="preserve"> </w:t>
      </w:r>
      <w:r w:rsidRPr="000209BC">
        <w:lastRenderedPageBreak/>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lastRenderedPageBreak/>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 xml:space="preserve">f. Defines (as 1.d; from here text </w:t>
            </w:r>
            <w:r w:rsidRPr="000209BC">
              <w:lastRenderedPageBreak/>
              <w:t>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w:t>
            </w:r>
            <w:r w:rsidRPr="000209BC">
              <w:lastRenderedPageBreak/>
              <w:t>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w:t>
            </w:r>
            <w:r w:rsidRPr="000209BC">
              <w:lastRenderedPageBreak/>
              <w:t>sensual.</w:t>
            </w:r>
          </w:p>
          <w:p w14:paraId="66F71B37" w14:textId="12B985DC" w:rsidR="00EB6212" w:rsidRPr="000209BC" w:rsidRDefault="00EB6212" w:rsidP="00B24726">
            <w:pPr>
              <w:pStyle w:val="WW-paragraph"/>
            </w:pPr>
            <w:r w:rsidRPr="00EB6212">
              <w:rPr>
                <w:rStyle w:val="wwc-superscript"/>
              </w:rPr>
              <w:t>2</w:t>
            </w:r>
            <w:r>
              <w:t xml:space="preserve"> </w:t>
            </w:r>
            <w:r w:rsidRPr="000209BC">
              <w:t>Vipassanā refrain; see SN 22.122/SA 259.</w:t>
            </w:r>
          </w:p>
        </w:tc>
      </w:tr>
    </w:tbl>
    <w:p w14:paraId="663DE7BA" w14:textId="77777777" w:rsidR="000209BC" w:rsidRDefault="000209BC" w:rsidP="0082671E">
      <w:pPr>
        <w:pStyle w:val="WW-paragraph"/>
      </w:pPr>
      <w:r w:rsidRPr="000209BC">
        <w:lastRenderedPageBreak/>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comparison implies that here the Dharmaskandha is more authentic to the old Sarvāstivāda tradition, while the Smṛtyupasthāna Sūtra version has </w:t>
      </w:r>
      <w:r w:rsidRPr="000209BC">
        <w:lastRenderedPageBreak/>
        <w:t>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xml:space="preserve">, as for the early Suttas, ‘internal’ means </w:t>
      </w:r>
      <w:r w:rsidRPr="000209BC">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lastRenderedPageBreak/>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t>
      </w:r>
      <w:r w:rsidRPr="000209BC">
        <w:lastRenderedPageBreak/>
        <w:t>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 xml:space="preserve">c. What’s contemplating </w:t>
            </w:r>
            <w:r w:rsidRPr="000209BC">
              <w:lastRenderedPageBreak/>
              <w:t>internal body?</w:t>
            </w:r>
          </w:p>
        </w:tc>
        <w:tc>
          <w:tcPr>
            <w:tcW w:w="0" w:type="auto"/>
            <w:hideMark/>
          </w:tcPr>
          <w:p w14:paraId="19784206" w14:textId="77777777" w:rsidR="000209BC" w:rsidRPr="000209BC" w:rsidRDefault="000209BC" w:rsidP="000A632A">
            <w:pPr>
              <w:pStyle w:val="WW-paragraph"/>
            </w:pPr>
            <w:r w:rsidRPr="000209BC">
              <w:lastRenderedPageBreak/>
              <w:t xml:space="preserve">c. What’s contemplating </w:t>
            </w:r>
            <w:r w:rsidRPr="000209BC">
              <w:lastRenderedPageBreak/>
              <w:t>internal feelings?</w:t>
            </w:r>
          </w:p>
        </w:tc>
        <w:tc>
          <w:tcPr>
            <w:tcW w:w="0" w:type="auto"/>
            <w:hideMark/>
          </w:tcPr>
          <w:p w14:paraId="35899588" w14:textId="77777777" w:rsidR="000209BC" w:rsidRPr="000209BC" w:rsidRDefault="000209BC" w:rsidP="000A632A">
            <w:pPr>
              <w:pStyle w:val="WW-paragraph"/>
            </w:pPr>
            <w:r w:rsidRPr="000209BC">
              <w:lastRenderedPageBreak/>
              <w:t xml:space="preserve">c. What’s contemplating </w:t>
            </w:r>
            <w:r w:rsidRPr="000209BC">
              <w:lastRenderedPageBreak/>
              <w:t>internal mind?</w:t>
            </w:r>
          </w:p>
        </w:tc>
        <w:tc>
          <w:tcPr>
            <w:tcW w:w="0" w:type="auto"/>
            <w:hideMark/>
          </w:tcPr>
          <w:p w14:paraId="7A3A4277" w14:textId="77777777" w:rsidR="000209BC" w:rsidRPr="000209BC" w:rsidRDefault="000209BC" w:rsidP="000A632A">
            <w:pPr>
              <w:pStyle w:val="WW-paragraph"/>
            </w:pPr>
            <w:r w:rsidRPr="000209BC">
              <w:lastRenderedPageBreak/>
              <w:t xml:space="preserve">c. What’s contemplating </w:t>
            </w:r>
            <w:r w:rsidRPr="000209BC">
              <w:lastRenderedPageBreak/>
              <w:t>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‘ext’;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Ariṭṭha’s practice had not progressed beyond simple observation of the breath, without samādhi and insight. The Buddha, while </w:t>
      </w:r>
      <w:r w:rsidRPr="000209BC">
        <w:lastRenderedPageBreak/>
        <w:t>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lastRenderedPageBreak/>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There are good reasons for thinking that clear comprehension was not originally regarded as a meditation as such. For example in the Mahā 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 xml:space="preserve">s digression </w:t>
      </w:r>
      <w:r w:rsidRPr="000209BC">
        <w:lastRenderedPageBreak/>
        <w:t>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w:t>
      </w:r>
      <w:r w:rsidRPr="000209BC">
        <w:lastRenderedPageBreak/>
        <w:t xml:space="preserve">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2F9CF3F1"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706"/>
        <w:gridCol w:w="4226"/>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77777777" w:rsidR="000209BC" w:rsidRPr="000209BC" w:rsidRDefault="000209BC" w:rsidP="007F3824">
            <w:pPr>
              <w:pStyle w:val="WW-paragraph"/>
            </w:pPr>
            <w:r w:rsidRPr="000209BC">
              <w:t>(see MN 20.3/MA 101)</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lastRenderedPageBreak/>
              <w:t>4. Suppressing thought</w:t>
            </w:r>
          </w:p>
        </w:tc>
        <w:tc>
          <w:tcPr>
            <w:tcW w:w="0" w:type="auto"/>
            <w:hideMark/>
          </w:tcPr>
          <w:p w14:paraId="742A773C" w14:textId="77777777" w:rsidR="000209BC" w:rsidRPr="000209BC" w:rsidRDefault="000209BC" w:rsidP="007F3824">
            <w:pPr>
              <w:pStyle w:val="WW-paragraph"/>
            </w:pPr>
            <w:r w:rsidRPr="000209BC">
              <w:t>(see MN 20.7/MA 101)</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77777777" w:rsidR="000209BC" w:rsidRPr="000209BC" w:rsidRDefault="000209BC" w:rsidP="007F3824">
            <w:pPr>
              <w:pStyle w:val="WW-paragraph"/>
            </w:pPr>
            <w:r w:rsidRPr="000209BC">
              <w:t>(Similes at MN 119.18/MA 81,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 xml:space="preserve">The Sarvāstivāda refrain says that diligent practice of this in a secluded place frees the mind from distress, brings samādhi, and brings knowledge </w:t>
      </w:r>
      <w:r w:rsidRPr="000209BC">
        <w:lastRenderedPageBreak/>
        <w:t>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 xml:space="preserve">This is consistent with the simile for mindfulness of </w:t>
      </w:r>
      <w:r w:rsidRPr="000209BC">
        <w:lastRenderedPageBreak/>
        <w:t>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 xml:space="preserve">He sits pervading this body with pure bright heart, so that there is no part of his whole body unpervaded by pure bright heart. Just as if there </w:t>
      </w:r>
      <w:r w:rsidRPr="000209BC">
        <w:lastRenderedPageBreak/>
        <w:t>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w:t>
      </w:r>
      <w:r w:rsidRPr="000209BC">
        <w:lastRenderedPageBreak/>
        <w:t>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Bronkhorst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lastRenderedPageBreak/>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w:t>
      </w:r>
      <w:r w:rsidRPr="000209BC">
        <w:lastRenderedPageBreak/>
        <w:t>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 xml:space="preserve">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w:t>
      </w:r>
      <w:r w:rsidRPr="000209BC">
        <w:lastRenderedPageBreak/>
        <w:t>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w:t>
      </w:r>
      <w:r w:rsidRPr="000209BC">
        <w:lastRenderedPageBreak/>
        <w:t>‘measure’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w:t>
      </w:r>
      <w:r w:rsidRPr="000209BC">
        <w:lastRenderedPageBreak/>
        <w:t>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however, the sense media are displaced awkwardly to the beginning of the section, whereas in the Dharmaskandha </w:t>
      </w:r>
      <w:r w:rsidRPr="000209BC">
        <w:lastRenderedPageBreak/>
        <w:t>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w:t>
      </w:r>
      <w:r w:rsidRPr="000209BC">
        <w:lastRenderedPageBreak/>
        <w:t xml:space="preserve">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t>
      </w:r>
      <w:r w:rsidRPr="000209BC">
        <w:lastRenderedPageBreak/>
        <w:t>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 xml:space="preserve">does. It is an unusual rendering </w:t>
      </w:r>
      <w:r w:rsidRPr="000209BC">
        <w:lastRenderedPageBreak/>
        <w:t>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w:t>
      </w:r>
      <w:r w:rsidRPr="000209BC">
        <w:lastRenderedPageBreak/>
        <w:t>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w:t>
      </w:r>
      <w:r w:rsidRPr="000209BC">
        <w:lastRenderedPageBreak/>
        <w:t>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w:t>
      </w:r>
      <w:r w:rsidRPr="000209BC">
        <w:lastRenderedPageBreak/>
        <w:t>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w:t>
      </w:r>
      <w:r w:rsidRPr="000209BC">
        <w:lastRenderedPageBreak/>
        <w:t>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w:t>
      </w:r>
      <w:r w:rsidRPr="000209BC">
        <w:lastRenderedPageBreak/>
        <w:t>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 xml:space="preserve">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t>
      </w:r>
      <w:r w:rsidRPr="000209BC">
        <w:lastRenderedPageBreak/>
        <w:t>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lastRenderedPageBreak/>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It is impossible to understand, and clearly against the normal 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 xml:space="preserve">‘Monks, when one pays uncausewise attention, unarisen sensual desire arises, and arisen sensual desire increases and expands; unarisen ill-will… </w:t>
      </w:r>
      <w:r w:rsidRPr="000209BC">
        <w:lastRenderedPageBreak/>
        <w:t>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 xml:space="preserve">bhidharma. Thirdly, the phrasing of the contemplation is more in </w:t>
      </w:r>
      <w:r w:rsidRPr="000209BC">
        <w:lastRenderedPageBreak/>
        <w:t>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 xml:space="preserve">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t>
      </w:r>
      <w:r w:rsidRPr="000209BC">
        <w:lastRenderedPageBreak/>
        <w:t>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lastRenderedPageBreak/>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 xml:space="preserve">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w:t>
      </w:r>
      <w:r w:rsidRPr="000209BC">
        <w:lastRenderedPageBreak/>
        <w:t>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the final, definitive exposition of psychological processes worked out in great detail by the later ābhidhammikas. Thus the Mahā Satipaṭṭhāna Sutta stands as an important bridge to the Abhidhamma. We 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lastRenderedPageBreak/>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lastRenderedPageBreak/>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w:t>
      </w:r>
      <w:r w:rsidRPr="000209BC">
        <w:lastRenderedPageBreak/>
        <w:t>‘There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and other similarly late, elaborate verse styles is the 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t>
      </w:r>
      <w:r w:rsidRPr="000209BC">
        <w:lastRenderedPageBreak/>
        <w:t>workings of kamma and its fruits regarding the 32 marks.</w:t>
      </w:r>
      <w:r w:rsidR="00F32C89">
        <w:rPr>
          <w:rStyle w:val="FootnoteReference"/>
        </w:rPr>
        <w:footnoteReference w:id="404"/>
      </w:r>
      <w:r w:rsidR="00C16309">
        <w:t xml:space="preserve"> </w:t>
      </w:r>
      <w:r w:rsidRPr="000209BC">
        <w:t>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w:t>
      </w:r>
      <w:r w:rsidRPr="000209BC">
        <w:lastRenderedPageBreak/>
        <w:t xml:space="preserve">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7856139A" w:rsidR="000209BC" w:rsidRDefault="000209BC" w:rsidP="00DA4800">
      <w:pPr>
        <w:pStyle w:val="WW-paragraph"/>
      </w:pPr>
      <w:r w:rsidRPr="00F32C89">
        <w:rPr>
          <w:rStyle w:val="Strong"/>
        </w:rPr>
        <w:t>MA 44, MA 54, and MA 55</w:t>
      </w:r>
      <w:r w:rsidRPr="000209BC">
        <w:t xml:space="preserve"> present versions of the doctrinal framework that I call ‘dependent liberation’, known elsewhere as ‘transcendental dependant origination’. The Sarvāstivāda Sa</w:t>
      </w:r>
      <w:r w:rsidRPr="000209BC">
        <w:rPr>
          <w:rFonts w:ascii="Cambria" w:hAnsi="Cambria" w:cs="Cambria"/>
        </w:rPr>
        <w:t>ṁ</w:t>
      </w:r>
      <w:r w:rsidRPr="000209BC">
        <w:t xml:space="preserve">yukta </w:t>
      </w:r>
      <w:r w:rsidRPr="000209BC">
        <w:rPr>
          <w:rFonts w:cs="Source Serif Pro"/>
        </w:rPr>
        <w:t>Ā</w:t>
      </w:r>
      <w:r w:rsidRPr="000209BC">
        <w:t>gama includes a sa</w:t>
      </w:r>
      <w:r w:rsidRPr="000209BC">
        <w:rPr>
          <w:rFonts w:ascii="Cambria" w:hAnsi="Cambria" w:cs="Cambria"/>
        </w:rPr>
        <w:t>ṁ</w:t>
      </w:r>
      <w:r w:rsidRPr="000209BC">
        <w:t>yutta comprised of discourses on this theme, most of which in the Pali have been shifted to the A</w:t>
      </w:r>
      <w:r w:rsidRPr="000209BC">
        <w:rPr>
          <w:rFonts w:cs="Source Serif Pro"/>
        </w:rPr>
        <w:t>ṅ</w:t>
      </w:r>
      <w:r w:rsidRPr="000209BC">
        <w:t>guttara Nik</w:t>
      </w:r>
      <w:r w:rsidRPr="000209BC">
        <w:rPr>
          <w:rFonts w:cs="Source Serif Pro"/>
        </w:rPr>
        <w:t>ā</w:t>
      </w:r>
      <w:r w:rsidRPr="000209BC">
        <w:t xml:space="preserve">ya. The elements of the framework occur in a whole range of central teachings, yet a full exposition is lacking from the </w:t>
      </w:r>
      <w:r w:rsidRPr="00FF2DC3">
        <w:t>Theravāda</w:t>
      </w:r>
      <w:r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255BBB53" w:rsidR="000209BC" w:rsidRDefault="000209BC" w:rsidP="00DA4800">
      <w:pPr>
        <w:pStyle w:val="WW-paragraph"/>
      </w:pPr>
      <w:r w:rsidRPr="00F32C89">
        <w:rPr>
          <w:rStyle w:val="Strong"/>
        </w:rPr>
        <w:lastRenderedPageBreak/>
        <w:t>MA 44:</w:t>
      </w:r>
      <w:r w:rsidR="00C16309">
        <w:t xml:space="preserve"> </w:t>
      </w:r>
      <w:r w:rsidRPr="000209BC">
        <w:t>Mindfulness &amp; clear comprehension</w:t>
      </w:r>
      <w:r w:rsidR="00F32C89">
        <w:rPr>
          <w:rStyle w:val="FootnoteReference"/>
        </w:rPr>
        <w:footnoteReference w:id="412"/>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sense faculties </w:t>
      </w:r>
      <w:r w:rsidRPr="000209BC">
        <w:rPr>
          <w:rFonts w:cs="Source Serif Pro"/>
        </w:rPr>
        <w:t>→</w:t>
      </w:r>
      <w:r w:rsidRPr="000209BC">
        <w:t xml:space="preserve"> 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1B647716" w:rsidR="00DA4800" w:rsidRDefault="000209BC" w:rsidP="00DA4800">
      <w:pPr>
        <w:pStyle w:val="WW-paragraph"/>
      </w:pPr>
      <w:r w:rsidRPr="00F32C89">
        <w:rPr>
          <w:rStyle w:val="Strong"/>
        </w:rPr>
        <w:t>MA 54:</w:t>
      </w:r>
      <w:r w:rsidR="00C16309">
        <w:t xml:space="preserve"> </w:t>
      </w:r>
      <w:r w:rsidRPr="000209BC">
        <w:t>Honouring and attending upon</w:t>
      </w:r>
      <w:r w:rsidRPr="000209BC">
        <w:rPr>
          <w:rFonts w:ascii="Times New Roman" w:hAnsi="Times New Roman"/>
        </w:rPr>
        <w:t> </w:t>
      </w:r>
      <w:r w:rsidRPr="000209BC">
        <w:rPr>
          <w:rFonts w:cs="Source Serif Pro"/>
        </w:rPr>
        <w:t>→</w:t>
      </w:r>
      <w:r w:rsidRPr="000209BC">
        <w:rPr>
          <w:rFonts w:ascii="Times New Roman" w:hAnsi="Times New Roman"/>
        </w:rPr>
        <w:t> </w:t>
      </w:r>
      <w:r w:rsidRPr="000209BC">
        <w:t>approaching</w:t>
      </w:r>
      <w:r w:rsidRPr="000209BC">
        <w:rPr>
          <w:rFonts w:ascii="Times New Roman" w:hAnsi="Times New Roman"/>
        </w:rPr>
        <w:t> </w:t>
      </w:r>
      <w:r w:rsidRPr="000209BC">
        <w:rPr>
          <w:rFonts w:cs="Source Serif Pro"/>
        </w:rPr>
        <w:t>→</w:t>
      </w:r>
      <w:r w:rsidRPr="000209BC">
        <w:rPr>
          <w:rFonts w:ascii="Times New Roman" w:hAnsi="Times New Roman"/>
        </w:rPr>
        <w:t> </w:t>
      </w:r>
      <w:r w:rsidRPr="000209BC">
        <w:t>listening to the good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giving ear</w:t>
      </w:r>
      <w:r w:rsidR="00F32C89">
        <w:rPr>
          <w:rStyle w:val="FootnoteReference"/>
        </w:rPr>
        <w:footnoteReference w:id="414"/>
      </w:r>
      <w:r w:rsidRPr="000209BC">
        <w:rPr>
          <w:rFonts w:ascii="Times New Roman" w:hAnsi="Times New Roman"/>
        </w:rPr>
        <w:t> </w:t>
      </w:r>
      <w:r w:rsidRPr="000209BC">
        <w:rPr>
          <w:rFonts w:cs="Source Serif Pro"/>
        </w:rPr>
        <w:t>→</w:t>
      </w:r>
      <w:r w:rsidRPr="000209BC">
        <w:rPr>
          <w:rFonts w:ascii="Times New Roman" w:hAnsi="Times New Roman"/>
        </w:rPr>
        <w:t> </w:t>
      </w:r>
      <w:r w:rsidRPr="000209BC">
        <w:t>consideration of the meaning of the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learning the Dhamma by heart</w:t>
      </w:r>
      <w:r w:rsidRPr="000209BC">
        <w:rPr>
          <w:rFonts w:ascii="Times New Roman" w:hAnsi="Times New Roman"/>
        </w:rPr>
        <w:t> </w:t>
      </w:r>
      <w:r w:rsidR="00F32C89">
        <w:rPr>
          <w:rStyle w:val="FootnoteReference"/>
        </w:rPr>
        <w:footnoteReference w:id="415"/>
      </w:r>
      <w:r w:rsidRPr="000209BC">
        <w:rPr>
          <w:rFonts w:cs="Source Serif Pro"/>
        </w:rPr>
        <w:t>→</w:t>
      </w:r>
      <w:r w:rsidRPr="000209BC">
        <w:rPr>
          <w:rFonts w:ascii="Times New Roman" w:hAnsi="Times New Roman"/>
        </w:rPr>
        <w:t> </w:t>
      </w:r>
      <w:r w:rsidRPr="000209BC">
        <w:t>recital</w:t>
      </w:r>
      <w:r w:rsidRPr="000209BC">
        <w:rPr>
          <w:rFonts w:ascii="Times New Roman" w:hAnsi="Times New Roman"/>
        </w:rPr>
        <w:t> </w:t>
      </w:r>
      <w:r w:rsidRPr="000209BC">
        <w:rPr>
          <w:rFonts w:cs="Source Serif Pro"/>
        </w:rPr>
        <w:t>→</w:t>
      </w:r>
      <w:r w:rsidRPr="000209BC">
        <w:rPr>
          <w:rFonts w:ascii="Times New Roman" w:hAnsi="Times New Roman"/>
        </w:rPr>
        <w:t> </w:t>
      </w:r>
      <w:r w:rsidRPr="000209BC">
        <w:t>reflective acceptance</w:t>
      </w:r>
      <w:r w:rsidR="00F32C89">
        <w:rPr>
          <w:rStyle w:val="FootnoteReference"/>
        </w:rPr>
        <w:footnoteReference w:id="416"/>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00F32C89">
        <w:rPr>
          <w:rStyle w:val="FootnoteReference"/>
        </w:rPr>
        <w:footnoteReference w:id="417"/>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the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precepts</w:t>
      </w:r>
      <w:r w:rsidRPr="000209BC">
        <w:rPr>
          <w:rFonts w:ascii="Times New Roman" w:hAnsi="Times New Roman"/>
        </w:rPr>
        <w:t> </w:t>
      </w:r>
      <w:r w:rsidRPr="000209BC">
        <w:rPr>
          <w:rFonts w:cs="Source Serif Pro"/>
        </w:rPr>
        <w:t>→</w:t>
      </w:r>
      <w:r w:rsidRPr="000209BC">
        <w:rPr>
          <w:rFonts w:ascii="Times New Roman" w:hAnsi="Times New Roman"/>
        </w:rPr>
        <w:t> </w:t>
      </w:r>
      <w:r w:rsidRPr="000209BC">
        <w:t>non-remorse</w:t>
      </w:r>
      <w:r w:rsidRPr="000209BC">
        <w:rPr>
          <w:rFonts w:ascii="Times New Roman" w:hAnsi="Times New Roman"/>
        </w:rPr>
        <w:t> </w:t>
      </w:r>
      <w:r w:rsidRPr="000209BC">
        <w:rPr>
          <w:rFonts w:cs="Source Serif Pro"/>
        </w:rPr>
        <w:t>→</w:t>
      </w:r>
      <w:r w:rsidRPr="000209BC">
        <w:rPr>
          <w:rFonts w:ascii="Times New Roman" w:hAnsi="Times New Roman"/>
        </w:rPr>
        <w:t> </w:t>
      </w:r>
      <w:r w:rsidRPr="000209BC">
        <w:t>gladness</w:t>
      </w:r>
      <w:r w:rsidRPr="000209BC">
        <w:rPr>
          <w:rFonts w:ascii="Times New Roman" w:hAnsi="Times New Roman"/>
        </w:rPr>
        <w:t> </w:t>
      </w:r>
      <w:r w:rsidRPr="000209BC">
        <w:rPr>
          <w:rFonts w:cs="Source Serif Pro"/>
        </w:rPr>
        <w:t>→</w:t>
      </w:r>
      <w:r w:rsidRPr="000209BC">
        <w:rPr>
          <w:rFonts w:ascii="Times New Roman" w:hAnsi="Times New Roman"/>
        </w:rPr>
        <w:t> </w:t>
      </w:r>
      <w:r w:rsidRPr="000209BC">
        <w:t>rapture</w:t>
      </w:r>
      <w:r w:rsidRPr="000209BC">
        <w:rPr>
          <w:rFonts w:ascii="Times New Roman" w:hAnsi="Times New Roman"/>
        </w:rPr>
        <w:t> </w:t>
      </w:r>
      <w:r w:rsidRPr="000209BC">
        <w:rPr>
          <w:rFonts w:cs="Source Serif Pro"/>
        </w:rPr>
        <w:t>→</w:t>
      </w:r>
      <w:r w:rsidRPr="000209BC">
        <w:rPr>
          <w:rFonts w:ascii="Times New Roman" w:hAnsi="Times New Roman"/>
        </w:rPr>
        <w:t> </w:t>
      </w:r>
      <w:r w:rsidRPr="000209BC">
        <w:t>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knowledge &amp; vision of things as they have become </w:t>
      </w:r>
      <w:r w:rsidRPr="000209BC">
        <w:rPr>
          <w:rFonts w:cs="Source Serif Pro"/>
        </w:rPr>
        <w:t>→</w:t>
      </w:r>
      <w:r w:rsidRPr="000209BC">
        <w:t xml:space="preserve"> repulsion </w:t>
      </w:r>
      <w:r w:rsidRPr="000209BC">
        <w:rPr>
          <w:rFonts w:cs="Source Serif Pro"/>
        </w:rPr>
        <w:t>→</w:t>
      </w:r>
      <w:r w:rsidRPr="000209BC">
        <w:t xml:space="preserve"> fading of lust </w:t>
      </w:r>
      <w:r w:rsidRPr="000209BC">
        <w:rPr>
          <w:rFonts w:cs="Source Serif Pro"/>
        </w:rPr>
        <w:t>→</w:t>
      </w:r>
      <w:r w:rsidRPr="000209BC">
        <w:t xml:space="preserve"> liberation </w:t>
      </w:r>
      <w:r w:rsidRPr="000209BC">
        <w:rPr>
          <w:rFonts w:cs="Source Serif Pro"/>
        </w:rPr>
        <w:t>→</w:t>
      </w:r>
      <w:r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34A0B021" w:rsidR="000209BC" w:rsidRPr="000209BC" w:rsidRDefault="000209BC" w:rsidP="00DA4800">
      <w:pPr>
        <w:pStyle w:val="WW-paragraph"/>
      </w:pPr>
      <w:r w:rsidRPr="00F32C89">
        <w:rPr>
          <w:rStyle w:val="Strong"/>
        </w:rPr>
        <w:t>MA 55:</w:t>
      </w:r>
      <w:r w:rsidR="00C16309">
        <w:t xml:space="preserve"> </w:t>
      </w:r>
      <w:r w:rsidRPr="000209BC">
        <w:t>Ignorance → conceptual activities → cognition → name &amp; form → six senses → contact → feeling → craving → grasping → existence → birth → aging &amp; death</w:t>
      </w:r>
      <w:r w:rsidRPr="000209BC">
        <w:rPr>
          <w:rFonts w:ascii="Times New Roman" w:hAnsi="Times New Roman"/>
        </w:rPr>
        <w:t> </w:t>
      </w:r>
      <w:r w:rsidRPr="000209BC">
        <w:rPr>
          <w:rFonts w:cs="Source Serif Pro"/>
        </w:rPr>
        <w:t>→</w:t>
      </w:r>
      <w:r w:rsidRPr="000209BC">
        <w:rPr>
          <w:rFonts w:ascii="Times New Roman" w:hAnsi="Times New Roman"/>
        </w:rPr>
        <w:t> </w:t>
      </w:r>
      <w:r w:rsidRPr="000209BC">
        <w:t>suffering</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mindfulness </w:t>
      </w:r>
      <w:r w:rsidRPr="000209BC">
        <w:lastRenderedPageBreak/>
        <w:t>&amp;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 xml:space="preserve">dhi </w:t>
      </w:r>
      <w:r w:rsidRPr="000209BC">
        <w:rPr>
          <w:rFonts w:cs="Source Serif Pro"/>
        </w:rPr>
        <w:t>→</w:t>
      </w:r>
      <w:r w:rsidRPr="000209BC">
        <w:t xml:space="preserve"> 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7777777" w:rsidR="00DA4800" w:rsidRDefault="000209BC" w:rsidP="00DA4800">
      <w:pPr>
        <w:pStyle w:val="WW-paragraph"/>
      </w:pPr>
      <w:r w:rsidRPr="000209BC">
        <w:rPr>
          <w:b/>
          <w:bCs/>
        </w:rPr>
        <w:t>MA 80 (*Kaṭhinadhamma Sutta):</w:t>
      </w:r>
      <w:r w:rsidR="00C16309">
        <w:t xml:space="preserve"> </w:t>
      </w:r>
      <w:r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Pr="000209BC">
        <w:rPr>
          <w:i/>
          <w:iCs/>
        </w:rPr>
        <w:t>kaṭhina</w:t>
      </w:r>
      <w:r w:rsidR="00C16309">
        <w:t xml:space="preserve"> </w:t>
      </w:r>
      <w:r w:rsidRPr="000209BC">
        <w:t xml:space="preserve">to the monks. Anuruddha spoke of how he embraced the monk’s life, observed the precepts, abandoned the hindrances, developed meditation, attained the four jhānas, and finally the six clear </w:t>
      </w:r>
      <w:r w:rsidRPr="000209BC">
        <w:lastRenderedPageBreak/>
        <w:t>knowledges culminating in arahantship. The Buddha sat up, praised Anuruddha, and encouraged the monks to practice these</w:t>
      </w:r>
      <w:r w:rsidR="00C16309">
        <w:t xml:space="preserve"> </w:t>
      </w:r>
      <w:r w:rsidRPr="000209BC">
        <w:rPr>
          <w:i/>
          <w:iCs/>
        </w:rPr>
        <w:t>kaṭhina</w:t>
      </w:r>
      <w:r w:rsidR="00C16309">
        <w:t xml:space="preserve"> </w:t>
      </w:r>
      <w:r w:rsidRPr="000209BC">
        <w:t>dhammas.</w:t>
      </w:r>
    </w:p>
    <w:p w14:paraId="01559B11" w14:textId="4C2A8942" w:rsidR="00DA4800" w:rsidRDefault="00DA4800" w:rsidP="00DA4800">
      <w:pPr>
        <w:pStyle w:val="WW-space"/>
      </w:pPr>
      <w:r>
        <w:t>0</w:t>
      </w:r>
    </w:p>
    <w:p w14:paraId="66B4D217" w14:textId="77777777" w:rsidR="00DA4800" w:rsidRDefault="000209BC" w:rsidP="00DA4800">
      <w:pPr>
        <w:pStyle w:val="WW-paragraph"/>
      </w:pPr>
      <w:r w:rsidRPr="000209BC">
        <w:rPr>
          <w:b/>
          <w:bCs/>
        </w:rPr>
        <w:t>MA 218:</w:t>
      </w:r>
      <w:r w:rsidR="00C16309">
        <w:t xml:space="preserve"> </w:t>
      </w:r>
      <w:r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74E6513F" w:rsidR="000209BC" w:rsidRPr="000209BC" w:rsidRDefault="000209BC" w:rsidP="00DA4800">
      <w:pPr>
        <w:pStyle w:val="WW-paragraph"/>
      </w:pPr>
      <w:r w:rsidRPr="000209BC">
        <w:rPr>
          <w:b/>
          <w:bCs/>
        </w:rPr>
        <w:t>MA 219:</w:t>
      </w:r>
      <w:r w:rsidR="00C16309">
        <w:t xml:space="preserve"> </w:t>
      </w:r>
      <w:r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Pr="000209BC">
        <w:t>and through understanding end the defilements would die absolutely without distress. Here the mention of ‘correct view’ and ‘precepts’ echoes the Satipaṭṭhāna-sa</w:t>
      </w:r>
      <w:r w:rsidRPr="000209BC">
        <w:rPr>
          <w:rFonts w:ascii="Cambria" w:hAnsi="Cambria" w:cs="Cambria"/>
        </w:rPr>
        <w:t>ṁ</w:t>
      </w:r>
      <w:r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77777777" w:rsidR="00DA4800" w:rsidRDefault="000209BC" w:rsidP="00DA4800">
      <w:pPr>
        <w:pStyle w:val="WW-paragraph"/>
      </w:pPr>
      <w:r w:rsidRPr="000209BC">
        <w:rPr>
          <w:b/>
          <w:bCs/>
        </w:rPr>
        <w:t>MA 176:</w:t>
      </w:r>
      <w:r w:rsidR="00C16309">
        <w:t xml:space="preserve"> </w:t>
      </w:r>
      <w:r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2623D277" w:rsidR="000209BC" w:rsidRPr="000209BC" w:rsidRDefault="000209BC" w:rsidP="00DA4800">
      <w:pPr>
        <w:pStyle w:val="WW-paragraph"/>
      </w:pPr>
      <w:r w:rsidRPr="000209BC">
        <w:rPr>
          <w:b/>
          <w:bCs/>
        </w:rPr>
        <w:lastRenderedPageBreak/>
        <w:t>MA 117:</w:t>
      </w:r>
      <w:r w:rsidR="00C16309">
        <w:t xml:space="preserve"> </w:t>
      </w:r>
      <w:r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217D0984" w:rsidR="000209BC" w:rsidRPr="000209BC" w:rsidRDefault="000209BC" w:rsidP="00DA4800">
      <w:pPr>
        <w:pStyle w:val="WW-paragraph"/>
      </w:pPr>
      <w:r w:rsidRPr="000209BC">
        <w:rPr>
          <w:b/>
          <w:bCs/>
        </w:rPr>
        <w:t>MA 222:</w:t>
      </w:r>
      <w:r w:rsidR="00C16309">
        <w:t xml:space="preserve"> </w:t>
      </w:r>
      <w:r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Pr="000209BC">
        <w:t>the ten dhammas of the adept.</w:t>
      </w:r>
    </w:p>
    <w:p w14:paraId="4485686B" w14:textId="77777777" w:rsidR="000209BC" w:rsidRPr="000209BC" w:rsidRDefault="000209BC" w:rsidP="00DA4800">
      <w:pPr>
        <w:pStyle w:val="WW-paragraph"/>
      </w:pPr>
      <w:r w:rsidRPr="000209BC">
        <w:lastRenderedPageBreak/>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 xml:space="preserve">Sāriputta addresses </w:t>
      </w:r>
      <w:r w:rsidRPr="000209BC">
        <w:lastRenderedPageBreak/>
        <w:t>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of the Buddha. The Sarvāstivādins keenly felt that they lived in a diminished </w:t>
      </w:r>
      <w:r w:rsidRPr="000209BC">
        <w:lastRenderedPageBreak/>
        <w:t>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the paradox of longing to preserve forever the Buddha’s precious </w:t>
      </w:r>
      <w:r w:rsidRPr="000209BC">
        <w:lastRenderedPageBreak/>
        <w:t>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lastRenderedPageBreak/>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w:t>
      </w:r>
      <w:r w:rsidRPr="000209BC">
        <w:lastRenderedPageBreak/>
        <w:t>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xml:space="preserve">).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w:t>
      </w:r>
      <w:r w:rsidRPr="000209BC">
        <w:lastRenderedPageBreak/>
        <w:t>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divine 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abhidhammic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r w:rsidRPr="000209BC">
        <w:rPr>
          <w:i/>
          <w:iCs/>
        </w:rPr>
        <w:t>upaṭṭhāna</w:t>
      </w:r>
      <w:r w:rsidRPr="000209BC">
        <w:t>, is mentioned under the definition of samatha. The 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 xml:space="preserve">bodhisattvas’, took as their chief inspiration the ascetic, meditative lifestyle </w:t>
      </w:r>
      <w:r w:rsidRPr="000209BC">
        <w:lastRenderedPageBreak/>
        <w:t>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w:t>
      </w:r>
      <w:r w:rsidR="00397BF4">
        <w:rPr>
          <w:rStyle w:val="FootnoteReference"/>
        </w:rPr>
        <w:footnoteReference w:id="459"/>
      </w:r>
      <w:r w:rsidR="00C16309">
        <w:t xml:space="preserve"> </w:t>
      </w:r>
      <w:r w:rsidRPr="000209BC">
        <w:t xml:space="preserve">This work encompasses all the </w:t>
      </w:r>
      <w:r w:rsidRPr="000209BC">
        <w:lastRenderedPageBreak/>
        <w:t xml:space="preserve">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t xml:space="preserve">If we now compare these [Sutta descriptions of the satipaṭṭhānas] with Dharmaśrī’s description, it is striking that even taking the concision of the latter into account, there are no individual correspondences. The </w:t>
      </w:r>
      <w:r w:rsidRPr="000209BC">
        <w:lastRenderedPageBreak/>
        <w:t>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w:t>
      </w:r>
      <w:r w:rsidRPr="000209BC">
        <w:lastRenderedPageBreak/>
        <w:t>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t>
      </w:r>
      <w:r w:rsidRPr="000209BC">
        <w:lastRenderedPageBreak/>
        <w:t>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Strangely, the Kośa says that ānāpānasati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ānāpānasati, which is the opposite of thinking, cannot be associated with pleasure or pain. On the other hand, the two agreeable sensations [rapture &amp; bliss of the </w:t>
      </w:r>
      <w:r w:rsidRPr="000209BC">
        <w:lastRenderedPageBreak/>
        <w:t>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w:t>
      </w:r>
      <w:r w:rsidRPr="000209BC">
        <w:lastRenderedPageBreak/>
        <w:t>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w:t>
      </w:r>
      <w:r w:rsidRPr="000209BC">
        <w:lastRenderedPageBreak/>
        <w:t>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lastRenderedPageBreak/>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w:t>
      </w:r>
      <w:r w:rsidRPr="000209BC">
        <w:lastRenderedPageBreak/>
        <w:t>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w:t>
      </w:r>
      <w:r w:rsidRPr="000209BC">
        <w:lastRenderedPageBreak/>
        <w:t>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w:t>
      </w:r>
      <w:r w:rsidRPr="000209BC">
        <w:lastRenderedPageBreak/>
        <w:t>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yukta (Hurvitz adds Pali cognates, not all of which are correct), and then has a discussion that has 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w:t>
      </w:r>
      <w:r w:rsidRPr="000209BC">
        <w:lastRenderedPageBreak/>
        <w:t>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w:t>
      </w:r>
      <w:r w:rsidRPr="000209BC">
        <w:lastRenderedPageBreak/>
        <w:t>Sarvāstivāda, and it may be that their main innovations were literary rather 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lastRenderedPageBreak/>
        <w:t>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xml:space="preserve">. Mindfulness, the antidote for confusion, prepares us for death, </w:t>
      </w:r>
      <w:r w:rsidRPr="000209BC">
        <w:lastRenderedPageBreak/>
        <w:t>the most important moment of our life. The whole process sounds remarkably similar to samādhi experiences. The bright light appears like a samādhi</w:t>
      </w:r>
      <w:r w:rsidR="00C16309">
        <w:t xml:space="preserve"> </w:t>
      </w:r>
      <w:r w:rsidRPr="000209BC">
        <w:rPr>
          <w:i/>
          <w:iCs/>
        </w:rPr>
        <w:t>nimitta</w:t>
      </w:r>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lastRenderedPageBreak/>
        <w:t>Here are some quotes from a collection of essays edited by Minoru Kiyota under the title</w:t>
      </w:r>
      <w:r w:rsidR="00C16309">
        <w:t xml:space="preserve"> </w:t>
      </w:r>
      <w:r w:rsidRPr="000209BC">
        <w:rPr>
          <w:i/>
          <w:iCs/>
        </w:rPr>
        <w:t>Mahāyāna Buddhist Meditation</w:t>
      </w:r>
      <w:r w:rsidRPr="000209BC">
        <w:t>.</w:t>
      </w:r>
    </w:p>
    <w:p w14:paraId="55FE21A7" w14:textId="77777777"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Pr="000209BC">
        <w:rPr>
          <w:rFonts w:ascii="Times New Roman" w:hAnsi="Times New Roman"/>
        </w:rPr>
        <w:t> </w:t>
      </w:r>
      <w:r w:rsidRPr="000209BC">
        <w:t>47)</w:t>
      </w:r>
    </w:p>
    <w:p w14:paraId="115DEFCB" w14:textId="77777777"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Pr="000209BC">
        <w:rPr>
          <w:rFonts w:ascii="Times New Roman" w:hAnsi="Times New Roman"/>
        </w:rPr>
        <w:t> </w:t>
      </w:r>
      <w:r w:rsidRPr="000209BC">
        <w:t>47)</w:t>
      </w:r>
    </w:p>
    <w:p w14:paraId="5BC4F657" w14:textId="77777777" w:rsidR="000209BC" w:rsidRPr="002A56DB" w:rsidRDefault="000209BC" w:rsidP="002A56DB">
      <w:pPr>
        <w:pStyle w:val="WW-tight-right-cite"/>
      </w:pPr>
      <w:r w:rsidRPr="000209BC">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77777777"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Pr="000209BC">
        <w:rPr>
          <w:rFonts w:ascii="Times New Roman" w:hAnsi="Times New Roman"/>
        </w:rPr>
        <w:t> </w:t>
      </w:r>
      <w:r w:rsidRPr="000209BC">
        <w:t>66.</w:t>
      </w:r>
    </w:p>
    <w:p w14:paraId="04A2B9DF" w14:textId="77777777" w:rsidR="000209BC" w:rsidRPr="000209BC" w:rsidRDefault="000209BC" w:rsidP="00FC5EF0">
      <w:pPr>
        <w:pStyle w:val="WW-blockquote"/>
      </w:pPr>
      <w:r w:rsidRPr="000209BC">
        <w:t xml:space="preserve">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w:t>
      </w:r>
      <w:r w:rsidRPr="000209BC">
        <w:lastRenderedPageBreak/>
        <w:t>meditation from the point of view of what has been studied by investigation).</w:t>
      </w:r>
    </w:p>
    <w:p w14:paraId="71C14386" w14:textId="77777777"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Pr="000209BC">
        <w:rPr>
          <w:rFonts w:ascii="Times New Roman" w:hAnsi="Times New Roman"/>
        </w:rPr>
        <w:t>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7777777"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Pr="000209BC">
        <w:rPr>
          <w:rFonts w:ascii="Times New Roman" w:hAnsi="Times New Roman"/>
        </w:rPr>
        <w:t> </w:t>
      </w:r>
      <w:r w:rsidRPr="000209BC">
        <w:t>149.</w:t>
      </w:r>
    </w:p>
    <w:p w14:paraId="05B8A9BA" w14:textId="77777777"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hAnsi="Times New Roman"/>
        </w:rPr>
        <w:t> </w:t>
      </w:r>
      <w:r w:rsidRPr="000209BC">
        <w:t>178)</w:t>
      </w:r>
    </w:p>
    <w:p w14:paraId="1853FB0C" w14:textId="77777777"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hAnsi="Times New Roman"/>
        </w:rPr>
        <w:t>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 xml:space="preserve">…the practice of transferring merits is guided by insight (vipassanā), and insight by meditation (samatha). In the Upadeśa, worship and praise [earlier identified as samatha] are the instruments to purify the mind; vow and </w:t>
      </w:r>
      <w:r w:rsidRPr="000209BC">
        <w:lastRenderedPageBreak/>
        <w:t>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77777777"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Pr="000209BC">
        <w:rPr>
          <w:rFonts w:ascii="Times New Roman" w:hAnsi="Times New Roman"/>
        </w:rPr>
        <w:t>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 xml:space="preserve">This says that all those who say they are enlightened do so in one of four ways: samatha preceding vipassanā; vipassanā preceding samatha; samatha </w:t>
      </w:r>
      <w:r w:rsidRPr="000209BC">
        <w:lastRenderedPageBreak/>
        <w:t>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lastRenderedPageBreak/>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lastRenderedPageBreak/>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B6F3203"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w:t>
      </w:r>
      <w:r w:rsidRPr="000209BC">
        <w:lastRenderedPageBreak/>
        <w:t>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lastRenderedPageBreak/>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xml:space="preserve">). That itself would be the false view of existence, of a self, a being, a soul, a person. That itself would be the false </w:t>
      </w:r>
      <w:r w:rsidRPr="000209BC">
        <w:lastRenderedPageBreak/>
        <w:t>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become more and more a matter of seeing these ultimately existing </w:t>
      </w:r>
      <w:r w:rsidRPr="000209BC">
        <w:lastRenderedPageBreak/>
        <w:t>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w:t>
      </w:r>
      <w:r w:rsidRPr="000209BC">
        <w:lastRenderedPageBreak/>
        <w:t>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The status and meaning of meditative visions is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w:t>
      </w:r>
      <w:r w:rsidRPr="000209BC">
        <w:lastRenderedPageBreak/>
        <w:t>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t>
      </w:r>
      <w:r w:rsidRPr="000209BC">
        <w:lastRenderedPageBreak/>
        <w:t>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xml:space="preserve">) of </w:t>
      </w:r>
      <w:r w:rsidRPr="000209BC">
        <w:lastRenderedPageBreak/>
        <w:t>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w:t>
      </w:r>
      <w:r w:rsidRPr="000209BC">
        <w:lastRenderedPageBreak/>
        <w:t>contemplation of dhammas: ‘lack of confusion as regards dhammas that 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 xml:space="preserve">Here we are firmly in Sutta territory. The difference between the spiritual faculties and spiritual powers is explained in terms of progressive stages of </w:t>
      </w:r>
      <w:r w:rsidRPr="000209BC">
        <w:lastRenderedPageBreak/>
        <w:t>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w:t>
      </w:r>
      <w:r w:rsidRPr="000209BC">
        <w:lastRenderedPageBreak/>
        <w:t>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lastRenderedPageBreak/>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w:t>
      </w:r>
      <w:r w:rsidRPr="000209BC">
        <w:lastRenderedPageBreak/>
        <w:t>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lastRenderedPageBreak/>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lastRenderedPageBreak/>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lastRenderedPageBreak/>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xml:space="preserve">). The first three terms are all </w:t>
      </w:r>
      <w:r w:rsidRPr="000209BC">
        <w:lastRenderedPageBreak/>
        <w:t>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0209BC">
        <w:rPr>
          <w:i/>
          <w:iCs/>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 xml:space="preserve">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w:t>
      </w:r>
      <w:r w:rsidRPr="000209BC">
        <w:lastRenderedPageBreak/>
        <w:t>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lastRenderedPageBreak/>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w:t>
      </w:r>
      <w:r w:rsidRPr="000209BC">
        <w:lastRenderedPageBreak/>
        <w:t>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 xml:space="preserve">‘Thus,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w:t>
      </w:r>
      <w:r w:rsidRPr="000209BC">
        <w:lastRenderedPageBreak/>
        <w:t>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yutta and discourse of CDB (this varies from earlier texts and translations, especially in SN 35);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267C8D" w14:textId="77777777" w:rsidR="00B20A77" w:rsidRDefault="00B20A77" w:rsidP="00F15316">
      <w:pPr>
        <w:spacing w:after="0" w:line="240" w:lineRule="auto"/>
      </w:pPr>
      <w:r>
        <w:separator/>
      </w:r>
    </w:p>
  </w:endnote>
  <w:endnote w:type="continuationSeparator" w:id="0">
    <w:p w14:paraId="26AE319F" w14:textId="77777777" w:rsidR="00B20A77" w:rsidRDefault="00B20A77"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C2665" w14:textId="77777777" w:rsidR="00B20A77" w:rsidRDefault="00B20A77" w:rsidP="00D60BEC">
      <w:pPr>
        <w:spacing w:before="240" w:after="0" w:line="240" w:lineRule="auto"/>
      </w:pPr>
      <w:r w:rsidRPr="00D60BEC">
        <w:separator/>
      </w:r>
    </w:p>
  </w:footnote>
  <w:footnote w:type="continuationSeparator" w:id="0">
    <w:p w14:paraId="7A94F788" w14:textId="77777777" w:rsidR="00B20A77" w:rsidRDefault="00B20A77"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FE23195"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w:t>
      </w:r>
      <w:r w:rsidR="00C16309">
        <w:rPr>
          <w:lang w:eastAsia="en-GB"/>
        </w:rPr>
        <w:t xml:space="preserve"> </w:t>
      </w:r>
      <w:r w:rsidRPr="000E7574">
        <w:rPr>
          <w:rStyle w:val="wwc-pali"/>
        </w:rPr>
        <w:t>tesaṁ</w:t>
      </w:r>
      <w:r w:rsidR="00C16309">
        <w:rPr>
          <w:lang w:eastAsia="en-GB"/>
        </w:rPr>
        <w:t xml:space="preserve"> </w:t>
      </w:r>
      <w:r w:rsidRPr="00513F3B">
        <w:rPr>
          <w:lang w:eastAsia="en-GB"/>
        </w:rPr>
        <w:t>as supplying the implied ‘their’ of the second line (cp. DN 18.27/DA 4/T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(cp. Sn 1146, 1149, AN 1.14/EA 4.1–10).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MN 81/MA 63 Ghaṭikāra and MN 83/MA 67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sidRPr="001340AE">
        <w:t>C</w:t>
      </w:r>
      <w:r w:rsidR="00F66CB3" w:rsidRPr="001340AE">
        <w:t>DB,</w:t>
      </w:r>
      <w:r w:rsidR="00FB33EE" w:rsidRPr="001340AE">
        <w:t xml:space="preserve"> p</w:t>
      </w:r>
      <w:r w:rsidRPr="001340AE">
        <w:t>g. 532</w:t>
      </w:r>
      <w:r w:rsidR="00737955" w:rsidRPr="001340AE">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3CB4ADC5"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4AC6B6B1"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2CA51C13"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23.</w:t>
      </w:r>
    </w:p>
  </w:footnote>
  <w:footnote w:id="47">
    <w:p w14:paraId="3F6D5B10" w14:textId="5E52E8F3"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97.</w:t>
      </w:r>
    </w:p>
  </w:footnote>
  <w:footnote w:id="48">
    <w:p w14:paraId="5FA8E158" w14:textId="1F0EB2AF"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Source Serif Pro"/>
          <w:color w:val="382500"/>
          <w:kern w:val="0"/>
          <w:szCs w:val="24"/>
          <w:lang w:eastAsia="en-GB"/>
          <w14:ligatures w14:val="none"/>
        </w:rPr>
        <w: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0C03F95B" w:rsidR="00097CEC" w:rsidRPr="00097CEC" w:rsidRDefault="00097CEC" w:rsidP="00097CEC">
      <w:pPr>
        <w:pStyle w:val="FootnoteText"/>
        <w:rPr>
          <w:lang w:eastAsia="en-GB"/>
        </w:rPr>
      </w:pPr>
      <w:r>
        <w:rPr>
          <w:rStyle w:val="FootnoteReference"/>
        </w:rPr>
        <w:footnoteRef/>
      </w:r>
      <w:r>
        <w:t xml:space="preserve"> </w:t>
      </w:r>
      <w:r w:rsidRPr="00513F3B">
        <w:rPr>
          <w:lang w:eastAsia="en-GB"/>
        </w:rPr>
        <w:t>LAMOTTE (1976), pg.</w:t>
      </w:r>
      <w:r w:rsidRPr="00513F3B">
        <w:rPr>
          <w:rFonts w:ascii="Times New Roman" w:hAnsi="Times New Roman"/>
          <w:lang w:eastAsia="en-GB"/>
        </w:rPr>
        <w:t> </w:t>
      </w:r>
      <w:r w:rsidRPr="00513F3B">
        <w:rPr>
          <w:lang w:eastAsia="en-GB"/>
        </w:rPr>
        <w:t>144.</w:t>
      </w:r>
    </w:p>
  </w:footnote>
  <w:footnote w:id="50">
    <w:p w14:paraId="2E1AA8E3" w14:textId="0042B7FF" w:rsidR="00097CEC" w:rsidRPr="00483AC8" w:rsidRDefault="00097CEC">
      <w:pPr>
        <w:pStyle w:val="FootnoteText"/>
      </w:pPr>
      <w:r>
        <w:rPr>
          <w:rStyle w:val="FootnoteReference"/>
        </w:rPr>
        <w:footnoteRef/>
      </w:r>
      <w:r>
        <w:t xml:space="preserve"> </w:t>
      </w:r>
      <w:r w:rsidRPr="00483AC8">
        <w:t>Some references in LAMOTTE (1976), pp. 161, 162.</w:t>
      </w:r>
    </w:p>
  </w:footnote>
  <w:footnote w:id="51">
    <w:p w14:paraId="439B3861" w14:textId="51CEC111" w:rsidR="00097CEC" w:rsidRDefault="00097CEC">
      <w:pPr>
        <w:pStyle w:val="FootnoteText"/>
      </w:pPr>
      <w:r>
        <w:rPr>
          <w:rStyle w:val="FootnoteReference"/>
        </w:rPr>
        <w:footnoteRef/>
      </w:r>
      <w:r>
        <w:t xml:space="preserve"> </w:t>
      </w:r>
      <w:r w:rsidRPr="00483AC8">
        <w:t>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4C5C7B47" w:rsidR="00097CEC" w:rsidRDefault="00097CEC">
      <w:pPr>
        <w:pStyle w:val="FootnoteText"/>
      </w:pPr>
      <w:r>
        <w:rPr>
          <w:rStyle w:val="FootnoteReference"/>
        </w:rPr>
        <w:footnoteRef/>
      </w:r>
      <w:r>
        <w:t xml:space="preserve"> </w:t>
      </w:r>
      <w:r w:rsidRPr="00483AC8">
        <w:t>DN 26/DA 6/MA 70.</w:t>
      </w:r>
    </w:p>
  </w:footnote>
  <w:footnote w:id="53">
    <w:p w14:paraId="71491E4D" w14:textId="12599395" w:rsidR="009127F9" w:rsidRPr="00483AC8" w:rsidRDefault="009127F9">
      <w:pPr>
        <w:pStyle w:val="FootnoteText"/>
      </w:pPr>
      <w:r>
        <w:rPr>
          <w:rStyle w:val="FootnoteReference"/>
        </w:rPr>
        <w:footnoteRef/>
      </w:r>
      <w:r>
        <w:t xml:space="preserve"> </w:t>
      </w:r>
      <w:r w:rsidRPr="00483AC8">
        <w:t>BOIN-WEBB, pg. 179.</w:t>
      </w:r>
    </w:p>
  </w:footnote>
  <w:footnote w:id="54">
    <w:p w14:paraId="092DA194" w14:textId="1AEFC67F" w:rsidR="009127F9" w:rsidRPr="00483AC8" w:rsidRDefault="009127F9">
      <w:pPr>
        <w:pStyle w:val="FootnoteText"/>
      </w:pPr>
      <w:r>
        <w:rPr>
          <w:rStyle w:val="FootnoteReference"/>
        </w:rPr>
        <w:footnoteRef/>
      </w:r>
      <w:r>
        <w:t xml:space="preserve"> </w:t>
      </w:r>
      <w:r w:rsidRPr="00483AC8">
        <w:t>Śrāvakabhūmi, pg. 230.</w:t>
      </w:r>
    </w:p>
  </w:footnote>
  <w:footnote w:id="55">
    <w:p w14:paraId="35A6BA0C" w14:textId="51AA08BA" w:rsidR="009127F9" w:rsidRDefault="009127F9">
      <w:pPr>
        <w:pStyle w:val="FootnoteText"/>
      </w:pPr>
      <w:r>
        <w:rPr>
          <w:rStyle w:val="FootnoteReference"/>
        </w:rPr>
        <w:footnoteRef/>
      </w:r>
      <w:r>
        <w:t xml:space="preserve"> </w:t>
      </w:r>
      <w:r w:rsidRPr="00483AC8">
        <w:t>MN 83.21/MA 67/EA 1/EA 50.4/T № 152.87/T № 211, DN 19.61/DA 3/T № 8/Skt.</w:t>
      </w:r>
    </w:p>
  </w:footnote>
  <w:footnote w:id="56">
    <w:p w14:paraId="277F4C4F" w14:textId="3534B4EF" w:rsidR="009127F9" w:rsidRDefault="009127F9">
      <w:pPr>
        <w:pStyle w:val="FootnoteText"/>
      </w:pPr>
      <w:r>
        <w:rPr>
          <w:rStyle w:val="FootnoteReference"/>
        </w:rPr>
        <w:footnoteRef/>
      </w:r>
      <w:r>
        <w:t xml:space="preserve"> </w:t>
      </w:r>
      <w:r w:rsidRPr="00483AC8">
        <w:t>DN 14.1.17/DA 1/T № 2/T № 3/T № 4/EA 48.4/Skt.</w:t>
      </w:r>
    </w:p>
  </w:footnote>
  <w:footnote w:id="57">
    <w:p w14:paraId="5DE1B8ED" w14:textId="4B5A7CA2" w:rsidR="00483AC8" w:rsidRDefault="00483AC8">
      <w:pPr>
        <w:pStyle w:val="FootnoteText"/>
      </w:pPr>
      <w:r>
        <w:rPr>
          <w:rStyle w:val="FootnoteReference"/>
        </w:rPr>
        <w:footnoteRef/>
      </w:r>
      <w:r>
        <w:t xml:space="preserve"> </w:t>
      </w:r>
      <w:r w:rsidRPr="00483AC8">
        <w:t>AN 4.127/MA 32*/EA 25.3*.</w:t>
      </w:r>
    </w:p>
  </w:footnote>
  <w:footnote w:id="58">
    <w:p w14:paraId="0C2B4BE1" w14:textId="74C3A7D3" w:rsidR="00483AC8" w:rsidRDefault="00483AC8">
      <w:pPr>
        <w:pStyle w:val="FootnoteText"/>
      </w:pPr>
      <w:r>
        <w:rPr>
          <w:rStyle w:val="FootnoteReference"/>
        </w:rPr>
        <w:footnoteRef/>
      </w:r>
      <w:r>
        <w:t xml:space="preserve"> </w:t>
      </w:r>
      <w:r w:rsidRPr="0008324F">
        <w:t>MN 123.3</w:t>
      </w:r>
      <w:r>
        <w:t>.</w:t>
      </w:r>
    </w:p>
  </w:footnote>
  <w:footnote w:id="59">
    <w:p w14:paraId="77ED8611" w14:textId="24E810B2" w:rsidR="00483AC8" w:rsidRDefault="00483AC8">
      <w:pPr>
        <w:pStyle w:val="FootnoteText"/>
      </w:pPr>
      <w:r>
        <w:rPr>
          <w:rStyle w:val="FootnoteReference"/>
        </w:rPr>
        <w:footnoteRef/>
      </w:r>
      <w:r>
        <w:t xml:space="preserve"> </w:t>
      </w:r>
      <w:r w:rsidRPr="0008324F">
        <w:t>MA 32.</w:t>
      </w:r>
    </w:p>
  </w:footnote>
  <w:footnote w:id="60">
    <w:p w14:paraId="4EDAB51B" w14:textId="2B6CD1A2" w:rsidR="00483AC8" w:rsidRDefault="00483AC8">
      <w:pPr>
        <w:pStyle w:val="FootnoteText"/>
      </w:pPr>
      <w:r>
        <w:rPr>
          <w:rStyle w:val="FootnoteReference"/>
        </w:rPr>
        <w:footnoteRef/>
      </w:r>
      <w:r>
        <w:t xml:space="preserve"> </w:t>
      </w:r>
      <w:r w:rsidRPr="0008324F">
        <w:t>MN 43/MA 211, MN 44/MA 44; the versions differ in some questions and details, but there is no obvious sectarian divergence.</w:t>
      </w:r>
    </w:p>
  </w:footnote>
  <w:footnote w:id="61">
    <w:p w14:paraId="167E56C1" w14:textId="72368CF7" w:rsidR="000F4345" w:rsidRDefault="000F4345">
      <w:pPr>
        <w:pStyle w:val="FootnoteText"/>
      </w:pPr>
      <w:r>
        <w:rPr>
          <w:rStyle w:val="FootnoteReference"/>
        </w:rPr>
        <w:footnoteRef/>
      </w:r>
      <w:r>
        <w:t xml:space="preserve"> </w:t>
      </w:r>
      <w:r w:rsidRPr="0008324F">
        <w:t>Immediately preceding the two Vedallas is a group of three discourses that occur together and in the same sequence in both Majjhimas: MN 77/MA 207 Mahāsakaludāyin; MN 79/MA 208 Cūḷsakaludāyin; and MN 80/MA 209 Vekhanassa. (MN 78/MA 179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6F6DB94E" w:rsidR="000F4345" w:rsidRDefault="000F4345">
      <w:pPr>
        <w:pStyle w:val="FootnoteText"/>
      </w:pPr>
      <w:r>
        <w:rPr>
          <w:rStyle w:val="FootnoteReference"/>
        </w:rPr>
        <w:footnoteRef/>
      </w:r>
      <w:r>
        <w:t xml:space="preserve"> </w:t>
      </w:r>
      <w:r w:rsidRPr="0008324F">
        <w:t>BOIN-WEBB, pg. 180.</w:t>
      </w:r>
    </w:p>
  </w:footnote>
  <w:footnote w:id="63">
    <w:p w14:paraId="339BCE24" w14:textId="6ECB1674" w:rsidR="000F4345" w:rsidRDefault="000F4345">
      <w:pPr>
        <w:pStyle w:val="FootnoteText"/>
      </w:pPr>
      <w:r>
        <w:rPr>
          <w:rStyle w:val="FootnoteReference"/>
        </w:rPr>
        <w:footnoteRef/>
      </w:r>
      <w:r>
        <w:t xml:space="preserve"> </w:t>
      </w:r>
      <w:r w:rsidRPr="0008324F">
        <w:t>GNOLI, Pt. 1, pg. xix.</w:t>
      </w:r>
    </w:p>
  </w:footnote>
  <w:footnote w:id="64">
    <w:p w14:paraId="618C9339" w14:textId="6EC99E7B" w:rsidR="000F4345" w:rsidRDefault="000F4345">
      <w:pPr>
        <w:pStyle w:val="FootnoteText"/>
      </w:pPr>
      <w:r>
        <w:rPr>
          <w:rStyle w:val="FootnoteReference"/>
        </w:rPr>
        <w:footnoteRef/>
      </w:r>
      <w:r>
        <w:t xml:space="preserve"> </w:t>
      </w:r>
      <w:r w:rsidRPr="0008324F">
        <w:t>BOIN-WEBB, pg. 180.</w:t>
      </w:r>
    </w:p>
  </w:footnote>
  <w:footnote w:id="65">
    <w:p w14:paraId="5D8271A9" w14:textId="4CB0415D" w:rsidR="000F4345" w:rsidRDefault="000F4345">
      <w:pPr>
        <w:pStyle w:val="FootnoteText"/>
      </w:pPr>
      <w:r>
        <w:rPr>
          <w:rStyle w:val="FootnoteReference"/>
        </w:rPr>
        <w:footnoteRef/>
      </w:r>
      <w:r>
        <w:t xml:space="preserve"> </w:t>
      </w:r>
      <w:r w:rsidRPr="0008324F">
        <w:t>BOIN-WEBB, pg. 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7A5D119A" w:rsidR="000F4345" w:rsidRDefault="000F4345">
      <w:pPr>
        <w:pStyle w:val="FootnoteText"/>
      </w:pPr>
      <w:r>
        <w:rPr>
          <w:rStyle w:val="FootnoteReference"/>
        </w:rPr>
        <w:footnoteRef/>
      </w:r>
      <w:r>
        <w:t xml:space="preserve"> </w:t>
      </w:r>
      <w:r w:rsidRPr="0008324F">
        <w:t>BEAL (1985), pg. 386–7; translation corrected following LAMOTTE, pg. 177.</w:t>
      </w:r>
    </w:p>
  </w:footnote>
  <w:footnote w:id="68">
    <w:p w14:paraId="08B18DC2" w14:textId="54DD1AA0" w:rsidR="000F4345" w:rsidRDefault="000F4345">
      <w:pPr>
        <w:pStyle w:val="FootnoteText"/>
      </w:pPr>
      <w:r>
        <w:rPr>
          <w:rStyle w:val="FootnoteReference"/>
        </w:rPr>
        <w:footnoteRef/>
      </w:r>
      <w:r>
        <w:t xml:space="preserve"> </w:t>
      </w:r>
      <w:r w:rsidRPr="0008324F">
        <w:t>BEAL (1985), pg. 140.</w:t>
      </w:r>
    </w:p>
  </w:footnote>
  <w:footnote w:id="69">
    <w:p w14:paraId="41268F5C" w14:textId="08480E20" w:rsidR="000F4345" w:rsidRDefault="000F4345">
      <w:pPr>
        <w:pStyle w:val="FootnoteText"/>
      </w:pPr>
      <w:r>
        <w:rPr>
          <w:rStyle w:val="FootnoteReference"/>
        </w:rPr>
        <w:footnoteRef/>
      </w:r>
      <w:r>
        <w:t xml:space="preserve"> </w:t>
      </w:r>
      <w:r w:rsidRPr="0008324F">
        <w:t>MN 122.20/MA 191.</w:t>
      </w:r>
    </w:p>
  </w:footnote>
  <w:footnote w:id="70">
    <w:p w14:paraId="3668FDF4" w14:textId="5F5C35C6" w:rsidR="000F4345" w:rsidRDefault="000F4345">
      <w:pPr>
        <w:pStyle w:val="FootnoteText"/>
      </w:pPr>
      <w:r>
        <w:rPr>
          <w:rStyle w:val="FootnoteReference"/>
        </w:rPr>
        <w:footnoteRef/>
      </w:r>
      <w:r>
        <w:t xml:space="preserve"> </w:t>
      </w:r>
      <w:r w:rsidRPr="0008324F">
        <w:t>Pg. 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 hetu</w:t>
      </w:r>
      <w:r w:rsidRPr="00513F3B">
        <w:rPr>
          <w:lang w:eastAsia="en-GB"/>
        </w:rPr>
        <w:t>; Burmese and Sinhalese have: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r w:rsidRPr="00513F3B">
        <w:rPr>
          <w:i/>
          <w:iCs/>
          <w:lang w:eastAsia="en-GB"/>
        </w:rPr>
        <w:t xml:space="preserve"> tassa hetu</w:t>
      </w:r>
      <w:r w:rsidRPr="00513F3B">
        <w:rPr>
          <w:lang w:eastAsia="en-GB"/>
        </w:rPr>
        <w:t>; the Siamese has: </w:t>
      </w:r>
      <w:r w:rsidRPr="00513F3B">
        <w:rPr>
          <w:i/>
          <w:iCs/>
          <w:lang w:eastAsia="en-GB"/>
        </w:rPr>
        <w:t>suttageyyaveyyākaraṇassa sotu</w:t>
      </w:r>
      <w:r w:rsidRPr="00513F3B">
        <w:rPr>
          <w:rFonts w:ascii="Cambria" w:hAnsi="Cambria" w:cs="Cambria"/>
          <w:i/>
          <w:iCs/>
          <w:lang w:eastAsia="en-GB"/>
        </w:rPr>
        <w:t>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 xml:space="preserve">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513F3B">
        <w:rPr>
          <w:i/>
          <w:iCs/>
          <w:lang w:eastAsia="en-GB"/>
        </w:rPr>
        <w:t>hetuḥ</w:t>
      </w:r>
      <w:r w:rsidRPr="00513F3B">
        <w:rPr>
          <w:lang w:eastAsia="en-GB"/>
        </w:rPr>
        <w:t>, not </w:t>
      </w:r>
      <w:r w:rsidRPr="00513F3B">
        <w:rPr>
          <w:i/>
          <w:iCs/>
          <w:lang w:eastAsia="en-GB"/>
        </w:rPr>
        <w:t>sotu</w:t>
      </w:r>
      <w:r w:rsidRPr="00513F3B">
        <w:rPr>
          <w:rFonts w:ascii="Cambria" w:hAnsi="Cambria" w:cs="Cambria"/>
          <w:i/>
          <w:iCs/>
          <w:lang w:eastAsia="en-GB"/>
        </w:rPr>
        <w:t>ṁ</w:t>
      </w:r>
      <w:r w:rsidRPr="00513F3B">
        <w:rPr>
          <w:lang w:eastAsia="en-GB"/>
        </w:rPr>
        <w:t> as proposed by the Siamese edition. </w:t>
      </w:r>
      <w:r w:rsidRPr="00513F3B">
        <w:rPr>
          <w:i/>
          <w:iCs/>
          <w:lang w:eastAsia="en-GB"/>
        </w:rPr>
        <w:t>Sotu</w:t>
      </w:r>
      <w:r w:rsidRPr="00513F3B">
        <w:rPr>
          <w:rFonts w:ascii="Cambria" w:hAnsi="Cambria" w:cs="Cambria"/>
          <w:i/>
          <w:iCs/>
          <w:lang w:eastAsia="en-GB"/>
        </w:rPr>
        <w:t>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45B2202B" w:rsidR="00DC40A3" w:rsidRDefault="00DC40A3">
      <w:pPr>
        <w:pStyle w:val="FootnoteText"/>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154, 232.</w:t>
      </w:r>
    </w:p>
  </w:footnote>
  <w:footnote w:id="75">
    <w:p w14:paraId="07A75024" w14:textId="141E7BE2" w:rsidR="00DC40A3" w:rsidRDefault="00DC40A3">
      <w:pPr>
        <w:pStyle w:val="FootnoteText"/>
        <w:rPr>
          <w:lang w:eastAsia="en-GB"/>
        </w:rPr>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154, 184, 220, 226.</w:t>
      </w:r>
    </w:p>
  </w:footnote>
  <w:footnote w:id="76">
    <w:p w14:paraId="6CFCE27F" w14:textId="06995E99" w:rsidR="00DC40A3" w:rsidRDefault="00DC40A3">
      <w:pPr>
        <w:pStyle w:val="FootnoteText"/>
      </w:pPr>
      <w:r>
        <w:rPr>
          <w:rStyle w:val="FootnoteReference"/>
        </w:rPr>
        <w:footnoteRef/>
      </w:r>
      <w:r>
        <w:t xml:space="preserve"> </w:t>
      </w:r>
      <w:r w:rsidR="00833605" w:rsidRPr="00513F3B">
        <w:rPr>
          <w:i/>
          <w:iCs/>
          <w:lang w:eastAsia="en-GB"/>
        </w:rPr>
        <w:t>Neyyattha</w:t>
      </w:r>
      <w:r w:rsidR="00833605" w:rsidRPr="00513F3B">
        <w:rPr>
          <w:lang w:eastAsia="en-GB"/>
        </w:rPr>
        <w:t> and </w:t>
      </w:r>
      <w:r w:rsidR="00833605" w:rsidRPr="00513F3B">
        <w:rPr>
          <w:i/>
          <w:iCs/>
          <w:lang w:eastAsia="en-GB"/>
        </w:rPr>
        <w:t>nītattha</w:t>
      </w:r>
      <w:r w:rsidR="00833605" w:rsidRPr="00513F3B">
        <w:rPr>
          <w:lang w:eastAsia="en-GB"/>
        </w:rPr>
        <w:t>; Śrāvakabhūmi pg.</w:t>
      </w:r>
      <w:r w:rsidR="00833605" w:rsidRPr="00513F3B">
        <w:rPr>
          <w:rFonts w:ascii="Times New Roman" w:hAnsi="Times New Roman"/>
          <w:lang w:eastAsia="en-GB"/>
        </w:rPr>
        <w:t> </w:t>
      </w:r>
      <w:r w:rsidR="00833605" w:rsidRPr="00513F3B">
        <w:rPr>
          <w:lang w:eastAsia="en-GB"/>
        </w:rPr>
        <w:t>228; Abhidharmasamuccaya pg.</w:t>
      </w:r>
      <w:r w:rsidR="00833605" w:rsidRPr="00513F3B">
        <w:rPr>
          <w:rFonts w:ascii="Times New Roman" w:hAnsi="Times New Roman"/>
          <w:lang w:eastAsia="en-GB"/>
        </w:rPr>
        <w:t>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833605" w:rsidRPr="00513F3B">
        <w:rPr>
          <w:rFonts w:ascii="Times New Roman" w:hAnsi="Times New Roman"/>
          <w:lang w:eastAsia="en-GB"/>
        </w:rPr>
        <w:t>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513F3B">
        <w:rPr>
          <w:i/>
          <w:iCs/>
          <w:lang w:eastAsia="en-GB"/>
        </w:rPr>
        <w:t>ālokapañcaka</w:t>
      </w:r>
      <w:r w:rsidR="00833605" w:rsidRPr="00513F3B">
        <w:rPr>
          <w:rFonts w:ascii="Cambria" w:hAnsi="Cambria" w:cs="Cambria"/>
          <w:i/>
          <w:iCs/>
          <w:lang w:eastAsia="en-GB"/>
        </w:rPr>
        <w:t>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2D449082" w:rsidR="00495C55" w:rsidRDefault="00495C55">
      <w:pPr>
        <w:pStyle w:val="FootnoteText"/>
      </w:pPr>
      <w:r>
        <w:rPr>
          <w:rStyle w:val="FootnoteReference"/>
        </w:rPr>
        <w:footnoteRef/>
      </w:r>
      <w:r>
        <w:t xml:space="preserve"> </w:t>
      </w:r>
      <w:r w:rsidR="00833605" w:rsidRPr="00513F3B">
        <w:rPr>
          <w:lang w:eastAsia="en-GB"/>
        </w:rPr>
        <w:t>ÑĀṆAMOLI (1964), pg.</w:t>
      </w:r>
      <w:r w:rsidR="00833605" w:rsidRPr="00513F3B">
        <w:rPr>
          <w:rFonts w:ascii="Times New Roman" w:hAnsi="Times New Roman"/>
          <w:lang w:eastAsia="en-GB"/>
        </w:rPr>
        <w:t>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r w:rsidR="00833605" w:rsidRPr="00513F3B">
        <w:rPr>
          <w:i/>
          <w:iCs/>
          <w:lang w:eastAsia="en-GB"/>
        </w:rPr>
        <w:t>aupamya</w:t>
      </w:r>
      <w:r w:rsidR="00833605" w:rsidRPr="00513F3B">
        <w:rPr>
          <w:lang w:eastAsia="en-GB"/>
        </w:rPr>
        <w:t>, </w:t>
      </w:r>
      <w:r w:rsidR="00833605" w:rsidRPr="00513F3B">
        <w:rPr>
          <w:i/>
          <w:iCs/>
          <w:lang w:eastAsia="en-GB"/>
        </w:rPr>
        <w:t>geya</w:t>
      </w:r>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5F4E3F7B" w:rsidR="00495C55" w:rsidRDefault="00495C55">
      <w:pPr>
        <w:pStyle w:val="FootnoteText"/>
      </w:pPr>
      <w:r>
        <w:rPr>
          <w:rStyle w:val="FootnoteReference"/>
        </w:rPr>
        <w:footnoteRef/>
      </w:r>
      <w:r>
        <w:t xml:space="preserve"> </w:t>
      </w:r>
      <w:r w:rsidR="00833605" w:rsidRPr="00513F3B">
        <w:rPr>
          <w:lang w:eastAsia="en-GB"/>
        </w:rPr>
        <w:t>DN 16.4.7</w:t>
      </w:r>
      <w:r w:rsidR="00833605" w:rsidRPr="00513F3B">
        <w:rPr>
          <w:i/>
          <w:iCs/>
          <w:lang w:eastAsia="en-GB"/>
        </w:rPr>
        <w:t>ff.</w:t>
      </w:r>
      <w:r w:rsidR="00833605" w:rsidRPr="00513F3B">
        <w:rPr>
          <w:lang w:eastAsia="en-GB"/>
        </w:rPr>
        <w:t>/DA 2/T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513F3B">
        <w:rPr>
          <w:i/>
          <w:iCs/>
          <w:lang w:eastAsia="en-GB"/>
        </w:rPr>
        <w:t>veyyākaraṇa</w:t>
      </w:r>
      <w:r w:rsidR="00833605" w:rsidRPr="00513F3B">
        <w:rPr>
          <w:lang w:eastAsia="en-GB"/>
        </w:rPr>
        <w:t> or </w:t>
      </w:r>
      <w:r w:rsidR="00833605" w:rsidRPr="00513F3B">
        <w:rPr>
          <w:i/>
          <w:iCs/>
          <w:lang w:eastAsia="en-GB"/>
        </w:rPr>
        <w:t>byākaraṇa</w:t>
      </w:r>
      <w:r w:rsidR="00833605" w:rsidRPr="00513F3B">
        <w:rPr>
          <w:lang w:eastAsia="en-GB"/>
        </w:rPr>
        <w:t>.</w:t>
      </w:r>
    </w:p>
  </w:footnote>
  <w:footnote w:id="88">
    <w:p w14:paraId="10208BB1" w14:textId="18AD3B6B" w:rsidR="00495C55" w:rsidRDefault="00495C55">
      <w:pPr>
        <w:pStyle w:val="FootnoteText"/>
      </w:pPr>
      <w:r>
        <w:rPr>
          <w:rStyle w:val="FootnoteReference"/>
        </w:rPr>
        <w:footnoteRef/>
      </w:r>
      <w:r>
        <w:t xml:space="preserve"> </w:t>
      </w:r>
      <w:r w:rsidR="00833605" w:rsidRPr="00513F3B">
        <w:rPr>
          <w:lang w:eastAsia="en-GB"/>
        </w:rPr>
        <w:t>E.g. DN</w:t>
      </w:r>
      <w:r w:rsidR="00833605" w:rsidRPr="00513F3B">
        <w:rPr>
          <w:rFonts w:ascii="Times New Roman" w:hAnsi="Times New Roman"/>
          <w:lang w:eastAsia="en-GB"/>
        </w:rPr>
        <w:t> </w:t>
      </w:r>
      <w:r w:rsidR="00833605" w:rsidRPr="00513F3B">
        <w:rPr>
          <w:lang w:eastAsia="en-GB"/>
        </w:rPr>
        <w:t>11.85/DA</w:t>
      </w:r>
      <w:r w:rsidR="00833605" w:rsidRPr="00513F3B">
        <w:rPr>
          <w:rFonts w:ascii="Times New Roman" w:hAnsi="Times New Roman"/>
          <w:lang w:eastAsia="en-GB"/>
        </w:rPr>
        <w:t> </w:t>
      </w:r>
      <w:r w:rsidR="00833605" w:rsidRPr="00513F3B">
        <w:rPr>
          <w:lang w:eastAsia="en-GB"/>
        </w:rPr>
        <w:t>24/P</w:t>
      </w:r>
      <w:r w:rsidR="00833605" w:rsidRPr="00513F3B">
        <w:rPr>
          <w:rFonts w:ascii="Times New Roman" w:hAnsi="Times New Roman"/>
          <w:lang w:eastAsia="en-GB"/>
        </w:rPr>
        <w:t> </w:t>
      </w:r>
      <w:r w:rsidR="00833605" w:rsidRPr="00513F3B">
        <w:rPr>
          <w:lang w:eastAsia="en-GB"/>
        </w:rPr>
        <w:t>5595, SN</w:t>
      </w:r>
      <w:r w:rsidR="00833605" w:rsidRPr="00513F3B">
        <w:rPr>
          <w:rFonts w:ascii="Times New Roman" w:hAnsi="Times New Roman"/>
          <w:lang w:eastAsia="en-GB"/>
        </w:rPr>
        <w:t> </w:t>
      </w:r>
      <w:r w:rsidR="00833605" w:rsidRPr="00513F3B">
        <w:rPr>
          <w:lang w:eastAsia="en-GB"/>
        </w:rPr>
        <w:t>12.12/SA</w:t>
      </w:r>
      <w:r w:rsidR="00833605" w:rsidRPr="00513F3B">
        <w:rPr>
          <w:rFonts w:ascii="Times New Roman" w:hAnsi="Times New Roman"/>
          <w:lang w:eastAsia="en-GB"/>
        </w:rPr>
        <w:t> </w:t>
      </w:r>
      <w:r w:rsidR="00833605" w:rsidRPr="00513F3B">
        <w:rPr>
          <w:lang w:eastAsia="en-GB"/>
        </w:rPr>
        <w:t>372, SN</w:t>
      </w:r>
      <w:r w:rsidR="00833605" w:rsidRPr="00513F3B">
        <w:rPr>
          <w:rFonts w:ascii="Times New Roman" w:hAnsi="Times New Roman"/>
          <w:lang w:eastAsia="en-GB"/>
        </w:rPr>
        <w:t> </w:t>
      </w:r>
      <w:r w:rsidR="00833605" w:rsidRPr="00513F3B">
        <w:rPr>
          <w:lang w:eastAsia="en-GB"/>
        </w:rPr>
        <w:t>12.32/MA</w:t>
      </w:r>
      <w:r w:rsidR="00833605" w:rsidRPr="00513F3B">
        <w:rPr>
          <w:rFonts w:ascii="Times New Roman" w:hAnsi="Times New Roman"/>
          <w:lang w:eastAsia="en-GB"/>
        </w:rPr>
        <w:t> </w:t>
      </w:r>
      <w:r w:rsidR="00833605" w:rsidRPr="00513F3B">
        <w:rPr>
          <w:lang w:eastAsia="en-GB"/>
        </w:rPr>
        <w:t>23/SA</w:t>
      </w:r>
      <w:r w:rsidR="00833605" w:rsidRPr="00513F3B">
        <w:rPr>
          <w:rFonts w:ascii="Times New Roman" w:hAnsi="Times New Roman"/>
          <w:lang w:eastAsia="en-GB"/>
        </w:rPr>
        <w:t> </w:t>
      </w:r>
      <w:r w:rsidR="00833605" w:rsidRPr="00513F3B">
        <w:rPr>
          <w:lang w:eastAsia="en-GB"/>
        </w:rPr>
        <w:t>345/Skt, SN</w:t>
      </w:r>
      <w:r w:rsidR="00833605" w:rsidRPr="00513F3B">
        <w:rPr>
          <w:rFonts w:ascii="Times New Roman" w:hAnsi="Times New Roman"/>
          <w:lang w:eastAsia="en-GB"/>
        </w:rPr>
        <w:t> </w:t>
      </w:r>
      <w:r w:rsidR="00833605" w:rsidRPr="00513F3B">
        <w:rPr>
          <w:lang w:eastAsia="en-GB"/>
        </w:rPr>
        <w:t>12.70/ SA</w:t>
      </w:r>
      <w:r w:rsidR="00833605" w:rsidRPr="00513F3B">
        <w:rPr>
          <w:rFonts w:ascii="Times New Roman" w:hAnsi="Times New Roman"/>
          <w:lang w:eastAsia="en-GB"/>
        </w:rPr>
        <w:t> </w:t>
      </w:r>
      <w:r w:rsidR="00833605" w:rsidRPr="00513F3B">
        <w:rPr>
          <w:lang w:eastAsia="en-GB"/>
        </w:rPr>
        <w:t>347, SN</w:t>
      </w:r>
      <w:r w:rsidR="00833605" w:rsidRPr="00513F3B">
        <w:rPr>
          <w:rFonts w:ascii="Times New Roman" w:hAnsi="Times New Roman"/>
          <w:lang w:eastAsia="en-GB"/>
        </w:rPr>
        <w:t> </w:t>
      </w:r>
      <w:r w:rsidR="00833605" w:rsidRPr="00513F3B">
        <w:rPr>
          <w:lang w:eastAsia="en-GB"/>
        </w:rPr>
        <w:t>35.116/SA</w:t>
      </w:r>
      <w:r w:rsidR="00833605" w:rsidRPr="00513F3B">
        <w:rPr>
          <w:rFonts w:ascii="Times New Roman" w:hAnsi="Times New Roman"/>
          <w:lang w:eastAsia="en-GB"/>
        </w:rPr>
        <w:t> </w:t>
      </w:r>
      <w:r w:rsidR="00833605" w:rsidRPr="00513F3B">
        <w:rPr>
          <w:lang w:eastAsia="en-GB"/>
        </w:rPr>
        <w:t>234, SN</w:t>
      </w:r>
      <w:r w:rsidR="00833605" w:rsidRPr="00513F3B">
        <w:rPr>
          <w:rFonts w:ascii="Times New Roman" w:hAnsi="Times New Roman"/>
          <w:lang w:eastAsia="en-GB"/>
        </w:rPr>
        <w:t> </w:t>
      </w:r>
      <w:r w:rsidR="00833605" w:rsidRPr="00513F3B">
        <w:rPr>
          <w:lang w:eastAsia="en-GB"/>
        </w:rPr>
        <w:t>35.204/SA</w:t>
      </w:r>
      <w:r w:rsidR="00833605" w:rsidRPr="00513F3B">
        <w:rPr>
          <w:rFonts w:ascii="Times New Roman" w:hAnsi="Times New Roman"/>
          <w:lang w:eastAsia="en-GB"/>
        </w:rPr>
        <w:t> </w:t>
      </w:r>
      <w:r w:rsidR="00833605" w:rsidRPr="00513F3B">
        <w:rPr>
          <w:lang w:eastAsia="en-GB"/>
        </w:rPr>
        <w:t>1175, SN</w:t>
      </w:r>
      <w:r w:rsidR="00833605" w:rsidRPr="00513F3B">
        <w:rPr>
          <w:rFonts w:ascii="Times New Roman" w:hAnsi="Times New Roman"/>
          <w:lang w:eastAsia="en-GB"/>
        </w:rPr>
        <w:t> </w:t>
      </w:r>
      <w:r w:rsidR="00833605" w:rsidRPr="00513F3B">
        <w:rPr>
          <w:lang w:eastAsia="en-GB"/>
        </w:rPr>
        <w:t>41.1/SA</w:t>
      </w:r>
      <w:r w:rsidR="00833605" w:rsidRPr="00513F3B">
        <w:rPr>
          <w:rFonts w:ascii="Times New Roman" w:hAnsi="Times New Roman"/>
          <w:lang w:eastAsia="en-GB"/>
        </w:rPr>
        <w:t> </w:t>
      </w:r>
      <w:r w:rsidR="00833605" w:rsidRPr="00513F3B">
        <w:rPr>
          <w:lang w:eastAsia="en-GB"/>
        </w:rPr>
        <w:t>572, MN</w:t>
      </w:r>
      <w:r w:rsidR="00833605" w:rsidRPr="00513F3B">
        <w:rPr>
          <w:rFonts w:ascii="Times New Roman" w:hAnsi="Times New Roman"/>
          <w:lang w:eastAsia="en-GB"/>
        </w:rPr>
        <w:t> </w:t>
      </w:r>
      <w:r w:rsidR="00833605" w:rsidRPr="00513F3B">
        <w:rPr>
          <w:lang w:eastAsia="en-GB"/>
        </w:rPr>
        <w:t>32/MA 184/EA</w:t>
      </w:r>
      <w:r w:rsidR="00833605" w:rsidRPr="00513F3B">
        <w:rPr>
          <w:rFonts w:ascii="Times New Roman" w:hAnsi="Times New Roman"/>
          <w:lang w:eastAsia="en-GB"/>
        </w:rPr>
        <w:t>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MN 44/MA 210, MN 56.6/MA</w:t>
      </w:r>
      <w:r w:rsidR="00833605" w:rsidRPr="00513F3B">
        <w:rPr>
          <w:rFonts w:ascii="Times New Roman" w:hAnsi="Times New Roman"/>
          <w:lang w:eastAsia="en-GB"/>
        </w:rPr>
        <w:t> </w:t>
      </w:r>
      <w:r w:rsidR="00833605" w:rsidRPr="00513F3B">
        <w:rPr>
          <w:lang w:eastAsia="en-GB"/>
        </w:rPr>
        <w:t>133/Skt, MN</w:t>
      </w:r>
      <w:r w:rsidR="00833605" w:rsidRPr="00513F3B">
        <w:rPr>
          <w:rFonts w:ascii="Times New Roman" w:hAnsi="Times New Roman"/>
          <w:lang w:eastAsia="en-GB"/>
        </w:rPr>
        <w:t> </w:t>
      </w:r>
      <w:r w:rsidR="00833605" w:rsidRPr="00513F3B">
        <w:rPr>
          <w:lang w:eastAsia="en-GB"/>
        </w:rPr>
        <w:t>133.21/MA</w:t>
      </w:r>
      <w:r w:rsidR="00833605" w:rsidRPr="00513F3B">
        <w:rPr>
          <w:rFonts w:ascii="Times New Roman" w:hAnsi="Times New Roman"/>
          <w:lang w:eastAsia="en-GB"/>
        </w:rPr>
        <w:t> </w:t>
      </w:r>
      <w:r w:rsidR="00833605" w:rsidRPr="00513F3B">
        <w:rPr>
          <w:lang w:eastAsia="en-GB"/>
        </w:rPr>
        <w:t>165, AN</w:t>
      </w:r>
      <w:r w:rsidR="00833605" w:rsidRPr="00513F3B">
        <w:rPr>
          <w:rFonts w:ascii="Times New Roman" w:hAnsi="Times New Roman"/>
          <w:lang w:eastAsia="en-GB"/>
        </w:rPr>
        <w:t> </w:t>
      </w:r>
      <w:r w:rsidR="00833605" w:rsidRPr="00513F3B">
        <w:rPr>
          <w:lang w:eastAsia="en-GB"/>
        </w:rPr>
        <w:t>3.21, AN</w:t>
      </w:r>
      <w:r w:rsidR="00833605" w:rsidRPr="00513F3B">
        <w:rPr>
          <w:rFonts w:ascii="Times New Roman" w:hAnsi="Times New Roman"/>
          <w:lang w:eastAsia="en-GB"/>
        </w:rPr>
        <w:t> </w:t>
      </w:r>
      <w:r w:rsidR="00833605" w:rsidRPr="00513F3B">
        <w:rPr>
          <w:lang w:eastAsia="en-GB"/>
        </w:rPr>
        <w:t>6.61/ SA</w:t>
      </w:r>
      <w:r w:rsidR="00833605" w:rsidRPr="00513F3B">
        <w:rPr>
          <w:rFonts w:ascii="Times New Roman" w:hAnsi="Times New Roman"/>
          <w:lang w:eastAsia="en-GB"/>
        </w:rPr>
        <w:t> </w:t>
      </w:r>
      <w:r w:rsidR="00833605" w:rsidRPr="00513F3B">
        <w:rPr>
          <w:lang w:eastAsia="en-GB"/>
        </w:rPr>
        <w:t>1164.</w:t>
      </w:r>
    </w:p>
  </w:footnote>
  <w:footnote w:id="89">
    <w:p w14:paraId="75661468" w14:textId="370F4F4F" w:rsidR="00495C55" w:rsidRDefault="00495C55">
      <w:pPr>
        <w:pStyle w:val="FootnoteText"/>
      </w:pPr>
      <w:r>
        <w:rPr>
          <w:rStyle w:val="FootnoteReference"/>
        </w:rPr>
        <w:footnoteRef/>
      </w:r>
      <w:r>
        <w:t xml:space="preserve"> </w:t>
      </w:r>
      <w:r w:rsidR="00833605" w:rsidRPr="00513F3B">
        <w:rPr>
          <w:lang w:eastAsia="en-GB"/>
        </w:rPr>
        <w:t>DN 9.29/DA 28, DN 29.32/DA 17, MN 63.9/MA 221/T № 94, SN 16.12/SA 905/SA 121.</w:t>
      </w:r>
    </w:p>
  </w:footnote>
  <w:footnote w:id="90">
    <w:p w14:paraId="1546E1EB" w14:textId="4AC3A8A0" w:rsidR="00692851" w:rsidRDefault="00692851">
      <w:pPr>
        <w:pStyle w:val="FootnoteText"/>
      </w:pPr>
      <w:r>
        <w:rPr>
          <w:rStyle w:val="FootnoteReference"/>
        </w:rPr>
        <w:footnoteRef/>
      </w:r>
      <w:r>
        <w:t xml:space="preserve"> </w:t>
      </w:r>
      <w:r w:rsidR="00833605" w:rsidRPr="00513F3B">
        <w:rPr>
          <w:lang w:eastAsia="en-GB"/>
        </w:rPr>
        <w:t>SN 41.8/SA 574, AN 10.27/EA 46.8/SA 486–489*, AN 10.28.</w:t>
      </w:r>
    </w:p>
  </w:footnote>
  <w:footnote w:id="91">
    <w:p w14:paraId="55717793" w14:textId="78AD2DC4" w:rsidR="00692851" w:rsidRDefault="00692851">
      <w:pPr>
        <w:pStyle w:val="FootnoteText"/>
      </w:pPr>
      <w:r>
        <w:rPr>
          <w:rStyle w:val="FootnoteReference"/>
        </w:rPr>
        <w:footnoteRef/>
      </w:r>
      <w:r>
        <w:t xml:space="preserve"> </w:t>
      </w:r>
      <w:r w:rsidR="00833605" w:rsidRPr="00513F3B">
        <w:rPr>
          <w:lang w:eastAsia="en-GB"/>
        </w:rPr>
        <w:t>E.g. DN 18.4/DA 4/T № 9, AN 5.93, AN 6.62/MA 112/T № 58.</w:t>
      </w:r>
    </w:p>
  </w:footnote>
  <w:footnote w:id="92">
    <w:p w14:paraId="23F59306" w14:textId="077308E4" w:rsidR="00692851" w:rsidRDefault="00692851">
      <w:pPr>
        <w:pStyle w:val="FootnoteText"/>
      </w:pPr>
      <w:r>
        <w:rPr>
          <w:rStyle w:val="FootnoteReference"/>
        </w:rPr>
        <w:footnoteRef/>
      </w:r>
      <w:r>
        <w:t xml:space="preserve"> </w:t>
      </w:r>
      <w:r w:rsidR="00833605" w:rsidRPr="00513F3B">
        <w:rPr>
          <w:lang w:eastAsia="en-GB"/>
        </w:rPr>
        <w:t>AN 4.42/T № 1536.8.</w:t>
      </w:r>
    </w:p>
  </w:footnote>
  <w:footnote w:id="93">
    <w:p w14:paraId="560F61D5" w14:textId="51F5E098" w:rsidR="00692851" w:rsidRDefault="00692851">
      <w:pPr>
        <w:pStyle w:val="FootnoteText"/>
      </w:pPr>
      <w:r>
        <w:rPr>
          <w:rStyle w:val="FootnoteReference"/>
        </w:rPr>
        <w:footnoteRef/>
      </w:r>
      <w:r>
        <w:t xml:space="preserve"> </w:t>
      </w:r>
      <w:r w:rsidR="00833605" w:rsidRPr="00513F3B">
        <w:rPr>
          <w:lang w:eastAsia="en-GB"/>
        </w:rPr>
        <w:t>DUTT, pg.</w:t>
      </w:r>
      <w:r w:rsidR="00833605" w:rsidRPr="00513F3B">
        <w:rPr>
          <w:rFonts w:ascii="Times New Roman" w:hAnsi="Times New Roman"/>
          <w:lang w:eastAsia="en-GB"/>
        </w:rPr>
        <w:t> </w:t>
      </w:r>
      <w:r w:rsidR="00833605" w:rsidRPr="00513F3B">
        <w:rPr>
          <w:lang w:eastAsia="en-GB"/>
        </w:rPr>
        <w:t>225.</w:t>
      </w:r>
    </w:p>
  </w:footnote>
  <w:footnote w:id="94">
    <w:p w14:paraId="02D3B5AA" w14:textId="36DD4906" w:rsidR="00692851" w:rsidRDefault="00692851">
      <w:pPr>
        <w:pStyle w:val="FootnoteText"/>
      </w:pPr>
      <w:r>
        <w:rPr>
          <w:rStyle w:val="FootnoteReference"/>
        </w:rPr>
        <w:footnoteRef/>
      </w:r>
      <w:r>
        <w:t xml:space="preserve"> </w:t>
      </w:r>
      <w:r w:rsidR="00833605" w:rsidRPr="00513F3B">
        <w:rPr>
          <w:lang w:eastAsia="en-GB"/>
        </w:rPr>
        <w:t>BOIN-WEBB, pg.</w:t>
      </w:r>
      <w:r w:rsidR="00833605" w:rsidRPr="00513F3B">
        <w:rPr>
          <w:rFonts w:ascii="Times New Roman" w:hAnsi="Times New Roman"/>
          <w:lang w:eastAsia="en-GB"/>
        </w:rPr>
        <w:t>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833605" w:rsidRPr="00513F3B">
        <w:rPr>
          <w:rFonts w:ascii="Times New Roman" w:hAnsi="Times New Roman"/>
          <w:lang w:eastAsia="en-GB"/>
        </w:rPr>
        <w:t>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833605" w:rsidRPr="00513F3B">
        <w:rPr>
          <w:rFonts w:ascii="Times New Roman" w:hAnsi="Times New Roman"/>
          <w:lang w:eastAsia="en-GB"/>
        </w:rPr>
        <w:t> </w:t>
      </w:r>
      <w:r w:rsidR="00833605" w:rsidRPr="00513F3B">
        <w:rPr>
          <w:lang w:eastAsia="en-GB"/>
        </w:rPr>
        <w:t>228 is similar, lacking only the final phrase.</w:t>
      </w:r>
    </w:p>
  </w:footnote>
  <w:footnote w:id="95">
    <w:p w14:paraId="6DAB1BA7" w14:textId="400E978D" w:rsidR="008F6FA1" w:rsidRDefault="008F6FA1">
      <w:pPr>
        <w:pStyle w:val="FootnoteText"/>
      </w:pPr>
      <w:r>
        <w:rPr>
          <w:rStyle w:val="FootnoteReference"/>
        </w:rPr>
        <w:footnoteRef/>
      </w:r>
      <w:r>
        <w:t xml:space="preserve"> </w:t>
      </w:r>
      <w:r w:rsidR="00833605" w:rsidRPr="00513F3B">
        <w:rPr>
          <w:lang w:eastAsia="en-GB"/>
        </w:rPr>
        <w:t>SN 41.1/SA 572.</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4CD0602F" w:rsidR="008F6FA1" w:rsidRDefault="008F6FA1">
      <w:pPr>
        <w:pStyle w:val="FootnoteText"/>
      </w:pPr>
      <w:r>
        <w:rPr>
          <w:rStyle w:val="FootnoteReference"/>
        </w:rPr>
        <w:footnoteRef/>
      </w:r>
      <w:r>
        <w:t xml:space="preserve"> </w:t>
      </w:r>
      <w:r w:rsidR="00833605" w:rsidRPr="00513F3B">
        <w:rPr>
          <w:lang w:eastAsia="en-GB"/>
        </w:rPr>
        <w:t>See DIETZ e.g. pg.</w:t>
      </w:r>
      <w:r w:rsidR="00833605" w:rsidRPr="00513F3B">
        <w:rPr>
          <w:rFonts w:ascii="Times New Roman" w:hAnsi="Times New Roman"/>
          <w:lang w:eastAsia="en-GB"/>
        </w:rPr>
        <w:t> </w:t>
      </w:r>
      <w:r w:rsidR="00833605" w:rsidRPr="00513F3B">
        <w:rPr>
          <w:lang w:eastAsia="en-GB"/>
        </w:rPr>
        <w:t xml:space="preserve">26 </w:t>
      </w:r>
      <w:r w:rsidR="00833605" w:rsidRPr="00513F3B">
        <w:rPr>
          <w:rFonts w:cs="Source Serif Pro"/>
          <w:lang w:eastAsia="en-GB"/>
        </w:rPr>
        <w:t>‘</w:t>
      </w:r>
      <w:r w:rsidR="00833605" w:rsidRPr="00513F3B">
        <w:rPr>
          <w:i/>
          <w:iCs/>
          <w:lang w:eastAsia="en-GB"/>
        </w:rPr>
        <w:t>kumbhopame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 xml:space="preserve">SN 12.51/SA 292/Skt; the Pali title is </w:t>
      </w:r>
      <w:r w:rsidR="00833605" w:rsidRPr="00513F3B">
        <w:rPr>
          <w:rFonts w:cs="Source Serif Pro"/>
          <w:lang w:eastAsia="en-GB"/>
        </w:rPr>
        <w:t>‘</w:t>
      </w:r>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33 </w:t>
      </w:r>
      <w:r w:rsidR="00833605" w:rsidRPr="00513F3B">
        <w:rPr>
          <w:rFonts w:cs="Source Serif Pro"/>
          <w:lang w:eastAsia="en-GB"/>
        </w:rPr>
        <w:t>‘</w:t>
      </w:r>
      <w:r w:rsidR="00833605" w:rsidRPr="00513F3B">
        <w:rPr>
          <w:i/>
          <w:iCs/>
          <w:lang w:eastAsia="en-GB"/>
        </w:rPr>
        <w:t>phalguṇavavāde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 xml:space="preserve">SN 12.12/SA 372; the Pali title is </w:t>
      </w:r>
      <w:r w:rsidR="00833605" w:rsidRPr="00513F3B">
        <w:rPr>
          <w:rFonts w:cs="Source Serif Pro"/>
          <w:lang w:eastAsia="en-GB"/>
        </w:rPr>
        <w:t>‘</w:t>
      </w:r>
      <w:r w:rsidR="00833605" w:rsidRPr="00513F3B">
        <w:rPr>
          <w:i/>
          <w:iCs/>
          <w:lang w:eastAsia="en-GB"/>
        </w:rPr>
        <w:t>moḷiyaphagguna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52 </w:t>
      </w:r>
      <w:r w:rsidR="00833605" w:rsidRPr="00513F3B">
        <w:rPr>
          <w:rFonts w:cs="Source Serif Pro"/>
          <w:lang w:eastAsia="en-GB"/>
        </w:rPr>
        <w:t>‘</w:t>
      </w:r>
      <w:r w:rsidR="00833605" w:rsidRPr="00513F3B">
        <w:rPr>
          <w:i/>
          <w:iCs/>
          <w:lang w:eastAsia="en-GB"/>
        </w:rPr>
        <w:t>pataleyavyakarane</w:t>
      </w:r>
      <w:r w:rsidR="00833605" w:rsidRPr="00513F3B">
        <w:rPr>
          <w:lang w:eastAsia="en-GB"/>
        </w:rPr>
        <w:t>’ (=</w:t>
      </w:r>
      <w:r w:rsidR="00833605" w:rsidRPr="00513F3B">
        <w:rPr>
          <w:rFonts w:ascii="Times New Roman" w:hAnsi="Times New Roman"/>
          <w:lang w:eastAsia="en-GB"/>
        </w:rPr>
        <w:t> </w:t>
      </w:r>
      <w:r w:rsidR="00833605" w:rsidRPr="00513F3B">
        <w:rPr>
          <w:lang w:eastAsia="en-GB"/>
        </w:rPr>
        <w:t>SN 22.81/SA 57).</w:t>
      </w:r>
    </w:p>
  </w:footnote>
  <w:footnote w:id="98">
    <w:p w14:paraId="4CB77A8C" w14:textId="7E3334F4" w:rsidR="008F6FA1" w:rsidRDefault="008F6FA1">
      <w:pPr>
        <w:pStyle w:val="FootnoteText"/>
      </w:pPr>
      <w:r>
        <w:rPr>
          <w:rStyle w:val="FootnoteReference"/>
        </w:rPr>
        <w:footnoteRef/>
      </w:r>
      <w:r>
        <w:t xml:space="preserve"> </w:t>
      </w:r>
      <w:r w:rsidR="00833605" w:rsidRPr="00513F3B">
        <w:rPr>
          <w:lang w:eastAsia="en-GB"/>
        </w:rPr>
        <w:t>PRZYLYSKI, pp. 45, 334; cp. ROCKHILL, pg.</w:t>
      </w:r>
      <w:r w:rsidR="00833605" w:rsidRPr="00513F3B">
        <w:rPr>
          <w:rFonts w:ascii="Times New Roman" w:hAnsi="Times New Roman"/>
          <w:lang w:eastAsia="en-GB"/>
        </w:rPr>
        <w:t> </w:t>
      </w:r>
      <w:r w:rsidR="00833605" w:rsidRPr="00513F3B">
        <w:rPr>
          <w:lang w:eastAsia="en-GB"/>
        </w:rPr>
        <w:t>160.</w:t>
      </w:r>
    </w:p>
  </w:footnote>
  <w:footnote w:id="99">
    <w:p w14:paraId="2B92C4E0" w14:textId="31F8886B" w:rsidR="008F6FA1" w:rsidRDefault="008F6FA1">
      <w:pPr>
        <w:pStyle w:val="FootnoteText"/>
      </w:pPr>
      <w:r>
        <w:rPr>
          <w:rStyle w:val="FootnoteReference"/>
        </w:rPr>
        <w:footnoteRef/>
      </w:r>
      <w:r>
        <w:t xml:space="preserve"> </w:t>
      </w:r>
      <w:r w:rsidR="00833605" w:rsidRPr="00513F3B">
        <w:rPr>
          <w:lang w:eastAsia="en-GB"/>
        </w:rPr>
        <w:t>MN 32/MA 184/EA 37.3/T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3563301B" w:rsidR="008F6FA1" w:rsidRDefault="008F6FA1">
      <w:pPr>
        <w:pStyle w:val="FootnoteText"/>
      </w:pPr>
      <w:r>
        <w:rPr>
          <w:rStyle w:val="FootnoteReference"/>
        </w:rPr>
        <w:footnoteRef/>
      </w:r>
      <w:r>
        <w:t xml:space="preserve"> </w:t>
      </w:r>
      <w:r w:rsidR="00833605" w:rsidRPr="00513F3B">
        <w:rPr>
          <w:lang w:eastAsia="en-GB"/>
        </w:rPr>
        <w:t>AN 1.197.</w:t>
      </w:r>
    </w:p>
  </w:footnote>
  <w:footnote w:id="102">
    <w:p w14:paraId="381DAB7E" w14:textId="17A48848" w:rsidR="008F6FA1" w:rsidRDefault="008F6FA1">
      <w:pPr>
        <w:pStyle w:val="FootnoteText"/>
      </w:pPr>
      <w:r>
        <w:rPr>
          <w:rStyle w:val="FootnoteReference"/>
        </w:rPr>
        <w:footnoteRef/>
      </w:r>
      <w:r>
        <w:t xml:space="preserve"> </w:t>
      </w:r>
      <w:r w:rsidR="00833605" w:rsidRPr="00513F3B">
        <w:rPr>
          <w:lang w:eastAsia="en-GB"/>
        </w:rPr>
        <w:t>EA 4.2.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5A42B04F" w:rsidR="008F6FA1" w:rsidRDefault="008F6FA1">
      <w:pPr>
        <w:pStyle w:val="FootnoteText"/>
      </w:pPr>
      <w:r>
        <w:rPr>
          <w:rStyle w:val="FootnoteReference"/>
        </w:rPr>
        <w:footnoteRef/>
      </w:r>
      <w:r>
        <w:t xml:space="preserve"> </w:t>
      </w:r>
      <w:r w:rsidR="00833605" w:rsidRPr="00513F3B">
        <w:rPr>
          <w:lang w:eastAsia="en-GB"/>
        </w:rPr>
        <w:t>In fact texts 33–52, which are represented by one text in the Sarvāstivāda, SA 196,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T24, p. 35 a3 &amp; 57 a26–7; YIN Shun (1971), pp. 720–725. In the Chinese, the second nipāta is mistakenly called the ‘Sixty-three-Nipāta’.</w:t>
      </w:r>
    </w:p>
  </w:footnote>
  <w:footnote w:id="110">
    <w:p w14:paraId="19ED7307" w14:textId="3CB6262B" w:rsidR="001921B9" w:rsidRDefault="001921B9">
      <w:pPr>
        <w:pStyle w:val="FootnoteText"/>
      </w:pPr>
      <w:r>
        <w:rPr>
          <w:rStyle w:val="FootnoteReference"/>
        </w:rPr>
        <w:footnoteRef/>
      </w:r>
      <w:r>
        <w:t xml:space="preserve"> </w:t>
      </w:r>
      <w:r w:rsidR="00833605" w:rsidRPr="00513F3B">
        <w:rPr>
          <w:lang w:eastAsia="en-GB"/>
        </w:rPr>
        <w:t>DN 14/DA 1/EA 48.4.</w:t>
      </w:r>
    </w:p>
  </w:footnote>
  <w:footnote w:id="111">
    <w:p w14:paraId="252F9E42" w14:textId="6840535B" w:rsidR="001921B9" w:rsidRDefault="001921B9">
      <w:pPr>
        <w:pStyle w:val="FootnoteText"/>
      </w:pPr>
      <w:r>
        <w:rPr>
          <w:rStyle w:val="FootnoteReference"/>
        </w:rPr>
        <w:footnoteRef/>
      </w:r>
      <w:r>
        <w:t xml:space="preserve"> </w:t>
      </w:r>
      <w:r w:rsidR="00A73AA1" w:rsidRPr="00513F3B">
        <w:rPr>
          <w:lang w:eastAsia="en-GB"/>
        </w:rPr>
        <w:t>HEIRMANN, pg.</w:t>
      </w:r>
      <w:r w:rsidR="00A73AA1" w:rsidRPr="00513F3B">
        <w:rPr>
          <w:rFonts w:ascii="Times New Roman" w:hAnsi="Times New Roman"/>
          <w:lang w:eastAsia="en-GB"/>
        </w:rPr>
        <w:t> </w:t>
      </w:r>
      <w:r w:rsidR="00A73AA1" w:rsidRPr="00513F3B">
        <w:rPr>
          <w:lang w:eastAsia="en-GB"/>
        </w:rPr>
        <w:t>27.</w:t>
      </w:r>
    </w:p>
  </w:footnote>
  <w:footnote w:id="112">
    <w:p w14:paraId="783E4469" w14:textId="4665DD17" w:rsidR="001921B9" w:rsidRDefault="001921B9">
      <w:pPr>
        <w:pStyle w:val="FootnoteText"/>
      </w:pPr>
      <w:r>
        <w:rPr>
          <w:rStyle w:val="FootnoteReference"/>
        </w:rPr>
        <w:footnoteRef/>
      </w:r>
      <w:r>
        <w:t xml:space="preserve"> </w:t>
      </w:r>
      <w:r w:rsidR="00A73AA1" w:rsidRPr="00513F3B">
        <w:rPr>
          <w:lang w:eastAsia="en-GB"/>
        </w:rPr>
        <w:t>AN 10.27/EA 46.8/SA 486–489*.</w:t>
      </w:r>
    </w:p>
  </w:footnote>
  <w:footnote w:id="113">
    <w:p w14:paraId="5B5D2EA3" w14:textId="3A1E5BF2" w:rsidR="001921B9" w:rsidRDefault="001921B9">
      <w:pPr>
        <w:pStyle w:val="FootnoteText"/>
      </w:pPr>
      <w:r>
        <w:rPr>
          <w:rStyle w:val="FootnoteReference"/>
        </w:rPr>
        <w:footnoteRef/>
      </w:r>
      <w:r>
        <w:t xml:space="preserve"> </w:t>
      </w:r>
      <w:r w:rsidR="00A73AA1" w:rsidRPr="00513F3B">
        <w:rPr>
          <w:lang w:eastAsia="en-GB"/>
        </w:rPr>
        <w:t>DN 33/DA 9/T № 12/Skt.</w:t>
      </w:r>
    </w:p>
  </w:footnote>
  <w:footnote w:id="114">
    <w:p w14:paraId="6F2FF204" w14:textId="4D815BA5" w:rsidR="001921B9" w:rsidRDefault="001921B9">
      <w:pPr>
        <w:pStyle w:val="FootnoteText"/>
      </w:pPr>
      <w:r>
        <w:rPr>
          <w:rStyle w:val="FootnoteReference"/>
        </w:rPr>
        <w:footnoteRef/>
      </w:r>
      <w:r>
        <w:t xml:space="preserve"> </w:t>
      </w:r>
      <w:r w:rsidR="00A73AA1" w:rsidRPr="00513F3B">
        <w:rPr>
          <w:lang w:eastAsia="en-GB"/>
        </w:rPr>
        <w:t>AN 10.28.</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643557C8" w:rsidR="001921B9" w:rsidRDefault="001921B9">
      <w:pPr>
        <w:pStyle w:val="FootnoteText"/>
      </w:pPr>
      <w:r>
        <w:rPr>
          <w:rStyle w:val="FootnoteReference"/>
        </w:rPr>
        <w:footnoteRef/>
      </w:r>
      <w:r>
        <w:t xml:space="preserve"> </w:t>
      </w:r>
      <w:r w:rsidR="00A73AA1" w:rsidRPr="00513F3B">
        <w:rPr>
          <w:lang w:eastAsia="en-GB"/>
        </w:rPr>
        <w:t>AN 1.1–10/EA 9.7–8.</w:t>
      </w:r>
    </w:p>
  </w:footnote>
  <w:footnote w:id="118">
    <w:p w14:paraId="6C877AF9" w14:textId="50550E2A" w:rsidR="00607752" w:rsidRDefault="00607752">
      <w:pPr>
        <w:pStyle w:val="FootnoteText"/>
      </w:pPr>
      <w:r>
        <w:rPr>
          <w:rStyle w:val="FootnoteReference"/>
        </w:rPr>
        <w:footnoteRef/>
      </w:r>
      <w:r>
        <w:t xml:space="preserve"> </w:t>
      </w:r>
      <w:r w:rsidR="00A73AA1" w:rsidRPr="00513F3B">
        <w:rPr>
          <w:lang w:eastAsia="en-GB"/>
        </w:rPr>
        <w:t>AN 5.55.</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3CB99259" w:rsidR="00607752" w:rsidRDefault="00607752">
      <w:pPr>
        <w:pStyle w:val="FootnoteText"/>
        <w:rPr>
          <w:lang w:eastAsia="en-GB"/>
        </w:rPr>
      </w:pPr>
      <w:r>
        <w:rPr>
          <w:rStyle w:val="FootnoteReference"/>
        </w:rPr>
        <w:footnoteRef/>
      </w:r>
      <w:r>
        <w:t xml:space="preserve"> </w:t>
      </w:r>
      <w:r w:rsidR="00A73AA1" w:rsidRPr="00513F3B">
        <w:rPr>
          <w:lang w:eastAsia="en-GB"/>
        </w:rPr>
        <w:t>Different editions vary the numbering of discourses by one at this point. SuttaCentral lists AN 3.81 Samaṇa to AN 3.91 Paṅkadha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by Bhikkhu Ñāṇamoli.</w:t>
      </w:r>
    </w:p>
  </w:footnote>
  <w:footnote w:id="122">
    <w:p w14:paraId="2C1CB81B" w14:textId="1F388EB6" w:rsidR="00607752" w:rsidRDefault="00607752">
      <w:pPr>
        <w:pStyle w:val="FootnoteText"/>
      </w:pPr>
      <w:r>
        <w:rPr>
          <w:rStyle w:val="FootnoteReference"/>
        </w:rPr>
        <w:footnoteRef/>
      </w:r>
      <w:r>
        <w:t xml:space="preserve"> </w:t>
      </w:r>
      <w:r w:rsidR="00D128C7" w:rsidRPr="00513F3B">
        <w:rPr>
          <w:lang w:eastAsia="en-GB"/>
        </w:rPr>
        <w:t>MN 28.2–6/MA 30.</w:t>
      </w:r>
    </w:p>
  </w:footnote>
  <w:footnote w:id="123">
    <w:p w14:paraId="0CDAF676" w14:textId="0F3378A0" w:rsidR="00607752" w:rsidRDefault="00607752">
      <w:pPr>
        <w:pStyle w:val="FootnoteText"/>
      </w:pPr>
      <w:r>
        <w:rPr>
          <w:rStyle w:val="FootnoteReference"/>
        </w:rPr>
        <w:footnoteRef/>
      </w:r>
      <w:r>
        <w:t xml:space="preserve"> </w:t>
      </w:r>
      <w:r w:rsidR="00D128C7" w:rsidRPr="00513F3B">
        <w:rPr>
          <w:lang w:eastAsia="en-GB"/>
        </w:rPr>
        <w:t>MN 141/MA 31/T № 32/EA 27.1/T № 1435.60.</w:t>
      </w:r>
    </w:p>
  </w:footnote>
  <w:footnote w:id="124">
    <w:p w14:paraId="292CCCC9" w14:textId="2F3CBB1D" w:rsidR="00607752" w:rsidRDefault="00607752">
      <w:pPr>
        <w:pStyle w:val="FootnoteText"/>
      </w:pPr>
      <w:r>
        <w:rPr>
          <w:rStyle w:val="FootnoteReference"/>
        </w:rPr>
        <w:footnoteRef/>
      </w:r>
      <w:r>
        <w:t xml:space="preserve"> </w:t>
      </w:r>
      <w:r w:rsidR="000539D7" w:rsidRPr="00513F3B">
        <w:rPr>
          <w:lang w:eastAsia="en-GB"/>
        </w:rPr>
        <w:t>DN 29.17/DA 17.</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7E50C8A1" w:rsidR="00607752" w:rsidRDefault="00607752">
      <w:pPr>
        <w:pStyle w:val="FootnoteText"/>
      </w:pPr>
      <w:r>
        <w:rPr>
          <w:rStyle w:val="FootnoteReference"/>
        </w:rPr>
        <w:footnoteRef/>
      </w:r>
      <w:r>
        <w:t xml:space="preserve"> </w:t>
      </w:r>
      <w:r w:rsidR="000539D7" w:rsidRPr="00513F3B">
        <w:rPr>
          <w:lang w:eastAsia="en-GB"/>
        </w:rPr>
        <w:t>DN 16.3.50.</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513F3B">
        <w:rPr>
          <w:i/>
          <w:iCs/>
          <w:lang w:eastAsia="en-GB"/>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513F3B">
        <w:rPr>
          <w:i/>
          <w:iCs/>
          <w:lang w:eastAsia="en-GB"/>
        </w:rPr>
        <w:t>dhammatā</w:t>
      </w:r>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61EDA781" w:rsidR="00607752" w:rsidRDefault="00607752">
      <w:pPr>
        <w:pStyle w:val="FootnoteText"/>
      </w:pPr>
      <w:r>
        <w:rPr>
          <w:rStyle w:val="FootnoteReference"/>
        </w:rPr>
        <w:footnoteRef/>
      </w:r>
      <w:r>
        <w:t xml:space="preserve"> </w:t>
      </w:r>
      <w:r w:rsidR="000539D7" w:rsidRPr="00513F3B">
        <w:rPr>
          <w:lang w:eastAsia="en-GB"/>
        </w:rPr>
        <w:t>ROCKHILL, pg.</w:t>
      </w:r>
      <w:r w:rsidR="000539D7" w:rsidRPr="00513F3B">
        <w:rPr>
          <w:rFonts w:ascii="Times New Roman" w:hAnsi="Times New Roman"/>
          <w:lang w:eastAsia="en-GB"/>
        </w:rPr>
        <w:t> </w:t>
      </w:r>
      <w:r w:rsidR="000539D7" w:rsidRPr="00513F3B">
        <w:rPr>
          <w:lang w:eastAsia="en-GB"/>
        </w:rPr>
        <w:t>132, 140.</w:t>
      </w:r>
    </w:p>
  </w:footnote>
  <w:footnote w:id="133">
    <w:p w14:paraId="30C2DCCB" w14:textId="77A16DDC" w:rsidR="00607752" w:rsidRDefault="00607752">
      <w:pPr>
        <w:pStyle w:val="FootnoteText"/>
      </w:pPr>
      <w:r>
        <w:rPr>
          <w:rStyle w:val="FootnoteReference"/>
        </w:rPr>
        <w:footnoteRef/>
      </w:r>
      <w:r>
        <w:t xml:space="preserve"> </w:t>
      </w:r>
      <w:r w:rsidR="000539D7" w:rsidRPr="00513F3B">
        <w:rPr>
          <w:lang w:eastAsia="en-GB"/>
        </w:rPr>
        <w:t>COUSINS (1983), pg.</w:t>
      </w:r>
      <w:r w:rsidR="000539D7" w:rsidRPr="00513F3B">
        <w:rPr>
          <w:rFonts w:ascii="Times New Roman" w:hAnsi="Times New Roman"/>
          <w:lang w:eastAsia="en-GB"/>
        </w:rPr>
        <w:t>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74FF23C9" w:rsidR="00607752" w:rsidRDefault="00607752">
      <w:pPr>
        <w:pStyle w:val="FootnoteText"/>
      </w:pPr>
      <w:r>
        <w:rPr>
          <w:rStyle w:val="FootnoteReference"/>
        </w:rPr>
        <w:footnoteRef/>
      </w:r>
      <w:r>
        <w:t xml:space="preserve"> </w:t>
      </w:r>
      <w:r w:rsidR="000539D7" w:rsidRPr="00513F3B">
        <w:rPr>
          <w:lang w:eastAsia="en-GB"/>
        </w:rPr>
        <w:t>DN 16.3.18/Skt MPS 17.17.</w:t>
      </w:r>
    </w:p>
  </w:footnote>
  <w:footnote w:id="136">
    <w:p w14:paraId="2839548A" w14:textId="2AA4B23C" w:rsidR="00607752" w:rsidRDefault="00607752">
      <w:pPr>
        <w:pStyle w:val="FootnoteText"/>
      </w:pPr>
      <w:r>
        <w:rPr>
          <w:rStyle w:val="FootnoteReference"/>
        </w:rPr>
        <w:footnoteRef/>
      </w:r>
      <w:r>
        <w:t xml:space="preserve"> </w:t>
      </w:r>
      <w:r w:rsidR="000539D7" w:rsidRPr="00513F3B">
        <w:rPr>
          <w:lang w:eastAsia="en-GB"/>
        </w:rPr>
        <w:t>Skt MPS 16.1–12. The Pali has the Māra episode (DN 16.3.7),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268A5EF1" w:rsidR="00607752" w:rsidRDefault="00607752">
      <w:pPr>
        <w:pStyle w:val="FootnoteText"/>
      </w:pPr>
      <w:r>
        <w:rPr>
          <w:rStyle w:val="FootnoteReference"/>
        </w:rPr>
        <w:footnoteRef/>
      </w:r>
      <w:r>
        <w:t xml:space="preserve"> </w:t>
      </w:r>
      <w:r w:rsidR="000539D7" w:rsidRPr="00513F3B">
        <w:rPr>
          <w:lang w:eastAsia="en-GB"/>
        </w:rPr>
        <w:t>DN 16.4.42/Skt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23A273F3" w:rsidR="00607752" w:rsidRDefault="00607752">
      <w:pPr>
        <w:pStyle w:val="FootnoteText"/>
      </w:pPr>
      <w:r>
        <w:rPr>
          <w:rStyle w:val="FootnoteReference"/>
        </w:rPr>
        <w:footnoteRef/>
      </w:r>
      <w:r>
        <w:t xml:space="preserve"> </w:t>
      </w:r>
      <w:r w:rsidR="000539D7" w:rsidRPr="00513F3B">
        <w:rPr>
          <w:lang w:eastAsia="en-GB"/>
        </w:rPr>
        <w:t>SN 46.53</w:t>
      </w:r>
    </w:p>
  </w:footnote>
  <w:footnote w:id="141">
    <w:p w14:paraId="64521D0E" w14:textId="6F05DD35" w:rsidR="00607752" w:rsidRDefault="00607752">
      <w:pPr>
        <w:pStyle w:val="FootnoteText"/>
      </w:pPr>
      <w:r>
        <w:rPr>
          <w:rStyle w:val="FootnoteReference"/>
        </w:rPr>
        <w:footnoteRef/>
      </w:r>
      <w:r>
        <w:t xml:space="preserve"> </w:t>
      </w:r>
      <w:r w:rsidR="000539D7" w:rsidRPr="00513F3B">
        <w:rPr>
          <w:lang w:eastAsia="en-GB"/>
        </w:rPr>
        <w:t>NYANAPONIKA, pg.</w:t>
      </w:r>
      <w:r w:rsidR="000539D7" w:rsidRPr="00513F3B">
        <w:rPr>
          <w:rFonts w:ascii="Times New Roman" w:hAnsi="Times New Roman"/>
          <w:lang w:eastAsia="en-GB"/>
        </w:rPr>
        <w:t> </w:t>
      </w:r>
      <w:r w:rsidR="000539D7" w:rsidRPr="00513F3B">
        <w:rPr>
          <w:lang w:eastAsia="en-GB"/>
        </w:rPr>
        <w:t>11.</w:t>
      </w:r>
    </w:p>
  </w:footnote>
  <w:footnote w:id="142">
    <w:p w14:paraId="2F2B5283" w14:textId="2267CA90" w:rsidR="00607752" w:rsidRDefault="00607752">
      <w:pPr>
        <w:pStyle w:val="FootnoteText"/>
      </w:pPr>
      <w:r>
        <w:rPr>
          <w:rStyle w:val="FootnoteReference"/>
        </w:rPr>
        <w:footnoteRef/>
      </w:r>
      <w:r>
        <w:t xml:space="preserve"> </w:t>
      </w:r>
      <w:r w:rsidR="000539D7" w:rsidRPr="00513F3B">
        <w:rPr>
          <w:lang w:eastAsia="en-GB"/>
        </w:rPr>
        <w:t>Inserted passage from AN 10.54.</w:t>
      </w:r>
    </w:p>
  </w:footnote>
  <w:footnote w:id="143">
    <w:p w14:paraId="1AFDA3F3" w14:textId="6B6CDD99" w:rsidR="00607752" w:rsidRDefault="00607752">
      <w:pPr>
        <w:pStyle w:val="FootnoteText"/>
      </w:pPr>
      <w:r>
        <w:rPr>
          <w:rStyle w:val="FootnoteReference"/>
        </w:rPr>
        <w:footnoteRef/>
      </w:r>
      <w:r>
        <w:t xml:space="preserve"> </w:t>
      </w:r>
      <w:r w:rsidR="000539D7" w:rsidRPr="00513F3B">
        <w:rPr>
          <w:lang w:eastAsia="en-GB"/>
        </w:rPr>
        <w:t>AN 4.94.</w:t>
      </w:r>
    </w:p>
  </w:footnote>
  <w:footnote w:id="144">
    <w:p w14:paraId="40387A06" w14:textId="2D594D79" w:rsidR="00607752" w:rsidRDefault="00607752">
      <w:pPr>
        <w:pStyle w:val="FootnoteText"/>
      </w:pPr>
      <w:r>
        <w:rPr>
          <w:rStyle w:val="FootnoteReference"/>
        </w:rPr>
        <w:footnoteRef/>
      </w:r>
      <w:r>
        <w:t xml:space="preserve"> </w:t>
      </w:r>
      <w:r w:rsidR="000539D7" w:rsidRPr="00513F3B">
        <w:rPr>
          <w:lang w:eastAsia="en-GB"/>
        </w:rPr>
        <w:t>AN 9.4.</w:t>
      </w:r>
    </w:p>
  </w:footnote>
  <w:footnote w:id="145">
    <w:p w14:paraId="469D697A" w14:textId="33FAF2D5" w:rsidR="00607752" w:rsidRDefault="00607752" w:rsidP="000539D7">
      <w:pPr>
        <w:pStyle w:val="FootnoteText"/>
        <w:tabs>
          <w:tab w:val="left" w:pos="2160"/>
        </w:tabs>
      </w:pPr>
      <w:r>
        <w:rPr>
          <w:rStyle w:val="FootnoteReference"/>
        </w:rPr>
        <w:footnoteRef/>
      </w:r>
      <w:r>
        <w:t xml:space="preserve"> </w:t>
      </w:r>
      <w:r w:rsidR="000539D7" w:rsidRPr="00513F3B">
        <w:rPr>
          <w:lang w:eastAsia="en-GB"/>
        </w:rPr>
        <w:t>MN 122.7–8; cp. MN 19.8–10, MN 4.22–26, SN 40.1.</w:t>
      </w:r>
    </w:p>
  </w:footnote>
  <w:footnote w:id="146">
    <w:p w14:paraId="3FAABD48" w14:textId="76EBB545" w:rsidR="00607752" w:rsidRDefault="00607752">
      <w:pPr>
        <w:pStyle w:val="FootnoteText"/>
      </w:pPr>
      <w:r>
        <w:rPr>
          <w:rStyle w:val="FootnoteReference"/>
        </w:rPr>
        <w:footnoteRef/>
      </w:r>
      <w:r>
        <w:t xml:space="preserve"> </w:t>
      </w:r>
      <w:r w:rsidR="000539D7" w:rsidRPr="00513F3B">
        <w:rPr>
          <w:lang w:eastAsia="en-GB"/>
        </w:rPr>
        <w:t>AN 2:3.10.</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34934A71" w:rsidR="00607752" w:rsidRDefault="00607752">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4EE54F17" w:rsidR="006F441E" w:rsidRDefault="006F441E">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121.</w:t>
      </w:r>
    </w:p>
  </w:footnote>
  <w:footnote w:id="151">
    <w:p w14:paraId="556C49AD" w14:textId="33574F85" w:rsidR="006F441E" w:rsidRDefault="006F441E">
      <w:pPr>
        <w:pStyle w:val="FootnoteText"/>
      </w:pPr>
      <w:r>
        <w:rPr>
          <w:rStyle w:val="FootnoteReference"/>
        </w:rPr>
        <w:footnoteRef/>
      </w:r>
      <w:r>
        <w:t xml:space="preserve"> </w:t>
      </w:r>
      <w:r w:rsidR="000539D7" w:rsidRPr="00513F3B">
        <w:rPr>
          <w:lang w:eastAsia="en-GB"/>
        </w:rPr>
        <w:t>AN 5.28.</w:t>
      </w:r>
    </w:p>
  </w:footnote>
  <w:footnote w:id="152">
    <w:p w14:paraId="7F310BEF" w14:textId="2664A148" w:rsidR="006F441E" w:rsidRDefault="006F441E">
      <w:pPr>
        <w:pStyle w:val="FootnoteText"/>
      </w:pPr>
      <w:r>
        <w:rPr>
          <w:rStyle w:val="FootnoteReference"/>
        </w:rPr>
        <w:footnoteRef/>
      </w:r>
      <w:r>
        <w:t xml:space="preserve"> </w:t>
      </w:r>
      <w:r w:rsidR="000539D7" w:rsidRPr="00513F3B">
        <w:rPr>
          <w:lang w:eastAsia="en-GB"/>
        </w:rPr>
        <w:t>GETHIN, pg.</w:t>
      </w:r>
      <w:r w:rsidR="000539D7" w:rsidRPr="00513F3B">
        <w:rPr>
          <w:rFonts w:ascii="Times New Roman" w:hAnsi="Times New Roman"/>
          <w:lang w:eastAsia="en-GB"/>
        </w:rPr>
        <w:t>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251A59C5" w:rsidR="006F441E" w:rsidRDefault="006F441E">
      <w:pPr>
        <w:pStyle w:val="FootnoteText"/>
      </w:pPr>
      <w:r>
        <w:rPr>
          <w:rStyle w:val="FootnoteReference"/>
        </w:rPr>
        <w:footnoteRef/>
      </w:r>
      <w:r>
        <w:t xml:space="preserve"> </w:t>
      </w:r>
      <w:r w:rsidR="000539D7" w:rsidRPr="00513F3B">
        <w:rPr>
          <w:lang w:eastAsia="en-GB"/>
        </w:rPr>
        <w:t>AN 10.60/Tibetan (Peking edition, Otani reprint, Tokyo 1956) 754.</w:t>
      </w:r>
    </w:p>
  </w:footnote>
  <w:footnote w:id="154">
    <w:p w14:paraId="76996944" w14:textId="53A2017F" w:rsidR="006F441E" w:rsidRDefault="006F441E">
      <w:pPr>
        <w:pStyle w:val="FootnoteText"/>
      </w:pPr>
      <w:r>
        <w:rPr>
          <w:rStyle w:val="FootnoteReference"/>
        </w:rPr>
        <w:footnoteRef/>
      </w:r>
      <w:r>
        <w:t xml:space="preserve"> </w:t>
      </w:r>
      <w:r w:rsidR="000539D7" w:rsidRPr="00513F3B">
        <w:rPr>
          <w:lang w:eastAsia="en-GB"/>
        </w:rPr>
        <w:t>SN 47.10.</w:t>
      </w:r>
    </w:p>
  </w:footnote>
  <w:footnote w:id="155">
    <w:p w14:paraId="71B0997B" w14:textId="1E28DC34" w:rsidR="006F441E" w:rsidRDefault="006F441E">
      <w:pPr>
        <w:pStyle w:val="FootnoteText"/>
      </w:pPr>
      <w:r>
        <w:rPr>
          <w:rStyle w:val="FootnoteReference"/>
        </w:rPr>
        <w:footnoteRef/>
      </w:r>
      <w:r>
        <w:t xml:space="preserve"> </w:t>
      </w:r>
      <w:r w:rsidR="000539D7" w:rsidRPr="00513F3B">
        <w:rPr>
          <w:lang w:eastAsia="en-GB"/>
        </w:rPr>
        <w:t>E.g. AN 10.60, Iti 80, 81, Dhp 7, 8.</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FRAUWALLNER (1995),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13A92D33" w:rsidR="006F441E" w:rsidRDefault="006F441E">
      <w:pPr>
        <w:pStyle w:val="FootnoteText"/>
      </w:pPr>
      <w:r>
        <w:rPr>
          <w:rStyle w:val="FootnoteReference"/>
        </w:rPr>
        <w:footnoteRef/>
      </w:r>
      <w:r>
        <w:t xml:space="preserve"> </w:t>
      </w:r>
      <w:r w:rsidR="000539D7" w:rsidRPr="00513F3B">
        <w:rPr>
          <w:lang w:eastAsia="en-GB"/>
        </w:rPr>
        <w:t>DN 2.65, etc. Here I substitute my translation for Bronkhorst’s for consistency.</w:t>
      </w:r>
    </w:p>
  </w:footnote>
  <w:footnote w:id="159">
    <w:p w14:paraId="639EA387" w14:textId="22463031" w:rsidR="006F441E" w:rsidRDefault="006F441E">
      <w:pPr>
        <w:pStyle w:val="FootnoteText"/>
      </w:pPr>
      <w:r>
        <w:rPr>
          <w:rStyle w:val="FootnoteReference"/>
        </w:rPr>
        <w:footnoteRef/>
      </w:r>
      <w:r>
        <w:t xml:space="preserve"> </w:t>
      </w:r>
      <w:r w:rsidR="000539D7" w:rsidRPr="00513F3B">
        <w:rPr>
          <w:lang w:eastAsia="en-GB"/>
        </w:rPr>
        <w:t>SN 47.2, SN 36.7, 8.</w:t>
      </w:r>
    </w:p>
  </w:footnote>
  <w:footnote w:id="160">
    <w:p w14:paraId="02711DBF" w14:textId="2D544C1D" w:rsidR="006F441E" w:rsidRDefault="006F441E">
      <w:pPr>
        <w:pStyle w:val="FootnoteText"/>
      </w:pPr>
      <w:r>
        <w:rPr>
          <w:rStyle w:val="FootnoteReference"/>
        </w:rPr>
        <w:footnoteRef/>
      </w:r>
      <w:r>
        <w:t xml:space="preserve"> </w:t>
      </w:r>
      <w:r w:rsidR="00626D18" w:rsidRPr="00513F3B">
        <w:rPr>
          <w:lang w:eastAsia="en-GB"/>
        </w:rPr>
        <w:t>MA 144</w:t>
      </w:r>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r w:rsidR="00626D18" w:rsidRPr="00513F3B">
        <w:rPr>
          <w:lang w:eastAsia="en-GB"/>
        </w:rPr>
        <w:t>MN 107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A3DF846" w:rsidR="006F441E" w:rsidRDefault="006F441E">
      <w:pPr>
        <w:pStyle w:val="FootnoteText"/>
      </w:pPr>
      <w:r>
        <w:rPr>
          <w:rStyle w:val="FootnoteReference"/>
        </w:rPr>
        <w:footnoteRef/>
      </w:r>
      <w:r>
        <w:t xml:space="preserve"> </w:t>
      </w:r>
      <w:r w:rsidR="00626D18" w:rsidRPr="00513F3B">
        <w:rPr>
          <w:lang w:eastAsia="en-GB"/>
        </w:rPr>
        <w:t>MN 125/MA 198.</w:t>
      </w:r>
    </w:p>
  </w:footnote>
  <w:footnote w:id="162">
    <w:p w14:paraId="7DC318E3" w14:textId="4F1BA595" w:rsidR="006F441E" w:rsidRDefault="006F441E">
      <w:pPr>
        <w:pStyle w:val="FootnoteText"/>
      </w:pPr>
      <w:r>
        <w:rPr>
          <w:rStyle w:val="FootnoteReference"/>
        </w:rPr>
        <w:footnoteRef/>
      </w:r>
      <w:r>
        <w:t xml:space="preserve"> </w:t>
      </w:r>
      <w:r w:rsidR="00626D18" w:rsidRPr="00513F3B">
        <w:rPr>
          <w:lang w:eastAsia="en-GB"/>
        </w:rPr>
        <w:t>MEISIG, pg.</w:t>
      </w:r>
      <w:r w:rsidR="00626D18" w:rsidRPr="00513F3B">
        <w:rPr>
          <w:rFonts w:ascii="Times New Roman" w:hAnsi="Times New Roman"/>
          <w:lang w:eastAsia="en-GB"/>
        </w:rPr>
        <w:t> </w:t>
      </w:r>
      <w:r w:rsidR="00626D18" w:rsidRPr="00513F3B">
        <w:rPr>
          <w:lang w:eastAsia="en-GB"/>
        </w:rPr>
        <w:t>273.</w:t>
      </w:r>
    </w:p>
  </w:footnote>
  <w:footnote w:id="163">
    <w:p w14:paraId="055EC452" w14:textId="1235C757" w:rsidR="006F441E" w:rsidRDefault="006F441E">
      <w:pPr>
        <w:pStyle w:val="FootnoteText"/>
      </w:pPr>
      <w:r>
        <w:rPr>
          <w:rStyle w:val="FootnoteReference"/>
        </w:rPr>
        <w:footnoteRef/>
      </w:r>
      <w:r>
        <w:t xml:space="preserve"> </w:t>
      </w:r>
      <w:r w:rsidR="00626D18" w:rsidRPr="00513F3B">
        <w:rPr>
          <w:lang w:eastAsia="en-GB"/>
        </w:rPr>
        <w:t>AN 10.62/MA 51–53.</w:t>
      </w:r>
    </w:p>
  </w:footnote>
  <w:footnote w:id="164">
    <w:p w14:paraId="0630CDD2" w14:textId="22E0553B" w:rsidR="006F441E" w:rsidRDefault="006F441E">
      <w:pPr>
        <w:pStyle w:val="FootnoteText"/>
      </w:pPr>
      <w:r>
        <w:rPr>
          <w:rStyle w:val="FootnoteReference"/>
        </w:rPr>
        <w:footnoteRef/>
      </w:r>
      <w:r>
        <w:t xml:space="preserve"> </w:t>
      </w:r>
      <w:r w:rsidR="00626D18" w:rsidRPr="00513F3B">
        <w:rPr>
          <w:lang w:eastAsia="en-GB"/>
        </w:rPr>
        <w:t>MN 67.16.</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32A929F1" w:rsidR="009537AA" w:rsidRDefault="009537AA">
      <w:pPr>
        <w:pStyle w:val="FootnoteText"/>
      </w:pPr>
      <w:r>
        <w:rPr>
          <w:rStyle w:val="FootnoteReference"/>
        </w:rPr>
        <w:footnoteRef/>
      </w:r>
      <w:r>
        <w:t xml:space="preserve"> </w:t>
      </w:r>
      <w:r w:rsidR="00626D18" w:rsidRPr="00513F3B">
        <w:rPr>
          <w:lang w:eastAsia="en-GB"/>
        </w:rPr>
        <w:t>AN 5.193, SN 46.55.</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055B6C08"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71.</w:t>
      </w:r>
    </w:p>
  </w:footnote>
  <w:footnote w:id="171">
    <w:p w14:paraId="796DBA71" w14:textId="64220B86"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448FA70B"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198.</w:t>
      </w:r>
    </w:p>
  </w:footnote>
  <w:footnote w:id="174">
    <w:p w14:paraId="75AA42C3" w14:textId="657C5101" w:rsidR="009537AA" w:rsidRDefault="009537AA">
      <w:pPr>
        <w:pStyle w:val="FootnoteText"/>
      </w:pPr>
      <w:r>
        <w:rPr>
          <w:rStyle w:val="FootnoteReference"/>
        </w:rPr>
        <w:footnoteRef/>
      </w:r>
      <w:r>
        <w:t xml:space="preserve"> </w:t>
      </w:r>
      <w:r w:rsidR="00470E9F" w:rsidRPr="00513F3B">
        <w:rPr>
          <w:lang w:eastAsia="en-GB"/>
        </w:rPr>
        <w:t xml:space="preserve">DN 13.10. The cognate DA 26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See ‘A Pali Reference to Brahmaṇa-Caraṇas’,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7BABE6C9" w:rsidR="006E5436" w:rsidRDefault="006E5436">
      <w:pPr>
        <w:pStyle w:val="FootnoteText"/>
      </w:pPr>
      <w:r>
        <w:rPr>
          <w:rStyle w:val="FootnoteReference"/>
        </w:rPr>
        <w:footnoteRef/>
      </w:r>
      <w:r>
        <w:t xml:space="preserve"> </w:t>
      </w:r>
      <w:r w:rsidR="00470E9F" w:rsidRPr="00513F3B">
        <w:rPr>
          <w:lang w:eastAsia="en-GB"/>
        </w:rPr>
        <w:t>E.g. MN 36.17</w:t>
      </w:r>
      <w:r w:rsidR="00470E9F" w:rsidRPr="00513F3B">
        <w:rPr>
          <w:i/>
          <w:iCs/>
          <w:lang w:eastAsia="en-GB"/>
        </w:rPr>
        <w:t>ff</w:t>
      </w:r>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2A5F0650" w:rsidR="006E5436" w:rsidRDefault="006E5436">
      <w:pPr>
        <w:pStyle w:val="FootnoteText"/>
      </w:pPr>
      <w:r>
        <w:rPr>
          <w:rStyle w:val="FootnoteReference"/>
        </w:rPr>
        <w:footnoteRef/>
      </w:r>
      <w:r>
        <w:t xml:space="preserve"> </w:t>
      </w:r>
      <w:r w:rsidR="002A4DDC" w:rsidRPr="00513F3B">
        <w:rPr>
          <w:lang w:eastAsia="en-GB"/>
        </w:rPr>
        <w:t>MN 26/MA 204.</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17474C57" w:rsidR="006E5436" w:rsidRDefault="006E5436">
      <w:pPr>
        <w:pStyle w:val="FootnoteText"/>
      </w:pPr>
      <w:r>
        <w:rPr>
          <w:rStyle w:val="FootnoteReference"/>
        </w:rPr>
        <w:footnoteRef/>
      </w:r>
      <w:r>
        <w:t xml:space="preserve"> </w:t>
      </w:r>
      <w:r w:rsidR="002A4DDC" w:rsidRPr="00513F3B">
        <w:rPr>
          <w:lang w:eastAsia="en-GB"/>
        </w:rPr>
        <w:t>SN 35.103.</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278A6187" w:rsidR="006E5436" w:rsidRDefault="006E5436">
      <w:pPr>
        <w:pStyle w:val="FootnoteText"/>
      </w:pPr>
      <w:r>
        <w:rPr>
          <w:rStyle w:val="FootnoteReference"/>
        </w:rPr>
        <w:footnoteRef/>
      </w:r>
      <w:r>
        <w:t xml:space="preserve"> </w:t>
      </w:r>
      <w:r w:rsidR="002A4DDC" w:rsidRPr="00513F3B">
        <w:rPr>
          <w:lang w:eastAsia="en-GB"/>
        </w:rPr>
        <w:t>The Sarvāstivādin version (MA 204) mentions only faith, energy, and wisdom here, but includes mindfulness just below. The Sanghabhedavastu (GNOLI pg.</w:t>
      </w:r>
      <w:r w:rsidR="002A4DDC" w:rsidRPr="00513F3B">
        <w:rPr>
          <w:rFonts w:ascii="Times New Roman" w:hAnsi="Times New Roman"/>
          <w:lang w:eastAsia="en-GB"/>
        </w:rPr>
        <w:t> </w:t>
      </w:r>
      <w:r w:rsidR="002A4DDC" w:rsidRPr="00513F3B">
        <w:rPr>
          <w:lang w:eastAsia="en-GB"/>
        </w:rPr>
        <w:t>97) and the Lalitavistara (239.2) mention all five spiritual faculties.</w:t>
      </w:r>
    </w:p>
  </w:footnote>
  <w:footnote w:id="195">
    <w:p w14:paraId="365E3E2C" w14:textId="563D95E1" w:rsidR="006E5436" w:rsidRDefault="006E5436">
      <w:pPr>
        <w:pStyle w:val="FootnoteText"/>
      </w:pPr>
      <w:r>
        <w:rPr>
          <w:rStyle w:val="FootnoteReference"/>
        </w:rPr>
        <w:footnoteRef/>
      </w:r>
      <w:r>
        <w:t xml:space="preserve"> </w:t>
      </w:r>
      <w:r w:rsidR="002A4DDC" w:rsidRPr="00513F3B">
        <w:rPr>
          <w:lang w:eastAsia="en-GB"/>
        </w:rPr>
        <w:t>E.g. SN 48.9.</w:t>
      </w:r>
    </w:p>
  </w:footnote>
  <w:footnote w:id="196">
    <w:p w14:paraId="6D1514D2" w14:textId="6F50BC85" w:rsidR="006E5436" w:rsidRDefault="006E5436">
      <w:pPr>
        <w:pStyle w:val="FootnoteText"/>
      </w:pPr>
      <w:r>
        <w:rPr>
          <w:rStyle w:val="FootnoteReference"/>
        </w:rPr>
        <w:footnoteRef/>
      </w:r>
      <w:r>
        <w:t xml:space="preserve"> </w:t>
      </w:r>
      <w:r w:rsidR="00E015A3" w:rsidRPr="00513F3B">
        <w:rPr>
          <w:lang w:eastAsia="en-GB"/>
        </w:rPr>
        <w:t>AN 4.123.</w:t>
      </w:r>
    </w:p>
  </w:footnote>
  <w:footnote w:id="197">
    <w:p w14:paraId="4E6714E9" w14:textId="768E1805" w:rsidR="006E5436" w:rsidRDefault="006E5436">
      <w:pPr>
        <w:pStyle w:val="FootnoteText"/>
      </w:pPr>
      <w:r>
        <w:rPr>
          <w:rStyle w:val="FootnoteReference"/>
        </w:rPr>
        <w:footnoteRef/>
      </w:r>
      <w:r>
        <w:t xml:space="preserve"> </w:t>
      </w:r>
      <w:r w:rsidR="00E015A3" w:rsidRPr="00513F3B">
        <w:rPr>
          <w:lang w:eastAsia="en-GB"/>
        </w:rPr>
        <w:t>AN 4.125.</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Compare the following verses. Muṇḍaka Upaniṣad 3.2.8: </w:t>
      </w:r>
      <w:r w:rsidR="00E015A3" w:rsidRPr="00513F3B">
        <w:rPr>
          <w:i/>
          <w:iCs/>
          <w:lang w:eastAsia="en-GB"/>
        </w:rPr>
        <w:t>Yathā nadyas syandamānās samudre/Astam gacchanti nāmarūpe vihāya</w:t>
      </w:r>
      <w:r w:rsidR="00E015A3" w:rsidRPr="00513F3B">
        <w:rPr>
          <w:lang w:eastAsia="en-GB"/>
        </w:rPr>
        <w:t> (Just as rivers flowing into the ocean/Go to their end, having dropped name &amp; form);</w:t>
      </w:r>
      <w:r w:rsidR="00E015A3" w:rsidRPr="00513F3B">
        <w:rPr>
          <w:rFonts w:cs="Source Serif Pro"/>
          <w:lang w:eastAsia="en-GB"/>
        </w:rPr>
        <w:t> </w:t>
      </w:r>
      <w:r w:rsidR="00E015A3" w:rsidRPr="00513F3B">
        <w:rPr>
          <w:i/>
          <w:iCs/>
          <w:lang w:eastAsia="en-GB"/>
        </w:rPr>
        <w:t>Tathā vidvān nāmarūpād vimuktaḥ/Parāt-param puruṣam upaiti divyam.</w:t>
      </w:r>
      <w:r w:rsidR="00E015A3" w:rsidRPr="00513F3B">
        <w:rPr>
          <w:lang w:eastAsia="en-GB"/>
        </w:rPr>
        <w:t> (Thus the realized [sage], freed from name &amp; form/Beyond the beyond is that Man he enters, divine). Sutta Nipāta 1080: </w:t>
      </w:r>
      <w:r w:rsidR="00E015A3" w:rsidRPr="00513F3B">
        <w:rPr>
          <w:i/>
          <w:iCs/>
          <w:lang w:eastAsia="en-GB"/>
        </w:rPr>
        <w:t>Acci yathā vātavegena khitta</w:t>
      </w:r>
      <w:r w:rsidR="00E015A3" w:rsidRPr="00513F3B">
        <w:rPr>
          <w:rFonts w:ascii="Cambria" w:hAnsi="Cambria" w:cs="Cambria"/>
          <w:i/>
          <w:iCs/>
          <w:lang w:eastAsia="en-GB"/>
        </w:rPr>
        <w:t>ṁ</w:t>
      </w:r>
      <w:r w:rsidR="00E015A3" w:rsidRPr="00513F3B">
        <w:rPr>
          <w:i/>
          <w:iCs/>
          <w:lang w:eastAsia="en-GB"/>
        </w:rPr>
        <w:t>/Attha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r w:rsidR="00E015A3" w:rsidRPr="00513F3B">
        <w:rPr>
          <w:i/>
          <w:iCs/>
          <w:lang w:eastAsia="en-GB"/>
        </w:rPr>
        <w:t>Eva</w:t>
      </w:r>
      <w:r w:rsidR="00E015A3" w:rsidRPr="00513F3B">
        <w:rPr>
          <w:rFonts w:ascii="Cambria" w:hAnsi="Cambria" w:cs="Cambria"/>
          <w:i/>
          <w:iCs/>
          <w:lang w:eastAsia="en-GB"/>
        </w:rPr>
        <w:t>ṁ</w:t>
      </w:r>
      <w:r w:rsidR="00E015A3" w:rsidRPr="00513F3B">
        <w:rPr>
          <w:i/>
          <w:iCs/>
          <w:lang w:eastAsia="en-GB"/>
        </w:rPr>
        <w:t xml:space="preserve"> muni 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r w:rsidR="00E015A3" w:rsidRPr="00513F3B">
        <w:rPr>
          <w:i/>
          <w:iCs/>
          <w:lang w:eastAsia="en-GB"/>
        </w:rPr>
        <w:t xml:space="preserve"> vimutto/Attha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r w:rsidR="00092759" w:rsidRPr="00513F3B">
        <w:rPr>
          <w:i/>
          <w:iCs/>
          <w:lang w:eastAsia="en-GB"/>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35391E15" w:rsidR="006E5436" w:rsidRDefault="006E5436">
      <w:pPr>
        <w:pStyle w:val="FootnoteText"/>
      </w:pPr>
      <w:r>
        <w:rPr>
          <w:rStyle w:val="FootnoteReference"/>
        </w:rPr>
        <w:footnoteRef/>
      </w:r>
      <w:r>
        <w:t xml:space="preserve"> </w:t>
      </w:r>
      <w:r w:rsidR="00092759" w:rsidRPr="00513F3B">
        <w:rPr>
          <w:lang w:eastAsia="en-GB"/>
        </w:rPr>
        <w:t>SN 46.52, SN 46.53.</w:t>
      </w:r>
    </w:p>
  </w:footnote>
  <w:footnote w:id="205">
    <w:p w14:paraId="0F37A65A" w14:textId="3C52698C" w:rsidR="006E5436" w:rsidRDefault="006E5436">
      <w:pPr>
        <w:pStyle w:val="FootnoteText"/>
      </w:pPr>
      <w:r>
        <w:rPr>
          <w:rStyle w:val="FootnoteReference"/>
        </w:rPr>
        <w:footnoteRef/>
      </w:r>
      <w:r>
        <w:t xml:space="preserve"> </w:t>
      </w:r>
      <w:r w:rsidR="00092759" w:rsidRPr="00513F3B">
        <w:rPr>
          <w:lang w:eastAsia="en-GB"/>
        </w:rPr>
        <w:t>SN 46.54.</w:t>
      </w:r>
    </w:p>
  </w:footnote>
  <w:footnote w:id="206">
    <w:p w14:paraId="5C2A7CCB" w14:textId="63CA8253" w:rsidR="006E5436" w:rsidRDefault="006E5436">
      <w:pPr>
        <w:pStyle w:val="FootnoteText"/>
      </w:pPr>
      <w:r>
        <w:rPr>
          <w:rStyle w:val="FootnoteReference"/>
        </w:rPr>
        <w:footnoteRef/>
      </w:r>
      <w:r>
        <w:t xml:space="preserve"> </w:t>
      </w:r>
      <w:r w:rsidR="00092759" w:rsidRPr="00513F3B">
        <w:rPr>
          <w:lang w:eastAsia="en-GB"/>
        </w:rPr>
        <w:t>E.g. MN 83/MA 67/EA 1/EA 50.4/T № 152.87/T № 211 Makhādeva; DN 19 Mahāgovinda also has the divine abidings, but not DA 3, T № 8, pp. 207c–210b, and Mv 3.197–224.</w:t>
      </w:r>
    </w:p>
  </w:footnote>
  <w:footnote w:id="207">
    <w:p w14:paraId="1C5340B6" w14:textId="221F4E4F" w:rsidR="006E5436" w:rsidRDefault="006E5436">
      <w:pPr>
        <w:pStyle w:val="FootnoteText"/>
      </w:pPr>
      <w:r>
        <w:rPr>
          <w:rStyle w:val="FootnoteReference"/>
        </w:rPr>
        <w:footnoteRef/>
      </w:r>
      <w:r>
        <w:t xml:space="preserve"> </w:t>
      </w:r>
      <w:r w:rsidR="00092759" w:rsidRPr="00513F3B">
        <w:rPr>
          <w:lang w:eastAsia="en-GB"/>
        </w:rPr>
        <w:t>SN Sagāthāvagga verse 269, AN (4)449–51. This phrase was somewhat misleadingly rendered by Bhikkhu BODHI in CDB as ‘discovered jhāna’. Perhaps the accusative here could be read as instrumental (‘awakened by means of jhāna’).</w:t>
      </w:r>
    </w:p>
  </w:footnote>
  <w:footnote w:id="208">
    <w:p w14:paraId="09CF7A69" w14:textId="570B9193" w:rsidR="006E5436" w:rsidRDefault="006E5436">
      <w:pPr>
        <w:pStyle w:val="FootnoteText"/>
      </w:pPr>
      <w:r>
        <w:rPr>
          <w:rStyle w:val="FootnoteReference"/>
        </w:rPr>
        <w:footnoteRef/>
      </w:r>
      <w:r>
        <w:t xml:space="preserve"> </w:t>
      </w:r>
      <w:r w:rsidR="00092759" w:rsidRPr="00513F3B">
        <w:rPr>
          <w:lang w:eastAsia="en-GB"/>
        </w:rPr>
        <w:t>SN 35.132.</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1234F2CE" w:rsidR="006E5436" w:rsidRDefault="006E5436">
      <w:pPr>
        <w:pStyle w:val="FootnoteText"/>
      </w:pPr>
      <w:r>
        <w:rPr>
          <w:rStyle w:val="FootnoteReference"/>
        </w:rPr>
        <w:footnoteRef/>
      </w:r>
      <w:r>
        <w:t xml:space="preserve"> </w:t>
      </w:r>
      <w:r w:rsidR="00092759" w:rsidRPr="00513F3B">
        <w:rPr>
          <w:lang w:eastAsia="en-GB"/>
        </w:rPr>
        <w:t>MBh 12.188.15. BRONKHORST (2000) pg.</w:t>
      </w:r>
      <w:r w:rsidR="00092759" w:rsidRPr="00513F3B">
        <w:rPr>
          <w:rFonts w:ascii="Times New Roman" w:hAnsi="Times New Roman"/>
          <w:lang w:eastAsia="en-GB"/>
        </w:rPr>
        <w:t>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513F3B">
        <w:rPr>
          <w:i/>
          <w:iCs/>
          <w:lang w:eastAsia="en-GB"/>
        </w:rPr>
        <w:t>vitakka</w:t>
      </w:r>
      <w:r w:rsidR="00092759" w:rsidRPr="00513F3B">
        <w:rPr>
          <w:lang w:eastAsia="en-GB"/>
        </w:rPr>
        <w:t> and </w:t>
      </w:r>
      <w:r w:rsidR="00092759" w:rsidRPr="00513F3B">
        <w:rPr>
          <w:i/>
          <w:iCs/>
          <w:lang w:eastAsia="en-GB"/>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513F3B">
        <w:rPr>
          <w:i/>
          <w:iCs/>
          <w:lang w:eastAsia="en-GB"/>
        </w:rPr>
        <w:t>rūpa</w:t>
      </w:r>
      <w:r w:rsidR="00092759" w:rsidRPr="00513F3B">
        <w:rPr>
          <w:lang w:eastAsia="en-GB"/>
        </w:rPr>
        <w:t>, does not occur in all texts.</w:t>
      </w:r>
    </w:p>
  </w:footnote>
  <w:footnote w:id="214">
    <w:p w14:paraId="0434AFD4" w14:textId="2D57519E" w:rsidR="00AF1CA1" w:rsidRDefault="00AF1CA1">
      <w:pPr>
        <w:pStyle w:val="FootnoteText"/>
      </w:pPr>
      <w:r>
        <w:rPr>
          <w:rStyle w:val="FootnoteReference"/>
        </w:rPr>
        <w:footnoteRef/>
      </w:r>
      <w:r>
        <w:t xml:space="preserve"> </w:t>
      </w:r>
      <w:r w:rsidR="00092759" w:rsidRPr="00513F3B">
        <w:rPr>
          <w:lang w:eastAsia="en-GB"/>
        </w:rPr>
        <w:t>DN 1/DA 19.</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26B1C1CF" w:rsidR="00AF1CA1" w:rsidRDefault="00AF1CA1">
      <w:pPr>
        <w:pStyle w:val="FootnoteText"/>
      </w:pPr>
      <w:r>
        <w:rPr>
          <w:rStyle w:val="FootnoteReference"/>
        </w:rPr>
        <w:footnoteRef/>
      </w:r>
      <w:r>
        <w:t xml:space="preserve"> </w:t>
      </w:r>
      <w:r w:rsidR="00F75D20" w:rsidRPr="00513F3B">
        <w:rPr>
          <w:lang w:eastAsia="en-GB"/>
        </w:rPr>
        <w:t>SN 14.11.</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r w:rsidR="00F75D20" w:rsidRPr="00513F3B">
        <w:rPr>
          <w:i/>
          <w:iCs/>
          <w:lang w:eastAsia="en-GB"/>
        </w:rPr>
        <w:t>dhāraṇa</w:t>
      </w:r>
      <w:r w:rsidR="00F75D20" w:rsidRPr="00513F3B">
        <w:rPr>
          <w:lang w:eastAsia="en-GB"/>
        </w:rPr>
        <w:t>, and their role as support for jhāna.</w:t>
      </w:r>
    </w:p>
  </w:footnote>
  <w:footnote w:id="223">
    <w:p w14:paraId="04A1D584" w14:textId="2699C6EA" w:rsidR="00E56C99" w:rsidRDefault="00E56C99">
      <w:pPr>
        <w:pStyle w:val="FootnoteText"/>
      </w:pPr>
      <w:r>
        <w:rPr>
          <w:rStyle w:val="FootnoteReference"/>
        </w:rPr>
        <w:footnoteRef/>
      </w:r>
      <w:r>
        <w:t xml:space="preserve"> </w:t>
      </w:r>
      <w:r w:rsidR="00F75D20" w:rsidRPr="00513F3B">
        <w:rPr>
          <w:lang w:eastAsia="en-GB"/>
        </w:rPr>
        <w:t>MN 36.20, etc.</w:t>
      </w:r>
    </w:p>
  </w:footnote>
  <w:footnote w:id="224">
    <w:p w14:paraId="145B4104" w14:textId="48495AFB"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F75D20" w:rsidRPr="00513F3B">
        <w:rPr>
          <w:rFonts w:ascii="Times New Roman" w:hAnsi="Times New Roman"/>
          <w:lang w:eastAsia="en-GB"/>
        </w:rPr>
        <w:t> </w:t>
      </w:r>
      <w:r w:rsidR="00F75D20" w:rsidRPr="00513F3B">
        <w:rPr>
          <w:lang w:eastAsia="en-GB"/>
        </w:rPr>
        <w:t>103.</w:t>
      </w:r>
      <w:r w:rsidR="00F75D20">
        <w:tab/>
      </w:r>
    </w:p>
  </w:footnote>
  <w:footnote w:id="225">
    <w:p w14:paraId="2BB7CBD0" w14:textId="0890C00A" w:rsidR="00E56C99" w:rsidRDefault="00E56C99">
      <w:pPr>
        <w:pStyle w:val="FootnoteText"/>
      </w:pPr>
      <w:r>
        <w:rPr>
          <w:rStyle w:val="FootnoteReference"/>
        </w:rPr>
        <w:footnoteRef/>
      </w:r>
      <w:r>
        <w:t xml:space="preserve"> </w:t>
      </w:r>
      <w:r w:rsidR="00F75D20" w:rsidRPr="00513F3B">
        <w:rPr>
          <w:lang w:eastAsia="en-GB"/>
        </w:rPr>
        <w:t>MN 12.47.</w:t>
      </w:r>
    </w:p>
  </w:footnote>
  <w:footnote w:id="226">
    <w:p w14:paraId="6FBCB89D" w14:textId="30241FB9" w:rsidR="00E56C99" w:rsidRDefault="00E56C99">
      <w:pPr>
        <w:pStyle w:val="FootnoteText"/>
      </w:pPr>
      <w:r>
        <w:rPr>
          <w:rStyle w:val="FootnoteReference"/>
        </w:rPr>
        <w:footnoteRef/>
      </w:r>
      <w:r>
        <w:t xml:space="preserve"> </w:t>
      </w:r>
      <w:r w:rsidR="00F75D20" w:rsidRPr="00513F3B">
        <w:rPr>
          <w:lang w:eastAsia="en-GB"/>
        </w:rPr>
        <w:t>MN 85.10/DA2 21/T № 1421.10.</w:t>
      </w:r>
    </w:p>
  </w:footnote>
  <w:footnote w:id="227">
    <w:p w14:paraId="6FF2469D" w14:textId="5891E748" w:rsidR="00E56C99" w:rsidRDefault="00E56C99">
      <w:pPr>
        <w:pStyle w:val="FootnoteText"/>
      </w:pPr>
      <w:r>
        <w:rPr>
          <w:rStyle w:val="FootnoteReference"/>
        </w:rPr>
        <w:footnoteRef/>
      </w:r>
      <w:r>
        <w:t xml:space="preserve"> </w:t>
      </w:r>
      <w:r w:rsidR="00F75D20" w:rsidRPr="00513F3B">
        <w:rPr>
          <w:lang w:eastAsia="en-GB"/>
        </w:rPr>
        <w:t>MN 14.20.</w:t>
      </w:r>
    </w:p>
  </w:footnote>
  <w:footnote w:id="228">
    <w:p w14:paraId="03C22CAA" w14:textId="3BEE0356" w:rsidR="00E56C99" w:rsidRDefault="00E56C99">
      <w:pPr>
        <w:pStyle w:val="FootnoteText"/>
      </w:pPr>
      <w:r>
        <w:rPr>
          <w:rStyle w:val="FootnoteReference"/>
        </w:rPr>
        <w:footnoteRef/>
      </w:r>
      <w:r>
        <w:t xml:space="preserve"> </w:t>
      </w:r>
      <w:r w:rsidR="00F75D20" w:rsidRPr="00513F3B">
        <w:rPr>
          <w:lang w:eastAsia="en-GB"/>
        </w:rPr>
        <w:t>MN 36.30–2, MN 85, MN 100.</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759D46C7" w:rsidR="00E56C99" w:rsidRDefault="00E56C99">
      <w:pPr>
        <w:pStyle w:val="FootnoteText"/>
      </w:pPr>
      <w:r>
        <w:rPr>
          <w:rStyle w:val="FootnoteReference"/>
        </w:rPr>
        <w:footnoteRef/>
      </w:r>
      <w:r>
        <w:t xml:space="preserve"> </w:t>
      </w:r>
      <w:r w:rsidR="00C64CC2" w:rsidRPr="00513F3B">
        <w:rPr>
          <w:lang w:eastAsia="en-GB"/>
        </w:rPr>
        <w:t>SN 41.8.</w:t>
      </w:r>
    </w:p>
  </w:footnote>
  <w:footnote w:id="231">
    <w:p w14:paraId="1453CCF1" w14:textId="019C31C6" w:rsidR="00E56C99" w:rsidRDefault="00E56C99">
      <w:pPr>
        <w:pStyle w:val="FootnoteText"/>
      </w:pPr>
      <w:r>
        <w:rPr>
          <w:rStyle w:val="FootnoteReference"/>
        </w:rPr>
        <w:footnoteRef/>
      </w:r>
      <w:r>
        <w:t xml:space="preserve"> </w:t>
      </w:r>
      <w:r w:rsidR="00C64CC2" w:rsidRPr="00513F3B">
        <w:rPr>
          <w:i/>
          <w:iCs/>
          <w:lang w:eastAsia="en-GB"/>
        </w:rPr>
        <w:t>Sukkajjhāna</w:t>
      </w:r>
      <w:r w:rsidR="00C64CC2" w:rsidRPr="00513F3B">
        <w:rPr>
          <w:lang w:eastAsia="en-GB"/>
        </w:rPr>
        <w:t>. Compare the commentarial notion of </w:t>
      </w:r>
      <w:r w:rsidR="00C64CC2" w:rsidRPr="00513F3B">
        <w:rPr>
          <w:i/>
          <w:iCs/>
          <w:lang w:eastAsia="en-GB"/>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1975539" w:rsidR="00E56C99" w:rsidRDefault="00E56C99">
      <w:pPr>
        <w:pStyle w:val="FootnoteText"/>
      </w:pPr>
      <w:r>
        <w:rPr>
          <w:rStyle w:val="FootnoteReference"/>
        </w:rPr>
        <w:footnoteRef/>
      </w:r>
      <w:r>
        <w:t xml:space="preserve"> </w:t>
      </w:r>
      <w:r w:rsidR="00C64CC2" w:rsidRPr="00513F3B">
        <w:rPr>
          <w:lang w:eastAsia="en-GB"/>
        </w:rPr>
        <w:t>E.g. Ṭhānaṅga Sutta. See BRONKHORST (2000), pg.</w:t>
      </w:r>
      <w:r w:rsidR="00C64CC2" w:rsidRPr="00513F3B">
        <w:rPr>
          <w:rFonts w:ascii="Times New Roman" w:hAnsi="Times New Roman"/>
          <w:lang w:eastAsia="en-GB"/>
        </w:rPr>
        <w:t> </w:t>
      </w:r>
      <w:r w:rsidR="00C64CC2" w:rsidRPr="00513F3B">
        <w:rPr>
          <w:lang w:eastAsia="en-GB"/>
        </w:rPr>
        <w:t>38</w:t>
      </w:r>
      <w:r w:rsidR="00C64CC2" w:rsidRPr="00513F3B">
        <w:rPr>
          <w:i/>
          <w:iCs/>
          <w:lang w:eastAsia="en-GB"/>
        </w:rPr>
        <w:t>ff.</w:t>
      </w:r>
    </w:p>
  </w:footnote>
  <w:footnote w:id="234">
    <w:p w14:paraId="4A1FA70B" w14:textId="56AB28D1" w:rsidR="00E56C99" w:rsidRDefault="00E56C99">
      <w:pPr>
        <w:pStyle w:val="FootnoteText"/>
      </w:pPr>
      <w:r>
        <w:rPr>
          <w:rStyle w:val="FootnoteReference"/>
        </w:rPr>
        <w:footnoteRef/>
      </w:r>
      <w:r>
        <w:t xml:space="preserve"> </w:t>
      </w:r>
      <w:r w:rsidR="00C64CC2" w:rsidRPr="00513F3B">
        <w:rPr>
          <w:lang w:eastAsia="en-GB"/>
        </w:rPr>
        <w:t>DAYAL, pg.</w:t>
      </w:r>
      <w:r w:rsidR="00C64CC2" w:rsidRPr="00513F3B">
        <w:rPr>
          <w:rFonts w:ascii="Times New Roman" w:hAnsi="Times New Roman"/>
          <w:lang w:eastAsia="en-GB"/>
        </w:rPr>
        <w:t>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5632CC89" w:rsidR="00E56C99" w:rsidRDefault="00E56C99">
      <w:pPr>
        <w:pStyle w:val="FootnoteText"/>
      </w:pPr>
      <w:r>
        <w:rPr>
          <w:rStyle w:val="FootnoteReference"/>
        </w:rPr>
        <w:footnoteRef/>
      </w:r>
      <w:r>
        <w:t xml:space="preserve"> </w:t>
      </w:r>
      <w:r w:rsidR="00787BDA" w:rsidRPr="00513F3B">
        <w:rPr>
          <w:lang w:eastAsia="en-GB"/>
        </w:rPr>
        <w:t>DN 18.27, MN 117.3, SN 45.28, AN 7.42. The term </w:t>
      </w:r>
      <w:r w:rsidR="00787BDA" w:rsidRPr="00513F3B">
        <w:rPr>
          <w:i/>
          <w:iCs/>
          <w:lang w:eastAsia="en-GB"/>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513F3B">
        <w:rPr>
          <w:i/>
          <w:iCs/>
          <w:lang w:eastAsia="en-GB"/>
        </w:rPr>
        <w:t>parikamma</w:t>
      </w:r>
      <w:r w:rsidR="00787BDA" w:rsidRPr="00513F3B">
        <w:rPr>
          <w:lang w:eastAsia="en-GB"/>
        </w:rPr>
        <w:t>, usually rendered something like ‘preparatory work’.</w:t>
      </w:r>
    </w:p>
  </w:footnote>
  <w:footnote w:id="237">
    <w:p w14:paraId="499BECF1" w14:textId="5FE27788" w:rsidR="00E56C99" w:rsidRDefault="00E56C99">
      <w:pPr>
        <w:pStyle w:val="FootnoteText"/>
      </w:pPr>
      <w:r>
        <w:rPr>
          <w:rStyle w:val="FootnoteReference"/>
        </w:rPr>
        <w:footnoteRef/>
      </w:r>
      <w:r>
        <w:t xml:space="preserve"> </w:t>
      </w:r>
      <w:r w:rsidR="00787BDA" w:rsidRPr="00513F3B">
        <w:rPr>
          <w:lang w:eastAsia="en-GB"/>
        </w:rPr>
        <w:t>MN 44.12.</w:t>
      </w:r>
    </w:p>
  </w:footnote>
  <w:footnote w:id="238">
    <w:p w14:paraId="5EF639F8" w14:textId="1EE0BD66" w:rsidR="00E56C99" w:rsidRDefault="00E56C99">
      <w:pPr>
        <w:pStyle w:val="FootnoteText"/>
      </w:pPr>
      <w:r>
        <w:rPr>
          <w:rStyle w:val="FootnoteReference"/>
        </w:rPr>
        <w:footnoteRef/>
      </w:r>
      <w:r>
        <w:t xml:space="preserve"> </w:t>
      </w:r>
      <w:r w:rsidR="00787BDA" w:rsidRPr="00513F3B">
        <w:rPr>
          <w:lang w:eastAsia="en-GB"/>
        </w:rPr>
        <w:t>SN 48.50.</w:t>
      </w:r>
    </w:p>
  </w:footnote>
  <w:footnote w:id="239">
    <w:p w14:paraId="6DE82BEB" w14:textId="0C90DE31" w:rsidR="00E56C99" w:rsidRDefault="00E56C99">
      <w:pPr>
        <w:pStyle w:val="FootnoteText"/>
      </w:pPr>
      <w:r>
        <w:rPr>
          <w:rStyle w:val="FootnoteReference"/>
        </w:rPr>
        <w:footnoteRef/>
      </w:r>
      <w:r>
        <w:t xml:space="preserve"> </w:t>
      </w:r>
      <w:r w:rsidR="00787BDA" w:rsidRPr="00513F3B">
        <w:rPr>
          <w:lang w:eastAsia="en-GB"/>
        </w:rPr>
        <w:t>MN 44.11/MA 210.</w:t>
      </w:r>
    </w:p>
  </w:footnote>
  <w:footnote w:id="240">
    <w:p w14:paraId="02A9B505" w14:textId="36FBCC71" w:rsidR="00E56C99" w:rsidRDefault="00E56C99">
      <w:pPr>
        <w:pStyle w:val="FootnoteText"/>
      </w:pPr>
      <w:r>
        <w:rPr>
          <w:rStyle w:val="FootnoteReference"/>
        </w:rPr>
        <w:footnoteRef/>
      </w:r>
      <w:r>
        <w:t xml:space="preserve"> </w:t>
      </w:r>
      <w:r w:rsidR="00787BDA" w:rsidRPr="00513F3B">
        <w:rPr>
          <w:lang w:eastAsia="en-GB"/>
        </w:rPr>
        <w:t>SN 46.3/SA 736/SA 740/SA 724*.</w:t>
      </w:r>
    </w:p>
  </w:footnote>
  <w:footnote w:id="241">
    <w:p w14:paraId="04D269A9" w14:textId="587E68F3" w:rsidR="00E56C99" w:rsidRDefault="00E56C99">
      <w:pPr>
        <w:pStyle w:val="FootnoteText"/>
      </w:pPr>
      <w:r>
        <w:rPr>
          <w:rStyle w:val="FootnoteReference"/>
        </w:rPr>
        <w:footnoteRef/>
      </w:r>
      <w:r>
        <w:t xml:space="preserve"> </w:t>
      </w:r>
      <w:r w:rsidR="00787BDA" w:rsidRPr="00513F3B">
        <w:rPr>
          <w:lang w:eastAsia="en-GB"/>
        </w:rPr>
        <w:t>SN 46.51/SA 715.</w:t>
      </w:r>
    </w:p>
  </w:footnote>
  <w:footnote w:id="242">
    <w:p w14:paraId="5D2C7DF5" w14:textId="0ED01A84" w:rsidR="00E56C99" w:rsidRDefault="00E56C99">
      <w:pPr>
        <w:pStyle w:val="FootnoteText"/>
      </w:pPr>
      <w:r>
        <w:rPr>
          <w:rStyle w:val="FootnoteReference"/>
        </w:rPr>
        <w:footnoteRef/>
      </w:r>
      <w:r>
        <w:t xml:space="preserve"> </w:t>
      </w:r>
      <w:r w:rsidR="00787BDA" w:rsidRPr="00513F3B">
        <w:rPr>
          <w:lang w:eastAsia="en-GB"/>
        </w:rPr>
        <w:t>E.g. SN 54.13/SA 810.</w:t>
      </w:r>
    </w:p>
  </w:footnote>
  <w:footnote w:id="243">
    <w:p w14:paraId="3B219402" w14:textId="759B5224" w:rsidR="00E56C99" w:rsidRDefault="00E56C99">
      <w:pPr>
        <w:pStyle w:val="FootnoteText"/>
      </w:pPr>
      <w:r>
        <w:rPr>
          <w:rStyle w:val="FootnoteReference"/>
        </w:rPr>
        <w:footnoteRef/>
      </w:r>
      <w:r>
        <w:t xml:space="preserve"> </w:t>
      </w:r>
      <w:r w:rsidR="00787BDA" w:rsidRPr="00513F3B">
        <w:rPr>
          <w:lang w:eastAsia="en-GB"/>
        </w:rPr>
        <w:t>AN 6.102–4.</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39EBCF76" w:rsidR="00E56C99" w:rsidRDefault="00E56C99">
      <w:pPr>
        <w:pStyle w:val="FootnoteText"/>
      </w:pPr>
      <w:r>
        <w:rPr>
          <w:rStyle w:val="FootnoteReference"/>
        </w:rPr>
        <w:footnoteRef/>
      </w:r>
      <w:r>
        <w:t xml:space="preserve"> </w:t>
      </w:r>
      <w:r w:rsidR="00787BDA" w:rsidRPr="00513F3B">
        <w:rPr>
          <w:lang w:eastAsia="en-GB"/>
        </w:rPr>
        <w:t>DN 10.2.1–18/DA 42. WALSHE’s translation is faulty. He has: ‘This comes to him through concentration’. It should read: ‘This is, for him, what pertains to concentration’.</w:t>
      </w:r>
    </w:p>
  </w:footnote>
  <w:footnote w:id="246">
    <w:p w14:paraId="6719F952" w14:textId="52B7D3D3" w:rsidR="00E56C99" w:rsidRDefault="00E56C99">
      <w:pPr>
        <w:pStyle w:val="FootnoteText"/>
      </w:pPr>
      <w:r>
        <w:rPr>
          <w:rStyle w:val="FootnoteReference"/>
        </w:rPr>
        <w:footnoteRef/>
      </w:r>
      <w:r>
        <w:t xml:space="preserve"> </w:t>
      </w:r>
      <w:r w:rsidR="00787BDA" w:rsidRPr="00513F3B">
        <w:rPr>
          <w:lang w:eastAsia="en-GB"/>
        </w:rPr>
        <w:t>SN 48.9,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189BAA4A" w:rsidR="000F6A24" w:rsidRDefault="000F6A24">
      <w:pPr>
        <w:pStyle w:val="FootnoteText"/>
      </w:pPr>
      <w:r>
        <w:rPr>
          <w:rStyle w:val="FootnoteReference"/>
        </w:rPr>
        <w:footnoteRef/>
      </w:r>
      <w:r>
        <w:t xml:space="preserve"> </w:t>
      </w:r>
      <w:r w:rsidR="00787BDA" w:rsidRPr="00513F3B">
        <w:rPr>
          <w:lang w:eastAsia="en-GB"/>
        </w:rPr>
        <w:t>MA 189,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35FA66D7" w:rsidR="000F6A24" w:rsidRDefault="000F6A24">
      <w:pPr>
        <w:pStyle w:val="FootnoteText"/>
      </w:pPr>
      <w:r>
        <w:rPr>
          <w:rStyle w:val="FootnoteReference"/>
        </w:rPr>
        <w:footnoteRef/>
      </w:r>
      <w:r>
        <w:t xml:space="preserve"> </w:t>
      </w:r>
      <w:r w:rsidR="00787BDA" w:rsidRPr="00513F3B">
        <w:rPr>
          <w:lang w:eastAsia="en-GB"/>
        </w:rPr>
        <w:t>SA 610/SN 47.39.</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78039211" w:rsidR="002563C3" w:rsidRDefault="002563C3">
      <w:pPr>
        <w:pStyle w:val="FootnoteText"/>
      </w:pPr>
      <w:r>
        <w:rPr>
          <w:rStyle w:val="FootnoteReference"/>
        </w:rPr>
        <w:footnoteRef/>
      </w:r>
      <w:r>
        <w:t xml:space="preserve"> </w:t>
      </w:r>
      <w:r w:rsidR="00EB144E" w:rsidRPr="00513F3B">
        <w:rPr>
          <w:lang w:eastAsia="en-GB"/>
        </w:rPr>
        <w:t>SN 48.9/SA 647.</w:t>
      </w:r>
    </w:p>
  </w:footnote>
  <w:footnote w:id="254">
    <w:p w14:paraId="0359911C" w14:textId="3F9EACB7" w:rsidR="002563C3" w:rsidRDefault="002563C3">
      <w:pPr>
        <w:pStyle w:val="FootnoteText"/>
      </w:pPr>
      <w:r>
        <w:rPr>
          <w:rStyle w:val="FootnoteReference"/>
        </w:rPr>
        <w:footnoteRef/>
      </w:r>
      <w:r>
        <w:t xml:space="preserve"> </w:t>
      </w:r>
      <w:r w:rsidR="00EB144E" w:rsidRPr="00513F3B">
        <w:rPr>
          <w:lang w:eastAsia="en-GB"/>
        </w:rPr>
        <w:t>WALDSCHMIDT (1950, 1951) 10.8.</w:t>
      </w:r>
    </w:p>
  </w:footnote>
  <w:footnote w:id="255">
    <w:p w14:paraId="6964BAB5" w14:textId="636441CE" w:rsidR="002563C3" w:rsidRDefault="002563C3">
      <w:pPr>
        <w:pStyle w:val="FootnoteText"/>
      </w:pPr>
      <w:r>
        <w:rPr>
          <w:rStyle w:val="FootnoteReference"/>
        </w:rPr>
        <w:footnoteRef/>
      </w:r>
      <w:r>
        <w:t xml:space="preserve"> </w:t>
      </w:r>
      <w:r w:rsidR="00EB144E" w:rsidRPr="00513F3B">
        <w:rPr>
          <w:lang w:eastAsia="en-GB"/>
        </w:rPr>
        <w:t>DN 2.64/DA 27/T № 22/EA 42.7/SA 154–163*, etc.</w:t>
      </w:r>
    </w:p>
  </w:footnote>
  <w:footnote w:id="256">
    <w:p w14:paraId="0F03824D" w14:textId="5CE7BEDA" w:rsidR="002563C3" w:rsidRDefault="002563C3">
      <w:pPr>
        <w:pStyle w:val="FootnoteText"/>
      </w:pPr>
      <w:r>
        <w:rPr>
          <w:rStyle w:val="FootnoteReference"/>
        </w:rPr>
        <w:footnoteRef/>
      </w:r>
      <w:r>
        <w:t xml:space="preserve"> </w:t>
      </w:r>
      <w:r w:rsidR="00EB144E" w:rsidRPr="00513F3B">
        <w:rPr>
          <w:lang w:eastAsia="en-GB"/>
        </w:rPr>
        <w:t>MEISIG, pg.</w:t>
      </w:r>
      <w:r w:rsidR="00EB144E" w:rsidRPr="00513F3B">
        <w:rPr>
          <w:rFonts w:ascii="Times New Roman" w:hAnsi="Times New Roman"/>
          <w:lang w:eastAsia="en-GB"/>
        </w:rPr>
        <w:t> </w:t>
      </w:r>
      <w:r w:rsidR="00EB144E" w:rsidRPr="00513F3B">
        <w:rPr>
          <w:lang w:eastAsia="en-GB"/>
        </w:rPr>
        <w:t>268.</w:t>
      </w:r>
    </w:p>
  </w:footnote>
  <w:footnote w:id="257">
    <w:p w14:paraId="428244FF" w14:textId="0DABE232" w:rsidR="002563C3" w:rsidRDefault="002563C3">
      <w:pPr>
        <w:pStyle w:val="FootnoteText"/>
      </w:pPr>
      <w:r>
        <w:rPr>
          <w:rStyle w:val="FootnoteReference"/>
        </w:rPr>
        <w:footnoteRef/>
      </w:r>
      <w:r>
        <w:t xml:space="preserve"> </w:t>
      </w:r>
      <w:r w:rsidR="00EB144E" w:rsidRPr="00513F3B">
        <w:rPr>
          <w:lang w:eastAsia="en-GB"/>
        </w:rPr>
        <w:t>AN 10.176.</w:t>
      </w:r>
    </w:p>
  </w:footnote>
  <w:footnote w:id="258">
    <w:p w14:paraId="70043BF4" w14:textId="0A306BB3" w:rsidR="002563C3" w:rsidRDefault="002563C3">
      <w:pPr>
        <w:pStyle w:val="FootnoteText"/>
      </w:pPr>
      <w:r>
        <w:rPr>
          <w:rStyle w:val="FootnoteReference"/>
        </w:rPr>
        <w:footnoteRef/>
      </w:r>
      <w:r>
        <w:t xml:space="preserve"> </w:t>
      </w:r>
      <w:r w:rsidR="00EB144E" w:rsidRPr="00513F3B">
        <w:rPr>
          <w:lang w:eastAsia="en-GB"/>
        </w:rPr>
        <w:t>Sn 1112.</w:t>
      </w:r>
    </w:p>
  </w:footnote>
  <w:footnote w:id="259">
    <w:p w14:paraId="2FE5BAAA" w14:textId="387B371C" w:rsidR="002563C3" w:rsidRDefault="002563C3">
      <w:pPr>
        <w:pStyle w:val="FootnoteText"/>
      </w:pPr>
      <w:r>
        <w:rPr>
          <w:rStyle w:val="FootnoteReference"/>
        </w:rPr>
        <w:footnoteRef/>
      </w:r>
      <w:r>
        <w:t xml:space="preserve"> </w:t>
      </w:r>
      <w:r w:rsidR="00EB144E" w:rsidRPr="00513F3B">
        <w:rPr>
          <w:lang w:eastAsia="en-GB"/>
        </w:rPr>
        <w:t>SN 42.8/SA 916/SA2 131, AN 10.219.</w:t>
      </w:r>
    </w:p>
  </w:footnote>
  <w:footnote w:id="260">
    <w:p w14:paraId="2BB0E8D3" w14:textId="6A70BD5B" w:rsidR="002563C3" w:rsidRDefault="002563C3">
      <w:pPr>
        <w:pStyle w:val="FootnoteText"/>
      </w:pPr>
      <w:r>
        <w:rPr>
          <w:rStyle w:val="FootnoteReference"/>
        </w:rPr>
        <w:footnoteRef/>
      </w:r>
      <w:r>
        <w:t xml:space="preserve"> </w:t>
      </w:r>
      <w:r w:rsidR="00EB144E" w:rsidRPr="00513F3B">
        <w:rPr>
          <w:lang w:eastAsia="en-GB"/>
        </w:rPr>
        <w:t>Bhikkhu BODHI has changed his rendering here from ‘connected with the body’ to ‘connected with sensual desire’. According to his note 1177 in the revised 2001 edition of MLDB, the PTS edition has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(connected with the body), abbreviates the next two, then has </w:t>
      </w:r>
      <w:r w:rsidR="00EB144E" w:rsidRPr="00513F3B">
        <w:rPr>
          <w:i/>
          <w:iCs/>
          <w:lang w:eastAsia="en-GB"/>
        </w:rPr>
        <w:t>dhammūpasa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The Burmese editions, supported by a 1937 Sinhalese edition, have </w:t>
      </w:r>
      <w:r w:rsidR="00EB144E" w:rsidRPr="00513F3B">
        <w:rPr>
          <w:i/>
          <w:iCs/>
          <w:lang w:eastAsia="en-GB"/>
        </w:rPr>
        <w:t>kāmūpasa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He also cites the Chinese translation in support. The Sanskrit version quoted just below, however, supports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w:t>
      </w:r>
    </w:p>
  </w:footnote>
  <w:footnote w:id="261">
    <w:p w14:paraId="7F6C7BCA" w14:textId="64E859B5" w:rsidR="002563C3" w:rsidRDefault="002563C3">
      <w:pPr>
        <w:pStyle w:val="FootnoteText"/>
      </w:pPr>
      <w:r>
        <w:rPr>
          <w:rStyle w:val="FootnoteReference"/>
        </w:rPr>
        <w:footnoteRef/>
      </w:r>
      <w:r>
        <w:t xml:space="preserve"> </w:t>
      </w:r>
      <w:r w:rsidR="00594FB9" w:rsidRPr="00513F3B">
        <w:rPr>
          <w:lang w:eastAsia="en-GB"/>
        </w:rPr>
        <w:t>HARRISON. The Sanskrit has been tentatively reconstructed by the translator.</w:t>
      </w:r>
    </w:p>
  </w:footnote>
  <w:footnote w:id="262">
    <w:p w14:paraId="06DB8DB8" w14:textId="4D278FC7" w:rsidR="00860BDC" w:rsidRDefault="00860BDC">
      <w:pPr>
        <w:pStyle w:val="FootnoteText"/>
      </w:pPr>
      <w:r>
        <w:rPr>
          <w:rStyle w:val="FootnoteReference"/>
        </w:rPr>
        <w:footnoteRef/>
      </w:r>
      <w:r>
        <w:t xml:space="preserve"> </w:t>
      </w:r>
      <w:r w:rsidR="00594FB9" w:rsidRPr="00513F3B">
        <w:rPr>
          <w:lang w:eastAsia="en-GB"/>
        </w:rPr>
        <w:t>SN 54.10/SA 813, SN 54.13/SA 810, MN 118.23</w:t>
      </w:r>
      <w:r w:rsidR="00594FB9" w:rsidRPr="00513F3B">
        <w:rPr>
          <w:i/>
          <w:iCs/>
          <w:lang w:eastAsia="en-GB"/>
        </w:rPr>
        <w:t>ff</w:t>
      </w:r>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13F3B">
        <w:rPr>
          <w:i/>
          <w:iCs/>
          <w:lang w:eastAsia="en-GB"/>
        </w:rPr>
        <w:t>appamāda</w:t>
      </w:r>
      <w:r w:rsidR="00594FB9" w:rsidRPr="00513F3B">
        <w:rPr>
          <w:lang w:eastAsia="en-GB"/>
        </w:rPr>
        <w:t>) in a negative sense is very unusual; normally, of course, diligence is closely connected with mindfulness.</w:t>
      </w:r>
    </w:p>
  </w:footnote>
  <w:footnote w:id="265">
    <w:p w14:paraId="45DA523C" w14:textId="5A2C8389" w:rsidR="00860BDC" w:rsidRDefault="00860BDC">
      <w:pPr>
        <w:pStyle w:val="FootnoteText"/>
      </w:pPr>
      <w:r>
        <w:rPr>
          <w:rStyle w:val="FootnoteReference"/>
        </w:rPr>
        <w:footnoteRef/>
      </w:r>
      <w:r>
        <w:t xml:space="preserve"> </w:t>
      </w:r>
      <w:r w:rsidR="00594FB9" w:rsidRPr="00513F3B">
        <w:rPr>
          <w:lang w:eastAsia="en-GB"/>
        </w:rPr>
        <w:t>Sn 255.</w:t>
      </w:r>
    </w:p>
  </w:footnote>
  <w:footnote w:id="266">
    <w:p w14:paraId="02E725DF" w14:textId="132D3501" w:rsidR="00860BDC" w:rsidRDefault="00860BDC">
      <w:pPr>
        <w:pStyle w:val="FootnoteText"/>
      </w:pPr>
      <w:r>
        <w:rPr>
          <w:rStyle w:val="FootnoteReference"/>
        </w:rPr>
        <w:footnoteRef/>
      </w:r>
      <w:r>
        <w:t xml:space="preserve"> </w:t>
      </w:r>
      <w:r w:rsidR="00594FB9" w:rsidRPr="00513F3B">
        <w:rPr>
          <w:lang w:eastAsia="en-GB"/>
        </w:rPr>
        <w:t>Dhp 253.</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0857C6A7" w:rsidR="00860BDC" w:rsidRDefault="00860BDC">
      <w:pPr>
        <w:pStyle w:val="FootnoteText"/>
      </w:pPr>
      <w:r>
        <w:rPr>
          <w:rStyle w:val="FootnoteReference"/>
        </w:rPr>
        <w:footnoteRef/>
      </w:r>
      <w:r>
        <w:t xml:space="preserve"> </w:t>
      </w:r>
      <w:r w:rsidR="00594FB9" w:rsidRPr="00513F3B">
        <w:rPr>
          <w:lang w:eastAsia="en-GB"/>
        </w:rPr>
        <w:t>Sn 3.12.</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1ED454A5" w:rsidR="00860BDC" w:rsidRDefault="00860BDC">
      <w:pPr>
        <w:pStyle w:val="FootnoteText"/>
      </w:pPr>
      <w:r>
        <w:rPr>
          <w:rStyle w:val="FootnoteReference"/>
        </w:rPr>
        <w:footnoteRef/>
      </w:r>
      <w:r>
        <w:t xml:space="preserve"> </w:t>
      </w:r>
      <w:r w:rsidR="00594FB9" w:rsidRPr="00513F3B">
        <w:rPr>
          <w:lang w:eastAsia="en-GB"/>
        </w:rPr>
        <w:t>Dhp 7, 8.</w:t>
      </w:r>
    </w:p>
  </w:footnote>
  <w:footnote w:id="272">
    <w:p w14:paraId="4C55CE7D" w14:textId="6B2E09D9" w:rsidR="00532B0A" w:rsidRDefault="00532B0A">
      <w:pPr>
        <w:pStyle w:val="FootnoteText"/>
      </w:pPr>
      <w:r>
        <w:rPr>
          <w:rStyle w:val="FootnoteReference"/>
        </w:rPr>
        <w:footnoteRef/>
      </w:r>
      <w:r>
        <w:t xml:space="preserve"> </w:t>
      </w:r>
      <w:r w:rsidR="00594FB9" w:rsidRPr="00513F3B">
        <w:rPr>
          <w:lang w:eastAsia="en-GB"/>
        </w:rPr>
        <w:t>SN 22.39–42/SA 27, SN 22.147/SA 48.</w:t>
      </w:r>
    </w:p>
  </w:footnote>
  <w:footnote w:id="273">
    <w:p w14:paraId="47DAE673" w14:textId="58B58E4E" w:rsidR="00532B0A" w:rsidRDefault="00532B0A">
      <w:pPr>
        <w:pStyle w:val="FootnoteText"/>
      </w:pPr>
      <w:r>
        <w:rPr>
          <w:rStyle w:val="FootnoteReference"/>
        </w:rPr>
        <w:footnoteRef/>
      </w:r>
      <w:r>
        <w:t xml:space="preserve"> </w:t>
      </w:r>
      <w:r w:rsidR="00594FB9" w:rsidRPr="00513F3B">
        <w:rPr>
          <w:lang w:eastAsia="en-GB"/>
        </w:rPr>
        <w:t>SN 36.7/SA 1028, SN 36.8/SA 1029, MN 37/SA 505/EA 19.3.</w:t>
      </w:r>
    </w:p>
  </w:footnote>
  <w:footnote w:id="274">
    <w:p w14:paraId="347BC7CF" w14:textId="78D805B5" w:rsidR="00532B0A" w:rsidRDefault="00532B0A">
      <w:pPr>
        <w:pStyle w:val="FootnoteText"/>
      </w:pPr>
      <w:r>
        <w:rPr>
          <w:rStyle w:val="FootnoteReference"/>
        </w:rPr>
        <w:footnoteRef/>
      </w:r>
      <w:r>
        <w:t xml:space="preserve"> </w:t>
      </w:r>
      <w:r w:rsidR="00594FB9" w:rsidRPr="00513F3B">
        <w:rPr>
          <w:lang w:eastAsia="en-GB"/>
        </w:rPr>
        <w:t>See Vsm trans. (ÑĀṆAMOLI), pg.</w:t>
      </w:r>
      <w:r w:rsidR="00594FB9" w:rsidRPr="00513F3B">
        <w:rPr>
          <w:rFonts w:ascii="Times New Roman" w:hAnsi="Times New Roman"/>
          <w:lang w:eastAsia="en-GB"/>
        </w:rPr>
        <w:t> </w:t>
      </w:r>
      <w:r w:rsidR="00594FB9" w:rsidRPr="00513F3B">
        <w:rPr>
          <w:lang w:eastAsia="en-GB"/>
        </w:rPr>
        <w:t>168 note 47.</w:t>
      </w:r>
    </w:p>
  </w:footnote>
  <w:footnote w:id="275">
    <w:p w14:paraId="5107C499" w14:textId="05BCC4FF" w:rsidR="00532B0A" w:rsidRDefault="00532B0A">
      <w:pPr>
        <w:pStyle w:val="FootnoteText"/>
      </w:pPr>
      <w:r>
        <w:rPr>
          <w:rStyle w:val="FootnoteReference"/>
        </w:rPr>
        <w:footnoteRef/>
      </w:r>
      <w:r>
        <w:t xml:space="preserve"> </w:t>
      </w:r>
      <w:r w:rsidR="00594FB9" w:rsidRPr="00513F3B">
        <w:rPr>
          <w:lang w:eastAsia="en-GB"/>
        </w:rPr>
        <w:t>SA 610, but not its cognate SN 47.2.</w:t>
      </w:r>
    </w:p>
  </w:footnote>
  <w:footnote w:id="276">
    <w:p w14:paraId="0502DCFD" w14:textId="1AE83318" w:rsidR="00532B0A" w:rsidRDefault="00532B0A">
      <w:pPr>
        <w:pStyle w:val="FootnoteText"/>
      </w:pPr>
      <w:r>
        <w:rPr>
          <w:rStyle w:val="FootnoteReference"/>
        </w:rPr>
        <w:footnoteRef/>
      </w:r>
      <w:r>
        <w:t xml:space="preserve"> </w:t>
      </w:r>
      <w:r w:rsidR="00594FB9" w:rsidRPr="00513F3B">
        <w:rPr>
          <w:lang w:eastAsia="en-GB"/>
        </w:rPr>
        <w:t>Iti 3.36. This includes the unusual phrase ‘</w:t>
      </w:r>
      <w:r w:rsidR="00594FB9" w:rsidRPr="00513F3B">
        <w:rPr>
          <w:i/>
          <w:iCs/>
          <w:lang w:eastAsia="en-GB"/>
        </w:rPr>
        <w:t>ajjhatta</w:t>
      </w:r>
      <w:r w:rsidR="00594FB9" w:rsidRPr="00513F3B">
        <w:rPr>
          <w:rFonts w:ascii="Cambria" w:hAnsi="Cambria" w:cs="Cambria"/>
          <w:i/>
          <w:iCs/>
          <w:lang w:eastAsia="en-GB"/>
        </w:rPr>
        <w:t>ṁ</w:t>
      </w:r>
      <w:r w:rsidR="00594FB9" w:rsidRPr="00513F3B">
        <w:rPr>
          <w:i/>
          <w:iCs/>
          <w:lang w:eastAsia="en-GB"/>
        </w:rPr>
        <w:t xml:space="preserve"> parimukha</w:t>
      </w:r>
      <w:r w:rsidR="00594FB9" w:rsidRPr="00513F3B">
        <w:rPr>
          <w:rFonts w:ascii="Cambria" w:hAnsi="Cambria" w:cs="Cambria"/>
          <w:i/>
          <w:iCs/>
          <w:lang w:eastAsia="en-GB"/>
        </w:rPr>
        <w:t>ṁ</w:t>
      </w:r>
      <w:r w:rsidR="00594FB9" w:rsidRPr="00513F3B">
        <w:rPr>
          <w:lang w:eastAsia="en-GB"/>
        </w:rPr>
        <w:t>’.</w:t>
      </w:r>
    </w:p>
  </w:footnote>
  <w:footnote w:id="277">
    <w:p w14:paraId="79821942" w14:textId="05FBCDDD" w:rsidR="00532B0A" w:rsidRDefault="00532B0A">
      <w:pPr>
        <w:pStyle w:val="FootnoteText"/>
      </w:pPr>
      <w:r>
        <w:rPr>
          <w:rStyle w:val="FootnoteReference"/>
        </w:rPr>
        <w:footnoteRef/>
      </w:r>
      <w:r>
        <w:t xml:space="preserve"> </w:t>
      </w:r>
      <w:r w:rsidR="00594FB9" w:rsidRPr="00513F3B">
        <w:rPr>
          <w:lang w:eastAsia="en-GB"/>
        </w:rPr>
        <w:t>MN 77.23.</w:t>
      </w:r>
    </w:p>
  </w:footnote>
  <w:footnote w:id="278">
    <w:p w14:paraId="29D3D7C6" w14:textId="7F1676D4" w:rsidR="00532B0A" w:rsidRDefault="00532B0A">
      <w:pPr>
        <w:pStyle w:val="FootnoteText"/>
      </w:pPr>
      <w:r>
        <w:rPr>
          <w:rStyle w:val="FootnoteReference"/>
        </w:rPr>
        <w:footnoteRef/>
      </w:r>
      <w:r>
        <w:t xml:space="preserve"> </w:t>
      </w:r>
      <w:r w:rsidR="00594FB9" w:rsidRPr="00513F3B">
        <w:rPr>
          <w:lang w:eastAsia="en-GB"/>
        </w:rPr>
        <w:t>DN 18.26.</w:t>
      </w:r>
    </w:p>
  </w:footnote>
  <w:footnote w:id="279">
    <w:p w14:paraId="70AF724D" w14:textId="636EDA2E" w:rsidR="00532B0A" w:rsidRDefault="00532B0A">
      <w:pPr>
        <w:pStyle w:val="FootnoteText"/>
      </w:pPr>
      <w:r>
        <w:rPr>
          <w:rStyle w:val="FootnoteReference"/>
        </w:rPr>
        <w:footnoteRef/>
      </w:r>
      <w:r>
        <w:t xml:space="preserve"> </w:t>
      </w:r>
      <w:r w:rsidR="00594FB9" w:rsidRPr="00513F3B">
        <w:rPr>
          <w:lang w:eastAsia="en-GB"/>
        </w:rPr>
        <w:t>MN 10.14.</w:t>
      </w:r>
    </w:p>
  </w:footnote>
  <w:footnote w:id="280">
    <w:p w14:paraId="4E82A592" w14:textId="7A8051D0" w:rsidR="00532B0A" w:rsidRDefault="00532B0A">
      <w:pPr>
        <w:pStyle w:val="FootnoteText"/>
      </w:pPr>
      <w:r>
        <w:rPr>
          <w:rStyle w:val="FootnoteReference"/>
        </w:rPr>
        <w:footnoteRef/>
      </w:r>
      <w:r>
        <w:t xml:space="preserve"> </w:t>
      </w:r>
      <w:r w:rsidR="00594FB9" w:rsidRPr="00513F3B">
        <w:rPr>
          <w:lang w:eastAsia="en-GB"/>
        </w:rPr>
        <w:t>Sn 205.</w:t>
      </w:r>
    </w:p>
  </w:footnote>
  <w:footnote w:id="281">
    <w:p w14:paraId="42C24DF2" w14:textId="4660C638" w:rsidR="00532B0A" w:rsidRDefault="00532B0A">
      <w:pPr>
        <w:pStyle w:val="FootnoteText"/>
      </w:pPr>
      <w:r>
        <w:rPr>
          <w:rStyle w:val="FootnoteReference"/>
        </w:rPr>
        <w:footnoteRef/>
      </w:r>
      <w:r>
        <w:t xml:space="preserve"> </w:t>
      </w:r>
      <w:r w:rsidR="00594FB9" w:rsidRPr="00513F3B">
        <w:rPr>
          <w:lang w:eastAsia="en-GB"/>
        </w:rPr>
        <w:t>SN 47.39/SA 610.</w:t>
      </w:r>
    </w:p>
  </w:footnote>
  <w:footnote w:id="282">
    <w:p w14:paraId="75A7EB99" w14:textId="1611F191" w:rsidR="00532B0A" w:rsidRDefault="00532B0A">
      <w:pPr>
        <w:pStyle w:val="FootnoteText"/>
      </w:pPr>
      <w:r>
        <w:rPr>
          <w:rStyle w:val="FootnoteReference"/>
        </w:rPr>
        <w:footnoteRef/>
      </w:r>
      <w:r>
        <w:t xml:space="preserve"> </w:t>
      </w:r>
      <w:r w:rsidR="00594FB9" w:rsidRPr="00513F3B">
        <w:rPr>
          <w:lang w:eastAsia="en-GB"/>
        </w:rPr>
        <w:t>MN 127.16.</w:t>
      </w:r>
    </w:p>
  </w:footnote>
  <w:footnote w:id="283">
    <w:p w14:paraId="4079DDF8" w14:textId="311BC461" w:rsidR="00532B0A" w:rsidRDefault="00532B0A">
      <w:pPr>
        <w:pStyle w:val="FootnoteText"/>
      </w:pPr>
      <w:r>
        <w:rPr>
          <w:rStyle w:val="FootnoteReference"/>
        </w:rPr>
        <w:footnoteRef/>
      </w:r>
      <w:r>
        <w:t xml:space="preserve"> </w:t>
      </w:r>
      <w:r w:rsidR="00594FB9" w:rsidRPr="00513F3B">
        <w:rPr>
          <w:lang w:eastAsia="en-GB"/>
        </w:rPr>
        <w:t>MASEFIELD. My thanks to the author for supplying me with a copy of this article.</w:t>
      </w:r>
    </w:p>
  </w:footnote>
  <w:footnote w:id="284">
    <w:p w14:paraId="7E67310A" w14:textId="30D240F2"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513F3B">
        <w:rPr>
          <w:rFonts w:cs="Source Serif Pro"/>
          <w:lang w:eastAsia="en-GB"/>
        </w:rPr>
        <w:t>‘</w:t>
      </w:r>
      <w:r w:rsidR="00594FB9" w:rsidRPr="00513F3B">
        <w:rPr>
          <w:rFonts w:ascii="Times New Roman" w:hAnsi="Times New Roman"/>
          <w:lang w:eastAsia="en-GB"/>
        </w:rPr>
        <w:t> </w:t>
      </w:r>
      <w:r w:rsidR="00594FB9" w:rsidRPr="00513F3B">
        <w:rPr>
          <w:rFonts w:cs="Source Serif Pro"/>
          <w:lang w:eastAsia="en-GB"/>
        </w:rPr>
        <w:t>“</w:t>
      </w:r>
      <w:r w:rsidR="00594FB9" w:rsidRPr="00513F3B">
        <w:rPr>
          <w:i/>
          <w:iCs/>
          <w:lang w:eastAsia="en-GB"/>
        </w:rPr>
        <w:t>Ekāyañvayan”ti ekāyano aya</w:t>
      </w:r>
      <w:r w:rsidR="00594FB9" w:rsidRPr="00513F3B">
        <w:rPr>
          <w:rFonts w:ascii="Cambria" w:hAnsi="Cambria" w:cs="Cambria"/>
          <w:i/>
          <w:iCs/>
          <w:lang w:eastAsia="en-GB"/>
        </w:rPr>
        <w:t>ṁ</w:t>
      </w:r>
      <w:r w:rsidR="00594FB9" w:rsidRPr="00513F3B">
        <w:rPr>
          <w:i/>
          <w:iCs/>
          <w:lang w:eastAsia="en-GB"/>
        </w:rPr>
        <w:t>.</w:t>
      </w:r>
      <w:r w:rsidR="00594FB9" w:rsidRPr="00513F3B">
        <w:rPr>
          <w:lang w:eastAsia="en-GB"/>
        </w:rPr>
        <w:t>’ This is simply a resolution of the compound; but the interesting thing is that the reading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differs from the Majjhima and other versions, which have </w:t>
      </w:r>
      <w:r w:rsidR="00594FB9" w:rsidRPr="00513F3B">
        <w:rPr>
          <w:i/>
          <w:iCs/>
          <w:lang w:eastAsia="en-GB"/>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513F3B">
        <w:rPr>
          <w:i/>
          <w:iCs/>
          <w:lang w:eastAsia="en-GB"/>
        </w:rPr>
        <w:t>ekāyano aya</w:t>
      </w:r>
      <w:r w:rsidR="00594FB9" w:rsidRPr="00513F3B">
        <w:rPr>
          <w:rFonts w:ascii="Cambria" w:hAnsi="Cambria" w:cs="Cambria"/>
          <w:i/>
          <w:iCs/>
          <w:lang w:eastAsia="en-GB"/>
        </w:rPr>
        <w:t>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is preserved in some other editions.</w:t>
      </w:r>
    </w:p>
  </w:footnote>
  <w:footnote w:id="285">
    <w:p w14:paraId="614B8642" w14:textId="2F568E62" w:rsidR="00532B0A" w:rsidRDefault="00532B0A">
      <w:pPr>
        <w:pStyle w:val="FootnoteText"/>
      </w:pPr>
      <w:r>
        <w:rPr>
          <w:rStyle w:val="FootnoteReference"/>
        </w:rPr>
        <w:footnoteRef/>
      </w:r>
      <w:r>
        <w:t xml:space="preserve"> </w:t>
      </w:r>
      <w:r w:rsidR="00594FB9" w:rsidRPr="00513F3B">
        <w:rPr>
          <w:lang w:eastAsia="en-GB"/>
        </w:rPr>
        <w:t>E.g. MLDB, pg.</w:t>
      </w:r>
      <w:r w:rsidR="00594FB9" w:rsidRPr="00513F3B">
        <w:rPr>
          <w:rFonts w:ascii="Times New Roman" w:hAnsi="Times New Roman"/>
          <w:lang w:eastAsia="en-GB"/>
        </w:rPr>
        <w:t> </w:t>
      </w:r>
      <w:r w:rsidR="00594FB9" w:rsidRPr="00513F3B">
        <w:rPr>
          <w:lang w:eastAsia="en-GB"/>
        </w:rPr>
        <w:t>1188, note 135; GETHIN (2001), pg.</w:t>
      </w:r>
      <w:r w:rsidR="00594FB9" w:rsidRPr="00513F3B">
        <w:rPr>
          <w:rFonts w:ascii="Times New Roman" w:hAnsi="Times New Roman"/>
          <w:lang w:eastAsia="en-GB"/>
        </w:rPr>
        <w:t> </w:t>
      </w:r>
      <w:r w:rsidR="00594FB9" w:rsidRPr="00513F3B">
        <w:rPr>
          <w:lang w:eastAsia="en-GB"/>
        </w:rPr>
        <w:t>60.</w:t>
      </w:r>
    </w:p>
  </w:footnote>
  <w:footnote w:id="286">
    <w:p w14:paraId="083EEF1D" w14:textId="4A143BDA" w:rsidR="00532B0A" w:rsidRDefault="00532B0A">
      <w:pPr>
        <w:pStyle w:val="FootnoteText"/>
      </w:pPr>
      <w:r>
        <w:rPr>
          <w:rStyle w:val="FootnoteReference"/>
        </w:rPr>
        <w:footnoteRef/>
      </w:r>
      <w:r>
        <w:t xml:space="preserve"> </w:t>
      </w:r>
      <w:r w:rsidR="00594FB9" w:rsidRPr="00513F3B">
        <w:rPr>
          <w:lang w:eastAsia="en-GB"/>
        </w:rPr>
        <w:t>GETHIN (2001), pp. 59–66.</w:t>
      </w:r>
    </w:p>
  </w:footnote>
  <w:footnote w:id="287">
    <w:p w14:paraId="7B6D63DA" w14:textId="6E96EABF" w:rsidR="00532B0A" w:rsidRDefault="00532B0A">
      <w:pPr>
        <w:pStyle w:val="FootnoteText"/>
      </w:pPr>
      <w:r>
        <w:rPr>
          <w:rStyle w:val="FootnoteReference"/>
        </w:rPr>
        <w:footnoteRef/>
      </w:r>
      <w:r>
        <w:t xml:space="preserve"> </w:t>
      </w:r>
      <w:r w:rsidR="00594FB9" w:rsidRPr="00513F3B">
        <w:rPr>
          <w:lang w:eastAsia="en-GB"/>
        </w:rPr>
        <w:t>MN 12.37/T № 757/SA 612*/SA 684*/SA 701*/EA 27.6*/EA 31.8*/EA 46.4*/EA 50.6*/ T</w:t>
      </w:r>
      <w:r w:rsidR="00594FB9" w:rsidRPr="00513F3B">
        <w:rPr>
          <w:rFonts w:ascii="Times New Roman" w:hAnsi="Times New Roman"/>
          <w:lang w:eastAsia="en-GB"/>
        </w:rPr>
        <w:t> </w:t>
      </w:r>
      <w:r w:rsidR="00594FB9" w:rsidRPr="00513F3B">
        <w:rPr>
          <w:rFonts w:cs="Source Serif Pro"/>
          <w:lang w:eastAsia="en-GB"/>
        </w:rPr>
        <w:t>№</w:t>
      </w:r>
      <w:r w:rsidR="00594FB9" w:rsidRPr="00513F3B">
        <w:rPr>
          <w:rFonts w:ascii="Times New Roman" w:hAnsi="Times New Roman"/>
          <w:lang w:eastAsia="en-GB"/>
        </w:rPr>
        <w:t>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26EC74B1" w:rsidR="00532B0A" w:rsidRDefault="00532B0A">
      <w:pPr>
        <w:pStyle w:val="FootnoteText"/>
      </w:pPr>
      <w:r>
        <w:rPr>
          <w:rStyle w:val="FootnoteReference"/>
        </w:rPr>
        <w:footnoteRef/>
      </w:r>
      <w:r>
        <w:t xml:space="preserve"> </w:t>
      </w:r>
      <w:r w:rsidR="00BC41C7" w:rsidRPr="00513F3B">
        <w:rPr>
          <w:lang w:eastAsia="en-GB"/>
        </w:rPr>
        <w:t>SN 47.18/SA 607/SA 1189/SA 102/SA 4.</w:t>
      </w:r>
    </w:p>
  </w:footnote>
  <w:footnote w:id="289">
    <w:p w14:paraId="348EA67C" w14:textId="135EDC8B" w:rsidR="00532B0A" w:rsidRDefault="00532B0A" w:rsidP="00BC41C7">
      <w:pPr>
        <w:pStyle w:val="FootnoteText"/>
        <w:tabs>
          <w:tab w:val="left" w:pos="924"/>
        </w:tabs>
      </w:pPr>
      <w:r>
        <w:rPr>
          <w:rStyle w:val="FootnoteReference"/>
        </w:rPr>
        <w:footnoteRef/>
      </w:r>
      <w:r>
        <w:t xml:space="preserve"> </w:t>
      </w:r>
      <w:r w:rsidR="00BC41C7" w:rsidRPr="00513F3B">
        <w:rPr>
          <w:lang w:eastAsia="en-GB"/>
        </w:rPr>
        <w:t>SA 1189/SA 102/SA 4.</w:t>
      </w:r>
      <w:r w:rsidR="00BC41C7">
        <w:tab/>
      </w:r>
    </w:p>
  </w:footnote>
  <w:footnote w:id="290">
    <w:p w14:paraId="1E673579" w14:textId="32E1A55A" w:rsidR="00532B0A" w:rsidRDefault="00532B0A">
      <w:pPr>
        <w:pStyle w:val="FootnoteText"/>
      </w:pPr>
      <w:r>
        <w:rPr>
          <w:rStyle w:val="FootnoteReference"/>
        </w:rPr>
        <w:footnoteRef/>
      </w:r>
      <w:r>
        <w:t xml:space="preserve"> </w:t>
      </w:r>
      <w:r w:rsidR="00BC41C7" w:rsidRPr="00513F3B">
        <w:rPr>
          <w:lang w:eastAsia="en-GB"/>
        </w:rPr>
        <w:t>SA 1189, SA 102.</w:t>
      </w:r>
    </w:p>
  </w:footnote>
  <w:footnote w:id="291">
    <w:p w14:paraId="6A46D069" w14:textId="6613B9B5" w:rsidR="00532B0A" w:rsidRDefault="00532B0A">
      <w:pPr>
        <w:pStyle w:val="FootnoteText"/>
      </w:pPr>
      <w:r>
        <w:rPr>
          <w:rStyle w:val="FootnoteReference"/>
        </w:rPr>
        <w:footnoteRef/>
      </w:r>
      <w:r>
        <w:t xml:space="preserve"> </w:t>
      </w:r>
      <w:r w:rsidR="005F4535" w:rsidRPr="00513F3B">
        <w:rPr>
          <w:lang w:eastAsia="en-GB"/>
        </w:rPr>
        <w:t>SN 47.18, SN 47.43.</w:t>
      </w:r>
    </w:p>
  </w:footnote>
  <w:footnote w:id="292">
    <w:p w14:paraId="0B9A9A73" w14:textId="11F05988" w:rsidR="00532B0A" w:rsidRDefault="00532B0A">
      <w:pPr>
        <w:pStyle w:val="FootnoteText"/>
      </w:pPr>
      <w:r>
        <w:rPr>
          <w:rStyle w:val="FootnoteReference"/>
        </w:rPr>
        <w:footnoteRef/>
      </w:r>
      <w:r>
        <w:t xml:space="preserve"> </w:t>
      </w:r>
      <w:r w:rsidR="005F4535" w:rsidRPr="00513F3B">
        <w:rPr>
          <w:lang w:eastAsia="en-GB"/>
        </w:rPr>
        <w:t>The Chinese partly overlaps SN 47.8/SA 616.</w:t>
      </w:r>
    </w:p>
  </w:footnote>
  <w:footnote w:id="293">
    <w:p w14:paraId="4CDEF052" w14:textId="7F4BE043" w:rsidR="00532B0A" w:rsidRDefault="00532B0A">
      <w:pPr>
        <w:pStyle w:val="FootnoteText"/>
      </w:pPr>
      <w:r>
        <w:rPr>
          <w:rStyle w:val="FootnoteReference"/>
        </w:rPr>
        <w:footnoteRef/>
      </w:r>
      <w:r>
        <w:t xml:space="preserve"> </w:t>
      </w:r>
      <w:r w:rsidR="005F4535" w:rsidRPr="00513F3B">
        <w:rPr>
          <w:lang w:eastAsia="en-GB"/>
        </w:rPr>
        <w:t>GETHIN (2001), pg.</w:t>
      </w:r>
      <w:r w:rsidR="005F4535" w:rsidRPr="00513F3B">
        <w:rPr>
          <w:rFonts w:ascii="Times New Roman" w:hAnsi="Times New Roman"/>
          <w:lang w:eastAsia="en-GB"/>
        </w:rPr>
        <w:t>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4C56498E" w:rsidR="00532B0A" w:rsidRDefault="00532B0A">
      <w:pPr>
        <w:pStyle w:val="FootnoteText"/>
      </w:pPr>
      <w:r>
        <w:rPr>
          <w:rStyle w:val="FootnoteReference"/>
        </w:rPr>
        <w:footnoteRef/>
      </w:r>
      <w:r>
        <w:t xml:space="preserve"> </w:t>
      </w:r>
      <w:r w:rsidR="005F4535" w:rsidRPr="00513F3B">
        <w:rPr>
          <w:lang w:eastAsia="en-GB"/>
        </w:rPr>
        <w:t>WIJESEKERA, pg.</w:t>
      </w:r>
      <w:r w:rsidR="005F4535" w:rsidRPr="00513F3B">
        <w:rPr>
          <w:rFonts w:ascii="Times New Roman" w:hAnsi="Times New Roman"/>
          <w:lang w:eastAsia="en-GB"/>
        </w:rPr>
        <w:t> </w:t>
      </w:r>
      <w:r w:rsidR="005F4535" w:rsidRPr="00513F3B">
        <w:rPr>
          <w:lang w:eastAsia="en-GB"/>
        </w:rPr>
        <w:t>282.</w:t>
      </w:r>
    </w:p>
  </w:footnote>
  <w:footnote w:id="297">
    <w:p w14:paraId="407ADBCB" w14:textId="31466B93" w:rsidR="00973E96" w:rsidRDefault="00973E96" w:rsidP="005F4535">
      <w:pPr>
        <w:pStyle w:val="FootnoteText"/>
        <w:tabs>
          <w:tab w:val="left" w:pos="816"/>
        </w:tabs>
      </w:pPr>
      <w:r>
        <w:rPr>
          <w:rStyle w:val="FootnoteReference"/>
        </w:rPr>
        <w:footnoteRef/>
      </w:r>
      <w:r>
        <w:t xml:space="preserve"> </w:t>
      </w:r>
      <w:r w:rsidR="005F4535" w:rsidRPr="00513F3B">
        <w:rPr>
          <w:lang w:eastAsia="en-GB"/>
        </w:rPr>
        <w:t>SN 3.1.8, as pointed out by Bhikkhu BODHI.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77C8BA72" w:rsidR="00973E96" w:rsidRDefault="00973E96">
      <w:pPr>
        <w:pStyle w:val="FootnoteText"/>
      </w:pPr>
      <w:r>
        <w:rPr>
          <w:rStyle w:val="FootnoteReference"/>
        </w:rPr>
        <w:footnoteRef/>
      </w:r>
      <w:r>
        <w:t xml:space="preserve"> </w:t>
      </w:r>
      <w:r w:rsidR="005F4535" w:rsidRPr="00513F3B">
        <w:rPr>
          <w:lang w:eastAsia="en-GB"/>
        </w:rPr>
        <w:t>MN 1/MA 106/T № 56.</w:t>
      </w:r>
    </w:p>
  </w:footnote>
  <w:footnote w:id="300">
    <w:p w14:paraId="517E98A8" w14:textId="6DE57692" w:rsidR="00973E96" w:rsidRDefault="00973E96">
      <w:pPr>
        <w:pStyle w:val="FootnoteText"/>
      </w:pPr>
      <w:r>
        <w:rPr>
          <w:rStyle w:val="FootnoteReference"/>
        </w:rPr>
        <w:footnoteRef/>
      </w:r>
      <w:r>
        <w:t xml:space="preserve"> </w:t>
      </w:r>
      <w:r w:rsidR="005F4535" w:rsidRPr="00513F3B">
        <w:rPr>
          <w:lang w:eastAsia="en-GB"/>
        </w:rPr>
        <w:t>DN 23.19/DA 7/MA 71/ T № 45.</w:t>
      </w:r>
    </w:p>
  </w:footnote>
  <w:footnote w:id="301">
    <w:p w14:paraId="234088FB" w14:textId="6EEB2F2B" w:rsidR="00973E96" w:rsidRDefault="00973E96">
      <w:pPr>
        <w:pStyle w:val="FootnoteText"/>
      </w:pPr>
      <w:r>
        <w:rPr>
          <w:rStyle w:val="FootnoteReference"/>
        </w:rPr>
        <w:footnoteRef/>
      </w:r>
      <w:r>
        <w:t xml:space="preserve"> </w:t>
      </w:r>
      <w:r w:rsidR="005F4535" w:rsidRPr="00513F3B">
        <w:rPr>
          <w:lang w:eastAsia="en-GB"/>
        </w:rPr>
        <w:t>SN 35.246/SA 1169.</w:t>
      </w:r>
    </w:p>
  </w:footnote>
  <w:footnote w:id="302">
    <w:p w14:paraId="2B97C2EC" w14:textId="401C7DB5" w:rsidR="00973E96" w:rsidRDefault="00973E96">
      <w:pPr>
        <w:pStyle w:val="FootnoteText"/>
      </w:pPr>
      <w:r>
        <w:rPr>
          <w:rStyle w:val="FootnoteReference"/>
        </w:rPr>
        <w:footnoteRef/>
      </w:r>
      <w:r>
        <w:t xml:space="preserve"> </w:t>
      </w:r>
      <w:r w:rsidR="005F4535" w:rsidRPr="00513F3B">
        <w:rPr>
          <w:lang w:eastAsia="en-GB"/>
        </w:rPr>
        <w:t>AN 8.157.</w:t>
      </w:r>
    </w:p>
  </w:footnote>
  <w:footnote w:id="303">
    <w:p w14:paraId="5E9FD001" w14:textId="52BF2BC7" w:rsidR="00973E96" w:rsidRDefault="00973E96">
      <w:pPr>
        <w:pStyle w:val="FootnoteText"/>
      </w:pPr>
      <w:r>
        <w:rPr>
          <w:rStyle w:val="FootnoteReference"/>
        </w:rPr>
        <w:footnoteRef/>
      </w:r>
      <w:r>
        <w:t xml:space="preserve"> </w:t>
      </w:r>
      <w:r w:rsidR="005F4535" w:rsidRPr="00513F3B">
        <w:rPr>
          <w:lang w:eastAsia="en-GB"/>
        </w:rPr>
        <w:t>MN 72.17/SA 962/SA 196.</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4195D7F2" w:rsidR="00973E96" w:rsidRDefault="00973E96">
      <w:pPr>
        <w:pStyle w:val="FootnoteText"/>
      </w:pPr>
      <w:r>
        <w:rPr>
          <w:rStyle w:val="FootnoteReference"/>
        </w:rPr>
        <w:footnoteRef/>
      </w:r>
      <w:r>
        <w:t xml:space="preserve"> </w:t>
      </w:r>
      <w:r w:rsidR="005F4535" w:rsidRPr="00513F3B">
        <w:rPr>
          <w:lang w:eastAsia="en-GB"/>
        </w:rPr>
        <w:t>See GETHIN (2001), pg.</w:t>
      </w:r>
      <w:r w:rsidR="005F4535" w:rsidRPr="00513F3B">
        <w:rPr>
          <w:rFonts w:ascii="Times New Roman" w:hAnsi="Times New Roman"/>
          <w:lang w:eastAsia="en-GB"/>
        </w:rPr>
        <w:t>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021B3579" w:rsidR="00973E96" w:rsidRDefault="00973E96">
      <w:pPr>
        <w:pStyle w:val="FootnoteText"/>
      </w:pPr>
      <w:r>
        <w:rPr>
          <w:rStyle w:val="FootnoteReference"/>
        </w:rPr>
        <w:footnoteRef/>
      </w:r>
      <w:r>
        <w:t xml:space="preserve"> </w:t>
      </w:r>
      <w:r w:rsidR="009620CC" w:rsidRPr="00513F3B">
        <w:rPr>
          <w:lang w:eastAsia="en-GB"/>
        </w:rPr>
        <w:t>AN 3.75/EA 21.4, AN 4.35, AN 4.194/SA 565, AN 6.26/SA 550, AN 6.30/T № 1536.16, AN</w:t>
      </w:r>
      <w:r w:rsidR="009620CC" w:rsidRPr="00513F3B">
        <w:rPr>
          <w:rFonts w:ascii="Times New Roman" w:hAnsi="Times New Roman"/>
          <w:lang w:eastAsia="en-GB"/>
        </w:rPr>
        <w:t> </w:t>
      </w:r>
      <w:r w:rsidR="009620CC" w:rsidRPr="00513F3B">
        <w:rPr>
          <w:lang w:eastAsia="en-GB"/>
        </w:rPr>
        <w:t>9.37/SA</w:t>
      </w:r>
      <w:r w:rsidR="009620CC" w:rsidRPr="00513F3B">
        <w:rPr>
          <w:rFonts w:ascii="Times New Roman" w:hAnsi="Times New Roman"/>
          <w:lang w:eastAsia="en-GB"/>
        </w:rPr>
        <w:t> </w:t>
      </w:r>
      <w:r w:rsidR="009620CC" w:rsidRPr="00513F3B">
        <w:rPr>
          <w:lang w:eastAsia="en-GB"/>
        </w:rPr>
        <w:t>557.</w:t>
      </w:r>
    </w:p>
  </w:footnote>
  <w:footnote w:id="309">
    <w:p w14:paraId="0E268293" w14:textId="60769F01" w:rsidR="000B55EC" w:rsidRDefault="000B55EC">
      <w:pPr>
        <w:pStyle w:val="FootnoteText"/>
      </w:pPr>
      <w:r>
        <w:rPr>
          <w:rStyle w:val="FootnoteReference"/>
        </w:rPr>
        <w:footnoteRef/>
      </w:r>
      <w:r>
        <w:t xml:space="preserve"> </w:t>
      </w:r>
      <w:r w:rsidR="009620CC" w:rsidRPr="00513F3B">
        <w:rPr>
          <w:lang w:eastAsia="en-GB"/>
        </w:rPr>
        <w:t>MN 76.43/SA 973*/SA 207*.</w:t>
      </w:r>
    </w:p>
  </w:footnote>
  <w:footnote w:id="310">
    <w:p w14:paraId="72D5AD35" w14:textId="3FD8D1C3" w:rsidR="000B55EC" w:rsidRDefault="000B55EC">
      <w:pPr>
        <w:pStyle w:val="FootnoteText"/>
      </w:pPr>
      <w:r>
        <w:rPr>
          <w:rStyle w:val="FootnoteReference"/>
        </w:rPr>
        <w:footnoteRef/>
      </w:r>
      <w:r>
        <w:t xml:space="preserve"> </w:t>
      </w:r>
      <w:r w:rsidR="009620CC" w:rsidRPr="00513F3B">
        <w:rPr>
          <w:lang w:eastAsia="en-GB"/>
        </w:rPr>
        <w:t>DN 18.28/DA 4/T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577D70AA" w:rsidR="000B55EC" w:rsidRDefault="000B55EC">
      <w:pPr>
        <w:pStyle w:val="FootnoteText"/>
      </w:pPr>
      <w:r>
        <w:rPr>
          <w:rStyle w:val="FootnoteReference"/>
        </w:rPr>
        <w:footnoteRef/>
      </w:r>
      <w:r>
        <w:t xml:space="preserve"> </w:t>
      </w:r>
      <w:r w:rsidR="009620CC" w:rsidRPr="00513F3B">
        <w:rPr>
          <w:lang w:eastAsia="en-GB"/>
        </w:rPr>
        <w:t>AN 6.117</w:t>
      </w:r>
      <w:r w:rsidR="009620CC" w:rsidRPr="00513F3B">
        <w:rPr>
          <w:i/>
          <w:iCs/>
          <w:lang w:eastAsia="en-GB"/>
        </w:rPr>
        <w:t>ff</w:t>
      </w:r>
      <w:r w:rsidR="009620CC" w:rsidRPr="00513F3B">
        <w:rPr>
          <w:lang w:eastAsia="en-GB"/>
        </w:rPr>
        <w:t>.</w:t>
      </w:r>
    </w:p>
  </w:footnote>
  <w:footnote w:id="313">
    <w:p w14:paraId="25B5528B" w14:textId="4BF5D277" w:rsidR="000B55EC" w:rsidRDefault="000B55EC">
      <w:pPr>
        <w:pStyle w:val="FootnoteText"/>
      </w:pPr>
      <w:r>
        <w:rPr>
          <w:rStyle w:val="FootnoteReference"/>
        </w:rPr>
        <w:footnoteRef/>
      </w:r>
      <w:r>
        <w:t xml:space="preserve"> </w:t>
      </w:r>
      <w:r w:rsidR="009620CC" w:rsidRPr="00513F3B">
        <w:rPr>
          <w:lang w:eastAsia="en-GB"/>
        </w:rPr>
        <w:t>AN 8.63.</w:t>
      </w:r>
    </w:p>
  </w:footnote>
  <w:footnote w:id="314">
    <w:p w14:paraId="09FA5152" w14:textId="3CE0CCD5" w:rsidR="000B55EC" w:rsidRDefault="000B55EC">
      <w:pPr>
        <w:pStyle w:val="FootnoteText"/>
      </w:pPr>
      <w:r>
        <w:rPr>
          <w:rStyle w:val="FootnoteReference"/>
        </w:rPr>
        <w:footnoteRef/>
      </w:r>
      <w:r>
        <w:t xml:space="preserve"> </w:t>
      </w:r>
      <w:r w:rsidR="009620CC" w:rsidRPr="00513F3B">
        <w:rPr>
          <w:lang w:eastAsia="en-GB"/>
        </w:rPr>
        <w:t>AN 6.29.</w:t>
      </w:r>
    </w:p>
  </w:footnote>
  <w:footnote w:id="315">
    <w:p w14:paraId="12889360" w14:textId="5AD77295" w:rsidR="000B55EC" w:rsidRDefault="000B55EC">
      <w:pPr>
        <w:pStyle w:val="FootnoteText"/>
      </w:pPr>
      <w:r>
        <w:rPr>
          <w:rStyle w:val="FootnoteReference"/>
        </w:rPr>
        <w:footnoteRef/>
      </w:r>
      <w:r>
        <w:t xml:space="preserve"> </w:t>
      </w:r>
      <w:r w:rsidR="009620CC" w:rsidRPr="00513F3B">
        <w:rPr>
          <w:lang w:eastAsia="en-GB"/>
        </w:rPr>
        <w:t>Cp. MN 32/MA 184, MN 123/MA 78.</w:t>
      </w:r>
    </w:p>
  </w:footnote>
  <w:footnote w:id="316">
    <w:p w14:paraId="3C6C605E" w14:textId="2371B5CF" w:rsidR="000B55EC" w:rsidRDefault="000B55EC">
      <w:pPr>
        <w:pStyle w:val="FootnoteText"/>
      </w:pPr>
      <w:r>
        <w:rPr>
          <w:rStyle w:val="FootnoteReference"/>
        </w:rPr>
        <w:footnoteRef/>
      </w:r>
      <w:r>
        <w:t xml:space="preserve"> </w:t>
      </w:r>
      <w:r w:rsidR="009620CC" w:rsidRPr="00513F3B">
        <w:rPr>
          <w:lang w:eastAsia="en-GB"/>
        </w:rPr>
        <w:t>AN 5.122.</w:t>
      </w:r>
    </w:p>
  </w:footnote>
  <w:footnote w:id="317">
    <w:p w14:paraId="49C1A018" w14:textId="12557BDB" w:rsidR="000B55EC" w:rsidRDefault="000B55EC">
      <w:pPr>
        <w:pStyle w:val="FootnoteText"/>
      </w:pPr>
      <w:r>
        <w:rPr>
          <w:rStyle w:val="FootnoteReference"/>
        </w:rPr>
        <w:footnoteRef/>
      </w:r>
      <w:r>
        <w:t xml:space="preserve"> </w:t>
      </w:r>
      <w:r w:rsidR="00807E88" w:rsidRPr="00513F3B">
        <w:rPr>
          <w:lang w:eastAsia="en-GB"/>
        </w:rPr>
        <w:t>SN 47.18/SA 607/SA 1189/SA 102/SA 4; SN 47.43.</w:t>
      </w:r>
    </w:p>
  </w:footnote>
  <w:footnote w:id="318">
    <w:p w14:paraId="3BD2D478" w14:textId="1E9FCC96" w:rsidR="000B55EC" w:rsidRDefault="000B55EC">
      <w:pPr>
        <w:pStyle w:val="FootnoteText"/>
      </w:pPr>
      <w:r>
        <w:rPr>
          <w:rStyle w:val="FootnoteReference"/>
        </w:rPr>
        <w:footnoteRef/>
      </w:r>
      <w:r>
        <w:t xml:space="preserve"> </w:t>
      </w:r>
      <w:r w:rsidR="00807E88" w:rsidRPr="00513F3B">
        <w:rPr>
          <w:lang w:eastAsia="en-GB"/>
        </w:rPr>
        <w:t>SN 47.31.</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414C49DB" w:rsidR="000B55EC" w:rsidRDefault="000B55EC">
      <w:pPr>
        <w:pStyle w:val="FootnoteText"/>
      </w:pPr>
      <w:r>
        <w:rPr>
          <w:rStyle w:val="FootnoteReference"/>
        </w:rPr>
        <w:footnoteRef/>
      </w:r>
      <w:r>
        <w:t xml:space="preserve"> </w:t>
      </w:r>
      <w:r w:rsidR="00807E88" w:rsidRPr="00513F3B">
        <w:rPr>
          <w:lang w:eastAsia="en-GB"/>
        </w:rPr>
        <w:t>SN 47.12.</w:t>
      </w:r>
    </w:p>
  </w:footnote>
  <w:footnote w:id="321">
    <w:p w14:paraId="39BBFE1F" w14:textId="3A04622E" w:rsidR="000B55EC" w:rsidRDefault="000B55EC">
      <w:pPr>
        <w:pStyle w:val="FootnoteText"/>
      </w:pPr>
      <w:r>
        <w:rPr>
          <w:rStyle w:val="FootnoteReference"/>
        </w:rPr>
        <w:footnoteRef/>
      </w:r>
      <w:r>
        <w:t xml:space="preserve"> </w:t>
      </w:r>
      <w:r w:rsidR="00B60931" w:rsidRPr="00513F3B">
        <w:rPr>
          <w:lang w:eastAsia="en-GB"/>
        </w:rPr>
        <w:t>DN 16.1.16–17.</w:t>
      </w:r>
    </w:p>
  </w:footnote>
  <w:footnote w:id="322">
    <w:p w14:paraId="42DD6047" w14:textId="2CAA7350" w:rsidR="000B55EC" w:rsidRDefault="000B55EC">
      <w:pPr>
        <w:pStyle w:val="FootnoteText"/>
      </w:pPr>
      <w:r>
        <w:rPr>
          <w:rStyle w:val="FootnoteReference"/>
        </w:rPr>
        <w:footnoteRef/>
      </w:r>
      <w:r>
        <w:t xml:space="preserve"> </w:t>
      </w:r>
      <w:r w:rsidR="00B60931" w:rsidRPr="00513F3B">
        <w:rPr>
          <w:lang w:eastAsia="en-GB"/>
        </w:rPr>
        <w:t>DN 28/DA 18/T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D200C5E" w:rsidR="000B55EC" w:rsidRDefault="000B55EC">
      <w:pPr>
        <w:pStyle w:val="FootnoteText"/>
      </w:pPr>
      <w:r>
        <w:rPr>
          <w:rStyle w:val="FootnoteReference"/>
        </w:rPr>
        <w:footnoteRef/>
      </w:r>
      <w:r>
        <w:t xml:space="preserve"> </w:t>
      </w:r>
      <w:r w:rsidR="00834F3B" w:rsidRPr="00513F3B">
        <w:rPr>
          <w:lang w:eastAsia="en-GB"/>
        </w:rPr>
        <w:t>SN 47.21*/SA 628; SN 47.22; SN 47.23.</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yutta, and was therefore not in our concordance. The previous, almost identical, text in SN 47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549DE88F" w:rsidR="000B55EC" w:rsidRDefault="000B55EC">
      <w:pPr>
        <w:pStyle w:val="FootnoteText"/>
      </w:pPr>
      <w:r>
        <w:rPr>
          <w:rStyle w:val="FootnoteReference"/>
        </w:rPr>
        <w:footnoteRef/>
      </w:r>
      <w:r>
        <w:t xml:space="preserve"> </w:t>
      </w:r>
      <w:r w:rsidR="00834F3B" w:rsidRPr="00513F3B">
        <w:rPr>
          <w:lang w:eastAsia="en-GB"/>
        </w:rPr>
        <w:t>SN 47.2/SA 610.</w:t>
      </w:r>
    </w:p>
  </w:footnote>
  <w:footnote w:id="327">
    <w:p w14:paraId="551B2BFF" w14:textId="31A18FA2" w:rsidR="000B55EC" w:rsidRDefault="000B55EC">
      <w:pPr>
        <w:pStyle w:val="FootnoteText"/>
      </w:pPr>
      <w:r>
        <w:rPr>
          <w:rStyle w:val="FootnoteReference"/>
        </w:rPr>
        <w:footnoteRef/>
      </w:r>
      <w:r>
        <w:t xml:space="preserve"> </w:t>
      </w:r>
      <w:r w:rsidR="00834F3B" w:rsidRPr="00513F3B">
        <w:rPr>
          <w:lang w:eastAsia="en-GB"/>
        </w:rPr>
        <w:t>AN 4.41/T № 1536.7.</w:t>
      </w:r>
    </w:p>
  </w:footnote>
  <w:footnote w:id="328">
    <w:p w14:paraId="3E4E4747" w14:textId="6C6E3858" w:rsidR="000B55EC" w:rsidRDefault="000B55EC">
      <w:pPr>
        <w:pStyle w:val="FootnoteText"/>
      </w:pPr>
      <w:r>
        <w:rPr>
          <w:rStyle w:val="FootnoteReference"/>
        </w:rPr>
        <w:footnoteRef/>
      </w:r>
      <w:r>
        <w:t xml:space="preserve"> </w:t>
      </w:r>
      <w:r w:rsidR="00834F3B" w:rsidRPr="00513F3B">
        <w:rPr>
          <w:lang w:eastAsia="en-GB"/>
        </w:rPr>
        <w:t>SN 12.33/SA 356, SN 12.34/SA 357.</w:t>
      </w:r>
    </w:p>
  </w:footnote>
  <w:footnote w:id="329">
    <w:p w14:paraId="14B075FE" w14:textId="516A6049" w:rsidR="000B55EC" w:rsidRDefault="000B55EC">
      <w:pPr>
        <w:pStyle w:val="FootnoteText"/>
      </w:pPr>
      <w:r>
        <w:rPr>
          <w:rStyle w:val="FootnoteReference"/>
        </w:rPr>
        <w:footnoteRef/>
      </w:r>
      <w:r>
        <w:t xml:space="preserve"> </w:t>
      </w:r>
      <w:r w:rsidR="00834F3B" w:rsidRPr="00A73B7C">
        <w:rPr>
          <w:rStyle w:val="FootnoteTextChar"/>
        </w:rPr>
        <w:t>SN 51.19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72BD2B09" w:rsidR="000B55EC" w:rsidRDefault="000B55EC">
      <w:pPr>
        <w:pStyle w:val="FootnoteText"/>
      </w:pPr>
      <w:r>
        <w:rPr>
          <w:rStyle w:val="FootnoteReference"/>
        </w:rPr>
        <w:footnoteRef/>
      </w:r>
      <w:r>
        <w:t xml:space="preserve"> </w:t>
      </w:r>
      <w:r w:rsidR="00834F3B" w:rsidRPr="00513F3B">
        <w:rPr>
          <w:lang w:eastAsia="en-GB"/>
        </w:rPr>
        <w:t>SN 51.20.</w:t>
      </w:r>
    </w:p>
  </w:footnote>
  <w:footnote w:id="331">
    <w:p w14:paraId="6BC1A39F" w14:textId="5C86ADF2" w:rsidR="000B55EC" w:rsidRDefault="000B55EC">
      <w:pPr>
        <w:pStyle w:val="FootnoteText"/>
      </w:pPr>
      <w:r>
        <w:rPr>
          <w:rStyle w:val="FootnoteReference"/>
        </w:rPr>
        <w:footnoteRef/>
      </w:r>
      <w:r>
        <w:t xml:space="preserve"> </w:t>
      </w:r>
      <w:r w:rsidR="00834F3B" w:rsidRPr="00513F3B">
        <w:rPr>
          <w:lang w:eastAsia="en-GB"/>
        </w:rPr>
        <w:t>MA 98; cp. SN 51.20.</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00A733E8" w:rsidR="00302E1E" w:rsidRDefault="00302E1E">
      <w:pPr>
        <w:pStyle w:val="FootnoteText"/>
      </w:pPr>
      <w:r>
        <w:rPr>
          <w:rStyle w:val="FootnoteReference"/>
        </w:rPr>
        <w:footnoteRef/>
      </w:r>
      <w:r>
        <w:t xml:space="preserve"> </w:t>
      </w:r>
      <w:r w:rsidR="00623719" w:rsidRPr="00513F3B">
        <w:rPr>
          <w:lang w:eastAsia="en-GB"/>
        </w:rPr>
        <w:t>SN 47.34/SA 634.</w:t>
      </w:r>
    </w:p>
  </w:footnote>
  <w:footnote w:id="334">
    <w:p w14:paraId="7C4FD4B9" w14:textId="3CC499E4" w:rsidR="00302E1E" w:rsidRDefault="00302E1E">
      <w:pPr>
        <w:pStyle w:val="FootnoteText"/>
      </w:pPr>
      <w:r>
        <w:rPr>
          <w:rStyle w:val="FootnoteReference"/>
        </w:rPr>
        <w:footnoteRef/>
      </w:r>
      <w:r>
        <w:t xml:space="preserve"> </w:t>
      </w:r>
      <w:r w:rsidR="00623719" w:rsidRPr="00513F3B">
        <w:rPr>
          <w:lang w:eastAsia="en-GB"/>
        </w:rPr>
        <w:t>SN 47.39/SA 610.</w:t>
      </w:r>
    </w:p>
  </w:footnote>
  <w:footnote w:id="335">
    <w:p w14:paraId="21A115CF" w14:textId="1308E5A5" w:rsidR="00302E1E" w:rsidRDefault="00302E1E">
      <w:pPr>
        <w:pStyle w:val="FootnoteText"/>
      </w:pPr>
      <w:r>
        <w:rPr>
          <w:rStyle w:val="FootnoteReference"/>
        </w:rPr>
        <w:footnoteRef/>
      </w:r>
      <w:r>
        <w:t xml:space="preserve"> </w:t>
      </w:r>
      <w:r w:rsidR="00623719" w:rsidRPr="00513F3B">
        <w:rPr>
          <w:lang w:eastAsia="en-GB"/>
        </w:rPr>
        <w:t>BOIN-WEBB, pg.</w:t>
      </w:r>
      <w:r w:rsidR="00623719" w:rsidRPr="00513F3B">
        <w:rPr>
          <w:rFonts w:ascii="Times New Roman" w:hAnsi="Times New Roman"/>
          <w:lang w:eastAsia="en-GB"/>
        </w:rPr>
        <w:t> </w:t>
      </w:r>
      <w:r w:rsidR="00623719" w:rsidRPr="00513F3B">
        <w:rPr>
          <w:lang w:eastAsia="en-GB"/>
        </w:rPr>
        <w:t>160.</w:t>
      </w:r>
    </w:p>
  </w:footnote>
  <w:footnote w:id="336">
    <w:p w14:paraId="7380CF18" w14:textId="36CFF91A" w:rsidR="00302E1E" w:rsidRDefault="00302E1E">
      <w:pPr>
        <w:pStyle w:val="FootnoteText"/>
      </w:pPr>
      <w:r>
        <w:rPr>
          <w:rStyle w:val="FootnoteReference"/>
        </w:rPr>
        <w:footnoteRef/>
      </w:r>
      <w:r>
        <w:t xml:space="preserve"> </w:t>
      </w:r>
      <w:r w:rsidR="00623719" w:rsidRPr="00513F3B">
        <w:rPr>
          <w:lang w:eastAsia="en-GB"/>
        </w:rPr>
        <w:t>CDB mistakenly has the singular ‘feeling’.</w:t>
      </w:r>
    </w:p>
  </w:footnote>
  <w:footnote w:id="337">
    <w:p w14:paraId="63FD44E3" w14:textId="2F080283" w:rsidR="00302E1E" w:rsidRDefault="00302E1E">
      <w:pPr>
        <w:pStyle w:val="FootnoteText"/>
      </w:pPr>
      <w:r>
        <w:rPr>
          <w:rStyle w:val="FootnoteReference"/>
        </w:rPr>
        <w:footnoteRef/>
      </w:r>
      <w:r>
        <w:t xml:space="preserve"> </w:t>
      </w:r>
      <w:r w:rsidR="00623719" w:rsidRPr="00513F3B">
        <w:rPr>
          <w:lang w:eastAsia="en-GB"/>
        </w:rPr>
        <w:t>SN 126–128/SA 256.</w:t>
      </w:r>
    </w:p>
  </w:footnote>
  <w:footnote w:id="338">
    <w:p w14:paraId="3DA49B75" w14:textId="02BD98E3" w:rsidR="00302E1E" w:rsidRDefault="00302E1E">
      <w:pPr>
        <w:pStyle w:val="FootnoteText"/>
      </w:pPr>
      <w:r>
        <w:rPr>
          <w:rStyle w:val="FootnoteReference"/>
        </w:rPr>
        <w:footnoteRef/>
      </w:r>
      <w:r>
        <w:t xml:space="preserve"> </w:t>
      </w:r>
      <w:r w:rsidR="00623719" w:rsidRPr="00513F3B">
        <w:rPr>
          <w:lang w:eastAsia="en-GB"/>
        </w:rPr>
        <w:t>SN 22.57/SA 42/EA 41.3. Also in the partial ‘Other translation’ of SA, and forms the basis of a long independent Seven Cases Sutta in the Chinese, which appears to be a Saṅgīti Sutta style compilation.</w:t>
      </w:r>
    </w:p>
  </w:footnote>
  <w:footnote w:id="339">
    <w:p w14:paraId="6CCF8363" w14:textId="5D7BC3CC" w:rsidR="00302E1E" w:rsidRDefault="00302E1E">
      <w:pPr>
        <w:pStyle w:val="FootnoteText"/>
      </w:pPr>
      <w:r>
        <w:rPr>
          <w:rStyle w:val="FootnoteReference"/>
        </w:rPr>
        <w:footnoteRef/>
      </w:r>
      <w:r>
        <w:t xml:space="preserve"> </w:t>
      </w:r>
      <w:r w:rsidR="00623719" w:rsidRPr="00513F3B">
        <w:rPr>
          <w:lang w:eastAsia="en-GB"/>
        </w:rPr>
        <w:t>SN 12.1/SA 298/T № 124/Skt etc. The Chinese sometimes has ‘the four immaterial aggregates’, which is almost certainly a later corruption; however, this does not affect the current argument.</w:t>
      </w:r>
    </w:p>
  </w:footnote>
  <w:footnote w:id="340">
    <w:p w14:paraId="5AC78CB9" w14:textId="3651EE65" w:rsidR="00302E1E" w:rsidRDefault="00302E1E">
      <w:pPr>
        <w:pStyle w:val="FootnoteText"/>
      </w:pPr>
      <w:r>
        <w:rPr>
          <w:rStyle w:val="FootnoteReference"/>
        </w:rPr>
        <w:footnoteRef/>
      </w:r>
      <w:r>
        <w:t xml:space="preserve"> </w:t>
      </w:r>
      <w:r w:rsidR="00623719" w:rsidRPr="00513F3B">
        <w:rPr>
          <w:lang w:eastAsia="en-GB"/>
        </w:rPr>
        <w:t>DN 15.20/DA 13/T № 14/MA 97/T № 52/Skt.</w:t>
      </w:r>
    </w:p>
  </w:footnote>
  <w:footnote w:id="341">
    <w:p w14:paraId="6DF45981" w14:textId="24C77685"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513F3B">
        <w:rPr>
          <w:i/>
          <w:iCs/>
          <w:lang w:eastAsia="en-GB"/>
        </w:rPr>
        <w:t>citta</w:t>
      </w:r>
      <w:r w:rsidR="00623719" w:rsidRPr="00513F3B">
        <w:rPr>
          <w:lang w:eastAsia="en-GB"/>
        </w:rPr>
        <w:t> and </w:t>
      </w:r>
      <w:r w:rsidR="00623719" w:rsidRPr="00513F3B">
        <w:rPr>
          <w:i/>
          <w:iCs/>
          <w:lang w:eastAsia="en-GB"/>
        </w:rPr>
        <w:t>viññāṇa</w:t>
      </w:r>
      <w:r w:rsidR="00623719" w:rsidRPr="00513F3B">
        <w:rPr>
          <w:lang w:eastAsia="en-GB"/>
        </w:rPr>
        <w:t> occurs in other contexts where samatha and vipassanā overlap, e.g. MN 138/MA 164 Uddesavibhaṅga.</w:t>
      </w:r>
    </w:p>
  </w:footnote>
  <w:footnote w:id="342">
    <w:p w14:paraId="2D495306" w14:textId="19EC1405" w:rsidR="00302E1E" w:rsidRDefault="00302E1E">
      <w:pPr>
        <w:pStyle w:val="FootnoteText"/>
      </w:pPr>
      <w:r>
        <w:rPr>
          <w:rStyle w:val="FootnoteReference"/>
        </w:rPr>
        <w:footnoteRef/>
      </w:r>
      <w:r>
        <w:t xml:space="preserve"> </w:t>
      </w:r>
      <w:r w:rsidR="00623719" w:rsidRPr="00513F3B">
        <w:rPr>
          <w:lang w:eastAsia="en-GB"/>
        </w:rPr>
        <w:t>SN 52.1.</w:t>
      </w:r>
    </w:p>
  </w:footnote>
  <w:footnote w:id="343">
    <w:p w14:paraId="5E8BE5D9" w14:textId="53C8D45F" w:rsidR="00302E1E" w:rsidRDefault="00302E1E">
      <w:pPr>
        <w:pStyle w:val="FootnoteText"/>
      </w:pPr>
      <w:r>
        <w:rPr>
          <w:rStyle w:val="FootnoteReference"/>
        </w:rPr>
        <w:footnoteRef/>
      </w:r>
      <w:r>
        <w:t xml:space="preserve"> </w:t>
      </w:r>
      <w:r w:rsidR="00623719" w:rsidRPr="00513F3B">
        <w:rPr>
          <w:lang w:eastAsia="en-GB"/>
        </w:rPr>
        <w:t>SA 536.</w:t>
      </w:r>
    </w:p>
  </w:footnote>
  <w:footnote w:id="344">
    <w:p w14:paraId="540C3E46" w14:textId="0C38E680" w:rsidR="00302E1E" w:rsidRDefault="00302E1E">
      <w:pPr>
        <w:pStyle w:val="FootnoteText"/>
      </w:pPr>
      <w:r>
        <w:rPr>
          <w:rStyle w:val="FootnoteReference"/>
        </w:rPr>
        <w:footnoteRef/>
      </w:r>
      <w:r>
        <w:t xml:space="preserve"> </w:t>
      </w:r>
      <w:r w:rsidR="00623719" w:rsidRPr="00513F3B">
        <w:rPr>
          <w:lang w:eastAsia="en-GB"/>
        </w:rPr>
        <w:t>SA 535.</w:t>
      </w:r>
    </w:p>
  </w:footnote>
  <w:footnote w:id="345">
    <w:p w14:paraId="38DF50AD" w14:textId="463159F3" w:rsidR="00302E1E" w:rsidRDefault="00302E1E">
      <w:pPr>
        <w:pStyle w:val="FootnoteText"/>
      </w:pPr>
      <w:r>
        <w:rPr>
          <w:rStyle w:val="FootnoteReference"/>
        </w:rPr>
        <w:footnoteRef/>
      </w:r>
      <w:r>
        <w:t xml:space="preserve"> </w:t>
      </w:r>
      <w:r w:rsidR="00623719" w:rsidRPr="00513F3B">
        <w:rPr>
          <w:lang w:eastAsia="en-GB"/>
        </w:rPr>
        <w:t>SN 36.11, 36.15–20.</w:t>
      </w:r>
    </w:p>
  </w:footnote>
  <w:footnote w:id="346">
    <w:p w14:paraId="14B40F25" w14:textId="243D3DD8" w:rsidR="00302E1E" w:rsidRDefault="00302E1E">
      <w:pPr>
        <w:pStyle w:val="FootnoteText"/>
      </w:pPr>
      <w:r>
        <w:rPr>
          <w:rStyle w:val="FootnoteReference"/>
        </w:rPr>
        <w:footnoteRef/>
      </w:r>
      <w:r>
        <w:t xml:space="preserve"> </w:t>
      </w:r>
      <w:r w:rsidR="00623719" w:rsidRPr="00513F3B">
        <w:rPr>
          <w:lang w:eastAsia="en-GB"/>
        </w:rPr>
        <w:t>SN 36.2, 36.7–10, 36.22.</w:t>
      </w:r>
    </w:p>
  </w:footnote>
  <w:footnote w:id="347">
    <w:p w14:paraId="089DB272" w14:textId="145E6235" w:rsidR="00302E1E" w:rsidRDefault="00302E1E">
      <w:pPr>
        <w:pStyle w:val="FootnoteText"/>
      </w:pPr>
      <w:r>
        <w:rPr>
          <w:rStyle w:val="FootnoteReference"/>
        </w:rPr>
        <w:footnoteRef/>
      </w:r>
      <w:r>
        <w:t xml:space="preserve"> </w:t>
      </w:r>
      <w:r w:rsidR="00623719" w:rsidRPr="00513F3B">
        <w:rPr>
          <w:lang w:eastAsia="en-GB"/>
        </w:rPr>
        <w:t>SN 36.7, 36.8.</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52027744" w:rsidR="00302E1E" w:rsidRDefault="00302E1E">
      <w:pPr>
        <w:pStyle w:val="FootnoteText"/>
      </w:pPr>
      <w:r>
        <w:rPr>
          <w:rStyle w:val="FootnoteReference"/>
        </w:rPr>
        <w:footnoteRef/>
      </w:r>
      <w:r>
        <w:t xml:space="preserve"> </w:t>
      </w:r>
      <w:r w:rsidR="00517DF3" w:rsidRPr="00513F3B">
        <w:rPr>
          <w:lang w:eastAsia="en-GB"/>
        </w:rPr>
        <w:t>SN 22.80.</w:t>
      </w:r>
    </w:p>
  </w:footnote>
  <w:footnote w:id="350">
    <w:p w14:paraId="7DC85A83" w14:textId="3C96CE29" w:rsidR="00302E1E" w:rsidRDefault="00302E1E" w:rsidP="00517DF3">
      <w:pPr>
        <w:pStyle w:val="FootnoteText"/>
        <w:tabs>
          <w:tab w:val="left" w:pos="1060"/>
        </w:tabs>
      </w:pPr>
      <w:r>
        <w:rPr>
          <w:rStyle w:val="FootnoteReference"/>
        </w:rPr>
        <w:footnoteRef/>
      </w:r>
      <w:r>
        <w:t xml:space="preserve"> </w:t>
      </w:r>
      <w:r w:rsidR="00517DF3" w:rsidRPr="00513F3B">
        <w:rPr>
          <w:lang w:eastAsia="en-GB"/>
        </w:rPr>
        <w:t>MN 78/MA 179 Samaṇamaṇḍikā.</w:t>
      </w:r>
      <w:r w:rsidR="00517DF3">
        <w:tab/>
      </w:r>
    </w:p>
  </w:footnote>
  <w:footnote w:id="351">
    <w:p w14:paraId="1C73CEA7" w14:textId="692FB313" w:rsidR="00302E1E" w:rsidRDefault="00302E1E">
      <w:pPr>
        <w:pStyle w:val="FootnoteText"/>
      </w:pPr>
      <w:r>
        <w:rPr>
          <w:rStyle w:val="FootnoteReference"/>
        </w:rPr>
        <w:footnoteRef/>
      </w:r>
      <w:r>
        <w:t xml:space="preserve"> </w:t>
      </w:r>
      <w:r w:rsidR="00517DF3" w:rsidRPr="00513F3B">
        <w:rPr>
          <w:lang w:eastAsia="en-GB"/>
        </w:rPr>
        <w:t>SN 35.132, etc.</w:t>
      </w:r>
    </w:p>
  </w:footnote>
  <w:footnote w:id="352">
    <w:p w14:paraId="52FF659F" w14:textId="15D25B78" w:rsidR="00903212" w:rsidRDefault="00903212">
      <w:pPr>
        <w:pStyle w:val="FootnoteText"/>
      </w:pPr>
      <w:r>
        <w:rPr>
          <w:rStyle w:val="FootnoteReference"/>
        </w:rPr>
        <w:footnoteRef/>
      </w:r>
      <w:r>
        <w:t xml:space="preserve"> </w:t>
      </w:r>
      <w:r w:rsidR="00517DF3" w:rsidRPr="00513F3B">
        <w:rPr>
          <w:lang w:eastAsia="en-GB"/>
        </w:rPr>
        <w:t>SN 35.134.</w:t>
      </w:r>
    </w:p>
  </w:footnote>
  <w:footnote w:id="353">
    <w:p w14:paraId="58B926D1" w14:textId="1937C27A" w:rsidR="00541B60" w:rsidRDefault="00541B60">
      <w:pPr>
        <w:pStyle w:val="FootnoteText"/>
      </w:pPr>
      <w:r>
        <w:rPr>
          <w:rStyle w:val="FootnoteReference"/>
        </w:rPr>
        <w:footnoteRef/>
      </w:r>
      <w:r>
        <w:t xml:space="preserve"> </w:t>
      </w:r>
      <w:r w:rsidR="00517DF3" w:rsidRPr="00513F3B">
        <w:rPr>
          <w:lang w:eastAsia="en-GB"/>
        </w:rPr>
        <w:t>MN 118.</w:t>
      </w:r>
    </w:p>
  </w:footnote>
  <w:footnote w:id="354">
    <w:p w14:paraId="52451CD1" w14:textId="4454D0C1" w:rsidR="00541B60" w:rsidRDefault="00541B60">
      <w:pPr>
        <w:pStyle w:val="FootnoteText"/>
      </w:pPr>
      <w:r>
        <w:rPr>
          <w:rStyle w:val="FootnoteReference"/>
        </w:rPr>
        <w:footnoteRef/>
      </w:r>
      <w:r>
        <w:t xml:space="preserve"> </w:t>
      </w:r>
      <w:r w:rsidR="00517DF3" w:rsidRPr="00513F3B">
        <w:rPr>
          <w:lang w:eastAsia="en-GB"/>
        </w:rPr>
        <w:t>Chih-ching, according to MINH CHÂU, pg.</w:t>
      </w:r>
      <w:r w:rsidR="00517DF3" w:rsidRPr="00513F3B">
        <w:rPr>
          <w:rFonts w:ascii="Times New Roman" w:hAnsi="Times New Roman"/>
          <w:lang w:eastAsia="en-GB"/>
        </w:rPr>
        <w:t>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2C236625" w:rsidR="00541B60" w:rsidRPr="00517DF3" w:rsidRDefault="00541B60">
      <w:pPr>
        <w:pStyle w:val="FootnoteText"/>
      </w:pPr>
      <w:r>
        <w:rPr>
          <w:rStyle w:val="FootnoteReference"/>
        </w:rPr>
        <w:footnoteRef/>
      </w:r>
      <w:r>
        <w:t xml:space="preserve"> </w:t>
      </w:r>
      <w:r w:rsidR="00517DF3" w:rsidRPr="00513F3B">
        <w:rPr>
          <w:lang w:eastAsia="en-GB"/>
        </w:rPr>
        <w:t>SN 54.10/SA 813, SN 54.13/SA 810, MN 118.23</w:t>
      </w:r>
      <w:r w:rsidR="00517DF3" w:rsidRPr="00517DF3">
        <w:rPr>
          <w:lang w:eastAsia="en-GB"/>
        </w:rPr>
        <w:t>ff.</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58B7DC72" w:rsidR="00541B60" w:rsidRDefault="00541B60">
      <w:pPr>
        <w:pStyle w:val="FootnoteText"/>
      </w:pPr>
      <w:r>
        <w:rPr>
          <w:rStyle w:val="FootnoteReference"/>
        </w:rPr>
        <w:footnoteRef/>
      </w:r>
      <w:r>
        <w:t xml:space="preserve"> </w:t>
      </w:r>
      <w:r w:rsidR="00517DF3" w:rsidRPr="00A73B7C">
        <w:rPr>
          <w:rStyle w:val="FootnoteTextChar"/>
        </w:rPr>
        <w:t>T № 1548. FRAUWALLNER (1995)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BAE4D01" w:rsidR="00541B60" w:rsidRDefault="00541B60">
      <w:pPr>
        <w:pStyle w:val="FootnoteText"/>
      </w:pPr>
      <w:r>
        <w:rPr>
          <w:rStyle w:val="FootnoteReference"/>
        </w:rPr>
        <w:footnoteRef/>
      </w:r>
      <w:r>
        <w:t xml:space="preserve"> </w:t>
      </w:r>
      <w:r w:rsidR="00517DF3" w:rsidRPr="00513F3B">
        <w:rPr>
          <w:lang w:eastAsia="en-GB"/>
        </w:rPr>
        <w:t>SN 36.31/SA 483.</w:t>
      </w:r>
    </w:p>
  </w:footnote>
  <w:footnote w:id="360">
    <w:p w14:paraId="133825CF" w14:textId="28A561FE" w:rsidR="00541B60" w:rsidRDefault="00541B60">
      <w:pPr>
        <w:pStyle w:val="FootnoteText"/>
      </w:pPr>
      <w:r>
        <w:rPr>
          <w:rStyle w:val="FootnoteReference"/>
        </w:rPr>
        <w:footnoteRef/>
      </w:r>
      <w:r>
        <w:t xml:space="preserve"> </w:t>
      </w:r>
      <w:r w:rsidR="00517DF3" w:rsidRPr="00513F3B">
        <w:rPr>
          <w:lang w:eastAsia="en-GB"/>
        </w:rPr>
        <w:t>AN 6.26/SA 550.</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69E3F37A" w:rsidR="00541B60" w:rsidRDefault="00541B60">
      <w:pPr>
        <w:pStyle w:val="FootnoteText"/>
      </w:pPr>
      <w:r>
        <w:rPr>
          <w:rStyle w:val="FootnoteReference"/>
        </w:rPr>
        <w:footnoteRef/>
      </w:r>
      <w:r>
        <w:t xml:space="preserve"> </w:t>
      </w:r>
      <w:r w:rsidR="00517DF3" w:rsidRPr="00513F3B">
        <w:rPr>
          <w:lang w:eastAsia="en-GB"/>
        </w:rPr>
        <w:t>SN 22.122/SA 259.</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513F3B">
        <w:rPr>
          <w:i/>
          <w:iCs/>
          <w:lang w:eastAsia="en-GB"/>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513F3B">
        <w:rPr>
          <w:i/>
          <w:iCs/>
          <w:lang w:eastAsia="en-GB"/>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139A051E" w:rsidR="00541B60" w:rsidRDefault="00541B60">
      <w:pPr>
        <w:pStyle w:val="FootnoteText"/>
      </w:pPr>
      <w:r>
        <w:rPr>
          <w:rStyle w:val="FootnoteReference"/>
        </w:rPr>
        <w:footnoteRef/>
      </w:r>
      <w:r>
        <w:t xml:space="preserve"> </w:t>
      </w:r>
      <w:r w:rsidR="008A7C0A" w:rsidRPr="00513F3B">
        <w:rPr>
          <w:lang w:eastAsia="en-GB"/>
        </w:rPr>
        <w:t>SN 48.2–7.</w:t>
      </w:r>
    </w:p>
  </w:footnote>
  <w:footnote w:id="366">
    <w:p w14:paraId="097FF06C" w14:textId="00C48BAF" w:rsidR="00541B60" w:rsidRDefault="00541B60">
      <w:pPr>
        <w:pStyle w:val="FootnoteText"/>
      </w:pPr>
      <w:r>
        <w:rPr>
          <w:rStyle w:val="FootnoteReference"/>
        </w:rPr>
        <w:footnoteRef/>
      </w:r>
      <w:r>
        <w:t xml:space="preserve"> </w:t>
      </w:r>
      <w:r w:rsidR="008A7C0A" w:rsidRPr="00513F3B">
        <w:rPr>
          <w:lang w:eastAsia="en-GB"/>
        </w:rPr>
        <w:t>SN 54.6/SA 805.</w:t>
      </w:r>
    </w:p>
  </w:footnote>
  <w:footnote w:id="367">
    <w:p w14:paraId="231652DA" w14:textId="3C920698" w:rsidR="00541B60" w:rsidRDefault="00541B60">
      <w:pPr>
        <w:pStyle w:val="FootnoteText"/>
      </w:pPr>
      <w:r>
        <w:rPr>
          <w:rStyle w:val="FootnoteReference"/>
        </w:rPr>
        <w:footnoteRef/>
      </w:r>
      <w:r>
        <w:t xml:space="preserve"> </w:t>
      </w:r>
      <w:r w:rsidR="008A7C0A" w:rsidRPr="00513F3B">
        <w:rPr>
          <w:lang w:eastAsia="en-GB"/>
        </w:rPr>
        <w:t>Compare Sutta passages that describe the internal space element as the spaces where food is eaten, digested, and passed out. MN 140.18/MA 162; MN 62.12/EA 17.1.</w:t>
      </w:r>
    </w:p>
  </w:footnote>
  <w:footnote w:id="368">
    <w:p w14:paraId="197E92DF" w14:textId="5716234A" w:rsidR="00541B60" w:rsidRDefault="00541B60">
      <w:pPr>
        <w:pStyle w:val="FootnoteText"/>
      </w:pPr>
      <w:r>
        <w:rPr>
          <w:rStyle w:val="FootnoteReference"/>
        </w:rPr>
        <w:footnoteRef/>
      </w:r>
      <w:r>
        <w:t xml:space="preserve"> </w:t>
      </w:r>
      <w:r w:rsidR="008A7C0A" w:rsidRPr="00513F3B">
        <w:rPr>
          <w:lang w:eastAsia="en-GB"/>
        </w:rPr>
        <w:t>DN 28.7/DA 18.</w:t>
      </w:r>
    </w:p>
  </w:footnote>
  <w:footnote w:id="369">
    <w:p w14:paraId="11ED6055" w14:textId="703D3738" w:rsidR="00541B60" w:rsidRDefault="00541B60">
      <w:pPr>
        <w:pStyle w:val="FootnoteText"/>
      </w:pPr>
      <w:r>
        <w:rPr>
          <w:rStyle w:val="FootnoteReference"/>
        </w:rPr>
        <w:footnoteRef/>
      </w:r>
      <w:r>
        <w:t xml:space="preserve"> </w:t>
      </w:r>
      <w:r w:rsidR="008A7C0A" w:rsidRPr="00513F3B">
        <w:rPr>
          <w:lang w:eastAsia="en-GB"/>
        </w:rPr>
        <w:t>MN 28.6/MA 30.</w:t>
      </w:r>
    </w:p>
  </w:footnote>
  <w:footnote w:id="370">
    <w:p w14:paraId="246C9949" w14:textId="4DE4078C" w:rsidR="00DB1083" w:rsidRDefault="00DB1083">
      <w:pPr>
        <w:pStyle w:val="FootnoteText"/>
      </w:pPr>
      <w:r>
        <w:rPr>
          <w:rStyle w:val="FootnoteReference"/>
        </w:rPr>
        <w:footnoteRef/>
      </w:r>
      <w:r>
        <w:t xml:space="preserve"> </w:t>
      </w:r>
      <w:r w:rsidR="008A7C0A" w:rsidRPr="00513F3B">
        <w:rPr>
          <w:lang w:eastAsia="en-GB"/>
        </w:rPr>
        <w:t>E.g. DN 33.1.11.10/DA 9.</w:t>
      </w:r>
    </w:p>
  </w:footnote>
  <w:footnote w:id="371">
    <w:p w14:paraId="79E8979E" w14:textId="7FC59366" w:rsidR="00DB1083" w:rsidRDefault="00DB1083">
      <w:pPr>
        <w:pStyle w:val="FootnoteText"/>
      </w:pPr>
      <w:r>
        <w:rPr>
          <w:rStyle w:val="FootnoteReference"/>
        </w:rPr>
        <w:footnoteRef/>
      </w:r>
      <w:r>
        <w:t xml:space="preserve"> </w:t>
      </w:r>
      <w:r w:rsidR="008A7C0A" w:rsidRPr="00513F3B">
        <w:rPr>
          <w:lang w:eastAsia="en-GB"/>
        </w:rPr>
        <w:t>MN 62/EA 17.1.</w:t>
      </w:r>
    </w:p>
  </w:footnote>
  <w:footnote w:id="372">
    <w:p w14:paraId="7CAAAC21" w14:textId="2BD618EB" w:rsidR="00DB1083" w:rsidRDefault="00DB1083">
      <w:pPr>
        <w:pStyle w:val="FootnoteText"/>
      </w:pPr>
      <w:r>
        <w:rPr>
          <w:rStyle w:val="FootnoteReference"/>
        </w:rPr>
        <w:footnoteRef/>
      </w:r>
      <w:r>
        <w:t xml:space="preserve"> </w:t>
      </w:r>
      <w:r w:rsidR="008A7C0A" w:rsidRPr="00513F3B">
        <w:rPr>
          <w:lang w:eastAsia="en-GB"/>
        </w:rPr>
        <w:t>Ud 4.1.</w:t>
      </w:r>
    </w:p>
  </w:footnote>
  <w:footnote w:id="373">
    <w:p w14:paraId="5C4D1AAB" w14:textId="55B8FB3E" w:rsidR="00DB1083" w:rsidRDefault="00DB1083">
      <w:pPr>
        <w:pStyle w:val="FootnoteText"/>
      </w:pPr>
      <w:r>
        <w:rPr>
          <w:rStyle w:val="FootnoteReference"/>
        </w:rPr>
        <w:footnoteRef/>
      </w:r>
      <w:r>
        <w:t xml:space="preserve"> </w:t>
      </w:r>
      <w:r w:rsidR="008A7C0A" w:rsidRPr="00513F3B">
        <w:rPr>
          <w:lang w:eastAsia="en-GB"/>
        </w:rPr>
        <w:t>Iti 3.36.</w:t>
      </w:r>
    </w:p>
  </w:footnote>
  <w:footnote w:id="374">
    <w:p w14:paraId="47555158" w14:textId="50559E9B" w:rsidR="00DB1083" w:rsidRDefault="00DB1083">
      <w:pPr>
        <w:pStyle w:val="FootnoteText"/>
      </w:pPr>
      <w:r>
        <w:rPr>
          <w:rStyle w:val="FootnoteReference"/>
        </w:rPr>
        <w:footnoteRef/>
      </w:r>
      <w:r>
        <w:t xml:space="preserve"> </w:t>
      </w:r>
      <w:r w:rsidR="001B5F92" w:rsidRPr="00513F3B">
        <w:rPr>
          <w:lang w:eastAsia="en-GB"/>
        </w:rPr>
        <w:t>DUTT, pg.</w:t>
      </w:r>
      <w:r w:rsidR="001B5F92" w:rsidRPr="00513F3B">
        <w:rPr>
          <w:rFonts w:ascii="Times New Roman" w:hAnsi="Times New Roman"/>
          <w:lang w:eastAsia="en-GB"/>
        </w:rPr>
        <w:t> </w:t>
      </w:r>
      <w:r w:rsidR="001B5F92" w:rsidRPr="00513F3B">
        <w:rPr>
          <w:lang w:eastAsia="en-GB"/>
        </w:rPr>
        <w:t>254.</w:t>
      </w:r>
    </w:p>
  </w:footnote>
  <w:footnote w:id="375">
    <w:p w14:paraId="16DDA469" w14:textId="0971552E" w:rsidR="00DB1083" w:rsidRDefault="00DB1083">
      <w:pPr>
        <w:pStyle w:val="FootnoteText"/>
      </w:pPr>
      <w:r>
        <w:rPr>
          <w:rStyle w:val="FootnoteReference"/>
        </w:rPr>
        <w:footnoteRef/>
      </w:r>
      <w:r>
        <w:t xml:space="preserve"> </w:t>
      </w:r>
      <w:r w:rsidR="001B5F92" w:rsidRPr="00513F3B">
        <w:rPr>
          <w:lang w:eastAsia="en-GB"/>
        </w:rPr>
        <w:t>CONZE , pp.</w:t>
      </w:r>
      <w:r w:rsidR="001B5F92" w:rsidRPr="00513F3B">
        <w:rPr>
          <w:rFonts w:ascii="Times New Roman" w:hAnsi="Times New Roman"/>
          <w:lang w:eastAsia="en-GB"/>
        </w:rPr>
        <w:t>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AB2478C" w:rsidR="00A210E7" w:rsidRDefault="00A210E7">
      <w:pPr>
        <w:pStyle w:val="FootnoteText"/>
      </w:pPr>
      <w:r>
        <w:rPr>
          <w:rStyle w:val="FootnoteReference"/>
        </w:rPr>
        <w:footnoteRef/>
      </w:r>
      <w:r>
        <w:t xml:space="preserve"> </w:t>
      </w:r>
      <w:r w:rsidR="001B5F92" w:rsidRPr="00513F3B">
        <w:rPr>
          <w:lang w:eastAsia="en-GB"/>
        </w:rPr>
        <w:t>DAYAL, pg.</w:t>
      </w:r>
      <w:r w:rsidR="001B5F92" w:rsidRPr="00513F3B">
        <w:rPr>
          <w:rFonts w:ascii="Times New Roman" w:hAnsi="Times New Roman"/>
          <w:lang w:eastAsia="en-GB"/>
        </w:rPr>
        <w:t> </w:t>
      </w:r>
      <w:r w:rsidR="001B5F92" w:rsidRPr="00513F3B">
        <w:rPr>
          <w:lang w:eastAsia="en-GB"/>
        </w:rPr>
        <w:t>90.</w:t>
      </w:r>
    </w:p>
  </w:footnote>
  <w:footnote w:id="377">
    <w:p w14:paraId="232C0E88" w14:textId="0C4A49B7" w:rsidR="00A210E7" w:rsidRDefault="00A210E7">
      <w:pPr>
        <w:pStyle w:val="FootnoteText"/>
      </w:pPr>
      <w:r>
        <w:rPr>
          <w:rStyle w:val="FootnoteReference"/>
        </w:rPr>
        <w:footnoteRef/>
      </w:r>
      <w:r>
        <w:t xml:space="preserve"> </w:t>
      </w:r>
      <w:r w:rsidR="001B5F92" w:rsidRPr="00513F3B">
        <w:rPr>
          <w:lang w:eastAsia="en-GB"/>
        </w:rPr>
        <w:t>CONZE, pg.</w:t>
      </w:r>
      <w:r w:rsidR="001B5F92" w:rsidRPr="00513F3B">
        <w:rPr>
          <w:rFonts w:ascii="Times New Roman" w:hAnsi="Times New Roman"/>
          <w:lang w:eastAsia="en-GB"/>
        </w:rPr>
        <w:t> </w:t>
      </w:r>
      <w:r w:rsidR="001B5F92" w:rsidRPr="00513F3B">
        <w:rPr>
          <w:lang w:eastAsia="en-GB"/>
        </w:rPr>
        <w:t>580.</w:t>
      </w:r>
    </w:p>
  </w:footnote>
  <w:footnote w:id="378">
    <w:p w14:paraId="0C7B164C" w14:textId="035C3A12" w:rsidR="00A210E7" w:rsidRDefault="00A210E7">
      <w:pPr>
        <w:pStyle w:val="FootnoteText"/>
      </w:pPr>
      <w:r>
        <w:rPr>
          <w:rStyle w:val="FootnoteReference"/>
        </w:rPr>
        <w:footnoteRef/>
      </w:r>
      <w:r>
        <w:t xml:space="preserve"> </w:t>
      </w:r>
      <w:r w:rsidR="001B5F92" w:rsidRPr="00513F3B">
        <w:rPr>
          <w:lang w:eastAsia="en-GB"/>
        </w:rPr>
        <w:t>MA 98.</w:t>
      </w:r>
    </w:p>
  </w:footnote>
  <w:footnote w:id="379">
    <w:p w14:paraId="33472D4F" w14:textId="6DFFF044" w:rsidR="00A210E7" w:rsidRDefault="00A210E7">
      <w:pPr>
        <w:pStyle w:val="FootnoteText"/>
      </w:pPr>
      <w:r>
        <w:rPr>
          <w:rStyle w:val="FootnoteReference"/>
        </w:rPr>
        <w:footnoteRef/>
      </w:r>
      <w:r>
        <w:t xml:space="preserve"> </w:t>
      </w:r>
      <w:r w:rsidR="001B5F92" w:rsidRPr="00513F3B">
        <w:rPr>
          <w:lang w:eastAsia="en-GB"/>
        </w:rPr>
        <w:t>Thích NHẤT HẠNH’s translation refers in the plural to ‘all Tathāgatas of the present (including myself</w:t>
      </w:r>
      <w:r w:rsidR="001B5F92" w:rsidRPr="00513F3B">
        <w:rPr>
          <w:rFonts w:ascii="Times New Roman" w:hAnsi="Times New Roman"/>
          <w:lang w:eastAsia="en-GB"/>
        </w:rPr>
        <w:t> </w:t>
      </w:r>
      <w:r w:rsidR="001B5F92" w:rsidRPr="00513F3B">
        <w:rPr>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CB57C0D" w:rsidR="00A210E7" w:rsidRDefault="00A210E7">
      <w:pPr>
        <w:pStyle w:val="FootnoteText"/>
      </w:pPr>
      <w:r>
        <w:rPr>
          <w:rStyle w:val="FootnoteReference"/>
        </w:rPr>
        <w:footnoteRef/>
      </w:r>
      <w:r>
        <w:t xml:space="preserve"> </w:t>
      </w:r>
      <w:r w:rsidR="00F23E08" w:rsidRPr="00513F3B">
        <w:rPr>
          <w:lang w:eastAsia="en-GB"/>
        </w:rPr>
        <w:t>MN 119/MA 81.</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DDA8F3A" w:rsidR="00A210E7" w:rsidRDefault="00A210E7">
      <w:pPr>
        <w:pStyle w:val="FootnoteText"/>
      </w:pPr>
      <w:r>
        <w:rPr>
          <w:rStyle w:val="FootnoteReference"/>
        </w:rPr>
        <w:footnoteRef/>
      </w:r>
      <w:r>
        <w:t xml:space="preserve"> </w:t>
      </w:r>
      <w:r w:rsidR="00F23E08" w:rsidRPr="00513F3B">
        <w:rPr>
          <w:lang w:eastAsia="en-GB"/>
        </w:rPr>
        <w:t>ANĀLAYO, pg.</w:t>
      </w:r>
      <w:r w:rsidR="00F23E08" w:rsidRPr="00513F3B">
        <w:rPr>
          <w:rFonts w:ascii="Times New Roman" w:hAnsi="Times New Roman"/>
          <w:lang w:eastAsia="en-GB"/>
        </w:rPr>
        <w:t>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45BAE37" w:rsidR="00A210E7" w:rsidRDefault="00A210E7">
      <w:pPr>
        <w:pStyle w:val="FootnoteText"/>
      </w:pPr>
      <w:r>
        <w:rPr>
          <w:rStyle w:val="FootnoteReference"/>
        </w:rPr>
        <w:footnoteRef/>
      </w:r>
      <w:r>
        <w:t xml:space="preserve"> </w:t>
      </w:r>
      <w:r w:rsidR="00F23E08" w:rsidRPr="00513F3B">
        <w:rPr>
          <w:lang w:eastAsia="en-GB"/>
        </w:rPr>
        <w:t>DN 2.76–82,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See SUJATO, </w:t>
      </w:r>
      <w:r w:rsidR="00F23E08" w:rsidRPr="00513F3B">
        <w:rPr>
          <w:i/>
          <w:iCs/>
          <w:lang w:eastAsia="en-GB"/>
        </w:rPr>
        <w:t>Swift Pair</w:t>
      </w:r>
      <w:r w:rsidR="00F23E08" w:rsidRPr="00513F3B">
        <w:rPr>
          <w:lang w:eastAsia="en-GB"/>
        </w:rPr>
        <w:t>, Appendix A.7.</w:t>
      </w:r>
    </w:p>
  </w:footnote>
  <w:footnote w:id="385">
    <w:p w14:paraId="51FBBC3C" w14:textId="47F6CF70" w:rsidR="00A210E7" w:rsidRDefault="00A210E7">
      <w:pPr>
        <w:pStyle w:val="FootnoteText"/>
      </w:pPr>
      <w:r>
        <w:rPr>
          <w:rStyle w:val="FootnoteReference"/>
        </w:rPr>
        <w:footnoteRef/>
      </w:r>
      <w:r>
        <w:t xml:space="preserve"> </w:t>
      </w:r>
      <w:r w:rsidR="00F23E08" w:rsidRPr="00513F3B">
        <w:rPr>
          <w:lang w:eastAsia="en-GB"/>
        </w:rPr>
        <w:t>MN 36.20.</w:t>
      </w:r>
    </w:p>
  </w:footnote>
  <w:footnote w:id="386">
    <w:p w14:paraId="055EB65C" w14:textId="19FBE88D" w:rsidR="00A210E7" w:rsidRDefault="00A210E7">
      <w:pPr>
        <w:pStyle w:val="FootnoteText"/>
      </w:pPr>
      <w:r>
        <w:rPr>
          <w:rStyle w:val="FootnoteReference"/>
        </w:rPr>
        <w:footnoteRef/>
      </w:r>
      <w:r>
        <w:t xml:space="preserve"> </w:t>
      </w:r>
      <w:r w:rsidR="00F23E08" w:rsidRPr="00513F3B">
        <w:rPr>
          <w:i/>
          <w:iCs/>
          <w:lang w:eastAsia="en-GB"/>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See discussion in SUJATO, </w:t>
      </w:r>
      <w:r w:rsidR="00F23E08" w:rsidRPr="00513F3B">
        <w:rPr>
          <w:i/>
          <w:iCs/>
          <w:lang w:eastAsia="en-GB"/>
        </w:rPr>
        <w:t>Swift Pair</w:t>
      </w:r>
      <w:r w:rsidR="00F23E08" w:rsidRPr="00513F3B">
        <w:rPr>
          <w:lang w:eastAsia="en-GB"/>
        </w:rPr>
        <w:t>, Appendix A.14–16.</w:t>
      </w:r>
    </w:p>
  </w:footnote>
  <w:footnote w:id="387">
    <w:p w14:paraId="1C39B3B3" w14:textId="7AA94CD7" w:rsidR="00A210E7" w:rsidRDefault="00A210E7">
      <w:pPr>
        <w:pStyle w:val="FootnoteText"/>
      </w:pPr>
      <w:r>
        <w:rPr>
          <w:rStyle w:val="FootnoteReference"/>
        </w:rPr>
        <w:footnoteRef/>
      </w:r>
      <w:r>
        <w:t xml:space="preserve"> </w:t>
      </w:r>
      <w:r w:rsidR="00F23E08" w:rsidRPr="00513F3B">
        <w:rPr>
          <w:lang w:eastAsia="en-GB"/>
        </w:rPr>
        <w:t>Cp. AN 5.28, DN 34.1.6/DA 10.</w:t>
      </w:r>
    </w:p>
    <w:p w14:paraId="4771C69A" w14:textId="77777777" w:rsidR="00A210E7" w:rsidRDefault="00A210E7">
      <w:pPr>
        <w:pStyle w:val="FootnoteText"/>
      </w:pP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10472A29" w:rsidR="004202BB" w:rsidRDefault="004202BB">
      <w:pPr>
        <w:pStyle w:val="FootnoteText"/>
      </w:pPr>
      <w:r>
        <w:rPr>
          <w:rStyle w:val="FootnoteReference"/>
        </w:rPr>
        <w:footnoteRef/>
      </w:r>
      <w:r>
        <w:t xml:space="preserve"> </w:t>
      </w:r>
      <w:r w:rsidR="00F23E08" w:rsidRPr="00513F3B">
        <w:rPr>
          <w:lang w:eastAsia="en-GB"/>
        </w:rPr>
        <w:t>SN 46.29.</w:t>
      </w:r>
    </w:p>
  </w:footnote>
  <w:footnote w:id="390">
    <w:p w14:paraId="6B6B945C" w14:textId="6678442B" w:rsidR="004202BB" w:rsidRDefault="004202BB">
      <w:pPr>
        <w:pStyle w:val="FootnoteText"/>
      </w:pPr>
      <w:r>
        <w:rPr>
          <w:rStyle w:val="FootnoteReference"/>
        </w:rPr>
        <w:footnoteRef/>
      </w:r>
      <w:r>
        <w:t xml:space="preserve"> </w:t>
      </w:r>
      <w:r w:rsidR="00C93C1F" w:rsidRPr="00513F3B">
        <w:rPr>
          <w:lang w:eastAsia="en-GB"/>
        </w:rPr>
        <w:t>SCHOPEN 2004, pp. 39</w:t>
      </w:r>
      <w:r w:rsidR="00C93C1F" w:rsidRPr="00C93C1F">
        <w:rPr>
          <w:lang w:eastAsia="en-GB"/>
        </w:rPr>
        <w:t>5ff.</w:t>
      </w:r>
    </w:p>
  </w:footnote>
  <w:footnote w:id="391">
    <w:p w14:paraId="4FF48866" w14:textId="09D5B6E3" w:rsidR="004202BB" w:rsidRDefault="004202BB">
      <w:pPr>
        <w:pStyle w:val="FootnoteText"/>
      </w:pPr>
      <w:r>
        <w:rPr>
          <w:rStyle w:val="FootnoteReference"/>
        </w:rPr>
        <w:footnoteRef/>
      </w:r>
      <w:r>
        <w:t xml:space="preserve"> </w:t>
      </w:r>
      <w:r w:rsidR="00C93C1F" w:rsidRPr="00513F3B">
        <w:rPr>
          <w:lang w:eastAsia="en-GB"/>
        </w:rPr>
        <w:t>SCHOPEN 2004, pg.</w:t>
      </w:r>
      <w:r w:rsidR="00C93C1F" w:rsidRPr="00513F3B">
        <w:rPr>
          <w:rFonts w:ascii="Times New Roman" w:hAnsi="Times New Roman"/>
          <w:lang w:eastAsia="en-GB"/>
        </w:rPr>
        <w:t>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3B0CC4E2" w:rsidR="004202BB" w:rsidRDefault="004202BB">
      <w:pPr>
        <w:pStyle w:val="FootnoteText"/>
      </w:pPr>
      <w:r>
        <w:rPr>
          <w:rStyle w:val="FootnoteReference"/>
        </w:rPr>
        <w:footnoteRef/>
      </w:r>
      <w:r>
        <w:t xml:space="preserve"> </w:t>
      </w:r>
      <w:r w:rsidR="00C93C1F" w:rsidRPr="00513F3B">
        <w:rPr>
          <w:lang w:eastAsia="en-GB"/>
        </w:rPr>
        <w:t>The Theravāda Satipaṭṭhāna Suttas have a small spelling mistake in the refrain in the contemplation of dhammas section. The phrase is ‘</w:t>
      </w:r>
      <w:r w:rsidR="00C93C1F" w:rsidRPr="00513F3B">
        <w:rPr>
          <w:rFonts w:ascii="Times New Roman" w:hAnsi="Times New Roman"/>
          <w:lang w:eastAsia="en-GB"/>
        </w:rPr>
        <w:t> </w:t>
      </w:r>
      <w:r w:rsidR="00C93C1F" w:rsidRPr="00513F3B">
        <w:rPr>
          <w:rFonts w:cs="Source Serif Pro"/>
          <w:lang w:eastAsia="en-GB"/>
        </w:rPr>
        <w:t>“</w:t>
      </w:r>
      <w:r w:rsidR="00C93C1F" w:rsidRPr="00513F3B">
        <w:rPr>
          <w:i/>
          <w:iCs/>
          <w:lang w:eastAsia="en-GB"/>
        </w:rPr>
        <w:t>Atthi dhammā”ti</w:t>
      </w:r>
      <w:r w:rsidR="00C93C1F" w:rsidRPr="00513F3B">
        <w:rPr>
          <w:lang w:eastAsia="en-GB"/>
        </w:rPr>
        <w:t>’ (‘there is dhammas’), where </w:t>
      </w:r>
      <w:r w:rsidR="00C93C1F" w:rsidRPr="00513F3B">
        <w:rPr>
          <w:i/>
          <w:iCs/>
          <w:lang w:eastAsia="en-GB"/>
        </w:rPr>
        <w:t>atthi</w:t>
      </w:r>
      <w:r w:rsidR="00C93C1F" w:rsidRPr="00513F3B">
        <w:rPr>
          <w:lang w:eastAsia="en-GB"/>
        </w:rPr>
        <w:t> is singular and </w:t>
      </w:r>
      <w:r w:rsidR="00C93C1F" w:rsidRPr="00513F3B">
        <w:rPr>
          <w:i/>
          <w:iCs/>
          <w:lang w:eastAsia="en-GB"/>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535E7B74" w:rsidR="004202BB" w:rsidRDefault="004202BB">
      <w:pPr>
        <w:pStyle w:val="FootnoteText"/>
      </w:pPr>
      <w:r>
        <w:rPr>
          <w:rStyle w:val="FootnoteReference"/>
        </w:rPr>
        <w:footnoteRef/>
      </w:r>
      <w:r>
        <w:t xml:space="preserve"> </w:t>
      </w:r>
      <w:r w:rsidR="00C93C1F" w:rsidRPr="00513F3B">
        <w:rPr>
          <w:lang w:eastAsia="en-GB"/>
        </w:rPr>
        <w:t>SN 46.35.</w:t>
      </w:r>
    </w:p>
  </w:footnote>
  <w:footnote w:id="395">
    <w:p w14:paraId="26E32560" w14:textId="681403AD" w:rsidR="004202BB" w:rsidRDefault="004202BB">
      <w:pPr>
        <w:pStyle w:val="FootnoteText"/>
      </w:pPr>
      <w:r>
        <w:rPr>
          <w:rStyle w:val="FootnoteReference"/>
        </w:rPr>
        <w:footnoteRef/>
      </w:r>
      <w:r>
        <w:t xml:space="preserve"> </w:t>
      </w:r>
      <w:r w:rsidR="00C93C1F" w:rsidRPr="00513F3B">
        <w:rPr>
          <w:lang w:eastAsia="en-GB"/>
        </w:rPr>
        <w:t>SN 46.2, 5, 7, 23, 24, 33, 34, 37, 39, 40, 49, 51, 52, 53, 55, 56.</w:t>
      </w:r>
    </w:p>
  </w:footnote>
  <w:footnote w:id="396">
    <w:p w14:paraId="32F91B62" w14:textId="266AF515" w:rsidR="004202BB" w:rsidRDefault="004202BB">
      <w:pPr>
        <w:pStyle w:val="FootnoteText"/>
      </w:pPr>
      <w:r>
        <w:rPr>
          <w:rStyle w:val="FootnoteReference"/>
        </w:rPr>
        <w:footnoteRef/>
      </w:r>
      <w:r>
        <w:t xml:space="preserve"> </w:t>
      </w:r>
      <w:r w:rsidR="00C93C1F" w:rsidRPr="00513F3B">
        <w:rPr>
          <w:lang w:eastAsia="en-GB"/>
        </w:rPr>
        <w:t>DN 22.</w:t>
      </w:r>
    </w:p>
  </w:footnote>
  <w:footnote w:id="397">
    <w:p w14:paraId="7BC8FB55" w14:textId="2A0E8FDD" w:rsidR="004202BB" w:rsidRDefault="004202BB">
      <w:pPr>
        <w:pStyle w:val="FootnoteText"/>
      </w:pPr>
      <w:r>
        <w:rPr>
          <w:rStyle w:val="FootnoteReference"/>
        </w:rPr>
        <w:footnoteRef/>
      </w:r>
      <w:r>
        <w:t xml:space="preserve"> </w:t>
      </w:r>
      <w:r w:rsidR="00C93C1F" w:rsidRPr="00513F3B">
        <w:rPr>
          <w:lang w:eastAsia="en-GB"/>
        </w:rPr>
        <w:t>Majjhima Nikāya, Vol. 1, PTS, pg.</w:t>
      </w:r>
      <w:r w:rsidR="00C93C1F" w:rsidRPr="00513F3B">
        <w:rPr>
          <w:rFonts w:ascii="Times New Roman" w:hAnsi="Times New Roman"/>
          <w:lang w:eastAsia="en-GB"/>
        </w:rPr>
        <w:t>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00F1A2E9" w:rsidR="004202BB" w:rsidRDefault="004202BB">
      <w:pPr>
        <w:pStyle w:val="FootnoteText"/>
      </w:pPr>
      <w:r>
        <w:rPr>
          <w:rStyle w:val="FootnoteReference"/>
        </w:rPr>
        <w:footnoteRef/>
      </w:r>
      <w:r>
        <w:t xml:space="preserve"> </w:t>
      </w:r>
      <w:r w:rsidR="00C93C1F" w:rsidRPr="00513F3B">
        <w:rPr>
          <w:lang w:eastAsia="en-GB"/>
        </w:rPr>
        <w:t>MN 141.</w:t>
      </w:r>
    </w:p>
  </w:footnote>
  <w:footnote w:id="399">
    <w:p w14:paraId="5FED7F1A" w14:textId="5DDA1E7B" w:rsidR="004202BB" w:rsidRDefault="004202BB">
      <w:pPr>
        <w:pStyle w:val="FootnoteText"/>
      </w:pPr>
      <w:r>
        <w:rPr>
          <w:rStyle w:val="FootnoteReference"/>
        </w:rPr>
        <w:footnoteRef/>
      </w:r>
      <w:r>
        <w:t xml:space="preserve"> </w:t>
      </w:r>
      <w:r w:rsidR="00C93C1F" w:rsidRPr="00513F3B">
        <w:rPr>
          <w:lang w:eastAsia="en-GB"/>
        </w:rPr>
        <w:t>SN 18, SN 25, SN 26, SN 27.</w:t>
      </w:r>
    </w:p>
  </w:footnote>
  <w:footnote w:id="400">
    <w:p w14:paraId="6A6B7805" w14:textId="4D11888F" w:rsidR="004202BB" w:rsidRDefault="004202BB">
      <w:pPr>
        <w:pStyle w:val="FootnoteText"/>
      </w:pPr>
      <w:r>
        <w:rPr>
          <w:rStyle w:val="FootnoteReference"/>
        </w:rPr>
        <w:footnoteRef/>
      </w:r>
      <w:r>
        <w:t xml:space="preserve"> </w:t>
      </w:r>
      <w:r w:rsidR="00C93C1F" w:rsidRPr="00513F3B">
        <w:rPr>
          <w:lang w:eastAsia="en-GB"/>
        </w:rPr>
        <w:t>AN 7.8</w:t>
      </w:r>
      <w:r w:rsidR="00C93C1F" w:rsidRPr="00C93C1F">
        <w:rPr>
          <w:lang w:eastAsia="en-GB"/>
        </w:rPr>
        <w:t>0ff.</w:t>
      </w:r>
    </w:p>
  </w:footnote>
  <w:footnote w:id="401">
    <w:p w14:paraId="7E54B17D" w14:textId="623ED3F6" w:rsidR="00F32C89" w:rsidRDefault="00F32C89">
      <w:pPr>
        <w:pStyle w:val="FootnoteText"/>
      </w:pPr>
      <w:r>
        <w:rPr>
          <w:rStyle w:val="FootnoteReference"/>
        </w:rPr>
        <w:footnoteRef/>
      </w:r>
      <w:r>
        <w:t xml:space="preserve"> </w:t>
      </w:r>
      <w:r w:rsidR="00123039" w:rsidRPr="00513F3B">
        <w:rPr>
          <w:lang w:eastAsia="en-GB"/>
        </w:rPr>
        <w:t>The headquarters of the Theravāda must have been in Sri Lanka from quite early, for an inscription at Nagarjunikonda in Southern India refers to a monastery belonging to the ‘Theravādin teachers of Sri Lanka’. SCHOPEN 1997, pg.</w:t>
      </w:r>
      <w:r w:rsidR="00123039" w:rsidRPr="00513F3B">
        <w:rPr>
          <w:rFonts w:ascii="Times New Roman" w:hAnsi="Times New Roman"/>
          <w:lang w:eastAsia="en-GB"/>
        </w:rPr>
        <w:t> </w:t>
      </w:r>
      <w:r w:rsidR="00123039" w:rsidRPr="00513F3B">
        <w:rPr>
          <w:lang w:eastAsia="en-GB"/>
        </w:rPr>
        <w:t>5.</w:t>
      </w:r>
    </w:p>
  </w:footnote>
  <w:footnote w:id="402">
    <w:p w14:paraId="1EEC0BFD" w14:textId="759F8CA3" w:rsidR="00F32C89" w:rsidRDefault="00F32C89">
      <w:pPr>
        <w:pStyle w:val="FootnoteText"/>
      </w:pPr>
      <w:r>
        <w:rPr>
          <w:rStyle w:val="FootnoteReference"/>
        </w:rPr>
        <w:footnoteRef/>
      </w:r>
      <w:r>
        <w:t xml:space="preserve"> </w:t>
      </w:r>
      <w:r w:rsidR="00123039" w:rsidRPr="00513F3B">
        <w:rPr>
          <w:lang w:eastAsia="en-GB"/>
        </w:rPr>
        <w:t>ABEYNAYAKE, pp.163–183.</w:t>
      </w:r>
    </w:p>
  </w:footnote>
  <w:footnote w:id="403">
    <w:p w14:paraId="10D43436" w14:textId="1FAEC947" w:rsidR="00F32C89" w:rsidRDefault="00F32C89">
      <w:pPr>
        <w:pStyle w:val="FootnoteText"/>
      </w:pPr>
      <w:r>
        <w:rPr>
          <w:rStyle w:val="FootnoteReference"/>
        </w:rPr>
        <w:footnoteRef/>
      </w:r>
      <w:r>
        <w:t xml:space="preserve"> </w:t>
      </w:r>
      <w:r w:rsidR="00123039" w:rsidRPr="00513F3B">
        <w:rPr>
          <w:lang w:eastAsia="en-GB"/>
        </w:rPr>
        <w:t>DN 30/MA 59.</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513F3B">
        <w:rPr>
          <w:i/>
          <w:iCs/>
          <w:lang w:eastAsia="en-GB"/>
        </w:rPr>
        <w:t>abbhūtadhammas</w:t>
      </w:r>
      <w:r w:rsidR="00123039" w:rsidRPr="00513F3B">
        <w:rPr>
          <w:lang w:eastAsia="en-GB"/>
        </w:rPr>
        <w:t>. The Theravāda just has the Buddha giving the discourse straight off, and so the identification as </w:t>
      </w:r>
      <w:r w:rsidR="00123039" w:rsidRPr="00513F3B">
        <w:rPr>
          <w:i/>
          <w:iCs/>
          <w:lang w:eastAsia="en-GB"/>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0EA97DDD" w:rsidR="00F32C89" w:rsidRDefault="00F32C89">
      <w:pPr>
        <w:pStyle w:val="FootnoteText"/>
      </w:pPr>
      <w:r>
        <w:rPr>
          <w:rStyle w:val="FootnoteReference"/>
        </w:rPr>
        <w:footnoteRef/>
      </w:r>
      <w:r>
        <w:t xml:space="preserve"> </w:t>
      </w:r>
      <w:r w:rsidR="00123039" w:rsidRPr="00513F3B">
        <w:rPr>
          <w:lang w:eastAsia="en-GB"/>
        </w:rPr>
        <w:t>MN 111.</w:t>
      </w:r>
    </w:p>
  </w:footnote>
  <w:footnote w:id="406">
    <w:p w14:paraId="1490AE5A" w14:textId="3843E0A6" w:rsidR="00F32C89" w:rsidRDefault="00F32C89">
      <w:pPr>
        <w:pStyle w:val="FootnoteText"/>
      </w:pPr>
      <w:r>
        <w:rPr>
          <w:rStyle w:val="FootnoteReference"/>
        </w:rPr>
        <w:footnoteRef/>
      </w:r>
      <w:r>
        <w:t xml:space="preserve"> </w:t>
      </w:r>
      <w:r w:rsidR="00123039" w:rsidRPr="00513F3B">
        <w:rPr>
          <w:lang w:eastAsia="en-GB"/>
        </w:rPr>
        <w:t>MN 148/MA 86.</w:t>
      </w:r>
    </w:p>
  </w:footnote>
  <w:footnote w:id="407">
    <w:p w14:paraId="16D58D8F" w14:textId="3E1F0071" w:rsidR="00F32C89" w:rsidRDefault="00F32C89">
      <w:pPr>
        <w:pStyle w:val="FootnoteText"/>
      </w:pPr>
      <w:r>
        <w:rPr>
          <w:rStyle w:val="FootnoteReference"/>
        </w:rPr>
        <w:footnoteRef/>
      </w:r>
      <w:r>
        <w:t xml:space="preserve"> </w:t>
      </w:r>
      <w:r w:rsidR="00123039" w:rsidRPr="00513F3B">
        <w:rPr>
          <w:lang w:eastAsia="en-GB"/>
        </w:rPr>
        <w:t>WATANABE, pg.</w:t>
      </w:r>
      <w:r w:rsidR="00123039" w:rsidRPr="00513F3B">
        <w:rPr>
          <w:rFonts w:ascii="Times New Roman" w:hAnsi="Times New Roman"/>
          <w:lang w:eastAsia="en-GB"/>
        </w:rPr>
        <w:t> </w:t>
      </w:r>
      <w:r w:rsidR="00123039" w:rsidRPr="00513F3B">
        <w:rPr>
          <w:lang w:eastAsia="en-GB"/>
        </w:rPr>
        <w:t>54.</w:t>
      </w:r>
    </w:p>
  </w:footnote>
  <w:footnote w:id="408">
    <w:p w14:paraId="2D2F5BA4" w14:textId="63D2AF8F" w:rsidR="00F32C89" w:rsidRDefault="00F32C89">
      <w:pPr>
        <w:pStyle w:val="FootnoteText"/>
      </w:pPr>
      <w:r>
        <w:rPr>
          <w:rStyle w:val="FootnoteReference"/>
        </w:rPr>
        <w:footnoteRef/>
      </w:r>
      <w:r>
        <w:t xml:space="preserve"> </w:t>
      </w:r>
      <w:r w:rsidR="00123039" w:rsidRPr="00A73B7C">
        <w:rPr>
          <w:rStyle w:val="FootnoteTextChar"/>
        </w:rPr>
        <w:t>MN 28/MA 30.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3DF0633E" w:rsidR="00F32C89" w:rsidRDefault="00F32C89">
      <w:pPr>
        <w:pStyle w:val="FootnoteText"/>
      </w:pPr>
      <w:r>
        <w:rPr>
          <w:rStyle w:val="FootnoteReference"/>
        </w:rPr>
        <w:footnoteRef/>
      </w:r>
      <w:r>
        <w:t xml:space="preserve"> </w:t>
      </w:r>
      <w:r w:rsidR="00123039" w:rsidRPr="00513F3B">
        <w:rPr>
          <w:lang w:eastAsia="en-GB"/>
        </w:rPr>
        <w:t>MN 28.6.</w:t>
      </w:r>
    </w:p>
  </w:footnote>
  <w:footnote w:id="410">
    <w:p w14:paraId="4CA67D53" w14:textId="21E60AFC" w:rsidR="00F32C89" w:rsidRDefault="00F32C89">
      <w:pPr>
        <w:pStyle w:val="FootnoteText"/>
      </w:pPr>
      <w:r>
        <w:rPr>
          <w:rStyle w:val="FootnoteReference"/>
        </w:rPr>
        <w:footnoteRef/>
      </w:r>
      <w:r>
        <w:t xml:space="preserve"> </w:t>
      </w:r>
      <w:r w:rsidR="00123039" w:rsidRPr="00513F3B">
        <w:rPr>
          <w:lang w:eastAsia="en-GB"/>
        </w:rPr>
        <w:t>MN 28.9.</w:t>
      </w:r>
    </w:p>
  </w:footnote>
  <w:footnote w:id="411">
    <w:p w14:paraId="01C706F4" w14:textId="0049CE2D" w:rsidR="00F32C89" w:rsidRDefault="00F32C89">
      <w:pPr>
        <w:pStyle w:val="FootnoteText"/>
      </w:pPr>
      <w:r>
        <w:rPr>
          <w:rStyle w:val="FootnoteReference"/>
        </w:rPr>
        <w:footnoteRef/>
      </w:r>
      <w:r>
        <w:t xml:space="preserve"> </w:t>
      </w:r>
      <w:r w:rsidR="00123039" w:rsidRPr="00513F3B">
        <w:rPr>
          <w:lang w:eastAsia="en-GB"/>
        </w:rPr>
        <w:t>MN 28.27.</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513F3B">
        <w:rPr>
          <w:i/>
          <w:iCs/>
          <w:lang w:eastAsia="en-GB"/>
        </w:rPr>
        <w:t>sammā ñāṇa</w:t>
      </w:r>
      <w:r w:rsidR="00123039" w:rsidRPr="00513F3B">
        <w:rPr>
          <w:lang w:eastAsia="en-GB"/>
        </w:rPr>
        <w:t> instead of the Pali </w:t>
      </w:r>
      <w:r w:rsidR="00123039" w:rsidRPr="00513F3B">
        <w:rPr>
          <w:i/>
          <w:iCs/>
          <w:lang w:eastAsia="en-GB"/>
        </w:rPr>
        <w:t>sampajañña</w:t>
      </w:r>
      <w:r w:rsidR="00123039" w:rsidRPr="00513F3B">
        <w:rPr>
          <w:lang w:eastAsia="en-GB"/>
        </w:rPr>
        <w:t>.</w:t>
      </w:r>
    </w:p>
  </w:footnote>
  <w:footnote w:id="413">
    <w:p w14:paraId="4B2E24AF" w14:textId="49207912" w:rsidR="00F32C89" w:rsidRDefault="00F32C89">
      <w:pPr>
        <w:pStyle w:val="FootnoteText"/>
      </w:pPr>
      <w:r>
        <w:rPr>
          <w:rStyle w:val="FootnoteReference"/>
        </w:rPr>
        <w:footnoteRef/>
      </w:r>
      <w:r>
        <w:t xml:space="preserve"> </w:t>
      </w:r>
      <w:r w:rsidR="00123039" w:rsidRPr="00513F3B">
        <w:rPr>
          <w:lang w:eastAsia="en-GB"/>
        </w:rPr>
        <w:t>Cp. AN 5.24, 5.168, 6.50, 7.61, 8.81, 10.3–5, 11.3–5.</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513F3B">
        <w:rPr>
          <w:i/>
          <w:iCs/>
          <w:lang w:eastAsia="en-GB"/>
        </w:rPr>
        <w:t>nijjhānakkhanti</w:t>
      </w:r>
      <w:r w:rsidR="00123039" w:rsidRPr="00513F3B">
        <w:rPr>
          <w:lang w:eastAsia="en-GB"/>
        </w:rPr>
        <w:t>. </w:t>
      </w:r>
      <w:r w:rsidR="00123039" w:rsidRPr="00513F3B">
        <w:rPr>
          <w:i/>
          <w:iCs/>
          <w:lang w:eastAsia="en-GB"/>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513F3B">
        <w:rPr>
          <w:i/>
          <w:iCs/>
          <w:lang w:eastAsia="en-GB"/>
        </w:rPr>
        <w:t>yoniso manasikāra</w:t>
      </w:r>
      <w:r w:rsidR="00123039" w:rsidRPr="00513F3B">
        <w:rPr>
          <w:lang w:eastAsia="en-GB"/>
        </w:rPr>
        <w:t>, ‘paying attention to the root’.</w:t>
      </w:r>
    </w:p>
  </w:footnote>
  <w:footnote w:id="418">
    <w:p w14:paraId="7839349F" w14:textId="0F51106B" w:rsidR="00F32C89" w:rsidRDefault="00F32C89">
      <w:pPr>
        <w:pStyle w:val="FootnoteText"/>
      </w:pPr>
      <w:r>
        <w:rPr>
          <w:rStyle w:val="FootnoteReference"/>
        </w:rPr>
        <w:footnoteRef/>
      </w:r>
      <w:r>
        <w:t xml:space="preserve"> </w:t>
      </w:r>
      <w:r w:rsidR="00123039" w:rsidRPr="00513F3B">
        <w:rPr>
          <w:lang w:eastAsia="en-GB"/>
        </w:rPr>
        <w:t>Cp. MN 95.</w:t>
      </w:r>
    </w:p>
  </w:footnote>
  <w:footnote w:id="419">
    <w:p w14:paraId="1391B3E3" w14:textId="1550D55C" w:rsidR="00F32C89" w:rsidRDefault="00F32C89">
      <w:pPr>
        <w:pStyle w:val="FootnoteText"/>
      </w:pPr>
      <w:r>
        <w:rPr>
          <w:rStyle w:val="FootnoteReference"/>
        </w:rPr>
        <w:footnoteRef/>
      </w:r>
      <w:r>
        <w:t xml:space="preserve"> </w:t>
      </w:r>
      <w:r w:rsidR="00123039" w:rsidRPr="00513F3B">
        <w:rPr>
          <w:lang w:eastAsia="en-GB"/>
        </w:rPr>
        <w:t>Cp. SN 12.23.</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513F3B">
        <w:rPr>
          <w:i/>
          <w:iCs/>
          <w:lang w:eastAsia="en-GB"/>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513F3B">
        <w:rPr>
          <w:i/>
          <w:iCs/>
          <w:lang w:eastAsia="en-GB"/>
        </w:rPr>
        <w:t>nimitta</w:t>
      </w:r>
      <w:r w:rsidR="00123039" w:rsidRPr="00513F3B">
        <w:rPr>
          <w:rFonts w:ascii="Cambria" w:hAnsi="Cambria" w:cs="Cambria"/>
          <w:i/>
          <w:iCs/>
          <w:lang w:eastAsia="en-GB"/>
        </w:rPr>
        <w:t>ṁ</w:t>
      </w:r>
      <w:r w:rsidR="00123039" w:rsidRPr="00513F3B">
        <w:rPr>
          <w:i/>
          <w:iCs/>
          <w:lang w:eastAsia="en-GB"/>
        </w:rPr>
        <w:t xml:space="preserve">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47A5FEBC" w:rsidR="00F32C89" w:rsidRDefault="00F32C89">
      <w:pPr>
        <w:pStyle w:val="FootnoteText"/>
      </w:pPr>
      <w:r>
        <w:rPr>
          <w:rStyle w:val="FootnoteReference"/>
        </w:rPr>
        <w:footnoteRef/>
      </w:r>
      <w:r>
        <w:t xml:space="preserve"> </w:t>
      </w:r>
      <w:r w:rsidR="00123039" w:rsidRPr="00513F3B">
        <w:rPr>
          <w:lang w:eastAsia="en-GB"/>
        </w:rPr>
        <w:t>Most of these points are discussed more fully in MINH CHÂU.</w:t>
      </w:r>
    </w:p>
  </w:footnote>
  <w:footnote w:id="424">
    <w:p w14:paraId="4A22F9C5" w14:textId="5EFA8EE7" w:rsidR="002C34B5" w:rsidRDefault="002C34B5">
      <w:pPr>
        <w:pStyle w:val="FootnoteText"/>
      </w:pPr>
      <w:r>
        <w:rPr>
          <w:rStyle w:val="FootnoteReference"/>
        </w:rPr>
        <w:footnoteRef/>
      </w:r>
      <w:r>
        <w:t xml:space="preserve"> </w:t>
      </w:r>
      <w:r w:rsidR="00123039" w:rsidRPr="00513F3B">
        <w:rPr>
          <w:lang w:eastAsia="en-GB"/>
        </w:rPr>
        <w:t>MN 32.</w:t>
      </w:r>
    </w:p>
  </w:footnote>
  <w:footnote w:id="425">
    <w:p w14:paraId="41D01A5A" w14:textId="3F4DFA0E" w:rsidR="002C34B5" w:rsidRDefault="002C34B5">
      <w:pPr>
        <w:pStyle w:val="FootnoteText"/>
      </w:pPr>
      <w:r>
        <w:rPr>
          <w:rStyle w:val="FootnoteReference"/>
        </w:rPr>
        <w:footnoteRef/>
      </w:r>
      <w:r>
        <w:t xml:space="preserve"> </w:t>
      </w:r>
      <w:r w:rsidR="00123039" w:rsidRPr="00513F3B">
        <w:rPr>
          <w:lang w:eastAsia="en-GB"/>
        </w:rPr>
        <w:t>MA 184.</w:t>
      </w:r>
    </w:p>
  </w:footnote>
  <w:footnote w:id="426">
    <w:p w14:paraId="5293BDA1" w14:textId="67935F04" w:rsidR="002C34B5" w:rsidRDefault="002C34B5">
      <w:pPr>
        <w:pStyle w:val="FootnoteText"/>
      </w:pPr>
      <w:r>
        <w:rPr>
          <w:rStyle w:val="FootnoteReference"/>
        </w:rPr>
        <w:footnoteRef/>
      </w:r>
      <w:r>
        <w:t xml:space="preserve"> </w:t>
      </w:r>
      <w:r w:rsidR="00123039" w:rsidRPr="00513F3B">
        <w:rPr>
          <w:lang w:eastAsia="en-GB"/>
        </w:rPr>
        <w:t>See e.g. LI , Chapter 8.</w:t>
      </w:r>
    </w:p>
  </w:footnote>
  <w:footnote w:id="427">
    <w:p w14:paraId="38422706" w14:textId="7F81846D" w:rsidR="002C34B5" w:rsidRDefault="002C34B5">
      <w:pPr>
        <w:pStyle w:val="FootnoteText"/>
      </w:pPr>
      <w:r>
        <w:rPr>
          <w:rStyle w:val="FootnoteReference"/>
        </w:rPr>
        <w:footnoteRef/>
      </w:r>
      <w:r>
        <w:t xml:space="preserve"> </w:t>
      </w:r>
      <w:r w:rsidR="00123039" w:rsidRPr="00513F3B">
        <w:rPr>
          <w:lang w:eastAsia="en-GB"/>
        </w:rPr>
        <w:t>DN 16.3.1.</w:t>
      </w:r>
    </w:p>
  </w:footnote>
  <w:footnote w:id="428">
    <w:p w14:paraId="44860612" w14:textId="3374B46E" w:rsidR="002C34B5" w:rsidRDefault="002C34B5">
      <w:pPr>
        <w:pStyle w:val="FootnoteText"/>
      </w:pPr>
      <w:r>
        <w:rPr>
          <w:rStyle w:val="FootnoteReference"/>
        </w:rPr>
        <w:footnoteRef/>
      </w:r>
      <w:r>
        <w:t xml:space="preserve"> </w:t>
      </w:r>
      <w:r w:rsidR="00123039" w:rsidRPr="00513F3B">
        <w:rPr>
          <w:lang w:eastAsia="en-GB"/>
        </w:rPr>
        <w:t>MN 31/MA 185 Cūḷagosiṅga; MN 25/ MA 178 Nivāpa; MN 99/MA 152 Subha.</w:t>
      </w:r>
    </w:p>
  </w:footnote>
  <w:footnote w:id="429">
    <w:p w14:paraId="7699306F" w14:textId="40754110" w:rsidR="002C34B5" w:rsidRDefault="002C34B5">
      <w:pPr>
        <w:pStyle w:val="FootnoteText"/>
      </w:pPr>
      <w:r>
        <w:rPr>
          <w:rStyle w:val="FootnoteReference"/>
        </w:rPr>
        <w:footnoteRef/>
      </w:r>
      <w:r>
        <w:t xml:space="preserve"> </w:t>
      </w:r>
      <w:r w:rsidR="00123039" w:rsidRPr="00513F3B">
        <w:rPr>
          <w:lang w:eastAsia="en-GB"/>
        </w:rPr>
        <w:t>MN 82/ MA 132 Raṭṭhapāla.</w:t>
      </w:r>
    </w:p>
  </w:footnote>
  <w:footnote w:id="430">
    <w:p w14:paraId="487A2F8E" w14:textId="09F3C742" w:rsidR="002C34B5" w:rsidRDefault="002C34B5">
      <w:pPr>
        <w:pStyle w:val="FootnoteText"/>
      </w:pPr>
      <w:r>
        <w:rPr>
          <w:rStyle w:val="FootnoteReference"/>
        </w:rPr>
        <w:footnoteRef/>
      </w:r>
      <w:r>
        <w:t xml:space="preserve"> </w:t>
      </w:r>
      <w:r w:rsidR="00123039" w:rsidRPr="00513F3B">
        <w:rPr>
          <w:lang w:eastAsia="en-GB"/>
        </w:rPr>
        <w:t>MN 75/MA 153 Māgandiya, MN 99/MA 152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660F1964" w:rsidR="00625C11" w:rsidRDefault="00625C11">
      <w:pPr>
        <w:pStyle w:val="FootnoteText"/>
      </w:pPr>
      <w:r>
        <w:rPr>
          <w:rStyle w:val="FootnoteReference"/>
        </w:rPr>
        <w:footnoteRef/>
      </w:r>
      <w:r>
        <w:t xml:space="preserve"> </w:t>
      </w:r>
      <w:r w:rsidR="00123039" w:rsidRPr="00513F3B">
        <w:rPr>
          <w:lang w:eastAsia="en-GB"/>
        </w:rPr>
        <w:t>Vibhaṅga pg.</w:t>
      </w:r>
      <w:r w:rsidR="00123039" w:rsidRPr="00513F3B">
        <w:rPr>
          <w:rFonts w:ascii="Times New Roman" w:hAnsi="Times New Roman"/>
          <w:lang w:eastAsia="en-GB"/>
        </w:rPr>
        <w:t> </w:t>
      </w:r>
      <w:r w:rsidR="00123039" w:rsidRPr="00513F3B">
        <w:rPr>
          <w:lang w:eastAsia="en-GB"/>
        </w:rPr>
        <w:t>374.</w:t>
      </w:r>
    </w:p>
  </w:footnote>
  <w:footnote w:id="433">
    <w:p w14:paraId="77136A31" w14:textId="426C5F9E" w:rsidR="00625C11" w:rsidRDefault="00625C11">
      <w:pPr>
        <w:pStyle w:val="FootnoteText"/>
      </w:pPr>
      <w:r>
        <w:rPr>
          <w:rStyle w:val="FootnoteReference"/>
        </w:rPr>
        <w:footnoteRef/>
      </w:r>
      <w:r>
        <w:t xml:space="preserve"> </w:t>
      </w:r>
      <w:r w:rsidR="00123039" w:rsidRPr="00513F3B">
        <w:rPr>
          <w:lang w:eastAsia="en-GB"/>
        </w:rPr>
        <w:t>Vibhaṅga pp.</w:t>
      </w:r>
      <w:r w:rsidR="00123039" w:rsidRPr="00513F3B">
        <w:rPr>
          <w:rFonts w:ascii="Times New Roman" w:hAnsi="Times New Roman"/>
          <w:lang w:eastAsia="en-GB"/>
        </w:rPr>
        <w:t>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20B9274F"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(SN 22.80), although it is not clear whether these things have the same meaning in the Abhidhamma; the treatment of these meditations in the Suttas is somewhat obscure and variable.</w:t>
      </w:r>
    </w:p>
  </w:footnote>
  <w:footnote w:id="437">
    <w:p w14:paraId="600288E5" w14:textId="0C9334FF" w:rsidR="00625C11" w:rsidRDefault="00625C11">
      <w:pPr>
        <w:pStyle w:val="FootnoteText"/>
      </w:pPr>
      <w:r>
        <w:rPr>
          <w:rStyle w:val="FootnoteReference"/>
        </w:rPr>
        <w:footnoteRef/>
      </w:r>
      <w:r>
        <w:t xml:space="preserve"> </w:t>
      </w:r>
      <w:r w:rsidR="00123039" w:rsidRPr="00513F3B">
        <w:rPr>
          <w:lang w:eastAsia="en-GB"/>
        </w:rPr>
        <w:t>Mūla Ṭīkā Be (1960) to Vibh-A 287; quoted at GETHIN pg.</w:t>
      </w:r>
      <w:r w:rsidR="00123039" w:rsidRPr="00513F3B">
        <w:rPr>
          <w:rFonts w:ascii="Times New Roman" w:hAnsi="Times New Roman"/>
          <w:lang w:eastAsia="en-GB"/>
        </w:rPr>
        <w:t>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66A3B691" w:rsidR="00625C11" w:rsidRDefault="00625C11">
      <w:pPr>
        <w:pStyle w:val="FootnoteText"/>
      </w:pPr>
      <w:r>
        <w:rPr>
          <w:rStyle w:val="FootnoteReference"/>
        </w:rPr>
        <w:footnoteRef/>
      </w:r>
      <w:r>
        <w:t xml:space="preserve"> </w:t>
      </w:r>
      <w:r w:rsidR="00123039" w:rsidRPr="00513F3B">
        <w:rPr>
          <w:lang w:eastAsia="en-GB"/>
        </w:rPr>
        <w:t>AN 4.94.</w:t>
      </w:r>
    </w:p>
  </w:footnote>
  <w:footnote w:id="441">
    <w:p w14:paraId="564AFBBE" w14:textId="0D454673" w:rsidR="00625C11" w:rsidRDefault="00625C11">
      <w:pPr>
        <w:pStyle w:val="FootnoteText"/>
      </w:pPr>
      <w:r>
        <w:rPr>
          <w:rStyle w:val="FootnoteReference"/>
        </w:rPr>
        <w:footnoteRef/>
      </w:r>
      <w:r>
        <w:t xml:space="preserve"> </w:t>
      </w:r>
      <w:r w:rsidR="00123039" w:rsidRPr="00513F3B">
        <w:rPr>
          <w:lang w:eastAsia="en-GB"/>
        </w:rPr>
        <w:t>AN 4.170.</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741F5237" w:rsidR="00625C11" w:rsidRDefault="00625C11">
      <w:pPr>
        <w:pStyle w:val="FootnoteText"/>
      </w:pPr>
      <w:r>
        <w:rPr>
          <w:rStyle w:val="FootnoteReference"/>
        </w:rPr>
        <w:footnoteRef/>
      </w:r>
      <w:r>
        <w:t xml:space="preserve"> </w:t>
      </w:r>
      <w:r w:rsidR="006933A2" w:rsidRPr="00513F3B">
        <w:rPr>
          <w:lang w:eastAsia="en-GB"/>
        </w:rPr>
        <w:t>SN 47.40.</w:t>
      </w:r>
    </w:p>
  </w:footnote>
  <w:footnote w:id="445">
    <w:p w14:paraId="2E87CF69" w14:textId="2F4503E7" w:rsidR="00625C11" w:rsidRDefault="00625C11">
      <w:pPr>
        <w:pStyle w:val="FootnoteText"/>
      </w:pPr>
      <w:r>
        <w:rPr>
          <w:rStyle w:val="FootnoteReference"/>
        </w:rPr>
        <w:footnoteRef/>
      </w:r>
      <w:r>
        <w:t xml:space="preserve"> </w:t>
      </w:r>
      <w:r w:rsidR="006933A2" w:rsidRPr="00513F3B">
        <w:rPr>
          <w:lang w:eastAsia="en-GB"/>
        </w:rPr>
        <w:t>SN 52.2,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347A13E6" w:rsidR="00625C11" w:rsidRDefault="00625C11">
      <w:pPr>
        <w:pStyle w:val="FootnoteText"/>
      </w:pPr>
      <w:r>
        <w:rPr>
          <w:rStyle w:val="FootnoteReference"/>
        </w:rPr>
        <w:footnoteRef/>
      </w:r>
      <w:r>
        <w:t xml:space="preserve"> </w:t>
      </w:r>
      <w:r w:rsidR="006933A2" w:rsidRPr="00513F3B">
        <w:rPr>
          <w:lang w:eastAsia="en-GB"/>
        </w:rPr>
        <w:t>The discourse and commentary, together with extracts from the sub-commentary, have been published in translation by SOMA Thera under the title </w:t>
      </w:r>
      <w:r w:rsidR="006933A2" w:rsidRPr="00513F3B">
        <w:rPr>
          <w:i/>
          <w:iCs/>
          <w:lang w:eastAsia="en-GB"/>
        </w:rPr>
        <w:t>The Way of Mindfulness</w:t>
      </w:r>
      <w:r w:rsidR="006933A2" w:rsidRPr="00513F3B">
        <w:rPr>
          <w:lang w:eastAsia="en-GB"/>
        </w:rPr>
        <w:t>.</w:t>
      </w:r>
    </w:p>
  </w:footnote>
  <w:footnote w:id="448">
    <w:p w14:paraId="7BF1CCF3" w14:textId="67CF449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30.</w:t>
      </w:r>
    </w:p>
  </w:footnote>
  <w:footnote w:id="449">
    <w:p w14:paraId="2C048318" w14:textId="7B7B5443"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40.</w:t>
      </w:r>
    </w:p>
  </w:footnote>
  <w:footnote w:id="450">
    <w:p w14:paraId="1BDE06F4" w14:textId="456C52E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54.</w:t>
      </w:r>
    </w:p>
  </w:footnote>
  <w:footnote w:id="451">
    <w:p w14:paraId="55B8BF54" w14:textId="6DCEC9CE"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97.</w:t>
      </w:r>
    </w:p>
  </w:footnote>
  <w:footnote w:id="452">
    <w:p w14:paraId="73498E67" w14:textId="7AC1F240"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39.</w:t>
      </w:r>
    </w:p>
  </w:footnote>
  <w:footnote w:id="453">
    <w:p w14:paraId="6D01E68B" w14:textId="56E2DD8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165.</w:t>
      </w:r>
    </w:p>
  </w:footnote>
  <w:footnote w:id="454">
    <w:p w14:paraId="3B26479D" w14:textId="54C2CC8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5983FC62" w:rsidR="00397BF4" w:rsidRDefault="00397BF4">
      <w:pPr>
        <w:pStyle w:val="FootnoteText"/>
      </w:pPr>
      <w:r>
        <w:rPr>
          <w:rStyle w:val="FootnoteReference"/>
        </w:rPr>
        <w:footnoteRef/>
      </w:r>
      <w:r>
        <w:t xml:space="preserve"> </w:t>
      </w:r>
      <w:r w:rsidR="006933A2" w:rsidRPr="00513F3B">
        <w:rPr>
          <w:lang w:eastAsia="en-GB"/>
        </w:rPr>
        <w:t>Aśokarājavadāna 1206 [ PRZYLYSKI 1923 a:363–364].</w:t>
      </w:r>
    </w:p>
  </w:footnote>
  <w:footnote w:id="458">
    <w:p w14:paraId="3B62211B" w14:textId="3EBA3378" w:rsidR="00397BF4" w:rsidRDefault="00397BF4">
      <w:pPr>
        <w:pStyle w:val="FootnoteText"/>
      </w:pPr>
      <w:r>
        <w:rPr>
          <w:rStyle w:val="FootnoteReference"/>
        </w:rPr>
        <w:footnoteRef/>
      </w:r>
      <w:r>
        <w:t xml:space="preserve"> </w:t>
      </w:r>
      <w:r w:rsidR="006933A2" w:rsidRPr="00513F3B">
        <w:rPr>
          <w:lang w:eastAsia="en-GB"/>
        </w:rPr>
        <w:t>Aśokarājavadāna pg.</w:t>
      </w:r>
      <w:r w:rsidR="006933A2" w:rsidRPr="00513F3B">
        <w:rPr>
          <w:rFonts w:ascii="Times New Roman" w:hAnsi="Times New Roman"/>
          <w:lang w:eastAsia="en-GB"/>
        </w:rPr>
        <w:t> </w:t>
      </w:r>
      <w:r w:rsidR="006933A2" w:rsidRPr="00513F3B">
        <w:rPr>
          <w:lang w:eastAsia="en-GB"/>
        </w:rPr>
        <w:t>3 [Strong 1983b:174; PRZYLYSKI 1923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54249D88" w:rsidR="00397BF4" w:rsidRDefault="00397BF4">
      <w:pPr>
        <w:pStyle w:val="FootnoteText"/>
      </w:pPr>
      <w:r>
        <w:rPr>
          <w:rStyle w:val="FootnoteReference"/>
        </w:rPr>
        <w:footnoteRef/>
      </w:r>
      <w:r>
        <w:t xml:space="preserve"> </w:t>
      </w:r>
      <w:r w:rsidR="006933A2" w:rsidRPr="00513F3B">
        <w:rPr>
          <w:lang w:eastAsia="en-GB"/>
        </w:rPr>
        <w:t>FRAUWALLNER (1995),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217CF580" w:rsidR="007E12BF" w:rsidRDefault="007E12BF">
      <w:pPr>
        <w:pStyle w:val="FootnoteText"/>
      </w:pPr>
      <w:r>
        <w:rPr>
          <w:rStyle w:val="FootnoteReference"/>
        </w:rPr>
        <w:footnoteRef/>
      </w:r>
      <w:r>
        <w:t xml:space="preserve"> </w:t>
      </w:r>
      <w:r w:rsidR="006933A2" w:rsidRPr="00513F3B">
        <w:rPr>
          <w:lang w:eastAsia="en-GB"/>
        </w:rPr>
        <w:t>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006933A2" w:rsidRPr="00513F3B">
        <w:rPr>
          <w:rFonts w:ascii="Times New Roman" w:hAnsi="Times New Roman"/>
          <w:lang w:eastAsia="en-GB"/>
        </w:rPr>
        <w:t>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2FDCE9BF"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6933A2" w:rsidRPr="00513F3B">
        <w:rPr>
          <w:rFonts w:ascii="Times New Roman" w:hAnsi="Times New Roman"/>
          <w:lang w:eastAsia="en-GB"/>
        </w:rPr>
        <w:t> </w:t>
      </w:r>
      <w:r w:rsidR="006933A2" w:rsidRPr="00513F3B">
        <w:rPr>
          <w:lang w:eastAsia="en-GB"/>
        </w:rPr>
        <w:t>99).</w:t>
      </w:r>
    </w:p>
  </w:footnote>
  <w:footnote w:id="473">
    <w:p w14:paraId="3E85CFD7" w14:textId="7C5E6BD7"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48.</w:t>
      </w:r>
    </w:p>
  </w:footnote>
  <w:footnote w:id="474">
    <w:p w14:paraId="15BF764E" w14:textId="265C643D"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52.</w:t>
      </w:r>
    </w:p>
  </w:footnote>
  <w:footnote w:id="475">
    <w:p w14:paraId="18CD262D" w14:textId="2AE89B14" w:rsidR="007E12BF" w:rsidRDefault="007E12BF">
      <w:pPr>
        <w:pStyle w:val="FootnoteText"/>
      </w:pPr>
      <w:r>
        <w:rPr>
          <w:rStyle w:val="FootnoteReference"/>
        </w:rPr>
        <w:footnoteRef/>
      </w:r>
      <w:r>
        <w:t xml:space="preserve"> </w:t>
      </w:r>
      <w:r w:rsidR="006933A2" w:rsidRPr="00513F3B">
        <w:rPr>
          <w:lang w:eastAsia="en-GB"/>
        </w:rPr>
        <w:t>SAMTANI,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52BEE42" w:rsidR="007E12BF" w:rsidRDefault="007E12BF">
      <w:pPr>
        <w:pStyle w:val="FootnoteText"/>
      </w:pPr>
      <w:r>
        <w:rPr>
          <w:rStyle w:val="FootnoteReference"/>
        </w:rPr>
        <w:footnoteRef/>
      </w:r>
      <w:r>
        <w:t xml:space="preserve"> </w:t>
      </w:r>
      <w:r w:rsidR="006933A2" w:rsidRPr="00513F3B">
        <w:rPr>
          <w:lang w:eastAsia="en-GB"/>
        </w:rPr>
        <w:t>DUTT, pg.</w:t>
      </w:r>
      <w:r w:rsidR="006933A2" w:rsidRPr="00513F3B">
        <w:rPr>
          <w:rFonts w:ascii="Times New Roman" w:hAnsi="Times New Roman"/>
          <w:lang w:eastAsia="en-GB"/>
        </w:rPr>
        <w:t> </w:t>
      </w:r>
      <w:r w:rsidR="006933A2" w:rsidRPr="00513F3B">
        <w:rPr>
          <w:lang w:eastAsia="en-GB"/>
        </w:rPr>
        <w:t>187.</w:t>
      </w:r>
    </w:p>
  </w:footnote>
  <w:footnote w:id="478">
    <w:p w14:paraId="49D0316A" w14:textId="75DE02AB" w:rsidR="007E12BF" w:rsidRDefault="007E12BF">
      <w:pPr>
        <w:pStyle w:val="FootnoteText"/>
      </w:pPr>
      <w:r>
        <w:rPr>
          <w:rStyle w:val="FootnoteReference"/>
        </w:rPr>
        <w:footnoteRef/>
      </w:r>
      <w:r>
        <w:t xml:space="preserve"> </w:t>
      </w:r>
      <w:r w:rsidR="006933A2" w:rsidRPr="00513F3B">
        <w:rPr>
          <w:lang w:eastAsia="en-GB"/>
        </w:rPr>
        <w:t>ENOMOTO 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 Sarvāstivāda also has the root (</w:t>
      </w:r>
      <w:r w:rsidR="006933A2" w:rsidRPr="00513F3B">
        <w:rPr>
          <w:i/>
          <w:iCs/>
          <w:lang w:eastAsia="en-GB"/>
        </w:rPr>
        <w:t>mūla</w:t>
      </w:r>
      <w:r w:rsidR="006933A2" w:rsidRPr="00513F3B">
        <w:rPr>
          <w:lang w:eastAsia="en-GB"/>
        </w:rPr>
        <w:t>) and the branches. Of them the root is one, namely Sarvāstivāda. The branches derived from it are seven, namely Mūlasarvāstivāda, Kaśyapīya, Mahīśasaka, Dharmaguptaka, Bahūśrutīya, Ta</w:t>
      </w:r>
      <w:r w:rsidR="006933A2" w:rsidRPr="00513F3B">
        <w:rPr>
          <w:rFonts w:ascii="Cambria" w:hAnsi="Cambria" w:cs="Cambria"/>
          <w:lang w:eastAsia="en-GB"/>
        </w:rPr>
        <w:t>ṁ</w:t>
      </w:r>
      <w:r w:rsidR="006933A2" w:rsidRPr="00513F3B">
        <w:rPr>
          <w:lang w:eastAsia="en-GB"/>
        </w:rPr>
        <w:t>ra</w:t>
      </w:r>
      <w:r w:rsidR="006933A2" w:rsidRPr="00513F3B">
        <w:rPr>
          <w:rFonts w:cs="Source Serif Pro"/>
          <w:lang w:eastAsia="en-GB"/>
        </w:rPr>
        <w:t>śā</w:t>
      </w:r>
      <w:r w:rsidR="006933A2" w:rsidRPr="00513F3B">
        <w:rPr>
          <w:lang w:eastAsia="en-GB"/>
        </w:rPr>
        <w:t>tiya, and Vibhajyav</w:t>
      </w:r>
      <w:r w:rsidR="006933A2" w:rsidRPr="00513F3B">
        <w:rPr>
          <w:rFonts w:cs="Source Serif Pro"/>
          <w:lang w:eastAsia="en-GB"/>
        </w:rPr>
        <w:t>ā</w:t>
      </w:r>
      <w:r w:rsidR="006933A2" w:rsidRPr="00513F3B">
        <w:rPr>
          <w:lang w:eastAsia="en-GB"/>
        </w:rPr>
        <w:t>da.</w:t>
      </w:r>
      <w:r w:rsidR="006933A2" w:rsidRPr="00513F3B">
        <w:rPr>
          <w:rFonts w:cs="Source Serif Pro"/>
          <w:lang w:eastAsia="en-GB"/>
        </w:rPr>
        <w:t>’</w:t>
      </w:r>
      <w:r w:rsidR="006933A2" w:rsidRPr="00513F3B">
        <w:rPr>
          <w:lang w:eastAsia="en-GB"/>
        </w:rPr>
        <w:t xml:space="preserve"> This is obviously polemical, aimed at exalting one school over another, and its historical value is diminished accordingly. As it stands, the passage clearly distinguishes between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and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What it seems to be claiming is that the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the real root (</w:t>
      </w:r>
      <w:r w:rsidR="006933A2" w:rsidRPr="00513F3B">
        <w:rPr>
          <w:i/>
          <w:iCs/>
          <w:lang w:eastAsia="en-GB"/>
        </w:rPr>
        <w:t>mūla</w:t>
      </w:r>
      <w:r w:rsidR="006933A2"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006933A2" w:rsidRPr="00513F3B">
        <w:rPr>
          <w:rFonts w:ascii="Cambria" w:hAnsi="Cambria" w:cs="Cambria"/>
          <w:lang w:eastAsia="en-GB"/>
        </w:rPr>
        <w:t>ṁ</w:t>
      </w:r>
      <w:r w:rsidR="006933A2" w:rsidRPr="00513F3B">
        <w:rPr>
          <w:lang w:eastAsia="en-GB"/>
        </w:rPr>
        <w:t>yutta-m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has no specially close relation with the topics of the Dharmaskandha. Others suggest that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really the same as the Sautr</w:t>
      </w:r>
      <w:r w:rsidR="006933A2" w:rsidRPr="00513F3B">
        <w:rPr>
          <w:rFonts w:cs="Source Serif Pro"/>
          <w:lang w:eastAsia="en-GB"/>
        </w:rPr>
        <w:t>ā</w:t>
      </w:r>
      <w:r w:rsidR="006933A2" w:rsidRPr="00513F3B">
        <w:rPr>
          <w:lang w:eastAsia="en-GB"/>
        </w:rPr>
        <w:t>ntika. This, too, I find implausible, though I have not examined the arguments in detail.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Vinaya has Mah</w:t>
      </w:r>
      <w:r w:rsidR="006933A2" w:rsidRPr="00513F3B">
        <w:rPr>
          <w:rFonts w:cs="Source Serif Pro"/>
          <w:lang w:eastAsia="en-GB"/>
        </w:rPr>
        <w:t>ā</w:t>
      </w:r>
      <w:r w:rsidR="006933A2" w:rsidRPr="00513F3B">
        <w:rPr>
          <w:lang w:eastAsia="en-GB"/>
        </w:rPr>
        <w:t xml:space="preserve"> Kassapa reciting the 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4A13A20B"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13F3B">
        <w:rPr>
          <w:i/>
          <w:iCs/>
          <w:lang w:eastAsia="en-GB"/>
        </w:rPr>
        <w:t>The World’s Great Religions</w:t>
      </w:r>
      <w:r w:rsidR="006933A2" w:rsidRPr="00513F3B">
        <w:rPr>
          <w:lang w:eastAsia="en-GB"/>
        </w:rPr>
        <w:t>, pg.</w:t>
      </w:r>
      <w:r w:rsidR="006933A2" w:rsidRPr="00513F3B">
        <w:rPr>
          <w:rFonts w:ascii="Times New Roman" w:hAnsi="Times New Roman"/>
          <w:lang w:eastAsia="en-GB"/>
        </w:rPr>
        <w:t> </w:t>
      </w:r>
      <w:r w:rsidR="006933A2" w:rsidRPr="00513F3B">
        <w:rPr>
          <w:lang w:eastAsia="en-GB"/>
        </w:rPr>
        <w:t>63, published by Time Inc., 1957). French translation by LIN.</w:t>
      </w:r>
    </w:p>
  </w:footnote>
  <w:footnote w:id="482">
    <w:p w14:paraId="385DD56F" w14:textId="5FD55ABA" w:rsidR="007E12BF" w:rsidRDefault="007E12BF">
      <w:pPr>
        <w:pStyle w:val="FootnoteText"/>
      </w:pPr>
      <w:r>
        <w:rPr>
          <w:rStyle w:val="FootnoteReference"/>
        </w:rPr>
        <w:footnoteRef/>
      </w:r>
      <w:r>
        <w:t xml:space="preserve"> </w:t>
      </w:r>
      <w:r w:rsidR="006933A2" w:rsidRPr="00513F3B">
        <w:rPr>
          <w:lang w:eastAsia="en-GB"/>
        </w:rPr>
        <w:t>AN 4.170/SA 560.</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1D720C13" w:rsidR="007E12BF" w:rsidRDefault="007E12BF">
      <w:pPr>
        <w:pStyle w:val="FootnoteText"/>
      </w:pPr>
      <w:r>
        <w:rPr>
          <w:rStyle w:val="FootnoteReference"/>
        </w:rPr>
        <w:footnoteRef/>
      </w:r>
      <w:r>
        <w:t xml:space="preserve"> </w:t>
      </w:r>
      <w:r w:rsidR="006933A2" w:rsidRPr="00513F3B">
        <w:rPr>
          <w:lang w:eastAsia="en-GB"/>
        </w:rPr>
        <w:t>CHANG, pg.</w:t>
      </w:r>
      <w:r w:rsidR="006933A2" w:rsidRPr="00513F3B">
        <w:rPr>
          <w:rFonts w:ascii="Times New Roman" w:hAnsi="Times New Roman"/>
          <w:lang w:eastAsia="en-GB"/>
        </w:rPr>
        <w:t> </w:t>
      </w:r>
      <w:r w:rsidR="006933A2" w:rsidRPr="00513F3B">
        <w:rPr>
          <w:lang w:eastAsia="en-GB"/>
        </w:rPr>
        <w:t>399.</w:t>
      </w:r>
    </w:p>
  </w:footnote>
  <w:footnote w:id="485">
    <w:p w14:paraId="23DE96ED" w14:textId="3C9036A9" w:rsidR="007E12BF" w:rsidRDefault="007E12BF">
      <w:pPr>
        <w:pStyle w:val="FootnoteText"/>
      </w:pPr>
      <w:r>
        <w:rPr>
          <w:rStyle w:val="FootnoteReference"/>
        </w:rPr>
        <w:footnoteRef/>
      </w:r>
      <w:r>
        <w:t xml:space="preserve"> </w:t>
      </w:r>
      <w:r w:rsidR="006933A2" w:rsidRPr="00513F3B">
        <w:rPr>
          <w:lang w:eastAsia="en-GB"/>
        </w:rPr>
        <w:t>CLEARY, pg.</w:t>
      </w:r>
      <w:r w:rsidR="006933A2" w:rsidRPr="00513F3B">
        <w:rPr>
          <w:rFonts w:ascii="Times New Roman" w:hAnsi="Times New Roman"/>
          <w:lang w:eastAsia="en-GB"/>
        </w:rPr>
        <w:t> </w:t>
      </w:r>
      <w:r w:rsidR="006933A2" w:rsidRPr="00513F3B">
        <w:rPr>
          <w:lang w:eastAsia="en-GB"/>
        </w:rPr>
        <w:t>729 (one-volume edition), Vol. 2, pg.</w:t>
      </w:r>
      <w:r w:rsidR="006933A2" w:rsidRPr="00513F3B">
        <w:rPr>
          <w:rFonts w:ascii="Times New Roman" w:hAnsi="Times New Roman"/>
          <w:lang w:eastAsia="en-GB"/>
        </w:rPr>
        <w:t>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17C41D03" w:rsidR="007E12BF" w:rsidRDefault="007E12BF">
      <w:pPr>
        <w:pStyle w:val="FootnoteText"/>
      </w:pPr>
      <w:r>
        <w:rPr>
          <w:rStyle w:val="FootnoteReference"/>
        </w:rPr>
        <w:footnoteRef/>
      </w:r>
      <w:r>
        <w:t xml:space="preserve"> </w:t>
      </w:r>
      <w:r w:rsidR="00A620EE" w:rsidRPr="00513F3B">
        <w:rPr>
          <w:lang w:eastAsia="en-GB"/>
        </w:rPr>
        <w:t>HARRISON, pp. 144, 145.</w:t>
      </w:r>
    </w:p>
  </w:footnote>
  <w:footnote w:id="488">
    <w:p w14:paraId="1C45F7B5" w14:textId="599C3D54" w:rsidR="007E12BF" w:rsidRDefault="007E12BF">
      <w:pPr>
        <w:pStyle w:val="FootnoteText"/>
      </w:pPr>
      <w:r>
        <w:rPr>
          <w:rStyle w:val="FootnoteReference"/>
        </w:rPr>
        <w:footnoteRef/>
      </w:r>
      <w:r>
        <w:t xml:space="preserve"> </w:t>
      </w:r>
      <w:r w:rsidR="00A620EE" w:rsidRPr="00513F3B">
        <w:rPr>
          <w:lang w:eastAsia="en-GB"/>
        </w:rPr>
        <w:t>MN 125/MA 198.</w:t>
      </w:r>
    </w:p>
  </w:footnote>
  <w:footnote w:id="489">
    <w:p w14:paraId="406B4EA9" w14:textId="150B8C02" w:rsidR="007E12BF" w:rsidRDefault="007E12BF">
      <w:pPr>
        <w:pStyle w:val="FootnoteText"/>
      </w:pPr>
      <w:r>
        <w:rPr>
          <w:rStyle w:val="FootnoteReference"/>
        </w:rPr>
        <w:footnoteRef/>
      </w:r>
      <w:r>
        <w:t xml:space="preserve"> </w:t>
      </w:r>
      <w:r w:rsidR="00A620EE" w:rsidRPr="00513F3B">
        <w:rPr>
          <w:lang w:eastAsia="en-GB"/>
        </w:rPr>
        <w:t>E.g. MN 123.3/MA 32.</w:t>
      </w:r>
    </w:p>
  </w:footnote>
  <w:footnote w:id="490">
    <w:p w14:paraId="2DFEB94E" w14:textId="1B441D18" w:rsidR="007E12BF" w:rsidRDefault="007E12BF">
      <w:pPr>
        <w:pStyle w:val="FootnoteText"/>
      </w:pPr>
      <w:r>
        <w:rPr>
          <w:rStyle w:val="FootnoteReference"/>
        </w:rPr>
        <w:footnoteRef/>
      </w:r>
      <w:r>
        <w:t xml:space="preserve"> </w:t>
      </w:r>
      <w:r w:rsidR="00A620EE" w:rsidRPr="00513F3B">
        <w:rPr>
          <w:lang w:eastAsia="en-GB"/>
        </w:rPr>
        <w:t>HARRISON, pg.</w:t>
      </w:r>
      <w:r w:rsidR="00A620EE" w:rsidRPr="00513F3B">
        <w:rPr>
          <w:rFonts w:ascii="Times New Roman" w:hAnsi="Times New Roman"/>
          <w:lang w:eastAsia="en-GB"/>
        </w:rPr>
        <w:t> </w:t>
      </w:r>
      <w:r w:rsidR="00A620EE" w:rsidRPr="00513F3B">
        <w:rPr>
          <w:lang w:eastAsia="en-GB"/>
        </w:rPr>
        <w:t>41.</w:t>
      </w:r>
    </w:p>
  </w:footnote>
  <w:footnote w:id="491">
    <w:p w14:paraId="6E554495" w14:textId="6EBF900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(ANACKER pg.</w:t>
      </w:r>
      <w:r w:rsidR="00A620EE" w:rsidRPr="00513F3B">
        <w:rPr>
          <w:rFonts w:ascii="Times New Roman" w:hAnsi="Times New Roman"/>
          <w:lang w:eastAsia="en-GB"/>
        </w:rPr>
        <w:t> </w:t>
      </w:r>
      <w:r w:rsidR="00A620EE" w:rsidRPr="00513F3B">
        <w:rPr>
          <w:lang w:eastAsia="en-GB"/>
        </w:rPr>
        <w:t>166).</w:t>
      </w:r>
    </w:p>
  </w:footnote>
  <w:footnote w:id="492">
    <w:p w14:paraId="3CF4B71D" w14:textId="1F73A75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w:t>
      </w:r>
    </w:p>
  </w:footnote>
  <w:footnote w:id="493">
    <w:p w14:paraId="62C41DAE" w14:textId="600F7AB0"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xviii.</w:t>
      </w:r>
    </w:p>
  </w:footnote>
  <w:footnote w:id="494">
    <w:p w14:paraId="5DCBAF83" w14:textId="3ADA1C0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9.</w:t>
      </w:r>
    </w:p>
  </w:footnote>
  <w:footnote w:id="495">
    <w:p w14:paraId="2A0A9506" w14:textId="456FB792" w:rsidR="00A91783" w:rsidRDefault="00A91783">
      <w:pPr>
        <w:pStyle w:val="FootnoteText"/>
      </w:pPr>
      <w:r>
        <w:rPr>
          <w:rStyle w:val="FootnoteReference"/>
        </w:rPr>
        <w:footnoteRef/>
      </w:r>
      <w:r>
        <w:t xml:space="preserve"> </w:t>
      </w:r>
      <w:r w:rsidR="00420504" w:rsidRPr="00513F3B">
        <w:rPr>
          <w:lang w:eastAsia="en-GB"/>
        </w:rPr>
        <w:t>BOIN-WEBB, pp.</w:t>
      </w:r>
      <w:r w:rsidR="00420504" w:rsidRPr="00513F3B">
        <w:rPr>
          <w:rFonts w:ascii="Times New Roman" w:hAnsi="Times New Roman"/>
          <w:lang w:eastAsia="en-GB"/>
        </w:rPr>
        <w:t>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14166587" w:rsidR="00A91783" w:rsidRDefault="00A91783">
      <w:pPr>
        <w:pStyle w:val="FootnoteText"/>
      </w:pPr>
      <w:r>
        <w:rPr>
          <w:rStyle w:val="FootnoteReference"/>
        </w:rPr>
        <w:footnoteRef/>
      </w:r>
      <w:r>
        <w:t xml:space="preserve"> </w:t>
      </w:r>
      <w:r w:rsidR="00420504" w:rsidRPr="00513F3B">
        <w:rPr>
          <w:lang w:eastAsia="en-GB"/>
        </w:rPr>
        <w:t>See CDB, note 1, pg.</w:t>
      </w:r>
      <w:r w:rsidR="00420504" w:rsidRPr="00513F3B">
        <w:rPr>
          <w:rFonts w:ascii="Times New Roman" w:hAnsi="Times New Roman"/>
          <w:lang w:eastAsia="en-GB"/>
        </w:rPr>
        <w:t> </w:t>
      </w:r>
      <w:r w:rsidR="00420504" w:rsidRPr="00513F3B">
        <w:rPr>
          <w:lang w:eastAsia="en-GB"/>
        </w:rPr>
        <w:t>1397.</w:t>
      </w:r>
    </w:p>
  </w:footnote>
  <w:footnote w:id="497">
    <w:p w14:paraId="72193D9E" w14:textId="3FFA366B"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166.</w:t>
      </w:r>
    </w:p>
  </w:footnote>
  <w:footnote w:id="498">
    <w:p w14:paraId="33C743E4" w14:textId="1B7D666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168.</w:t>
      </w:r>
    </w:p>
  </w:footnote>
  <w:footnote w:id="499">
    <w:p w14:paraId="0686928D" w14:textId="7962A900" w:rsidR="00A91783" w:rsidRDefault="00A91783">
      <w:pPr>
        <w:pStyle w:val="FootnoteText"/>
      </w:pPr>
      <w:r>
        <w:rPr>
          <w:rStyle w:val="FootnoteReference"/>
        </w:rPr>
        <w:footnoteRef/>
      </w:r>
      <w:r>
        <w:t xml:space="preserve"> </w:t>
      </w:r>
      <w:r w:rsidR="00420504" w:rsidRPr="00513F3B">
        <w:rPr>
          <w:lang w:eastAsia="en-GB"/>
        </w:rPr>
        <w:t>WAYMAN, pp.97–98.</w:t>
      </w:r>
    </w:p>
  </w:footnote>
  <w:footnote w:id="500">
    <w:p w14:paraId="13194A0A" w14:textId="27CF03D3" w:rsidR="00A91783" w:rsidRDefault="00A91783">
      <w:pPr>
        <w:pStyle w:val="FootnoteText"/>
      </w:pPr>
      <w:r>
        <w:rPr>
          <w:rStyle w:val="FootnoteReference"/>
        </w:rPr>
        <w:footnoteRef/>
      </w:r>
      <w:r>
        <w:t xml:space="preserve"> </w:t>
      </w:r>
      <w:r w:rsidR="00420504" w:rsidRPr="00513F3B">
        <w:rPr>
          <w:lang w:eastAsia="en-GB"/>
        </w:rPr>
        <w:t>Frauwallner’s postulation of ‘two Vasubandhus’ has been vigorously contested by ANACKER (pp.</w:t>
      </w:r>
      <w:r w:rsidR="00420504" w:rsidRPr="00513F3B">
        <w:rPr>
          <w:rFonts w:ascii="Times New Roman" w:hAnsi="Times New Roman"/>
          <w:lang w:eastAsia="en-GB"/>
        </w:rPr>
        <w:t>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3259356A" w:rsidR="00A91783" w:rsidRDefault="00A91783">
      <w:pPr>
        <w:pStyle w:val="FootnoteText"/>
      </w:pPr>
      <w:r>
        <w:rPr>
          <w:rStyle w:val="FootnoteReference"/>
        </w:rPr>
        <w:footnoteRef/>
      </w:r>
      <w:r>
        <w:t xml:space="preserve"> </w:t>
      </w:r>
      <w:r w:rsidR="00420504" w:rsidRPr="00513F3B">
        <w:rPr>
          <w:lang w:eastAsia="en-GB"/>
        </w:rPr>
        <w:t>MVB 4.1. Anacker has published an earlier, partial translation of this work in under the title ‘The Meditational Therapy of the Madhyāntavibhāgabhāṣya’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61E10901" w:rsidR="00A91783" w:rsidRDefault="00A91783">
      <w:pPr>
        <w:pStyle w:val="FootnoteText"/>
      </w:pPr>
      <w:r>
        <w:rPr>
          <w:rStyle w:val="FootnoteReference"/>
        </w:rPr>
        <w:footnoteRef/>
      </w:r>
      <w:r>
        <w:t xml:space="preserve"> </w:t>
      </w:r>
      <w:r w:rsidR="00420504" w:rsidRPr="00513F3B">
        <w:rPr>
          <w:lang w:eastAsia="en-GB"/>
        </w:rPr>
        <w:t>ANACKER’s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2BB39938" w:rsidR="00A91783" w:rsidRDefault="00A91783">
      <w:pPr>
        <w:pStyle w:val="FootnoteText"/>
      </w:pPr>
      <w:r>
        <w:rPr>
          <w:rStyle w:val="FootnoteReference"/>
        </w:rPr>
        <w:footnoteRef/>
      </w:r>
      <w:r>
        <w:t xml:space="preserve"> </w:t>
      </w:r>
      <w:r w:rsidR="00420504" w:rsidRPr="00513F3B">
        <w:rPr>
          <w:lang w:eastAsia="en-GB"/>
        </w:rPr>
        <w:t>SN 47.19.</w:t>
      </w:r>
    </w:p>
  </w:footnote>
  <w:footnote w:id="510">
    <w:p w14:paraId="1E9C812A" w14:textId="5AE100F1"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247.</w:t>
      </w:r>
    </w:p>
  </w:footnote>
  <w:footnote w:id="511">
    <w:p w14:paraId="6F497B65" w14:textId="163ABD3B"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289.</w:t>
      </w:r>
    </w:p>
  </w:footnote>
  <w:footnote w:id="512">
    <w:p w14:paraId="4FB47B71" w14:textId="08FAEDDB" w:rsidR="00A91783" w:rsidRDefault="00A91783">
      <w:pPr>
        <w:pStyle w:val="FootnoteText"/>
      </w:pPr>
      <w:r>
        <w:rPr>
          <w:rStyle w:val="FootnoteReference"/>
        </w:rPr>
        <w:footnoteRef/>
      </w:r>
      <w:r>
        <w:t xml:space="preserve"> </w:t>
      </w:r>
      <w:r w:rsidR="00420504" w:rsidRPr="00513F3B">
        <w:rPr>
          <w:lang w:eastAsia="en-GB"/>
        </w:rPr>
        <w:t>HOPKINS , pg.</w:t>
      </w:r>
      <w:r w:rsidR="00420504" w:rsidRPr="00513F3B">
        <w:rPr>
          <w:rFonts w:ascii="Times New Roman" w:hAnsi="Times New Roman"/>
          <w:lang w:eastAsia="en-GB"/>
        </w:rPr>
        <w:t> </w:t>
      </w:r>
      <w:r w:rsidR="00420504" w:rsidRPr="00513F3B">
        <w:rPr>
          <w:lang w:eastAsia="en-GB"/>
        </w:rPr>
        <w:t>72, chart 2.</w:t>
      </w:r>
    </w:p>
  </w:footnote>
  <w:footnote w:id="513">
    <w:p w14:paraId="4A92F7AE" w14:textId="25F7EDE7" w:rsidR="00A91783" w:rsidRDefault="00A91783">
      <w:pPr>
        <w:pStyle w:val="FootnoteText"/>
      </w:pPr>
      <w:r>
        <w:rPr>
          <w:rStyle w:val="FootnoteReference"/>
        </w:rPr>
        <w:footnoteRef/>
      </w:r>
      <w:r>
        <w:t xml:space="preserve"> </w:t>
      </w:r>
      <w:r w:rsidR="00420504" w:rsidRPr="00513F3B">
        <w:rPr>
          <w:lang w:eastAsia="en-GB"/>
        </w:rPr>
        <w:t>HOPKINS , pg.</w:t>
      </w:r>
      <w:r w:rsidR="00420504" w:rsidRPr="00513F3B">
        <w:rPr>
          <w:rFonts w:ascii="Times New Roman" w:hAnsi="Times New Roman"/>
          <w:lang w:eastAsia="en-GB"/>
        </w:rPr>
        <w:t> </w:t>
      </w:r>
      <w:r w:rsidR="00420504" w:rsidRPr="00513F3B">
        <w:rPr>
          <w:lang w:eastAsia="en-GB"/>
        </w:rPr>
        <w:t>81, chart 3.</w:t>
      </w:r>
    </w:p>
  </w:footnote>
  <w:footnote w:id="514">
    <w:p w14:paraId="6B6C76BA" w14:textId="2E5770E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The Theravāda Abhidhamma definition of samatha similarly includes a series of terms derived from √</w:t>
      </w:r>
      <w:r w:rsidR="00420504" w:rsidRPr="00513F3B">
        <w:rPr>
          <w:i/>
          <w:iCs/>
          <w:lang w:eastAsia="en-GB"/>
        </w:rPr>
        <w:t>sthā</w:t>
      </w:r>
      <w:r w:rsidR="00420504" w:rsidRPr="00513F3B">
        <w:rPr>
          <w:lang w:eastAsia="en-GB"/>
        </w:rPr>
        <w:t>; this has the same prefixes in the same order (</w:t>
      </w:r>
      <w:r w:rsidR="00420504" w:rsidRPr="00513F3B">
        <w:rPr>
          <w:i/>
          <w:iCs/>
          <w:lang w:eastAsia="en-GB"/>
        </w:rPr>
        <w:t>ṭhiti</w:t>
      </w:r>
      <w:r w:rsidR="00420504" w:rsidRPr="00513F3B">
        <w:rPr>
          <w:lang w:eastAsia="en-GB"/>
        </w:rPr>
        <w:t>, </w:t>
      </w:r>
      <w:r w:rsidR="00420504" w:rsidRPr="00513F3B">
        <w:rPr>
          <w:i/>
          <w:iCs/>
          <w:lang w:eastAsia="en-GB"/>
        </w:rPr>
        <w:t>saṇṭhiti</w:t>
      </w:r>
      <w:r w:rsidR="00420504" w:rsidRPr="00513F3B">
        <w:rPr>
          <w:lang w:eastAsia="en-GB"/>
        </w:rPr>
        <w:t>, </w:t>
      </w:r>
      <w:r w:rsidR="00420504" w:rsidRPr="00513F3B">
        <w:rPr>
          <w:i/>
          <w:iCs/>
          <w:lang w:eastAsia="en-GB"/>
        </w:rPr>
        <w:t>avaṭṭhiti</w:t>
      </w:r>
      <w:r w:rsidR="00420504" w:rsidRPr="00513F3B">
        <w:rPr>
          <w:lang w:eastAsia="en-GB"/>
        </w:rPr>
        <w:t>).</w:t>
      </w:r>
    </w:p>
  </w:footnote>
  <w:footnote w:id="516">
    <w:p w14:paraId="2B05246E" w14:textId="0419750C" w:rsidR="00A91783" w:rsidRDefault="00A91783">
      <w:pPr>
        <w:pStyle w:val="FootnoteText"/>
      </w:pPr>
      <w:r>
        <w:rPr>
          <w:rStyle w:val="FootnoteReference"/>
        </w:rPr>
        <w:footnoteRef/>
      </w:r>
      <w:r>
        <w:t xml:space="preserve"> </w:t>
      </w:r>
      <w:r w:rsidR="00420504" w:rsidRPr="00513F3B">
        <w:rPr>
          <w:lang w:eastAsia="en-GB"/>
        </w:rPr>
        <w:t>AN 5.73.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10FF8"/>
    <w:rsid w:val="00012F00"/>
    <w:rsid w:val="00020263"/>
    <w:rsid w:val="000209BC"/>
    <w:rsid w:val="00036596"/>
    <w:rsid w:val="00036A77"/>
    <w:rsid w:val="0004151E"/>
    <w:rsid w:val="00042632"/>
    <w:rsid w:val="00042C85"/>
    <w:rsid w:val="000539D7"/>
    <w:rsid w:val="0005628A"/>
    <w:rsid w:val="00061235"/>
    <w:rsid w:val="00066C41"/>
    <w:rsid w:val="00067548"/>
    <w:rsid w:val="0007005E"/>
    <w:rsid w:val="00090D5F"/>
    <w:rsid w:val="00091989"/>
    <w:rsid w:val="0009232E"/>
    <w:rsid w:val="00092759"/>
    <w:rsid w:val="00097CEC"/>
    <w:rsid w:val="000A0E39"/>
    <w:rsid w:val="000A47A2"/>
    <w:rsid w:val="000A632A"/>
    <w:rsid w:val="000B458E"/>
    <w:rsid w:val="000B55EC"/>
    <w:rsid w:val="000B7FA1"/>
    <w:rsid w:val="000C0FB2"/>
    <w:rsid w:val="000C5780"/>
    <w:rsid w:val="000D3E48"/>
    <w:rsid w:val="000E4572"/>
    <w:rsid w:val="000E7574"/>
    <w:rsid w:val="000F386E"/>
    <w:rsid w:val="000F4345"/>
    <w:rsid w:val="000F6A24"/>
    <w:rsid w:val="000F7486"/>
    <w:rsid w:val="00104749"/>
    <w:rsid w:val="001130C2"/>
    <w:rsid w:val="00123039"/>
    <w:rsid w:val="001235FF"/>
    <w:rsid w:val="001300A5"/>
    <w:rsid w:val="00130DDF"/>
    <w:rsid w:val="001340AE"/>
    <w:rsid w:val="00146075"/>
    <w:rsid w:val="00152A2D"/>
    <w:rsid w:val="00157603"/>
    <w:rsid w:val="00161B53"/>
    <w:rsid w:val="001665F2"/>
    <w:rsid w:val="001727C4"/>
    <w:rsid w:val="0017652C"/>
    <w:rsid w:val="00180B30"/>
    <w:rsid w:val="00181E4A"/>
    <w:rsid w:val="00182FEE"/>
    <w:rsid w:val="001855BD"/>
    <w:rsid w:val="0019135C"/>
    <w:rsid w:val="001921B9"/>
    <w:rsid w:val="001A40C2"/>
    <w:rsid w:val="001B2C14"/>
    <w:rsid w:val="001B487E"/>
    <w:rsid w:val="001B5F92"/>
    <w:rsid w:val="001D2F5D"/>
    <w:rsid w:val="001D66AB"/>
    <w:rsid w:val="001E0A4A"/>
    <w:rsid w:val="001E235C"/>
    <w:rsid w:val="001E26A6"/>
    <w:rsid w:val="001F3CD2"/>
    <w:rsid w:val="001F724D"/>
    <w:rsid w:val="001F72BC"/>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4DDC"/>
    <w:rsid w:val="002A56DB"/>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43426"/>
    <w:rsid w:val="00344D2F"/>
    <w:rsid w:val="00347749"/>
    <w:rsid w:val="003555DD"/>
    <w:rsid w:val="0035663D"/>
    <w:rsid w:val="00357728"/>
    <w:rsid w:val="003612FC"/>
    <w:rsid w:val="00363205"/>
    <w:rsid w:val="00372D35"/>
    <w:rsid w:val="00373040"/>
    <w:rsid w:val="0038200B"/>
    <w:rsid w:val="003867E1"/>
    <w:rsid w:val="00386F0B"/>
    <w:rsid w:val="00397BF4"/>
    <w:rsid w:val="003A56C7"/>
    <w:rsid w:val="003A725E"/>
    <w:rsid w:val="003A7E8C"/>
    <w:rsid w:val="003B615C"/>
    <w:rsid w:val="003D2AC2"/>
    <w:rsid w:val="003D2ACF"/>
    <w:rsid w:val="003D3714"/>
    <w:rsid w:val="003D3FFC"/>
    <w:rsid w:val="003D5406"/>
    <w:rsid w:val="003D5C0D"/>
    <w:rsid w:val="003E1865"/>
    <w:rsid w:val="003E674E"/>
    <w:rsid w:val="00401558"/>
    <w:rsid w:val="00406E13"/>
    <w:rsid w:val="004109E9"/>
    <w:rsid w:val="00412977"/>
    <w:rsid w:val="004160DB"/>
    <w:rsid w:val="004202BB"/>
    <w:rsid w:val="00420504"/>
    <w:rsid w:val="00422CB3"/>
    <w:rsid w:val="00424F7F"/>
    <w:rsid w:val="00425518"/>
    <w:rsid w:val="00427A33"/>
    <w:rsid w:val="00435F86"/>
    <w:rsid w:val="00467E65"/>
    <w:rsid w:val="00470E9F"/>
    <w:rsid w:val="0047236C"/>
    <w:rsid w:val="00483AC8"/>
    <w:rsid w:val="00492795"/>
    <w:rsid w:val="004933CA"/>
    <w:rsid w:val="0049345F"/>
    <w:rsid w:val="004936E6"/>
    <w:rsid w:val="00495C55"/>
    <w:rsid w:val="004A12BE"/>
    <w:rsid w:val="004B3273"/>
    <w:rsid w:val="004B7086"/>
    <w:rsid w:val="004B7381"/>
    <w:rsid w:val="00513203"/>
    <w:rsid w:val="005143F6"/>
    <w:rsid w:val="00517DF3"/>
    <w:rsid w:val="0052089A"/>
    <w:rsid w:val="00521AC0"/>
    <w:rsid w:val="00525867"/>
    <w:rsid w:val="005279B4"/>
    <w:rsid w:val="00527C5F"/>
    <w:rsid w:val="00532B0A"/>
    <w:rsid w:val="00536770"/>
    <w:rsid w:val="00541B60"/>
    <w:rsid w:val="00557A80"/>
    <w:rsid w:val="00561D56"/>
    <w:rsid w:val="005643F2"/>
    <w:rsid w:val="00565E55"/>
    <w:rsid w:val="005750E7"/>
    <w:rsid w:val="0059390F"/>
    <w:rsid w:val="00594FB9"/>
    <w:rsid w:val="005A4B2E"/>
    <w:rsid w:val="005B119F"/>
    <w:rsid w:val="005C3A41"/>
    <w:rsid w:val="005C3F8F"/>
    <w:rsid w:val="005E0DFC"/>
    <w:rsid w:val="005E2E6F"/>
    <w:rsid w:val="005E5BDA"/>
    <w:rsid w:val="005F4535"/>
    <w:rsid w:val="00603DF5"/>
    <w:rsid w:val="00607752"/>
    <w:rsid w:val="00612E7A"/>
    <w:rsid w:val="00616E75"/>
    <w:rsid w:val="00623719"/>
    <w:rsid w:val="00625C11"/>
    <w:rsid w:val="00626D18"/>
    <w:rsid w:val="00630CF1"/>
    <w:rsid w:val="006336C7"/>
    <w:rsid w:val="0064131A"/>
    <w:rsid w:val="00641447"/>
    <w:rsid w:val="00647C71"/>
    <w:rsid w:val="00657AD2"/>
    <w:rsid w:val="00666E51"/>
    <w:rsid w:val="00672185"/>
    <w:rsid w:val="006807A5"/>
    <w:rsid w:val="00681C85"/>
    <w:rsid w:val="00692851"/>
    <w:rsid w:val="006933A2"/>
    <w:rsid w:val="006A011D"/>
    <w:rsid w:val="006C0F4F"/>
    <w:rsid w:val="006C726D"/>
    <w:rsid w:val="006D552B"/>
    <w:rsid w:val="006E276E"/>
    <w:rsid w:val="006E5436"/>
    <w:rsid w:val="006F392A"/>
    <w:rsid w:val="006F441E"/>
    <w:rsid w:val="006F6DAD"/>
    <w:rsid w:val="006F75ED"/>
    <w:rsid w:val="00700E60"/>
    <w:rsid w:val="00703632"/>
    <w:rsid w:val="00707516"/>
    <w:rsid w:val="00713289"/>
    <w:rsid w:val="00714014"/>
    <w:rsid w:val="007330EB"/>
    <w:rsid w:val="00737955"/>
    <w:rsid w:val="00740E1C"/>
    <w:rsid w:val="00742073"/>
    <w:rsid w:val="00743802"/>
    <w:rsid w:val="0074455B"/>
    <w:rsid w:val="00746D16"/>
    <w:rsid w:val="00754251"/>
    <w:rsid w:val="00761490"/>
    <w:rsid w:val="007632AE"/>
    <w:rsid w:val="00775302"/>
    <w:rsid w:val="00787BDA"/>
    <w:rsid w:val="007A31B4"/>
    <w:rsid w:val="007A68BF"/>
    <w:rsid w:val="007E12BF"/>
    <w:rsid w:val="007E160B"/>
    <w:rsid w:val="007E2960"/>
    <w:rsid w:val="007E2CFB"/>
    <w:rsid w:val="007E555A"/>
    <w:rsid w:val="007E7EE4"/>
    <w:rsid w:val="007F3824"/>
    <w:rsid w:val="0080055E"/>
    <w:rsid w:val="00800A19"/>
    <w:rsid w:val="0080364E"/>
    <w:rsid w:val="00807E88"/>
    <w:rsid w:val="008116F6"/>
    <w:rsid w:val="00814CE2"/>
    <w:rsid w:val="00815025"/>
    <w:rsid w:val="00823C14"/>
    <w:rsid w:val="0082671E"/>
    <w:rsid w:val="00833605"/>
    <w:rsid w:val="00834F3B"/>
    <w:rsid w:val="00836237"/>
    <w:rsid w:val="00852112"/>
    <w:rsid w:val="0085328B"/>
    <w:rsid w:val="00860BDC"/>
    <w:rsid w:val="008629AD"/>
    <w:rsid w:val="008778F2"/>
    <w:rsid w:val="00895C50"/>
    <w:rsid w:val="00895F53"/>
    <w:rsid w:val="008A476E"/>
    <w:rsid w:val="008A7C0A"/>
    <w:rsid w:val="008B3318"/>
    <w:rsid w:val="008B707B"/>
    <w:rsid w:val="008D0A98"/>
    <w:rsid w:val="008E0E38"/>
    <w:rsid w:val="008E58E0"/>
    <w:rsid w:val="008F3BE8"/>
    <w:rsid w:val="008F42AF"/>
    <w:rsid w:val="008F6AAC"/>
    <w:rsid w:val="008F6F04"/>
    <w:rsid w:val="008F6FA1"/>
    <w:rsid w:val="0090225B"/>
    <w:rsid w:val="00902491"/>
    <w:rsid w:val="00903212"/>
    <w:rsid w:val="00905B38"/>
    <w:rsid w:val="00907913"/>
    <w:rsid w:val="009127F9"/>
    <w:rsid w:val="0091498D"/>
    <w:rsid w:val="00915517"/>
    <w:rsid w:val="00921F1D"/>
    <w:rsid w:val="00936531"/>
    <w:rsid w:val="009537AA"/>
    <w:rsid w:val="009609F3"/>
    <w:rsid w:val="009620CC"/>
    <w:rsid w:val="009648C3"/>
    <w:rsid w:val="00973E96"/>
    <w:rsid w:val="009768EA"/>
    <w:rsid w:val="0098037B"/>
    <w:rsid w:val="00987F59"/>
    <w:rsid w:val="00994016"/>
    <w:rsid w:val="00996C27"/>
    <w:rsid w:val="009A3412"/>
    <w:rsid w:val="009B1951"/>
    <w:rsid w:val="00A03A44"/>
    <w:rsid w:val="00A17324"/>
    <w:rsid w:val="00A210E7"/>
    <w:rsid w:val="00A326F7"/>
    <w:rsid w:val="00A32D5F"/>
    <w:rsid w:val="00A419BC"/>
    <w:rsid w:val="00A56D66"/>
    <w:rsid w:val="00A620EE"/>
    <w:rsid w:val="00A62D79"/>
    <w:rsid w:val="00A655D1"/>
    <w:rsid w:val="00A7012D"/>
    <w:rsid w:val="00A707B1"/>
    <w:rsid w:val="00A72404"/>
    <w:rsid w:val="00A73AA1"/>
    <w:rsid w:val="00A758BF"/>
    <w:rsid w:val="00A76FA3"/>
    <w:rsid w:val="00A77BFC"/>
    <w:rsid w:val="00A83302"/>
    <w:rsid w:val="00A86EB9"/>
    <w:rsid w:val="00A91783"/>
    <w:rsid w:val="00AA6A43"/>
    <w:rsid w:val="00AA6CC6"/>
    <w:rsid w:val="00AC0706"/>
    <w:rsid w:val="00AD1A3E"/>
    <w:rsid w:val="00AD36EA"/>
    <w:rsid w:val="00AD3C3F"/>
    <w:rsid w:val="00AE3EA4"/>
    <w:rsid w:val="00AF1CA1"/>
    <w:rsid w:val="00B10F86"/>
    <w:rsid w:val="00B11B01"/>
    <w:rsid w:val="00B127E9"/>
    <w:rsid w:val="00B20A77"/>
    <w:rsid w:val="00B2234F"/>
    <w:rsid w:val="00B22F27"/>
    <w:rsid w:val="00B24726"/>
    <w:rsid w:val="00B331DD"/>
    <w:rsid w:val="00B344DD"/>
    <w:rsid w:val="00B4354B"/>
    <w:rsid w:val="00B46124"/>
    <w:rsid w:val="00B537E1"/>
    <w:rsid w:val="00B60931"/>
    <w:rsid w:val="00B738BC"/>
    <w:rsid w:val="00B82B3F"/>
    <w:rsid w:val="00B861E6"/>
    <w:rsid w:val="00B90AF4"/>
    <w:rsid w:val="00B94D54"/>
    <w:rsid w:val="00BB5235"/>
    <w:rsid w:val="00BC41C7"/>
    <w:rsid w:val="00BC7884"/>
    <w:rsid w:val="00BD6183"/>
    <w:rsid w:val="00BD668E"/>
    <w:rsid w:val="00BE4E40"/>
    <w:rsid w:val="00BE6354"/>
    <w:rsid w:val="00C16309"/>
    <w:rsid w:val="00C223AC"/>
    <w:rsid w:val="00C255A8"/>
    <w:rsid w:val="00C36F0C"/>
    <w:rsid w:val="00C37D65"/>
    <w:rsid w:val="00C41BF6"/>
    <w:rsid w:val="00C43C1D"/>
    <w:rsid w:val="00C45929"/>
    <w:rsid w:val="00C517AA"/>
    <w:rsid w:val="00C63FF7"/>
    <w:rsid w:val="00C64CC2"/>
    <w:rsid w:val="00C7347C"/>
    <w:rsid w:val="00C8291A"/>
    <w:rsid w:val="00C87B8E"/>
    <w:rsid w:val="00C90461"/>
    <w:rsid w:val="00C93C1F"/>
    <w:rsid w:val="00CA07C7"/>
    <w:rsid w:val="00CA3FDE"/>
    <w:rsid w:val="00CA496E"/>
    <w:rsid w:val="00CA6488"/>
    <w:rsid w:val="00CA6636"/>
    <w:rsid w:val="00CB57BD"/>
    <w:rsid w:val="00CC3979"/>
    <w:rsid w:val="00CD7E84"/>
    <w:rsid w:val="00CF2B4E"/>
    <w:rsid w:val="00CF544F"/>
    <w:rsid w:val="00CF5AAF"/>
    <w:rsid w:val="00D00D83"/>
    <w:rsid w:val="00D128C7"/>
    <w:rsid w:val="00D13540"/>
    <w:rsid w:val="00D157DB"/>
    <w:rsid w:val="00D23232"/>
    <w:rsid w:val="00D302C0"/>
    <w:rsid w:val="00D3075E"/>
    <w:rsid w:val="00D31D68"/>
    <w:rsid w:val="00D4378C"/>
    <w:rsid w:val="00D45F3F"/>
    <w:rsid w:val="00D5132E"/>
    <w:rsid w:val="00D57DC6"/>
    <w:rsid w:val="00D60BEC"/>
    <w:rsid w:val="00D733EE"/>
    <w:rsid w:val="00D83901"/>
    <w:rsid w:val="00D914BB"/>
    <w:rsid w:val="00D96247"/>
    <w:rsid w:val="00DA1D2F"/>
    <w:rsid w:val="00DA4800"/>
    <w:rsid w:val="00DA693D"/>
    <w:rsid w:val="00DA6E64"/>
    <w:rsid w:val="00DB062F"/>
    <w:rsid w:val="00DB0D39"/>
    <w:rsid w:val="00DB1083"/>
    <w:rsid w:val="00DB3788"/>
    <w:rsid w:val="00DC2B7D"/>
    <w:rsid w:val="00DC40A3"/>
    <w:rsid w:val="00DF4802"/>
    <w:rsid w:val="00E015A3"/>
    <w:rsid w:val="00E02AC5"/>
    <w:rsid w:val="00E0565C"/>
    <w:rsid w:val="00E262FB"/>
    <w:rsid w:val="00E33060"/>
    <w:rsid w:val="00E40943"/>
    <w:rsid w:val="00E41F15"/>
    <w:rsid w:val="00E56C99"/>
    <w:rsid w:val="00E60B59"/>
    <w:rsid w:val="00E678D1"/>
    <w:rsid w:val="00E7468B"/>
    <w:rsid w:val="00E851A3"/>
    <w:rsid w:val="00E96321"/>
    <w:rsid w:val="00EB144E"/>
    <w:rsid w:val="00EB4111"/>
    <w:rsid w:val="00EB6212"/>
    <w:rsid w:val="00EC4678"/>
    <w:rsid w:val="00EC48D1"/>
    <w:rsid w:val="00ED6D28"/>
    <w:rsid w:val="00EF1C13"/>
    <w:rsid w:val="00EF3832"/>
    <w:rsid w:val="00F040F2"/>
    <w:rsid w:val="00F11807"/>
    <w:rsid w:val="00F15316"/>
    <w:rsid w:val="00F20E09"/>
    <w:rsid w:val="00F22FA4"/>
    <w:rsid w:val="00F23E08"/>
    <w:rsid w:val="00F31DCD"/>
    <w:rsid w:val="00F32C89"/>
    <w:rsid w:val="00F55C3E"/>
    <w:rsid w:val="00F56E7E"/>
    <w:rsid w:val="00F6672A"/>
    <w:rsid w:val="00F66CB3"/>
    <w:rsid w:val="00F67C0B"/>
    <w:rsid w:val="00F75871"/>
    <w:rsid w:val="00F75D20"/>
    <w:rsid w:val="00F8020E"/>
    <w:rsid w:val="00F872BE"/>
    <w:rsid w:val="00F91E9D"/>
    <w:rsid w:val="00FB2091"/>
    <w:rsid w:val="00FB33EE"/>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0AE"/>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B344DD"/>
    <w:rPr>
      <w:rFonts w:ascii="Cascadia Mono" w:hAnsi="Cascadia Mono"/>
      <w:sz w:val="24"/>
      <w:bdr w:val="none" w:sz="0" w:space="0" w:color="auto"/>
      <w:shd w:val="clear" w:color="auto" w:fill="F79646" w:themeFill="accent6"/>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2033</TotalTime>
  <Pages>478</Pages>
  <Words>115808</Words>
  <Characters>660107</Characters>
  <Application>Microsoft Office Word</Application>
  <DocSecurity>0</DocSecurity>
  <Lines>5500</Lines>
  <Paragraphs>1548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309</cp:revision>
  <dcterms:created xsi:type="dcterms:W3CDTF">2025-12-08T12:27:00Z</dcterms:created>
  <dcterms:modified xsi:type="dcterms:W3CDTF">2026-01-02T09:11:00Z</dcterms:modified>
</cp:coreProperties>
</file>