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bookmarkStart w:id="0" w:name="_GoBack"/>
      <w:r w:rsidRPr="00B80FFB">
        <w:rPr>
          <w:rFonts w:ascii="Times New Roman" w:hAnsi="Times New Roman" w:cs="Times New Roman"/>
          <w:b/>
          <w:sz w:val="24"/>
          <w:szCs w:val="24"/>
          <w:lang w:val="uk-UA"/>
        </w:rPr>
        <w:t>«МІЖНАРОДНИЙ НАУКОВО-ТЕХНІЧНИЙ УНІВЕРСИТЕТ ІМЕНІ АКАДЕМІКА ЮРІЯ БУГАЯ»</w:t>
      </w: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B80FFB">
        <w:rPr>
          <w:rFonts w:ascii="Times New Roman" w:hAnsi="Times New Roman" w:cs="Times New Roman"/>
          <w:sz w:val="24"/>
          <w:szCs w:val="24"/>
          <w:lang w:val="uk-UA"/>
        </w:rPr>
        <w:t>Кафедра інженерії програмного забезпечення</w:t>
      </w: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B80FFB">
        <w:rPr>
          <w:rFonts w:ascii="Times New Roman" w:hAnsi="Times New Roman" w:cs="Times New Roman"/>
          <w:sz w:val="24"/>
          <w:szCs w:val="24"/>
          <w:lang w:val="uk-UA"/>
        </w:rPr>
        <w:t>Освітній ступень – «Бакалавр»</w:t>
      </w: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80FFB">
        <w:rPr>
          <w:rFonts w:ascii="Times New Roman" w:eastAsiaTheme="majorEastAsia" w:hAnsi="Times New Roman" w:cs="Times New Roman"/>
          <w:sz w:val="24"/>
          <w:szCs w:val="24"/>
          <w:lang w:val="ru-RU"/>
        </w:rPr>
        <w:t>Практична робота №2. ЗМІ</w:t>
      </w:r>
      <w:r w:rsidRPr="00B80FFB">
        <w:rPr>
          <w:rFonts w:ascii="Times New Roman" w:eastAsiaTheme="majorEastAsia" w:hAnsi="Times New Roman" w:cs="Times New Roman"/>
          <w:sz w:val="24"/>
          <w:szCs w:val="24"/>
          <w:lang w:val="ru-RU"/>
        </w:rPr>
        <w:br/>
      </w:r>
      <w:r w:rsidRPr="00B80FFB">
        <w:rPr>
          <w:rFonts w:ascii="Times New Roman" w:hAnsi="Times New Roman" w:cs="Times New Roman"/>
          <w:b/>
          <w:sz w:val="24"/>
          <w:szCs w:val="24"/>
          <w:lang w:val="uk-UA"/>
        </w:rPr>
        <w:t>Дисципліна:</w:t>
      </w: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80FFB">
        <w:rPr>
          <w:rFonts w:ascii="Times New Roman" w:hAnsi="Times New Roman" w:cs="Times New Roman"/>
          <w:b/>
          <w:sz w:val="24"/>
          <w:szCs w:val="24"/>
          <w:lang w:val="uk-UA"/>
        </w:rPr>
        <w:t>«</w:t>
      </w:r>
      <w:r w:rsidRPr="00B80FFB">
        <w:rPr>
          <w:rFonts w:ascii="Times New Roman" w:hAnsi="Times New Roman" w:cs="Times New Roman"/>
          <w:b/>
          <w:sz w:val="24"/>
          <w:szCs w:val="24"/>
          <w:lang w:val="ru-RU"/>
        </w:rPr>
        <w:t>Інтелектуальний аналіз даних</w:t>
      </w:r>
      <w:r w:rsidRPr="00B80FFB">
        <w:rPr>
          <w:rFonts w:ascii="Times New Roman" w:hAnsi="Times New Roman" w:cs="Times New Roman"/>
          <w:b/>
          <w:sz w:val="24"/>
          <w:szCs w:val="24"/>
          <w:lang w:val="uk-UA"/>
        </w:rPr>
        <w:t>».</w:t>
      </w: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rPr>
          <w:rFonts w:ascii="Times New Roman" w:hAnsi="Times New Roman" w:cs="Times New Roman"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B80FFB">
        <w:rPr>
          <w:rFonts w:ascii="Times New Roman" w:hAnsi="Times New Roman" w:cs="Times New Roman"/>
          <w:sz w:val="24"/>
          <w:szCs w:val="24"/>
          <w:lang w:val="uk-UA"/>
        </w:rPr>
        <w:t>Виконав студент 4-го курсу групи зК-21</w:t>
      </w:r>
    </w:p>
    <w:p w:rsidR="00B80FFB" w:rsidRPr="00B80FFB" w:rsidRDefault="00B80FFB" w:rsidP="00B80F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  <w:r w:rsidRPr="00B80FFB">
        <w:rPr>
          <w:rFonts w:ascii="Times New Roman" w:hAnsi="Times New Roman" w:cs="Times New Roman"/>
          <w:sz w:val="24"/>
          <w:szCs w:val="24"/>
          <w:lang w:val="uk-UA"/>
        </w:rPr>
        <w:t>Сахаров Д.</w:t>
      </w:r>
    </w:p>
    <w:p w:rsidR="00B80FFB" w:rsidRPr="00B80FFB" w:rsidRDefault="00B80FFB" w:rsidP="00B80FF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uk-UA"/>
        </w:rPr>
      </w:pPr>
    </w:p>
    <w:p w:rsidR="00B80FFB" w:rsidRPr="00B80FFB" w:rsidRDefault="00B80FFB" w:rsidP="00B80FF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uk-UA"/>
        </w:rPr>
      </w:pPr>
      <w:r w:rsidRPr="00B80FFB">
        <w:rPr>
          <w:rFonts w:ascii="Times New Roman" w:hAnsi="Times New Roman" w:cs="Times New Roman"/>
          <w:sz w:val="24"/>
          <w:szCs w:val="24"/>
          <w:lang w:val="uk-UA"/>
        </w:rPr>
        <w:br/>
        <w:t>Київ 2025</w:t>
      </w:r>
    </w:p>
    <w:p w:rsidR="001F191B" w:rsidRPr="00B80FFB" w:rsidRDefault="00B80FFB">
      <w:pPr>
        <w:pStyle w:val="Heading2"/>
        <w:rPr>
          <w:color w:val="auto"/>
          <w:lang w:val="ru-RU"/>
        </w:rPr>
      </w:pPr>
      <w:r w:rsidRPr="00B80FFB">
        <w:rPr>
          <w:color w:val="auto"/>
          <w:lang w:val="ru-RU"/>
        </w:rPr>
        <w:lastRenderedPageBreak/>
        <w:t xml:space="preserve">Тема: Прогнозування часових рядів з використанням моделей </w:t>
      </w:r>
      <w:r w:rsidRPr="00B80FFB">
        <w:rPr>
          <w:color w:val="auto"/>
        </w:rPr>
        <w:t>ARIMA</w:t>
      </w:r>
    </w:p>
    <w:p w:rsidR="001F191B" w:rsidRPr="00B80FFB" w:rsidRDefault="00B80FFB">
      <w:pPr>
        <w:pStyle w:val="Heading2"/>
        <w:rPr>
          <w:color w:val="auto"/>
          <w:lang w:val="ru-RU"/>
        </w:rPr>
      </w:pPr>
      <w:r w:rsidRPr="00B80FFB">
        <w:rPr>
          <w:color w:val="auto"/>
          <w:lang w:val="ru-RU"/>
        </w:rPr>
        <w:t>Мета роботи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 xml:space="preserve">Отримати навички роботи з моделями </w:t>
      </w:r>
      <w:r w:rsidRPr="00B80FFB">
        <w:t>ARIMA</w:t>
      </w:r>
      <w:r w:rsidRPr="00B80FFB">
        <w:rPr>
          <w:lang w:val="ru-RU"/>
        </w:rPr>
        <w:t>, застосувати метод Бокса–Дженкінса, визначити параметри моделі, оцінити її адекватність та виконати прогноз.</w:t>
      </w:r>
    </w:p>
    <w:p w:rsidR="001F191B" w:rsidRPr="00B80FFB" w:rsidRDefault="00B80FFB">
      <w:pPr>
        <w:pStyle w:val="Heading2"/>
        <w:rPr>
          <w:color w:val="auto"/>
          <w:lang w:val="ru-RU"/>
        </w:rPr>
      </w:pPr>
      <w:r w:rsidRPr="00B80FFB">
        <w:rPr>
          <w:color w:val="auto"/>
          <w:lang w:val="ru-RU"/>
        </w:rPr>
        <w:t>Контрольні питання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>1. Який ряд називається стаціонарним? Я</w:t>
      </w:r>
      <w:r w:rsidRPr="00B80FFB">
        <w:rPr>
          <w:lang w:val="ru-RU"/>
        </w:rPr>
        <w:t>к перевірити стаціонарність ряду?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>Стаціонарний ряд характеризується постійним математичним сподіванням, сталою дисперсією та автоковаріацією, яка залежить лише від лагу. Перевіряється за допомогою графічного аналізу та статистичних тестів (</w:t>
      </w:r>
      <w:r w:rsidRPr="00B80FFB">
        <w:t>ADF</w:t>
      </w:r>
      <w:r w:rsidRPr="00B80FFB">
        <w:rPr>
          <w:lang w:val="ru-RU"/>
        </w:rPr>
        <w:t xml:space="preserve">, </w:t>
      </w:r>
      <w:r w:rsidRPr="00B80FFB">
        <w:t>KPSS</w:t>
      </w:r>
      <w:r w:rsidRPr="00B80FFB">
        <w:rPr>
          <w:lang w:val="ru-RU"/>
        </w:rPr>
        <w:t>).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>2. Я</w:t>
      </w:r>
      <w:r w:rsidRPr="00B80FFB">
        <w:rPr>
          <w:lang w:val="ru-RU"/>
        </w:rPr>
        <w:t>к привести ряд до стаціонарного вигляду за наявності тренду, сезонності, зростаючої дисперсії?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>Тренд усувається різницюванням першого порядку або детрендуванням; сезонність — сезонним різницюванням; зростаюча дисперсія — логарифмуванням або перетворенням Б</w:t>
      </w:r>
      <w:r w:rsidRPr="00B80FFB">
        <w:rPr>
          <w:lang w:val="ru-RU"/>
        </w:rPr>
        <w:t>окса–Кокса.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 xml:space="preserve">3. Як ідентифікувати </w:t>
      </w:r>
      <w:r w:rsidRPr="00B80FFB">
        <w:t>ARIMA</w:t>
      </w:r>
      <w:r w:rsidRPr="00B80FFB">
        <w:rPr>
          <w:lang w:val="ru-RU"/>
        </w:rPr>
        <w:t>-модель?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 xml:space="preserve">Після приведення ряду до стаціонарності аналізують </w:t>
      </w:r>
      <w:r w:rsidRPr="00B80FFB">
        <w:t>ACF</w:t>
      </w:r>
      <w:r w:rsidRPr="00B80FFB">
        <w:rPr>
          <w:lang w:val="ru-RU"/>
        </w:rPr>
        <w:t xml:space="preserve"> та </w:t>
      </w:r>
      <w:r w:rsidRPr="00B80FFB">
        <w:t>PACF</w:t>
      </w:r>
      <w:r w:rsidRPr="00B80FFB">
        <w:rPr>
          <w:lang w:val="ru-RU"/>
        </w:rPr>
        <w:t xml:space="preserve">. Характерні обрізання або геометричне згасання допомагають визначити параметри </w:t>
      </w:r>
      <w:r w:rsidRPr="00B80FFB">
        <w:t>p</w:t>
      </w:r>
      <w:r w:rsidRPr="00B80FFB">
        <w:rPr>
          <w:lang w:val="ru-RU"/>
        </w:rPr>
        <w:t xml:space="preserve"> та </w:t>
      </w:r>
      <w:r w:rsidRPr="00B80FFB">
        <w:t>q</w:t>
      </w:r>
      <w:r w:rsidRPr="00B80FFB">
        <w:rPr>
          <w:lang w:val="ru-RU"/>
        </w:rPr>
        <w:t xml:space="preserve">. Сезонні піки на кратних лагів вказують на </w:t>
      </w:r>
      <w:r w:rsidRPr="00B80FFB">
        <w:t>P</w:t>
      </w:r>
      <w:r w:rsidRPr="00B80FFB">
        <w:rPr>
          <w:lang w:val="ru-RU"/>
        </w:rPr>
        <w:t xml:space="preserve"> та </w:t>
      </w:r>
      <w:r w:rsidRPr="00B80FFB">
        <w:t>Q</w:t>
      </w:r>
      <w:r w:rsidRPr="00B80FFB">
        <w:rPr>
          <w:lang w:val="ru-RU"/>
        </w:rPr>
        <w:t>.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>4. Поясні</w:t>
      </w:r>
      <w:r w:rsidRPr="00B80FFB">
        <w:rPr>
          <w:lang w:val="ru-RU"/>
        </w:rPr>
        <w:t xml:space="preserve">ть структуру </w:t>
      </w:r>
      <w:r w:rsidRPr="00B80FFB">
        <w:t>ARIMA</w:t>
      </w:r>
      <w:r w:rsidRPr="00B80FFB">
        <w:rPr>
          <w:lang w:val="ru-RU"/>
        </w:rPr>
        <w:t>-моделі.</w:t>
      </w:r>
    </w:p>
    <w:p w:rsidR="001F191B" w:rsidRPr="00B80FFB" w:rsidRDefault="00B80FFB">
      <w:pPr>
        <w:rPr>
          <w:lang w:val="ru-RU"/>
        </w:rPr>
      </w:pPr>
      <w:r w:rsidRPr="00B80FFB">
        <w:t>ARIMA</w:t>
      </w:r>
      <w:r w:rsidRPr="00B80FFB">
        <w:rPr>
          <w:lang w:val="ru-RU"/>
        </w:rPr>
        <w:t>(</w:t>
      </w:r>
      <w:r w:rsidRPr="00B80FFB">
        <w:t>p</w:t>
      </w:r>
      <w:r w:rsidRPr="00B80FFB">
        <w:rPr>
          <w:lang w:val="ru-RU"/>
        </w:rPr>
        <w:t xml:space="preserve">, </w:t>
      </w:r>
      <w:r w:rsidRPr="00B80FFB">
        <w:t>d</w:t>
      </w:r>
      <w:r w:rsidRPr="00B80FFB">
        <w:rPr>
          <w:lang w:val="ru-RU"/>
        </w:rPr>
        <w:t xml:space="preserve">, </w:t>
      </w:r>
      <w:r w:rsidRPr="00B80FFB">
        <w:t>q</w:t>
      </w:r>
      <w:r w:rsidRPr="00B80FFB">
        <w:rPr>
          <w:lang w:val="ru-RU"/>
        </w:rPr>
        <w:t xml:space="preserve">): </w:t>
      </w:r>
      <w:r w:rsidRPr="00B80FFB">
        <w:t>p</w:t>
      </w:r>
      <w:r w:rsidRPr="00B80FFB">
        <w:rPr>
          <w:lang w:val="ru-RU"/>
        </w:rPr>
        <w:t xml:space="preserve"> — порядок авторегресії, </w:t>
      </w:r>
      <w:r w:rsidRPr="00B80FFB">
        <w:t>d</w:t>
      </w:r>
      <w:r w:rsidRPr="00B80FFB">
        <w:rPr>
          <w:lang w:val="ru-RU"/>
        </w:rPr>
        <w:t xml:space="preserve"> — порядок інтегрування, </w:t>
      </w:r>
      <w:r w:rsidRPr="00B80FFB">
        <w:t>q</w:t>
      </w:r>
      <w:r w:rsidRPr="00B80FFB">
        <w:rPr>
          <w:lang w:val="ru-RU"/>
        </w:rPr>
        <w:t xml:space="preserve"> — порядок ковзкого середнього. Сезонна модель має вигляд </w:t>
      </w:r>
      <w:r w:rsidRPr="00B80FFB">
        <w:t>ARIMA</w:t>
      </w:r>
      <w:r w:rsidRPr="00B80FFB">
        <w:rPr>
          <w:lang w:val="ru-RU"/>
        </w:rPr>
        <w:t>(</w:t>
      </w:r>
      <w:r w:rsidRPr="00B80FFB">
        <w:t>p</w:t>
      </w:r>
      <w:r w:rsidRPr="00B80FFB">
        <w:rPr>
          <w:lang w:val="ru-RU"/>
        </w:rPr>
        <w:t>,</w:t>
      </w:r>
      <w:r w:rsidRPr="00B80FFB">
        <w:t>d</w:t>
      </w:r>
      <w:r w:rsidRPr="00B80FFB">
        <w:rPr>
          <w:lang w:val="ru-RU"/>
        </w:rPr>
        <w:t>,</w:t>
      </w:r>
      <w:r w:rsidRPr="00B80FFB">
        <w:t>q</w:t>
      </w:r>
      <w:r w:rsidRPr="00B80FFB">
        <w:rPr>
          <w:lang w:val="ru-RU"/>
        </w:rPr>
        <w:t>)(</w:t>
      </w:r>
      <w:r w:rsidRPr="00B80FFB">
        <w:t>P</w:t>
      </w:r>
      <w:r w:rsidRPr="00B80FFB">
        <w:rPr>
          <w:lang w:val="ru-RU"/>
        </w:rPr>
        <w:t>,</w:t>
      </w:r>
      <w:r w:rsidRPr="00B80FFB">
        <w:t>D</w:t>
      </w:r>
      <w:r w:rsidRPr="00B80FFB">
        <w:rPr>
          <w:lang w:val="ru-RU"/>
        </w:rPr>
        <w:t>,</w:t>
      </w:r>
      <w:r w:rsidRPr="00B80FFB">
        <w:t>Q</w:t>
      </w:r>
      <w:r w:rsidRPr="00B80FFB">
        <w:rPr>
          <w:lang w:val="ru-RU"/>
        </w:rPr>
        <w:t>)[</w:t>
      </w:r>
      <w:r w:rsidRPr="00B80FFB">
        <w:t>s</w:t>
      </w:r>
      <w:r w:rsidRPr="00B80FFB">
        <w:rPr>
          <w:lang w:val="ru-RU"/>
        </w:rPr>
        <w:t xml:space="preserve">], де </w:t>
      </w:r>
      <w:r w:rsidRPr="00B80FFB">
        <w:t>s</w:t>
      </w:r>
      <w:r w:rsidRPr="00B80FFB">
        <w:rPr>
          <w:lang w:val="ru-RU"/>
        </w:rPr>
        <w:t xml:space="preserve"> — сезонний період.</w:t>
      </w:r>
    </w:p>
    <w:p w:rsidR="001F191B" w:rsidRPr="00B80FFB" w:rsidRDefault="00B80FFB">
      <w:pPr>
        <w:rPr>
          <w:lang w:val="ru-RU"/>
        </w:rPr>
      </w:pPr>
      <w:r w:rsidRPr="00B80FFB">
        <w:rPr>
          <w:lang w:val="ru-RU"/>
        </w:rPr>
        <w:t xml:space="preserve">5. Які </w:t>
      </w:r>
      <w:r w:rsidRPr="00B80FFB">
        <w:t>ARIMA</w:t>
      </w:r>
      <w:r w:rsidRPr="00B80FFB">
        <w:rPr>
          <w:lang w:val="ru-RU"/>
        </w:rPr>
        <w:t>-моделі мають сезонну складову, і як їх ід</w:t>
      </w:r>
      <w:r w:rsidRPr="00B80FFB">
        <w:rPr>
          <w:lang w:val="ru-RU"/>
        </w:rPr>
        <w:t>ентифікувати?</w:t>
      </w:r>
    </w:p>
    <w:p w:rsidR="001F191B" w:rsidRPr="00B80FFB" w:rsidRDefault="00B80FFB">
      <w:pPr>
        <w:rPr>
          <w:lang w:val="ru-RU"/>
        </w:rPr>
      </w:pPr>
      <w:proofErr w:type="spellStart"/>
      <w:r w:rsidRPr="00B80FFB">
        <w:t>Моделі</w:t>
      </w:r>
      <w:proofErr w:type="spellEnd"/>
      <w:r w:rsidRPr="00B80FFB">
        <w:rPr>
          <w:lang w:val="pt-PT"/>
        </w:rPr>
        <w:t xml:space="preserve"> SARIMA — ARIMA(p,d,q)(P,D,Q)[s]. </w:t>
      </w:r>
      <w:r w:rsidRPr="00B80FFB">
        <w:rPr>
          <w:lang w:val="ru-RU"/>
        </w:rPr>
        <w:t xml:space="preserve">Сезонна складова визначається за наявністю характерних піків у </w:t>
      </w:r>
      <w:r w:rsidRPr="00B80FFB">
        <w:t>ACF</w:t>
      </w:r>
      <w:r w:rsidRPr="00B80FFB">
        <w:rPr>
          <w:lang w:val="ru-RU"/>
        </w:rPr>
        <w:t>/</w:t>
      </w:r>
      <w:r w:rsidRPr="00B80FFB">
        <w:t>PACF</w:t>
      </w:r>
      <w:r w:rsidRPr="00B80FFB">
        <w:rPr>
          <w:lang w:val="ru-RU"/>
        </w:rPr>
        <w:t xml:space="preserve"> на сезонних лагах.</w:t>
      </w:r>
      <w:bookmarkEnd w:id="0"/>
    </w:p>
    <w:sectPr w:rsidR="001F191B" w:rsidRPr="00B80F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F191B"/>
    <w:rsid w:val="0029639D"/>
    <w:rsid w:val="00326F90"/>
    <w:rsid w:val="00AA1D8D"/>
    <w:rsid w:val="00B47730"/>
    <w:rsid w:val="00B80F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91B8D36-46B1-4E7B-92AC-C3E6B929E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B872D3-9BA5-4713-9DCB-EB2D0F02E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2</cp:revision>
  <dcterms:created xsi:type="dcterms:W3CDTF">2013-12-23T23:15:00Z</dcterms:created>
  <dcterms:modified xsi:type="dcterms:W3CDTF">2025-11-15T17:35:00Z</dcterms:modified>
  <cp:category/>
</cp:coreProperties>
</file>