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«МІЖНАРОДНИЙ НАУКОВО-ТЕХНІЧНИЙ УНІВЕРСИТЕТ ІМЕНІ АКАДЕМІКА ЮРІЯ БУГАЯ»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Кафедра інженерії програмного забезпечення</w:t>
      </w: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Освітній ступень – «Бакалавр»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rFonts w:ascii="Times New Roman" w:hAnsi="Times New Roman" w:cs="Times New Roman"/>
          <w:b/>
          <w:sz w:val="24"/>
          <w:szCs w:val="24"/>
          <w:lang w:val="uk-UA"/>
        </w:rPr>
      </w:pPr>
    </w:p>
    <w:p w:rsidR="00BD1C81" w:rsidRPr="004F03B5" w:rsidRDefault="00C83676" w:rsidP="00BD1C81">
      <w:pPr>
        <w:pStyle w:val="Heading1"/>
        <w:shd w:val="clear" w:color="auto" w:fill="FFFFFF"/>
        <w:spacing w:before="0"/>
        <w:jc w:val="center"/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</w:pPr>
      <w:r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 xml:space="preserve">Тема </w:t>
      </w:r>
      <w:r w:rsidR="00AD42D1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3</w:t>
      </w:r>
      <w:bookmarkStart w:id="0" w:name="_GoBack"/>
      <w:bookmarkEnd w:id="0"/>
      <w:r w:rsidR="00BD1C81" w:rsidRPr="004F03B5">
        <w:rPr>
          <w:rFonts w:ascii="Times New Roman" w:hAnsi="Times New Roman" w:cs="Times New Roman"/>
          <w:b w:val="0"/>
          <w:bCs w:val="0"/>
          <w:color w:val="auto"/>
          <w:sz w:val="24"/>
          <w:szCs w:val="24"/>
          <w:lang w:val="ru-RU"/>
        </w:rPr>
        <w:t>. Питання для самостійного опрацювання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Дисципліна: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  <w:r w:rsidRPr="004F03B5">
        <w:rPr>
          <w:b/>
          <w:sz w:val="24"/>
          <w:szCs w:val="24"/>
          <w:lang w:val="uk-UA"/>
        </w:rPr>
        <w:t>«</w:t>
      </w:r>
      <w:r w:rsidRPr="004F03B5">
        <w:rPr>
          <w:b/>
          <w:sz w:val="24"/>
          <w:szCs w:val="24"/>
          <w:lang w:val="ru-RU"/>
        </w:rPr>
        <w:t>Інтелектуальний аналіз даних</w:t>
      </w:r>
      <w:r w:rsidRPr="004F03B5">
        <w:rPr>
          <w:b/>
          <w:sz w:val="24"/>
          <w:szCs w:val="24"/>
          <w:lang w:val="uk-UA"/>
        </w:rPr>
        <w:t>».</w:t>
      </w:r>
    </w:p>
    <w:p w:rsidR="00BD1C81" w:rsidRPr="004F03B5" w:rsidRDefault="00BD1C81" w:rsidP="00BD1C81">
      <w:pPr>
        <w:spacing w:line="360" w:lineRule="auto"/>
        <w:jc w:val="center"/>
        <w:rPr>
          <w:b/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center"/>
        <w:rPr>
          <w:sz w:val="24"/>
          <w:szCs w:val="24"/>
          <w:lang w:val="uk-UA"/>
        </w:rPr>
      </w:pP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Виконав студент 4-го курсу групи зК-21</w:t>
      </w: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  <w:r w:rsidRPr="004F03B5">
        <w:rPr>
          <w:sz w:val="24"/>
          <w:szCs w:val="24"/>
          <w:lang w:val="uk-UA"/>
        </w:rPr>
        <w:t>Сахаров Д.</w:t>
      </w:r>
    </w:p>
    <w:p w:rsidR="00BD1C81" w:rsidRPr="004F03B5" w:rsidRDefault="00BD1C81" w:rsidP="00BD1C81">
      <w:pPr>
        <w:spacing w:line="360" w:lineRule="auto"/>
        <w:jc w:val="right"/>
        <w:rPr>
          <w:sz w:val="24"/>
          <w:szCs w:val="24"/>
          <w:lang w:val="uk-UA"/>
        </w:rPr>
      </w:pPr>
    </w:p>
    <w:p w:rsidR="007E4E43" w:rsidRPr="00BB5613" w:rsidRDefault="00BD1C81" w:rsidP="00BB5613">
      <w:pPr>
        <w:spacing w:line="360" w:lineRule="auto"/>
        <w:rPr>
          <w:rFonts w:ascii="Times New Roman" w:hAnsi="Times New Roman" w:cs="Times New Roman"/>
          <w:sz w:val="24"/>
          <w:szCs w:val="24"/>
          <w:lang w:val="ru-RU"/>
        </w:rPr>
      </w:pPr>
      <w:r w:rsidRPr="004F03B5">
        <w:rPr>
          <w:sz w:val="24"/>
          <w:szCs w:val="24"/>
          <w:lang w:val="uk-UA"/>
        </w:rPr>
        <w:br/>
        <w:t>Київ 2025</w:t>
      </w:r>
      <w:r w:rsidRPr="004F03B5">
        <w:rPr>
          <w:b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Pr="004F03B5">
        <w:rPr>
          <w:rFonts w:ascii="Times New Roman" w:hAnsi="Times New Roman" w:cs="Times New Roman"/>
          <w:sz w:val="24"/>
          <w:szCs w:val="24"/>
          <w:lang w:val="uk-UA"/>
        </w:rPr>
        <w:lastRenderedPageBreak/>
        <w:br/>
      </w:r>
      <w:r w:rsidR="00490AEF" w:rsidRPr="004F03B5">
        <w:rPr>
          <w:rFonts w:ascii="Times New Roman" w:hAnsi="Times New Roman" w:cs="Times New Roman"/>
          <w:sz w:val="24"/>
          <w:szCs w:val="24"/>
          <w:lang w:val="uk-UA"/>
        </w:rPr>
        <w:br/>
      </w:r>
      <w:r w:rsidR="00490AEF" w:rsidRPr="004F03B5">
        <w:rPr>
          <w:rFonts w:ascii="Times New Roman" w:hAnsi="Times New Roman" w:cs="Times New Roman"/>
          <w:b/>
          <w:sz w:val="24"/>
          <w:szCs w:val="24"/>
          <w:lang w:val="uk-UA"/>
        </w:rPr>
        <w:br/>
      </w:r>
      <w:r w:rsidR="00EB4168" w:rsidRPr="00EB4168">
        <w:rPr>
          <w:b/>
          <w:lang w:val="uk-UA"/>
        </w:rPr>
        <w:t>1. Мета роботи</w:t>
      </w:r>
      <w:r w:rsidR="00EB4168" w:rsidRPr="00EB4168">
        <w:rPr>
          <w:lang w:val="uk-UA"/>
        </w:rPr>
        <w:br/>
      </w:r>
      <w:r w:rsidR="00EB4168" w:rsidRPr="00EB4168">
        <w:rPr>
          <w:lang w:val="uk-UA"/>
        </w:rPr>
        <w:br/>
        <w:t>Формування уявлення про нелінійні регресійні моделі, ознайомлення з методами оцінки параметрів та оцінювання якості таких моделей.</w:t>
      </w:r>
      <w:r w:rsidR="00EB4168" w:rsidRPr="00EB4168">
        <w:rPr>
          <w:lang w:val="uk-UA"/>
        </w:rPr>
        <w:br/>
      </w:r>
      <w:r w:rsidR="00EB4168" w:rsidRPr="00EB4168">
        <w:rPr>
          <w:lang w:val="uk-UA"/>
        </w:rPr>
        <w:br/>
      </w:r>
      <w:r w:rsidR="00EB4168" w:rsidRPr="00EB4168">
        <w:rPr>
          <w:b/>
          <w:lang w:val="uk-UA"/>
        </w:rPr>
        <w:t>2. Теоретичні засади</w:t>
      </w:r>
      <w:r w:rsidR="00EB4168" w:rsidRPr="00EB4168">
        <w:rPr>
          <w:lang w:val="uk-UA"/>
        </w:rPr>
        <w:br/>
      </w:r>
      <w:r w:rsidR="00EB4168" w:rsidRPr="00EB4168">
        <w:rPr>
          <w:lang w:val="uk-UA"/>
        </w:rPr>
        <w:br/>
        <w:t xml:space="preserve">Нелінійна регресія — узагальнення класичного регресійного аналізу, де зв’язок між змінними описується нелінійною функцією параметрів. </w:t>
      </w:r>
      <w:r w:rsidR="00EB4168" w:rsidRPr="00EB4168">
        <w:rPr>
          <w:lang w:val="uk-UA"/>
        </w:rPr>
        <w:br/>
      </w:r>
      <w:r w:rsidR="00EB4168" w:rsidRPr="00EB4168">
        <w:rPr>
          <w:lang w:val="ru-RU"/>
        </w:rPr>
        <w:t>Застосовується у випадках, коли лінійна модель не відображає реальні взаємозв’язки.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>Основні типи моделей:</w:t>
      </w:r>
      <w:r w:rsidR="00EB4168" w:rsidRPr="00EB4168">
        <w:rPr>
          <w:lang w:val="ru-RU"/>
        </w:rPr>
        <w:br/>
        <w:t>- Нелінійні щодо змінних, але лінійні за параметрами (поліноміальні, гіперболічні).</w:t>
      </w:r>
      <w:r w:rsidR="00EB4168" w:rsidRPr="00EB4168">
        <w:rPr>
          <w:lang w:val="ru-RU"/>
        </w:rPr>
        <w:br/>
        <w:t>- Нелінійні за параметрами (степеневі, показникові, експоненціальні, логістичні).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 xml:space="preserve">Деякі моделі можна лінеаризувати через логарифмування або інші перетворення змінних. </w:t>
      </w:r>
      <w:r w:rsidR="00EB4168" w:rsidRPr="00EB4168">
        <w:rPr>
          <w:lang w:val="ru-RU"/>
        </w:rPr>
        <w:br/>
        <w:t>Для інших використовуються чисельні методи нелінійної оптимізації.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</w:r>
      <w:r w:rsidR="00EB4168" w:rsidRPr="00EB4168">
        <w:rPr>
          <w:b/>
          <w:lang w:val="ru-RU"/>
        </w:rPr>
        <w:t>3. Методи оцінки параметрів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>Параметри визначаються такими методами:</w:t>
      </w:r>
      <w:r w:rsidR="00EB4168" w:rsidRPr="00EB4168">
        <w:rPr>
          <w:lang w:val="ru-RU"/>
        </w:rPr>
        <w:br/>
        <w:t>- Метод найменших квадратів (для лінеаризованих моделей);</w:t>
      </w:r>
      <w:r w:rsidR="00EB4168" w:rsidRPr="00EB4168">
        <w:rPr>
          <w:lang w:val="ru-RU"/>
        </w:rPr>
        <w:br/>
        <w:t>- Ітераційні методи (градієнтний спуск, метод Ньютона–Рафсона) — для нелінійних моделей.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>Якість моделі оцінюється за показниками: коефіцієнт детермінації (</w:t>
      </w:r>
      <w:r w:rsidR="00EB4168">
        <w:t>R</w:t>
      </w:r>
      <w:r w:rsidR="00EB4168" w:rsidRPr="00EB4168">
        <w:rPr>
          <w:lang w:val="ru-RU"/>
        </w:rPr>
        <w:t xml:space="preserve">²), скоригований </w:t>
      </w:r>
      <w:r w:rsidR="00EB4168">
        <w:t>R</w:t>
      </w:r>
      <w:r w:rsidR="00EB4168" w:rsidRPr="00EB4168">
        <w:rPr>
          <w:lang w:val="ru-RU"/>
        </w:rPr>
        <w:t>², індекс кореляції, перевірка автокореляції залишків.</w:t>
      </w:r>
      <w:r w:rsidR="00EB4168" w:rsidRPr="00EB4168">
        <w:rPr>
          <w:lang w:val="ru-RU"/>
        </w:rPr>
        <w:br/>
      </w:r>
      <w:r w:rsidR="00EB4168">
        <w:rPr>
          <w:lang w:val="ru-RU"/>
        </w:rPr>
        <w:br/>
      </w:r>
      <w:r w:rsidR="00EB4168" w:rsidRPr="00EB4168">
        <w:rPr>
          <w:lang w:val="ru-RU"/>
        </w:rPr>
        <w:br/>
      </w:r>
      <w:r w:rsidR="00EB4168" w:rsidRPr="00EB4168">
        <w:rPr>
          <w:b/>
          <w:lang w:val="ru-RU"/>
        </w:rPr>
        <w:lastRenderedPageBreak/>
        <w:t>4. Практична частина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 xml:space="preserve">Досліджено залежність між рівнем стабілізованої глюкози та концентрацією гемоглобіну. </w:t>
      </w:r>
      <w:r w:rsidR="00EB4168" w:rsidRPr="00EB4168">
        <w:rPr>
          <w:lang w:val="ru-RU"/>
        </w:rPr>
        <w:br/>
        <w:t>Побудовано моделі: поліноміальні (2-го, 3-го ступеня), зворотну, степеневу, експоненціальну.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 xml:space="preserve">Порівняльний аналіз за скоригованим </w:t>
      </w:r>
      <w:r w:rsidR="00EB4168">
        <w:t>R</w:t>
      </w:r>
      <w:r w:rsidR="00EB4168" w:rsidRPr="00EB4168">
        <w:rPr>
          <w:lang w:val="ru-RU"/>
        </w:rPr>
        <w:t>² показав, що найкраща — поліноміальна модель 3-го ступеня, яка найточніше описує дані.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</w:r>
      <w:r w:rsidR="00EB4168" w:rsidRPr="00EB4168">
        <w:rPr>
          <w:b/>
          <w:lang w:val="ru-RU"/>
        </w:rPr>
        <w:t>5. Висновки</w:t>
      </w:r>
      <w:r w:rsidR="00EB4168" w:rsidRPr="00EB4168">
        <w:rPr>
          <w:lang w:val="ru-RU"/>
        </w:rPr>
        <w:br/>
      </w:r>
      <w:r w:rsidR="00EB4168" w:rsidRPr="00EB4168">
        <w:rPr>
          <w:lang w:val="ru-RU"/>
        </w:rPr>
        <w:br/>
        <w:t xml:space="preserve">Нелінійний регресійний аналіз дозволяє точно моделювати складні залежності між змінними. </w:t>
      </w:r>
      <w:r w:rsidR="00EB4168" w:rsidRPr="00EB4168">
        <w:rPr>
          <w:lang w:val="ru-RU"/>
        </w:rPr>
        <w:br/>
        <w:t xml:space="preserve">Ключові етапи: вибір моделі, оцінка параметрів, перевірка якості. </w:t>
      </w:r>
      <w:r w:rsidR="00EB4168" w:rsidRPr="00EB4168">
        <w:rPr>
          <w:lang w:val="ru-RU"/>
        </w:rPr>
        <w:br/>
        <w:t>Метод ефективний у прогнозуванні та аналізі економічних, медичних і технічних процесів.</w:t>
      </w:r>
      <w:r w:rsidR="00EB4168" w:rsidRPr="00EB4168">
        <w:rPr>
          <w:lang w:val="ru-RU"/>
        </w:rPr>
        <w:br/>
      </w:r>
      <w:r w:rsidR="00BB5613" w:rsidRPr="00BB5613">
        <w:rPr>
          <w:lang w:val="ru-RU"/>
        </w:rPr>
        <w:br/>
      </w:r>
      <w:r w:rsidR="00BB5613" w:rsidRPr="00BB5613">
        <w:rPr>
          <w:lang w:val="ru-RU"/>
        </w:rPr>
        <w:br/>
      </w:r>
    </w:p>
    <w:p w:rsidR="007E4E43" w:rsidRPr="004F03B5" w:rsidRDefault="007E4E43">
      <w:pPr>
        <w:rPr>
          <w:rFonts w:ascii="Times New Roman" w:hAnsi="Times New Roman" w:cs="Times New Roman"/>
          <w:sz w:val="24"/>
          <w:szCs w:val="24"/>
          <w:lang w:val="ru-RU"/>
        </w:rPr>
      </w:pPr>
    </w:p>
    <w:sectPr w:rsidR="007E4E43" w:rsidRPr="004F03B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A870030"/>
    <w:multiLevelType w:val="multilevel"/>
    <w:tmpl w:val="D79E4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90AEF"/>
    <w:rsid w:val="004F03B5"/>
    <w:rsid w:val="007E4E43"/>
    <w:rsid w:val="00AA1D8D"/>
    <w:rsid w:val="00AD42D1"/>
    <w:rsid w:val="00B47730"/>
    <w:rsid w:val="00BB5613"/>
    <w:rsid w:val="00BD1C81"/>
    <w:rsid w:val="00C83676"/>
    <w:rsid w:val="00CB0664"/>
    <w:rsid w:val="00EB41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A3982E3-D0DA-4FEC-A246-0D7AFC33C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4F03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customStyle="1" w:styleId="katex-mathml">
    <w:name w:val="katex-mathml"/>
    <w:basedOn w:val="DefaultParagraphFont"/>
    <w:rsid w:val="004F03B5"/>
  </w:style>
  <w:style w:type="character" w:customStyle="1" w:styleId="mord">
    <w:name w:val="mord"/>
    <w:basedOn w:val="DefaultParagraphFont"/>
    <w:rsid w:val="004F03B5"/>
  </w:style>
  <w:style w:type="character" w:customStyle="1" w:styleId="mrel">
    <w:name w:val="mrel"/>
    <w:basedOn w:val="DefaultParagraphFont"/>
    <w:rsid w:val="004F03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2913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02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21E6CE4-8CCE-4A75-8447-6378F192E5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3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1989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 S</cp:lastModifiedBy>
  <cp:revision>7</cp:revision>
  <dcterms:created xsi:type="dcterms:W3CDTF">2013-12-23T23:15:00Z</dcterms:created>
  <dcterms:modified xsi:type="dcterms:W3CDTF">2025-10-14T19:31:00Z</dcterms:modified>
  <cp:category/>
</cp:coreProperties>
</file>