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5395"/>
          <w:sz w:val="44"/>
          <w:szCs w:val="44"/>
        </w:rPr>
        <w:t xml:space="preserve">Week 2 – SQL for Data Analysis</w:t>
      </w:r>
    </w:p>
    <w:p>
      <w:pPr>
        <w:spacing w:after="40"/>
      </w:pPr>
      <w:r>
        <w:rPr>
          <w:color w:val="555555"/>
          <w:sz w:val="28"/>
          <w:szCs w:val="28"/>
        </w:rPr>
        <w:t xml:space="preserve">Final Project &amp; Business Insights Report</w:t>
      </w:r>
    </w:p>
    <w:p>
      <w:pPr>
        <w:spacing w:after="300"/>
      </w:pPr>
      <w:r>
        <w:rPr>
          <w:i/>
          <w:iCs/>
          <w:color w:val="777777"/>
          <w:sz w:val="22"/>
          <w:szCs w:val="22"/>
        </w:rPr>
        <w:t xml:space="preserve">Data Analytics Internship — Day 5: Weekly Project &amp; Revision</w:t>
      </w:r>
    </w:p>
    <w:p>
      <w:pPr>
        <w:pStyle w:val="Heading1"/>
        <w:spacing w:after="150" w:before="300"/>
      </w:pPr>
      <w:r>
        <w:t xml:space="preserve">1. Project Overview</w:t>
      </w:r>
    </w:p>
    <w:p>
      <w:pPr>
        <w:spacing w:after="120"/>
      </w:pPr>
      <w:r>
        <w:t xml:space="preserve">This document summarizes my Week 2 SQL project, built using PostgreSQL and pgAdmin. Over the week, I designed a small relational database representing customers, products, orders, and order items, and used it to practice everything from basic SELECT statements to advanced window functions. This report brings together the final analytical queries, their results, and the business insights drawn from them.</w:t>
      </w:r>
    </w:p>
    <w:p>
      <w:pPr>
        <w:pStyle w:val="Heading2"/>
        <w:spacing w:after="120" w:before="250"/>
      </w:pPr>
      <w:r>
        <w:t xml:space="preserve">Database Structure</w:t>
      </w:r>
    </w:p>
    <w:p>
      <w:pPr>
        <w:pStyle w:val="ListParagraph"/>
        <w:numPr>
          <w:ilvl w:val="0"/>
          <w:numId w:val="1"/>
        </w:numPr>
        <w:spacing w:after="80"/>
      </w:pPr>
      <w:r>
        <w:t xml:space="preserve">customers (customer_id, customer_name, city)</w:t>
      </w:r>
    </w:p>
    <w:p>
      <w:pPr>
        <w:pStyle w:val="ListParagraph"/>
        <w:numPr>
          <w:ilvl w:val="0"/>
          <w:numId w:val="1"/>
        </w:numPr>
        <w:spacing w:after="80"/>
      </w:pPr>
      <w:r>
        <w:t xml:space="preserve">products (product_id, product_name, price)</w:t>
      </w:r>
    </w:p>
    <w:p>
      <w:pPr>
        <w:pStyle w:val="ListParagraph"/>
        <w:numPr>
          <w:ilvl w:val="0"/>
          <w:numId w:val="1"/>
        </w:numPr>
        <w:spacing w:after="80"/>
      </w:pPr>
      <w:r>
        <w:t xml:space="preserve">orders (order_id, customer_id, order_date)</w:t>
      </w:r>
    </w:p>
    <w:p>
      <w:pPr>
        <w:pStyle w:val="ListParagraph"/>
        <w:numPr>
          <w:ilvl w:val="0"/>
          <w:numId w:val="1"/>
        </w:numPr>
        <w:spacing w:after="80"/>
      </w:pPr>
      <w:r>
        <w:t xml:space="preserve">order_items (item_id, order_id, product_id, quantity)</w:t>
      </w:r>
    </w:p>
    <w:p>
      <w:pPr>
        <w:spacing w:after="120"/>
      </w:pPr>
      <w:r>
        <w:t xml:space="preserve">The tables are connected through primary and foreign keys: each order belongs to a customer, and each order_item links an order to a product, allowing multi-table analysis across the full sales process.</w:t>
      </w:r>
    </w:p>
    <w:p>
      <w:pPr>
        <w:pStyle w:val="Heading1"/>
        <w:spacing w:after="150" w:before="300"/>
      </w:pPr>
      <w:r>
        <w:t xml:space="preserve">2. Week 2 Concepts Covered</w:t>
      </w:r>
    </w:p>
    <w:p>
      <w:pPr>
        <w:pStyle w:val="ListParagraph"/>
        <w:numPr>
          <w:ilvl w:val="0"/>
          <w:numId w:val="1"/>
        </w:numPr>
        <w:spacing w:after="80"/>
      </w:pPr>
      <w:r>
        <w:t xml:space="preserve">Day 1 — SQL Fundamentals: SELECT, FROM, WHERE, DISTINCT, ORDER BY, LIMIT, Primary/Foreign Keys</w:t>
      </w:r>
    </w:p>
    <w:p>
      <w:pPr>
        <w:pStyle w:val="ListParagraph"/>
        <w:numPr>
          <w:ilvl w:val="0"/>
          <w:numId w:val="1"/>
        </w:numPr>
        <w:spacing w:after="80"/>
      </w:pPr>
      <w:r>
        <w:t xml:space="preserve">Day 2 — Filtering, Aggregation &amp; Grouping: AND/OR/IN/BETWEEN/LIKE, NULL handling, COUNT/SUM/AVG/MIN/MAX, GROUP BY, HAVING, CASE WHEN</w:t>
      </w:r>
    </w:p>
    <w:p>
      <w:pPr>
        <w:pStyle w:val="ListParagraph"/>
        <w:numPr>
          <w:ilvl w:val="0"/>
          <w:numId w:val="1"/>
        </w:numPr>
        <w:spacing w:after="80"/>
      </w:pPr>
      <w:r>
        <w:t xml:space="preserve">Day 3 — Joins &amp; Subqueries: INNER/LEFT/RIGHT/FULL JOIN, multi-table joins, self joins, subqueries, CTEs, UNION/UNION ALL</w:t>
      </w:r>
    </w:p>
    <w:p>
      <w:pPr>
        <w:pStyle w:val="ListParagraph"/>
        <w:numPr>
          <w:ilvl w:val="0"/>
          <w:numId w:val="1"/>
        </w:numPr>
        <w:spacing w:after="80"/>
      </w:pPr>
      <w:r>
        <w:t xml:space="preserve">Day 4 — Advanced SQL for Analytics: Window functions (ROW_NUMBER, RANK, DENSE_RANK), running totals, moving averages, date functions, conditional aggregation, query optimization</w:t>
      </w:r>
    </w:p>
    <w:p>
      <w:pPr>
        <w:pStyle w:val="Heading1"/>
        <w:spacing w:after="150" w:before="300"/>
      </w:pPr>
      <w:r>
        <w:t xml:space="preserve">3. Analytical Queries &amp; Results</w:t>
      </w:r>
    </w:p>
    <w:p>
      <w:pPr>
        <w:pStyle w:val="Heading2"/>
        <w:spacing w:after="120" w:before="250"/>
      </w:pPr>
      <w:r>
        <w:t xml:space="preserve">3.1 Customer Spending Ranking</w:t>
      </w:r>
    </w:p>
    <w:p>
      <w:pPr>
        <w:spacing w:after="120"/>
      </w:pPr>
      <w:r>
        <w:rPr>
          <w:i/>
          <w:iCs/>
          <w:color w:val="555555"/>
        </w:rPr>
        <w:t xml:space="preserve">Query: Ranks each customer by total amount spent using RANK() OVER (ORDER BY total_spent DESC).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500"/>
      </w:tblGrid>
      <w:tr>
        <w:tc>
          <w:tcPr>
            <w:tcW w:type="dxa" w:w="3500"/>
            <w:shd w:fill="2E5395" w:val="clear"/>
          </w:tcPr>
          <w:p>
            <w:r>
              <w:rPr>
                <w:b/>
                <w:bCs/>
                <w:color w:val="FFFFFF"/>
              </w:rPr>
              <w:t xml:space="preserve">Customer</w:t>
            </w:r>
          </w:p>
        </w:tc>
        <w:tc>
          <w:tcPr>
            <w:tcW w:type="dxa" w:w="3000"/>
            <w:shd w:fill="2E5395" w:val="clear"/>
          </w:tcPr>
          <w:p>
            <w:r>
              <w:rPr>
                <w:b/>
                <w:bCs/>
                <w:color w:val="FFFFFF"/>
              </w:rPr>
              <w:t xml:space="preserve">Total Spent (Rs.)</w:t>
            </w:r>
          </w:p>
        </w:tc>
        <w:tc>
          <w:tcPr>
            <w:tcW w:type="dxa" w:w="2500"/>
            <w:shd w:fill="2E5395" w:val="clear"/>
          </w:tcPr>
          <w:p>
            <w:r>
              <w:rPr>
                <w:b/>
                <w:bCs/>
                <w:color w:val="FFFFFF"/>
              </w:rPr>
              <w:t xml:space="preserve">Spending Rank</w:t>
            </w:r>
          </w:p>
        </w:tc>
      </w:tr>
      <w:tr>
        <w:tc>
          <w:tcPr>
            <w:tcW w:type="dxa" w:w="3500"/>
          </w:tcPr>
          <w:p>
            <w:r>
              <w:rPr>
                <w:b w:val="false"/>
                <w:bCs w:val="false"/>
              </w:rPr>
              <w:t xml:space="preserve">Usman</w:t>
            </w:r>
          </w:p>
        </w:tc>
        <w:tc>
          <w:tcPr>
            <w:tcW w:type="dxa" w:w="3000"/>
          </w:tcPr>
          <w:p>
            <w:r>
              <w:rPr>
                <w:b w:val="false"/>
                <w:bCs w:val="false"/>
              </w:rPr>
              <w:t xml:space="preserve">166,000</w:t>
            </w:r>
          </w:p>
        </w:tc>
        <w:tc>
          <w:tcPr>
            <w:tcW w:type="dxa" w:w="2500"/>
          </w:tcPr>
          <w:p>
            <w:r>
              <w:rPr>
                <w:b w:val="false"/>
                <w:bCs w:val="false"/>
              </w:rPr>
              <w:t xml:space="preserve">1</w:t>
            </w:r>
          </w:p>
        </w:tc>
      </w:tr>
      <w:tr>
        <w:tc>
          <w:tcPr>
            <w:tcW w:type="dxa" w:w="3500"/>
          </w:tcPr>
          <w:p>
            <w:r>
              <w:rPr>
                <w:b w:val="false"/>
                <w:bCs w:val="false"/>
              </w:rPr>
              <w:t xml:space="preserve">Ali</w:t>
            </w:r>
          </w:p>
        </w:tc>
        <w:tc>
          <w:tcPr>
            <w:tcW w:type="dxa" w:w="3000"/>
          </w:tcPr>
          <w:p>
            <w:r>
              <w:rPr>
                <w:b w:val="false"/>
                <w:bCs w:val="false"/>
              </w:rPr>
              <w:t xml:space="preserve">124,500</w:t>
            </w:r>
          </w:p>
        </w:tc>
        <w:tc>
          <w:tcPr>
            <w:tcW w:type="dxa" w:w="2500"/>
          </w:tcPr>
          <w:p>
            <w:r>
              <w:rPr>
                <w:b w:val="false"/>
                <w:bCs w:val="false"/>
              </w:rPr>
              <w:t xml:space="preserve">2</w:t>
            </w:r>
          </w:p>
        </w:tc>
      </w:tr>
      <w:tr>
        <w:tc>
          <w:tcPr>
            <w:tcW w:type="dxa" w:w="3500"/>
          </w:tcPr>
          <w:p>
            <w:r>
              <w:rPr>
                <w:b w:val="false"/>
                <w:bCs w:val="false"/>
              </w:rPr>
              <w:t xml:space="preserve">Sara</w:t>
            </w:r>
          </w:p>
        </w:tc>
        <w:tc>
          <w:tcPr>
            <w:tcW w:type="dxa" w:w="3000"/>
          </w:tcPr>
          <w:p>
            <w:r>
              <w:rPr>
                <w:b w:val="false"/>
                <w:bCs w:val="false"/>
              </w:rPr>
              <w:t xml:space="preserve">7,500</w:t>
            </w:r>
          </w:p>
        </w:tc>
        <w:tc>
          <w:tcPr>
            <w:tcW w:type="dxa" w:w="2500"/>
          </w:tcPr>
          <w:p>
            <w:r>
              <w:rPr>
                <w:b w:val="false"/>
                <w:bCs w:val="false"/>
              </w:rPr>
              <w:t xml:space="preserve">3</w:t>
            </w:r>
          </w:p>
        </w:tc>
      </w:tr>
    </w:tbl>
    <w:p>
      <w:pPr>
        <w:spacing w:after="200"/>
      </w:pPr>
    </w:p>
    <w:p>
      <w:pPr>
        <w:pStyle w:val="Heading2"/>
        <w:spacing w:after="120" w:before="250"/>
      </w:pPr>
      <w:r>
        <w:t xml:space="preserve">3.2 Total Spend per Customer</w:t>
      </w:r>
    </w:p>
    <w:p>
      <w:pPr>
        <w:spacing w:after="120"/>
      </w:pPr>
      <w:r>
        <w:rPr>
          <w:i/>
          <w:iCs/>
          <w:color w:val="555555"/>
        </w:rPr>
        <w:t xml:space="preserve">Query: Total revenue generated by each customer across all their orders.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E5395" w:val="clear"/>
          </w:tcPr>
          <w:p>
            <w:r>
              <w:rPr>
                <w:b/>
                <w:bCs/>
                <w:color w:val="FFFFFF"/>
              </w:rPr>
              <w:t xml:space="preserve">Customer</w:t>
            </w:r>
          </w:p>
        </w:tc>
        <w:tc>
          <w:tcPr>
            <w:tcW w:type="dxa" w:w="4500"/>
            <w:shd w:fill="2E5395" w:val="clear"/>
          </w:tcPr>
          <w:p>
            <w:r>
              <w:rPr>
                <w:b/>
                <w:bCs/>
                <w:color w:val="FFFFFF"/>
              </w:rPr>
              <w:t xml:space="preserve">Total Spent (Rs.)</w:t>
            </w:r>
          </w:p>
        </w:tc>
      </w:tr>
      <w:tr>
        <w:tc>
          <w:tcPr>
            <w:tcW w:type="dxa" w:w="4500"/>
          </w:tcPr>
          <w:p>
            <w:r>
              <w:rPr>
                <w:b w:val="false"/>
                <w:bCs w:val="false"/>
              </w:rPr>
              <w:t xml:space="preserve">Usman</w:t>
            </w:r>
          </w:p>
        </w:tc>
        <w:tc>
          <w:tcPr>
            <w:tcW w:type="dxa" w:w="4500"/>
          </w:tcPr>
          <w:p>
            <w:r>
              <w:rPr>
                <w:b w:val="false"/>
                <w:bCs w:val="false"/>
              </w:rPr>
              <w:t xml:space="preserve">166,000</w:t>
            </w:r>
          </w:p>
        </w:tc>
      </w:tr>
      <w:tr>
        <w:tc>
          <w:tcPr>
            <w:tcW w:type="dxa" w:w="4500"/>
          </w:tcPr>
          <w:p>
            <w:r>
              <w:rPr>
                <w:b w:val="false"/>
                <w:bCs w:val="false"/>
              </w:rPr>
              <w:t xml:space="preserve">Ali</w:t>
            </w:r>
          </w:p>
        </w:tc>
        <w:tc>
          <w:tcPr>
            <w:tcW w:type="dxa" w:w="4500"/>
          </w:tcPr>
          <w:p>
            <w:r>
              <w:rPr>
                <w:b w:val="false"/>
                <w:bCs w:val="false"/>
              </w:rPr>
              <w:t xml:space="preserve">124,500</w:t>
            </w:r>
          </w:p>
        </w:tc>
      </w:tr>
      <w:tr>
        <w:tc>
          <w:tcPr>
            <w:tcW w:type="dxa" w:w="4500"/>
          </w:tcPr>
          <w:p>
            <w:r>
              <w:rPr>
                <w:b w:val="false"/>
                <w:bCs w:val="false"/>
              </w:rPr>
              <w:t xml:space="preserve">Sara</w:t>
            </w:r>
          </w:p>
        </w:tc>
        <w:tc>
          <w:tcPr>
            <w:tcW w:type="dxa" w:w="4500"/>
          </w:tcPr>
          <w:p>
            <w:r>
              <w:rPr>
                <w:b w:val="false"/>
                <w:bCs w:val="false"/>
              </w:rPr>
              <w:t xml:space="preserve">7,500</w:t>
            </w:r>
          </w:p>
        </w:tc>
      </w:tr>
    </w:tbl>
    <w:p>
      <w:pPr>
        <w:spacing w:after="200"/>
      </w:pPr>
    </w:p>
    <w:p>
      <w:pPr>
        <w:pStyle w:val="Heading2"/>
        <w:spacing w:after="120" w:before="250"/>
      </w:pPr>
      <w:r>
        <w:t xml:space="preserve">3.3 Revenue by Product</w:t>
      </w:r>
    </w:p>
    <w:p>
      <w:pPr>
        <w:spacing w:after="120"/>
      </w:pPr>
      <w:r>
        <w:rPr>
          <w:i/>
          <w:iCs/>
          <w:color w:val="555555"/>
        </w:rPr>
        <w:t xml:space="preserve">Query: Total revenue generated by each product (price × quantity sold).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E5395" w:val="clear"/>
          </w:tcPr>
          <w:p>
            <w:r>
              <w:rPr>
                <w:b/>
                <w:bCs/>
                <w:color w:val="FFFFFF"/>
              </w:rPr>
              <w:t xml:space="preserve">Product</w:t>
            </w:r>
          </w:p>
        </w:tc>
        <w:tc>
          <w:tcPr>
            <w:tcW w:type="dxa" w:w="4500"/>
            <w:shd w:fill="2E5395" w:val="clear"/>
          </w:tcPr>
          <w:p>
            <w:r>
              <w:rPr>
                <w:b/>
                <w:bCs/>
                <w:color w:val="FFFFFF"/>
              </w:rPr>
              <w:t xml:space="preserve">Revenue (Rs.)</w:t>
            </w:r>
          </w:p>
        </w:tc>
      </w:tr>
      <w:tr>
        <w:tc>
          <w:tcPr>
            <w:tcW w:type="dxa" w:w="4500"/>
          </w:tcPr>
          <w:p>
            <w:r>
              <w:rPr>
                <w:b w:val="false"/>
                <w:bCs w:val="false"/>
              </w:rPr>
              <w:t xml:space="preserve">Laptop</w:t>
            </w:r>
          </w:p>
        </w:tc>
        <w:tc>
          <w:tcPr>
            <w:tcW w:type="dxa" w:w="4500"/>
          </w:tcPr>
          <w:p>
            <w:r>
              <w:rPr>
                <w:b w:val="false"/>
                <w:bCs w:val="false"/>
              </w:rPr>
              <w:t xml:space="preserve">240,000</w:t>
            </w:r>
          </w:p>
        </w:tc>
      </w:tr>
      <w:tr>
        <w:tc>
          <w:tcPr>
            <w:tcW w:type="dxa" w:w="4500"/>
          </w:tcPr>
          <w:p>
            <w:r>
              <w:rPr>
                <w:b w:val="false"/>
                <w:bCs w:val="false"/>
              </w:rPr>
              <w:t xml:space="preserve">Monitor</w:t>
            </w:r>
          </w:p>
        </w:tc>
        <w:tc>
          <w:tcPr>
            <w:tcW w:type="dxa" w:w="4500"/>
          </w:tcPr>
          <w:p>
            <w:r>
              <w:rPr>
                <w:b w:val="false"/>
                <w:bCs w:val="false"/>
              </w:rPr>
              <w:t xml:space="preserve">40,000</w:t>
            </w:r>
          </w:p>
        </w:tc>
      </w:tr>
      <w:tr>
        <w:tc>
          <w:tcPr>
            <w:tcW w:type="dxa" w:w="4500"/>
          </w:tcPr>
          <w:p>
            <w:r>
              <w:rPr>
                <w:b w:val="false"/>
                <w:bCs w:val="false"/>
              </w:rPr>
              <w:t xml:space="preserve">Mouse</w:t>
            </w:r>
          </w:p>
        </w:tc>
        <w:tc>
          <w:tcPr>
            <w:tcW w:type="dxa" w:w="4500"/>
          </w:tcPr>
          <w:p>
            <w:r>
              <w:rPr>
                <w:b w:val="false"/>
                <w:bCs w:val="false"/>
              </w:rPr>
              <w:t xml:space="preserve">9,000</w:t>
            </w:r>
          </w:p>
        </w:tc>
      </w:tr>
      <w:tr>
        <w:tc>
          <w:tcPr>
            <w:tcW w:type="dxa" w:w="4500"/>
          </w:tcPr>
          <w:p>
            <w:r>
              <w:rPr>
                <w:b w:val="false"/>
                <w:bCs w:val="false"/>
              </w:rPr>
              <w:t xml:space="preserve">Keyboard</w:t>
            </w:r>
          </w:p>
        </w:tc>
        <w:tc>
          <w:tcPr>
            <w:tcW w:type="dxa" w:w="4500"/>
          </w:tcPr>
          <w:p>
            <w:r>
              <w:rPr>
                <w:b w:val="false"/>
                <w:bCs w:val="false"/>
              </w:rPr>
              <w:t xml:space="preserve">9,000</w:t>
            </w:r>
          </w:p>
        </w:tc>
      </w:tr>
    </w:tbl>
    <w:p>
      <w:pPr>
        <w:spacing w:after="200"/>
      </w:pPr>
    </w:p>
    <w:p>
      <w:pPr>
        <w:pStyle w:val="Heading2"/>
        <w:spacing w:after="120" w:before="250"/>
      </w:pPr>
      <w:r>
        <w:t xml:space="preserve">3.4 Monthly Sales Trend</w:t>
      </w:r>
    </w:p>
    <w:p>
      <w:pPr>
        <w:spacing w:after="120"/>
      </w:pPr>
      <w:r>
        <w:rPr>
          <w:i/>
          <w:iCs/>
          <w:color w:val="555555"/>
        </w:rPr>
        <w:t xml:space="preserve">Query: Total sales grouped by month, using EXTRACT(MONTH FROM order_date).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E5395" w:val="clear"/>
          </w:tcPr>
          <w:p>
            <w:r>
              <w:rPr>
                <w:b/>
                <w:bCs/>
                <w:color w:val="FFFFFF"/>
              </w:rPr>
              <w:t xml:space="preserve">Month</w:t>
            </w:r>
          </w:p>
        </w:tc>
        <w:tc>
          <w:tcPr>
            <w:tcW w:type="dxa" w:w="4500"/>
            <w:shd w:fill="2E5395" w:val="clear"/>
          </w:tcPr>
          <w:p>
            <w:r>
              <w:rPr>
                <w:b/>
                <w:bCs/>
                <w:color w:val="FFFFFF"/>
              </w:rPr>
              <w:t xml:space="preserve">Monthly Sales (Rs.)</w:t>
            </w:r>
          </w:p>
        </w:tc>
      </w:tr>
      <w:tr>
        <w:tc>
          <w:tcPr>
            <w:tcW w:type="dxa" w:w="4500"/>
          </w:tcPr>
          <w:p>
            <w:r>
              <w:rPr>
                <w:b w:val="false"/>
                <w:bCs w:val="false"/>
              </w:rPr>
              <w:t xml:space="preserve">1 (January)</w:t>
            </w:r>
          </w:p>
        </w:tc>
        <w:tc>
          <w:tcPr>
            <w:tcW w:type="dxa" w:w="4500"/>
          </w:tcPr>
          <w:p>
            <w:r>
              <w:rPr>
                <w:b w:val="false"/>
                <w:bCs w:val="false"/>
              </w:rPr>
              <w:t xml:space="preserve">173,500</w:t>
            </w:r>
          </w:p>
        </w:tc>
      </w:tr>
      <w:tr>
        <w:tc>
          <w:tcPr>
            <w:tcW w:type="dxa" w:w="4500"/>
          </w:tcPr>
          <w:p>
            <w:r>
              <w:rPr>
                <w:b w:val="false"/>
                <w:bCs w:val="false"/>
              </w:rPr>
              <w:t xml:space="preserve">2 (February)</w:t>
            </w:r>
          </w:p>
        </w:tc>
        <w:tc>
          <w:tcPr>
            <w:tcW w:type="dxa" w:w="4500"/>
          </w:tcPr>
          <w:p>
            <w:r>
              <w:rPr>
                <w:b w:val="false"/>
                <w:bCs w:val="false"/>
              </w:rPr>
              <w:t xml:space="preserve">124,500</w:t>
            </w:r>
          </w:p>
        </w:tc>
      </w:tr>
    </w:tbl>
    <w:p>
      <w:pPr>
        <w:spacing w:after="200"/>
      </w:pPr>
    </w:p>
    <w:p>
      <w:pPr>
        <w:pStyle w:val="Heading2"/>
        <w:spacing w:after="120" w:before="250"/>
      </w:pPr>
      <w:r>
        <w:t xml:space="preserve">3.5 Customers With No Orders</w:t>
      </w:r>
    </w:p>
    <w:p>
      <w:pPr>
        <w:spacing w:after="120"/>
      </w:pPr>
      <w:r>
        <w:rPr>
          <w:i/>
          <w:iCs/>
          <w:color w:val="555555"/>
        </w:rPr>
        <w:t xml:space="preserve">Query: Customers present in the customers table who have never placed an order (using a subquery with NOT 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2E5395" w:val="clear"/>
          </w:tcPr>
          <w:p>
            <w:r>
              <w:rPr>
                <w:b/>
                <w:bCs/>
                <w:color w:val="FFFFFF"/>
              </w:rPr>
              <w:t xml:space="preserve">Customer Name</w:t>
            </w:r>
          </w:p>
        </w:tc>
      </w:tr>
      <w:tr>
        <w:tc>
          <w:tcPr>
            <w:tcW w:type="dxa" w:w="9000"/>
          </w:tcPr>
          <w:p>
            <w:r>
              <w:rPr>
                <w:b w:val="false"/>
                <w:bCs w:val="false"/>
              </w:rPr>
              <w:t xml:space="preserve">Ayesha</w:t>
            </w:r>
          </w:p>
        </w:tc>
      </w:tr>
    </w:tbl>
    <w:p>
      <w:pPr>
        <w:pStyle w:val="Heading1"/>
        <w:spacing w:after="150" w:before="300"/>
      </w:pPr>
      <w:r>
        <w:t xml:space="preserve">4. Business Insights</w:t>
      </w:r>
    </w:p>
    <w:p>
      <w:pPr>
        <w:pStyle w:val="ListParagraph"/>
        <w:numPr>
          <w:ilvl w:val="0"/>
          <w:numId w:val="1"/>
        </w:numPr>
        <w:spacing w:after="80"/>
      </w:pPr>
      <w:r>
        <w:t xml:space="preserve">Usman is the top-spending customer overall (Rs. 166,000), followed closely by Ali (Rs. 124,500). Together they account for the large majority of total revenue, while Sara has spent comparatively little (Rs. 7,500) — she may be a candidate for a re-engagement offer.</w:t>
      </w:r>
    </w:p>
    <w:p>
      <w:pPr>
        <w:pStyle w:val="ListParagraph"/>
        <w:numPr>
          <w:ilvl w:val="0"/>
          <w:numId w:val="1"/>
        </w:numPr>
        <w:spacing w:after="80"/>
      </w:pPr>
      <w:r>
        <w:t xml:space="preserve">The Laptop is by far the strongest revenue driver (Rs. 240,000), generating roughly six times more revenue than the next-highest product. This suggests the business is currently dependent on a single high-value product.</w:t>
      </w:r>
    </w:p>
    <w:p>
      <w:pPr>
        <w:pStyle w:val="ListParagraph"/>
        <w:numPr>
          <w:ilvl w:val="0"/>
          <w:numId w:val="1"/>
        </w:numPr>
        <w:spacing w:after="80"/>
      </w:pPr>
      <w:r>
        <w:t xml:space="preserve">Monitor generates a moderate Rs. 40,000 in revenue, while Mouse and Keyboard contribute equally but modestly (Rs. 9,000 each) — these lower-value accessories could be considered for bundling with the Laptop to increase their sales.</w:t>
      </w:r>
    </w:p>
    <w:p>
      <w:pPr>
        <w:pStyle w:val="ListParagraph"/>
        <w:numPr>
          <w:ilvl w:val="0"/>
          <w:numId w:val="1"/>
        </w:numPr>
        <w:spacing w:after="80"/>
      </w:pPr>
      <w:r>
        <w:t xml:space="preserve">Sales in January (Rs. 173,500) were higher than in February (Rs. 124,500), a drop of about 28%. This kind of month-over-month comparison would be worth tracking over a longer period to identify whether it's a seasonal pattern or a one-off dip.</w:t>
      </w:r>
    </w:p>
    <w:p>
      <w:pPr>
        <w:pStyle w:val="ListParagraph"/>
        <w:numPr>
          <w:ilvl w:val="0"/>
          <w:numId w:val="1"/>
        </w:numPr>
        <w:spacing w:after="80"/>
      </w:pPr>
      <w:r>
        <w:t xml:space="preserve">Ayesha is registered as a customer but has never placed an order — she represents an inactive customer who could be targeted with a welcome discount or follow-up outreach.</w:t>
      </w:r>
    </w:p>
    <w:p>
      <w:pPr>
        <w:pStyle w:val="Heading1"/>
        <w:spacing w:after="150" w:before="300"/>
      </w:pPr>
      <w:r>
        <w:t xml:space="preserve">5. Conclusion</w:t>
      </w:r>
    </w:p>
    <w:p>
      <w:pPr>
        <w:spacing w:after="120"/>
      </w:pPr>
      <w:r>
        <w:t xml:space="preserve">This project demonstrates a complete, practical SQL workflow: designing a relational schema, populating it with realistic sample data, and writing queries that move from simple filtering to advanced window functions — all in service of answering real business questions like "who are our best customers" and "which products should we focus on." The combination of technical SQL skills (joins, subqueries, CTEs, window functions) with business interpretation of the results is the core takeaway from Week 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2026-09-07T18:30:21.305Z</dcterms:created>
  <dcterms:modified xsi:type="dcterms:W3CDTF">2026-09-07T18:30:21.305Z</dcterms:modified>
</cp:coreProperties>
</file>

<file path=docProps/custom.xml><?xml version="1.0" encoding="utf-8"?>
<Properties xmlns="http://schemas.openxmlformats.org/officeDocument/2006/custom-properties" xmlns:vt="http://schemas.openxmlformats.org/officeDocument/2006/docPropsVTypes"/>
</file>