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Support Ticket</w:t>
      </w:r>
    </w:p>
    <w:p>
      <w:pPr>
        <w:pStyle w:val="Subtitle"/>
      </w:pPr>
      <w:r>
        <w:t>HD-1048</w:t>
      </w:r>
    </w:p>
    <w:p>
      <w:r>
        <w:t>AUTHOR  Alex Morgan (fictional)     REVIEW  Instructor demonstration     STATUS  Resolved; successful test print</w:t>
      </w:r>
    </w:p>
    <w:p>
      <w:pPr>
        <w:pStyle w:val="Heading1"/>
      </w:pPr>
      <w:r>
        <w:t>Purpose and assessment context</w:t>
      </w:r>
    </w:p>
    <w:p>
      <w:r>
        <w:t>A structured instructor-authored model for CIT-205. It illustrates how technical work becomes verifiable evidence. All incidents, measurements, approvals and names below are fabricated for teaching.</w:t>
      </w:r>
    </w:p>
    <w:p>
      <w:pPr>
        <w:pStyle w:val="Heading2"/>
      </w:pPr>
      <w:r>
        <w:t>User's message</w:t>
      </w:r>
    </w:p>
    <w:p>
      <w:r>
        <w:t>'My worksheet stays pending. I'm not sure if anyone else can print.' This anonymized text is a fictional support scenario.</w:t>
      </w:r>
    </w:p>
    <w:p>
      <w:pPr>
        <w:pStyle w:val="Heading2"/>
      </w:pPr>
      <w:r>
        <w:t>Acknowledgment</w:t>
      </w:r>
    </w:p>
    <w:p>
      <w:r>
        <w:t>'Thanks for reaching out. I understand this is delaying your classwork. Please confirm the printer name and any non-sensitive error displayed. Do not send passwords or private documents.'</w:t>
      </w:r>
    </w:p>
    <w:p>
      <w:pPr>
        <w:pStyle w:val="Heading2"/>
      </w:pPr>
      <w:r>
        <w:t>Triage</w:t>
      </w:r>
    </w:p>
    <w:p>
      <w:r>
        <w:t>Verified the shared training printer was reachable and printed from another device. Narrowed scope to the requesting workstation.</w:t>
      </w:r>
    </w:p>
    <w:p>
      <w:pPr>
        <w:pStyle w:val="Heading2"/>
      </w:pPr>
      <w:r>
        <w:t>Investigation</w:t>
      </w:r>
    </w:p>
    <w:p>
      <w:r>
        <w:t>Found paused local job. Asked permission before removing the requestor's own failed job. Did not modify shared printer settings.</w:t>
      </w:r>
    </w:p>
    <w:p>
      <w:pPr>
        <w:pStyle w:val="Heading2"/>
      </w:pPr>
      <w:r>
        <w:t>Resolution</w:t>
      </w:r>
    </w:p>
    <w:p>
      <w:r>
        <w:t>Recreated a non-sensitive test job. Page printed normally. Requestor confirmed printing and received plain-language closure email.</w:t>
      </w:r>
    </w:p>
    <w:p>
      <w:pPr>
        <w:pStyle w:val="Heading2"/>
      </w:pPr>
      <w:r>
        <w:t>Follow-up</w:t>
      </w:r>
    </w:p>
    <w:p>
      <w:r>
        <w:t>'If this recurs, please record the printer name, time, and exact message.' Status: resolved.</w:t>
      </w:r>
    </w:p>
    <w:p>
      <w:pPr>
        <w:pStyle w:val="Heading1"/>
      </w:pPr>
      <w:r>
        <w:t>Evidence and verification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STAGE</w:t>
            </w:r>
          </w:p>
        </w:tc>
        <w:tc>
          <w:tcPr>
            <w:tcW w:type="dxa" w:w="2469"/>
          </w:tcPr>
          <w:p>
            <w:r>
              <w:t>COMMUNICATION</w:t>
            </w:r>
          </w:p>
        </w:tc>
        <w:tc>
          <w:tcPr>
            <w:tcW w:type="dxa" w:w="2469"/>
          </w:tcPr>
          <w:p>
            <w:r>
              <w:t>WHY IT MATTERS</w:t>
            </w:r>
          </w:p>
        </w:tc>
        <w:tc>
          <w:tcPr>
            <w:tcW w:type="dxa" w:w="2469"/>
          </w:tcPr>
          <w:p>
            <w:r>
              <w:t>REVIEW</w:t>
            </w:r>
          </w:p>
        </w:tc>
      </w:tr>
      <w:tr>
        <w:tc>
          <w:tcPr>
            <w:tcW w:type="dxa" w:w="2469"/>
          </w:tcPr>
          <w:p>
            <w:r>
              <w:t>Acknowledgment</w:t>
            </w:r>
          </w:p>
        </w:tc>
        <w:tc>
          <w:tcPr>
            <w:tcW w:type="dxa" w:w="2469"/>
          </w:tcPr>
          <w:p>
            <w:r>
              <w:t>Clear next step</w:t>
            </w:r>
          </w:p>
        </w:tc>
        <w:tc>
          <w:tcPr>
            <w:tcW w:type="dxa" w:w="2469"/>
          </w:tcPr>
          <w:p>
            <w:r>
              <w:t>Sets expectation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Investigation</w:t>
            </w:r>
          </w:p>
        </w:tc>
        <w:tc>
          <w:tcPr>
            <w:tcW w:type="dxa" w:w="2469"/>
          </w:tcPr>
          <w:p>
            <w:r>
              <w:t>Consent sought</w:t>
            </w:r>
          </w:p>
        </w:tc>
        <w:tc>
          <w:tcPr>
            <w:tcW w:type="dxa" w:w="2469"/>
          </w:tcPr>
          <w:p>
            <w:r>
              <w:t>Limits impact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  <w:tr>
        <w:tc>
          <w:tcPr>
            <w:tcW w:type="dxa" w:w="2469"/>
          </w:tcPr>
          <w:p>
            <w:r>
              <w:t>Resolution</w:t>
            </w:r>
          </w:p>
        </w:tc>
        <w:tc>
          <w:tcPr>
            <w:tcW w:type="dxa" w:w="2469"/>
          </w:tcPr>
          <w:p>
            <w:r>
              <w:t>Explains fix</w:t>
            </w:r>
          </w:p>
        </w:tc>
        <w:tc>
          <w:tcPr>
            <w:tcW w:type="dxa" w:w="2469"/>
          </w:tcPr>
          <w:p>
            <w:r>
              <w:t>Supports self-help</w:t>
            </w:r>
          </w:p>
        </w:tc>
        <w:tc>
          <w:tcPr>
            <w:tcW w:type="dxa" w:w="2469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Title"/>
      </w:pPr>
      <w:r>
        <w:t>Reviewer handoff and quality assurance</w:t>
      </w:r>
    </w:p>
    <w:p>
      <w:r>
        <w:t>Document: HD-1048 | Revision: 1.2 | Classification: public instructional example</w:t>
      </w:r>
    </w:p>
    <w:p>
      <w:pPr>
        <w:pStyle w:val="Heading1"/>
      </w:pPr>
      <w:r>
        <w:t>Acceptance checklist</w:t>
      </w:r>
    </w:p>
    <w:p>
      <w:pPr>
        <w:pStyle w:val="ListBullet"/>
      </w:pPr>
      <w:r>
        <w:t>☐ Relevant user / system impact is defined without publishing confidential information.</w:t>
      </w:r>
    </w:p>
    <w:p>
      <w:pPr>
        <w:pStyle w:val="ListBullet"/>
      </w:pPr>
      <w:r>
        <w:t>☐ Expected outcomes are distinguished from the technician's actual observations.</w:t>
      </w:r>
    </w:p>
    <w:p>
      <w:pPr>
        <w:pStyle w:val="ListBullet"/>
      </w:pPr>
      <w:r>
        <w:t>☐ Every conclusion is supported by a specific test or appropriate evidence reference.</w:t>
      </w:r>
    </w:p>
    <w:p>
      <w:pPr>
        <w:pStyle w:val="ListBullet"/>
      </w:pPr>
      <w:r>
        <w:t>☐ Changes are authorized, reversible when appropriate, and documented.</w:t>
      </w:r>
    </w:p>
    <w:p>
      <w:pPr>
        <w:pStyle w:val="ListBullet"/>
      </w:pPr>
      <w:r>
        <w:t>☐ Closure includes verification, remaining risk, escalation, and reviewer disposition.</w:t>
      </w:r>
    </w:p>
    <w:p>
      <w:pPr>
        <w:pStyle w:val="ListBullet"/>
      </w:pPr>
      <w:r>
        <w:t>☐ Accessible language is used; screenshots and supporting files are safe for public release.</w:t>
      </w:r>
    </w:p>
    <w:p>
      <w:pPr>
        <w:pStyle w:val="Heading1"/>
      </w:pPr>
      <w:r>
        <w:t>Evidence register (model references)</w:t>
      </w:r>
    </w:p>
    <w:p>
      <w:r>
        <w:t>HD-1048 E-01 | Initial report or baseline. Synthetic exhibit reference, supplied to model documentation. Students replace with genuine, redacted records.</w:t>
      </w:r>
    </w:p>
    <w:p>
      <w:r>
        <w:t>HD-1048 E-02 | Troubleshooting observations. Synthetic exhibit reference, supplied to model documentation. Students replace with genuine, redacted records.</w:t>
      </w:r>
    </w:p>
    <w:p>
      <w:r>
        <w:t>HD-1048 E-03 | Change / review / authorization notes. Synthetic exhibit reference, supplied to model documentation. Students replace with genuine, redacted records.</w:t>
      </w:r>
    </w:p>
    <w:p>
      <w:r>
        <w:t>HD-1048 E-04 | Final validation and user confirmation. Synthetic exhibit reference, supplied to model documentation. Students replace with genuine, redacted records.</w:t>
      </w:r>
    </w:p>
    <w:p>
      <w:pPr>
        <w:pStyle w:val="Heading1"/>
      </w:pPr>
      <w:r>
        <w:t>Instructor review</w:t>
      </w:r>
    </w:p>
    <w:p>
      <w:r>
        <w:t>What works: the record captures context, action, evidence and outcome. Before qualifying real student work, reviewers must inspect supporting artifacts and verify that any technical claim or metric is true.</w:t>
      </w:r>
    </w:p>
    <w:p>
      <w:r>
        <w:t>Fictional review disposition: EXEMPLAR APPROVED FOR TEACHING ONLY.</w:t>
      </w:r>
    </w:p>
    <w:p>
      <w:pPr>
        <w:pStyle w:val="Heading1"/>
      </w:pPr>
      <w:r>
        <w:t>Reflection and next action</w:t>
      </w:r>
    </w:p>
    <w:p>
      <w:r>
        <w:t>The value of this artifact is not the final checkbox; it is the trace from an observed symptom through a defensible decision to validated results. A real student should explain one revision made after feedback and link the relevant commit.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66" w:right="1181" w:bottom="96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Alex Morgan (fictional)  •  Student-Operated Technology Ecosystem  •  Instructor model, not operational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CIT-205  |  PROFESSIONAL ARTIFACT EXAMPLE  | 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1B2C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3E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3E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