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Base Article</w:t>
      </w:r>
    </w:p>
    <w:p>
      <w:pPr>
        <w:pStyle w:val="Subtitle"/>
      </w:pPr>
      <w:r>
        <w:t>KB-017 / Rev 1.2</w:t>
      </w:r>
    </w:p>
    <w:p>
      <w:r>
        <w:t>AUTHOR  Alex Morgan (fictional)     REVIEW  Instructor demonstration     STATUS  Reviewed technician procedure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Article metadata</w:t>
      </w:r>
    </w:p>
    <w:p>
      <w:r>
        <w:t>Title: Diagnose DNS name-resolution failures. Category: Networking / Client Connectivity. Audience: entry-level service desk technicians. Owner: CIT-205 learning KB.</w:t>
      </w:r>
    </w:p>
    <w:p>
      <w:pPr>
        <w:pStyle w:val="Heading2"/>
      </w:pPr>
      <w:r>
        <w:t>Symptoms</w:t>
      </w:r>
    </w:p>
    <w:p>
      <w:r>
        <w:t>Device can communicate with an approved IP endpoint but cannot open a training website by hostname. Record exact error, time, and whether issue affects one or many users.</w:t>
      </w:r>
    </w:p>
    <w:p>
      <w:pPr>
        <w:pStyle w:val="Heading2"/>
      </w:pPr>
      <w:r>
        <w:t>Safety &amp; prerequisites</w:t>
      </w:r>
    </w:p>
    <w:p>
      <w:r>
        <w:t>Authorized workstation and terminal. Do not collect passwords. Do not alter production DNS or firewall settings without change approval.</w:t>
      </w:r>
    </w:p>
    <w:p>
      <w:pPr>
        <w:pStyle w:val="Heading2"/>
      </w:pPr>
      <w:r>
        <w:t>Procedure 1</w:t>
      </w:r>
    </w:p>
    <w:p>
      <w:r>
        <w:t>Record affected application and scope. Check local link status and assigned address; distinguish wired/Wi-Fi state.</w:t>
      </w:r>
    </w:p>
    <w:p>
      <w:pPr>
        <w:pStyle w:val="Heading2"/>
      </w:pPr>
      <w:r>
        <w:t>Procedure 2</w:t>
      </w:r>
    </w:p>
    <w:p>
      <w:r>
        <w:t>Test gateway connectivity. Test approved IP endpoint. Perform a DNS lookup of an approved training hostname; capture sanitized outputs.</w:t>
      </w:r>
    </w:p>
    <w:p>
      <w:pPr>
        <w:pStyle w:val="Heading2"/>
      </w:pPr>
      <w:r>
        <w:t>Procedure 3</w:t>
      </w:r>
    </w:p>
    <w:p>
      <w:r>
        <w:t>Compare observed resolver configuration against published approved baseline. If unauthorized or broad outage, stop and escalate.</w:t>
      </w:r>
    </w:p>
    <w:p>
      <w:pPr>
        <w:pStyle w:val="Heading2"/>
      </w:pPr>
      <w:r>
        <w:t>Procedure 4</w:t>
      </w:r>
    </w:p>
    <w:p>
      <w:r>
        <w:t>Only with approval, restore authorized configuration, keep rollback record, repeat all tests, and obtain user confirmation.</w:t>
      </w:r>
    </w:p>
    <w:p>
      <w:pPr>
        <w:pStyle w:val="Heading2"/>
      </w:pPr>
      <w:r>
        <w:t>Expected results</w:t>
      </w:r>
    </w:p>
    <w:p>
      <w:r>
        <w:t>Working IP path plus failed hostname lookup suggests DNS investigation; simultaneous failure suggests wider connectivity issue; one-host failure suggests host-specific issue.</w:t>
      </w:r>
    </w:p>
    <w:p>
      <w:pPr>
        <w:pStyle w:val="Heading2"/>
      </w:pPr>
      <w:r>
        <w:t>Escalation &amp; rollback</w:t>
      </w:r>
    </w:p>
    <w:p>
      <w:r>
        <w:t>Escalate multiple impacted devices, inconsistent authoritative DNS, unauthorized settings, or unsuccessful remediation. Restore original approved values on rollback.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STEP</w:t>
            </w:r>
          </w:p>
        </w:tc>
        <w:tc>
          <w:tcPr>
            <w:tcW w:type="dxa" w:w="2469"/>
          </w:tcPr>
          <w:p>
            <w:r>
              <w:t>EXPECTED SIGNAL</w:t>
            </w:r>
          </w:p>
        </w:tc>
        <w:tc>
          <w:tcPr>
            <w:tcW w:type="dxa" w:w="2469"/>
          </w:tcPr>
          <w:p>
            <w:r>
              <w:t>IF NOT OBSERVED</w:t>
            </w:r>
          </w:p>
        </w:tc>
        <w:tc>
          <w:tcPr>
            <w:tcW w:type="dxa" w:w="2469"/>
          </w:tcPr>
          <w:p>
            <w:r>
              <w:t>EVIDENCE</w:t>
            </w:r>
          </w:p>
        </w:tc>
      </w:tr>
      <w:tr>
        <w:tc>
          <w:tcPr>
            <w:tcW w:type="dxa" w:w="2469"/>
          </w:tcPr>
          <w:p>
            <w:r>
              <w:t>Gateway reachability</w:t>
            </w:r>
          </w:p>
        </w:tc>
        <w:tc>
          <w:tcPr>
            <w:tcW w:type="dxa" w:w="2469"/>
          </w:tcPr>
          <w:p>
            <w:r>
              <w:t>Replies</w:t>
            </w:r>
          </w:p>
        </w:tc>
        <w:tc>
          <w:tcPr>
            <w:tcW w:type="dxa" w:w="2469"/>
          </w:tcPr>
          <w:p>
            <w:r>
              <w:t>Inspect local path</w:t>
            </w:r>
          </w:p>
        </w:tc>
        <w:tc>
          <w:tcPr>
            <w:tcW w:type="dxa" w:w="2469"/>
          </w:tcPr>
          <w:p>
            <w:r>
              <w:t>Ping log</w:t>
            </w:r>
          </w:p>
        </w:tc>
      </w:tr>
      <w:tr>
        <w:tc>
          <w:tcPr>
            <w:tcW w:type="dxa" w:w="2469"/>
          </w:tcPr>
          <w:p>
            <w:r>
              <w:t>IP connectivity</w:t>
            </w:r>
          </w:p>
        </w:tc>
        <w:tc>
          <w:tcPr>
            <w:tcW w:type="dxa" w:w="2469"/>
          </w:tcPr>
          <w:p>
            <w:r>
              <w:t>Response</w:t>
            </w:r>
          </w:p>
        </w:tc>
        <w:tc>
          <w:tcPr>
            <w:tcW w:type="dxa" w:w="2469"/>
          </w:tcPr>
          <w:p>
            <w:r>
              <w:t>Check route/service</w:t>
            </w:r>
          </w:p>
        </w:tc>
        <w:tc>
          <w:tcPr>
            <w:tcW w:type="dxa" w:w="2469"/>
          </w:tcPr>
          <w:p>
            <w:r>
              <w:t>Test log</w:t>
            </w:r>
          </w:p>
        </w:tc>
      </w:tr>
      <w:tr>
        <w:tc>
          <w:tcPr>
            <w:tcW w:type="dxa" w:w="2469"/>
          </w:tcPr>
          <w:p>
            <w:r>
              <w:t>DNS lookup</w:t>
            </w:r>
          </w:p>
        </w:tc>
        <w:tc>
          <w:tcPr>
            <w:tcW w:type="dxa" w:w="2469"/>
          </w:tcPr>
          <w:p>
            <w:r>
              <w:t>Name resolves</w:t>
            </w:r>
          </w:p>
        </w:tc>
        <w:tc>
          <w:tcPr>
            <w:tcW w:type="dxa" w:w="2469"/>
          </w:tcPr>
          <w:p>
            <w:r>
              <w:t>Compare resolver</w:t>
            </w:r>
          </w:p>
        </w:tc>
        <w:tc>
          <w:tcPr>
            <w:tcW w:type="dxa" w:w="2469"/>
          </w:tcPr>
          <w:p>
            <w:r>
              <w:t>Lookup output</w:t>
            </w:r>
          </w:p>
        </w:tc>
      </w:tr>
      <w:tr>
        <w:tc>
          <w:tcPr>
            <w:tcW w:type="dxa" w:w="2469"/>
          </w:tcPr>
          <w:p>
            <w:r>
              <w:t>Application test</w:t>
            </w:r>
          </w:p>
        </w:tc>
        <w:tc>
          <w:tcPr>
            <w:tcW w:type="dxa" w:w="2469"/>
          </w:tcPr>
          <w:p>
            <w:r>
              <w:t>Page loads</w:t>
            </w:r>
          </w:p>
        </w:tc>
        <w:tc>
          <w:tcPr>
            <w:tcW w:type="dxa" w:w="2469"/>
          </w:tcPr>
          <w:p>
            <w:r>
              <w:t>Escalate service issue</w:t>
            </w:r>
          </w:p>
        </w:tc>
        <w:tc>
          <w:tcPr>
            <w:tcW w:type="dxa" w:w="2469"/>
          </w:tcPr>
          <w:p>
            <w:r>
              <w:t>User confirmation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KB-017 / Rev 1.2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KB-017 / Rev 1.2 E-01 | Initial report or baseline. Synthetic exhibit reference, supplied to model documentation. Students replace with genuine, redacted records.</w:t>
      </w:r>
    </w:p>
    <w:p>
      <w:r>
        <w:t>KB-017 / Rev 1.2 E-02 | Troubleshooting observations. Synthetic exhibit reference, supplied to model documentation. Students replace with genuine, redacted records.</w:t>
      </w:r>
    </w:p>
    <w:p>
      <w:r>
        <w:t>KB-017 / Rev 1.2 E-03 | Change / review / authorization notes. Synthetic exhibit reference, supplied to model documentation. Students replace with genuine, redacted records.</w:t>
      </w:r>
    </w:p>
    <w:p>
      <w:r>
        <w:t>KB-017 / Rev 1.2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