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Server Validation Report</w:t>
      </w:r>
    </w:p>
    <w:p>
      <w:pPr>
        <w:pStyle w:val="Subtitle"/>
      </w:pPr>
      <w:r>
        <w:t>LAB-SRV-02 / SV-014</w:t>
      </w:r>
    </w:p>
    <w:p>
      <w:r>
        <w:t>AUTHOR  Alex Morgan (fictional)     REVIEW  Instructor demonstration     STATUS  Conditional pass; storage risk escalated</w:t>
      </w:r>
    </w:p>
    <w:p>
      <w:pPr>
        <w:pStyle w:val="Heading1"/>
      </w:pPr>
      <w:r>
        <w:t>Purpose and assessment context</w:t>
      </w:r>
    </w:p>
    <w:p>
      <w:r>
        <w:t>A structured instructor-authored model for CIT-205. It illustrates how technical work becomes verifiable evidence. All incidents, measurements, approvals and names below are fabricated for teaching.</w:t>
      </w:r>
    </w:p>
    <w:p>
      <w:pPr>
        <w:pStyle w:val="Heading2"/>
      </w:pPr>
      <w:r>
        <w:t>Objective</w:t>
      </w:r>
    </w:p>
    <w:p>
      <w:r>
        <w:t>Assess authorized training server health without unapproved changes to production services.</w:t>
      </w:r>
    </w:p>
    <w:p>
      <w:pPr>
        <w:pStyle w:val="Heading2"/>
      </w:pPr>
      <w:r>
        <w:t>Scope</w:t>
      </w:r>
    </w:p>
    <w:p>
      <w:r>
        <w:t>Read-only verification of service availability, logical volumes, scheduled patches, network interface, backup metadata, and open monitoring alerts.</w:t>
      </w:r>
    </w:p>
    <w:p>
      <w:pPr>
        <w:pStyle w:val="Heading2"/>
      </w:pPr>
      <w:r>
        <w:t>Observed</w:t>
      </w:r>
    </w:p>
    <w:p>
      <w:r>
        <w:t>Core application healthy; root volume 31% free; dedicated log volume 9% free against a 20% threshold.</w:t>
      </w:r>
    </w:p>
    <w:p>
      <w:pPr>
        <w:pStyle w:val="Heading2"/>
      </w:pPr>
      <w:r>
        <w:t>Risk</w:t>
      </w:r>
    </w:p>
    <w:p>
      <w:r>
        <w:t>Reduced log-volume capacity could interrupt logging and service continuity. A completed backup job is not equivalent to restore validation.</w:t>
      </w:r>
    </w:p>
    <w:p>
      <w:pPr>
        <w:pStyle w:val="Heading2"/>
      </w:pPr>
      <w:r>
        <w:t>Change control</w:t>
      </w:r>
    </w:p>
    <w:p>
      <w:r>
        <w:t>Opened DEMO-CHG-033 for storage remediation and DEMO-TKT-227 for patch planning. No log deletion or restart performed.</w:t>
      </w:r>
    </w:p>
    <w:p>
      <w:pPr>
        <w:pStyle w:val="Heading2"/>
      </w:pPr>
      <w:r>
        <w:t>Handoff</w:t>
      </w:r>
    </w:p>
    <w:p>
      <w:r>
        <w:t>Server remains operational with an open condition. Storage retest and restore exercise require separate approval.</w:t>
      </w:r>
    </w:p>
    <w:p>
      <w:pPr>
        <w:pStyle w:val="Heading1"/>
      </w:pPr>
      <w:r>
        <w:t>Evidence and verification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t>CONTROL</w:t>
            </w:r>
          </w:p>
        </w:tc>
        <w:tc>
          <w:tcPr>
            <w:tcW w:type="dxa" w:w="2469"/>
          </w:tcPr>
          <w:p>
            <w:r>
              <w:t>BASELINE</w:t>
            </w:r>
          </w:p>
        </w:tc>
        <w:tc>
          <w:tcPr>
            <w:tcW w:type="dxa" w:w="2469"/>
          </w:tcPr>
          <w:p>
            <w:r>
              <w:t>RESULT</w:t>
            </w:r>
          </w:p>
        </w:tc>
        <w:tc>
          <w:tcPr>
            <w:tcW w:type="dxa" w:w="2469"/>
          </w:tcPr>
          <w:p>
            <w:r>
              <w:t>STATUS</w:t>
            </w:r>
          </w:p>
        </w:tc>
      </w:tr>
      <w:tr>
        <w:tc>
          <w:tcPr>
            <w:tcW w:type="dxa" w:w="2469"/>
          </w:tcPr>
          <w:p>
            <w:r>
              <w:t>Service</w:t>
            </w:r>
          </w:p>
        </w:tc>
        <w:tc>
          <w:tcPr>
            <w:tcW w:type="dxa" w:w="2469"/>
          </w:tcPr>
          <w:p>
            <w:r>
              <w:t>Responsive</w:t>
            </w:r>
          </w:p>
        </w:tc>
        <w:tc>
          <w:tcPr>
            <w:tcW w:type="dxa" w:w="2469"/>
          </w:tcPr>
          <w:p>
            <w:r>
              <w:t>Responding</w:t>
            </w:r>
          </w:p>
        </w:tc>
        <w:tc>
          <w:tcPr>
            <w:tcW w:type="dxa" w:w="2469"/>
          </w:tcPr>
          <w:p>
            <w:r>
              <w:t>PASS</w:t>
            </w:r>
          </w:p>
        </w:tc>
      </w:tr>
      <w:tr>
        <w:tc>
          <w:tcPr>
            <w:tcW w:type="dxa" w:w="2469"/>
          </w:tcPr>
          <w:p>
            <w:r>
              <w:t>Root disk</w:t>
            </w:r>
          </w:p>
        </w:tc>
        <w:tc>
          <w:tcPr>
            <w:tcW w:type="dxa" w:w="2469"/>
          </w:tcPr>
          <w:p>
            <w:r>
              <w:t>&gt;=20% free</w:t>
            </w:r>
          </w:p>
        </w:tc>
        <w:tc>
          <w:tcPr>
            <w:tcW w:type="dxa" w:w="2469"/>
          </w:tcPr>
          <w:p>
            <w:r>
              <w:t>31% free</w:t>
            </w:r>
          </w:p>
        </w:tc>
        <w:tc>
          <w:tcPr>
            <w:tcW w:type="dxa" w:w="2469"/>
          </w:tcPr>
          <w:p>
            <w:r>
              <w:t>PASS</w:t>
            </w:r>
          </w:p>
        </w:tc>
      </w:tr>
      <w:tr>
        <w:tc>
          <w:tcPr>
            <w:tcW w:type="dxa" w:w="2469"/>
          </w:tcPr>
          <w:p>
            <w:r>
              <w:t>Log disk</w:t>
            </w:r>
          </w:p>
        </w:tc>
        <w:tc>
          <w:tcPr>
            <w:tcW w:type="dxa" w:w="2469"/>
          </w:tcPr>
          <w:p>
            <w:r>
              <w:t>&gt;=20% free</w:t>
            </w:r>
          </w:p>
        </w:tc>
        <w:tc>
          <w:tcPr>
            <w:tcW w:type="dxa" w:w="2469"/>
          </w:tcPr>
          <w:p>
            <w:r>
              <w:t>9% free</w:t>
            </w:r>
          </w:p>
        </w:tc>
        <w:tc>
          <w:tcPr>
            <w:tcW w:type="dxa" w:w="2469"/>
          </w:tcPr>
          <w:p>
            <w:r>
              <w:t>FLAG</w:t>
            </w:r>
          </w:p>
        </w:tc>
      </w:tr>
      <w:tr>
        <w:tc>
          <w:tcPr>
            <w:tcW w:type="dxa" w:w="2469"/>
          </w:tcPr>
          <w:p>
            <w:r>
              <w:t>Backup</w:t>
            </w:r>
          </w:p>
        </w:tc>
        <w:tc>
          <w:tcPr>
            <w:tcW w:type="dxa" w:w="2469"/>
          </w:tcPr>
          <w:p>
            <w:r>
              <w:t>Recent completed</w:t>
            </w:r>
          </w:p>
        </w:tc>
        <w:tc>
          <w:tcPr>
            <w:tcW w:type="dxa" w:w="2469"/>
          </w:tcPr>
          <w:p>
            <w:r>
              <w:t>Completed; restore untested</w:t>
            </w:r>
          </w:p>
        </w:tc>
        <w:tc>
          <w:tcPr>
            <w:tcW w:type="dxa" w:w="2469"/>
          </w:tcPr>
          <w:p>
            <w:r>
              <w:t>CONDITIONAL</w:t>
            </w:r>
          </w:p>
        </w:tc>
      </w:tr>
    </w:tbl>
    <w:p>
      <w:r>
        <w:br w:type="page"/>
      </w:r>
    </w:p>
    <w:p>
      <w:pPr>
        <w:pStyle w:val="Title"/>
      </w:pPr>
      <w:r>
        <w:t>Reviewer handoff and quality assurance</w:t>
      </w:r>
    </w:p>
    <w:p>
      <w:r>
        <w:t>Document: LAB-SRV-02 / SV-014 | Revision: 1.2 | Classification: public instructional example</w:t>
      </w:r>
    </w:p>
    <w:p>
      <w:pPr>
        <w:pStyle w:val="Heading1"/>
      </w:pPr>
      <w:r>
        <w:t>Acceptance checklist</w:t>
      </w:r>
    </w:p>
    <w:p>
      <w:pPr>
        <w:pStyle w:val="ListBullet"/>
      </w:pPr>
      <w:r>
        <w:t>☐ Relevant user / system impact is defined without publishing confidential information.</w:t>
      </w:r>
    </w:p>
    <w:p>
      <w:pPr>
        <w:pStyle w:val="ListBullet"/>
      </w:pPr>
      <w:r>
        <w:t>☐ Expected outcomes are distinguished from the technician's actual observations.</w:t>
      </w:r>
    </w:p>
    <w:p>
      <w:pPr>
        <w:pStyle w:val="ListBullet"/>
      </w:pPr>
      <w:r>
        <w:t>☐ Every conclusion is supported by a specific test or appropriate evidence reference.</w:t>
      </w:r>
    </w:p>
    <w:p>
      <w:pPr>
        <w:pStyle w:val="ListBullet"/>
      </w:pPr>
      <w:r>
        <w:t>☐ Changes are authorized, reversible when appropriate, and documented.</w:t>
      </w:r>
    </w:p>
    <w:p>
      <w:pPr>
        <w:pStyle w:val="ListBullet"/>
      </w:pPr>
      <w:r>
        <w:t>☐ Closure includes verification, remaining risk, escalation, and reviewer disposition.</w:t>
      </w:r>
    </w:p>
    <w:p>
      <w:pPr>
        <w:pStyle w:val="ListBullet"/>
      </w:pPr>
      <w:r>
        <w:t>☐ Accessible language is used; screenshots and supporting files are safe for public release.</w:t>
      </w:r>
    </w:p>
    <w:p>
      <w:pPr>
        <w:pStyle w:val="Heading1"/>
      </w:pPr>
      <w:r>
        <w:t>Evidence register (model references)</w:t>
      </w:r>
    </w:p>
    <w:p>
      <w:r>
        <w:t>LAB-SRV-02 / SV-014 E-01 | Initial report or baseline. Synthetic exhibit reference, supplied to model documentation. Students replace with genuine, redacted records.</w:t>
      </w:r>
    </w:p>
    <w:p>
      <w:r>
        <w:t>LAB-SRV-02 / SV-014 E-02 | Troubleshooting observations. Synthetic exhibit reference, supplied to model documentation. Students replace with genuine, redacted records.</w:t>
      </w:r>
    </w:p>
    <w:p>
      <w:r>
        <w:t>LAB-SRV-02 / SV-014 E-03 | Change / review / authorization notes. Synthetic exhibit reference, supplied to model documentation. Students replace with genuine, redacted records.</w:t>
      </w:r>
    </w:p>
    <w:p>
      <w:r>
        <w:t>LAB-SRV-02 / SV-014 E-04 | Final validation and user confirmation. Synthetic exhibit reference, supplied to model documentation. Students replace with genuine, redacted records.</w:t>
      </w:r>
    </w:p>
    <w:p>
      <w:pPr>
        <w:pStyle w:val="Heading1"/>
      </w:pPr>
      <w:r>
        <w:t>Instructor review</w:t>
      </w:r>
    </w:p>
    <w:p>
      <w:r>
        <w:t>What works: the record captures context, action, evidence and outcome. Before qualifying real student work, reviewers must inspect supporting artifacts and verify that any technical claim or metric is true.</w:t>
      </w:r>
    </w:p>
    <w:p>
      <w:r>
        <w:t>Fictional review disposition: EXEMPLAR APPROVED FOR TEACHING ONLY.</w:t>
      </w:r>
    </w:p>
    <w:p>
      <w:pPr>
        <w:pStyle w:val="Heading1"/>
      </w:pPr>
      <w:r>
        <w:t>Reflection and next action</w:t>
      </w:r>
    </w:p>
    <w:p>
      <w:r>
        <w:t>The value of this artifact is not the final checkbox; it is the trace from an observed symptom through a defensible decision to validated results. A real student should explain one revision made after feedback and link the relevant commit.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66" w:right="1181" w:bottom="965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Alex Morgan (fictional)  •  Student-Operated Technology Ecosystem  •  Instructor model, not operational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CIT-205  |  PROFESSIONAL ARTIFACT EXAMPLE  |  FICTIONAL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1B2C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3E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