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C82A99" w14:textId="77777777" w:rsidR="00BA369F" w:rsidRDefault="00B00AD7" w:rsidP="00031FD3">
      <w:pPr>
        <w:pStyle w:val="Titre1"/>
        <w:pBdr>
          <w:top w:val="single" w:sz="4" w:space="1" w:color="auto"/>
          <w:left w:val="single" w:sz="4" w:space="0" w:color="auto"/>
          <w:bottom w:val="single" w:sz="4" w:space="1" w:color="auto"/>
          <w:right w:val="single" w:sz="4" w:space="4" w:color="auto"/>
        </w:pBdr>
        <w:jc w:val="center"/>
      </w:pPr>
      <w:bookmarkStart w:id="0" w:name="_Toc374450911"/>
      <w:r>
        <w:t xml:space="preserve">Chapitre 1 - </w:t>
      </w:r>
      <w:r w:rsidR="00031FD3">
        <w:t>Introduction à l’</w:t>
      </w:r>
      <w:r w:rsidR="00BA369F">
        <w:t>évaluation</w:t>
      </w:r>
      <w:r w:rsidR="007B0AA1">
        <w:t xml:space="preserve"> des groupes</w:t>
      </w:r>
      <w:bookmarkEnd w:id="0"/>
    </w:p>
    <w:p w14:paraId="7E170CB7" w14:textId="77777777" w:rsidR="00C64A11" w:rsidRPr="00420F46" w:rsidRDefault="00C64A11">
      <w:pPr>
        <w:pStyle w:val="TM1"/>
        <w:tabs>
          <w:tab w:val="right" w:leader="underscore" w:pos="9062"/>
        </w:tabs>
        <w:rPr>
          <w:rFonts w:cs="Times New Roman"/>
          <w:b w:val="0"/>
          <w:bCs w:val="0"/>
          <w:i w:val="0"/>
          <w:iCs w:val="0"/>
          <w:noProof/>
          <w:sz w:val="22"/>
          <w:szCs w:val="22"/>
        </w:rPr>
      </w:pPr>
      <w:r>
        <w:fldChar w:fldCharType="begin"/>
      </w:r>
      <w:r>
        <w:instrText xml:space="preserve"> TOC \o "1-3" \h \z \u </w:instrText>
      </w:r>
      <w:r>
        <w:fldChar w:fldCharType="separate"/>
      </w:r>
      <w:hyperlink w:anchor="_Toc374450911" w:history="1">
        <w:r w:rsidRPr="00D77B28">
          <w:rPr>
            <w:rStyle w:val="Lienhypertexte"/>
            <w:noProof/>
          </w:rPr>
          <w:t>Introduction à l’évaluation des groupes</w:t>
        </w:r>
        <w:r>
          <w:rPr>
            <w:noProof/>
            <w:webHidden/>
          </w:rPr>
          <w:tab/>
        </w:r>
        <w:r>
          <w:rPr>
            <w:noProof/>
            <w:webHidden/>
          </w:rPr>
          <w:fldChar w:fldCharType="begin"/>
        </w:r>
        <w:r>
          <w:rPr>
            <w:noProof/>
            <w:webHidden/>
          </w:rPr>
          <w:instrText xml:space="preserve"> PAGEREF _Toc374450911 \h </w:instrText>
        </w:r>
        <w:r>
          <w:rPr>
            <w:noProof/>
            <w:webHidden/>
          </w:rPr>
        </w:r>
        <w:r>
          <w:rPr>
            <w:noProof/>
            <w:webHidden/>
          </w:rPr>
          <w:fldChar w:fldCharType="separate"/>
        </w:r>
        <w:r w:rsidR="00D01D8B">
          <w:rPr>
            <w:noProof/>
            <w:webHidden/>
          </w:rPr>
          <w:t>1</w:t>
        </w:r>
        <w:r>
          <w:rPr>
            <w:noProof/>
            <w:webHidden/>
          </w:rPr>
          <w:fldChar w:fldCharType="end"/>
        </w:r>
      </w:hyperlink>
    </w:p>
    <w:p w14:paraId="554FC037" w14:textId="77777777" w:rsidR="00C64A11" w:rsidRPr="00420F46" w:rsidRDefault="008C12B7">
      <w:pPr>
        <w:pStyle w:val="TM2"/>
        <w:tabs>
          <w:tab w:val="right" w:leader="underscore" w:pos="9062"/>
        </w:tabs>
        <w:rPr>
          <w:rFonts w:cs="Times New Roman"/>
          <w:b w:val="0"/>
          <w:bCs w:val="0"/>
          <w:noProof/>
        </w:rPr>
      </w:pPr>
      <w:hyperlink w:anchor="_Toc374450912" w:history="1">
        <w:r w:rsidR="00C64A11" w:rsidRPr="00D77B28">
          <w:rPr>
            <w:rStyle w:val="Lienhypertexte"/>
            <w:noProof/>
          </w:rPr>
          <w:t>I – Le diagnostic</w:t>
        </w:r>
        <w:r w:rsidR="00C64A11">
          <w:rPr>
            <w:noProof/>
            <w:webHidden/>
          </w:rPr>
          <w:tab/>
        </w:r>
        <w:r w:rsidR="00C64A11">
          <w:rPr>
            <w:noProof/>
            <w:webHidden/>
          </w:rPr>
          <w:fldChar w:fldCharType="begin"/>
        </w:r>
        <w:r w:rsidR="00C64A11">
          <w:rPr>
            <w:noProof/>
            <w:webHidden/>
          </w:rPr>
          <w:instrText xml:space="preserve"> PAGEREF _Toc374450912 \h </w:instrText>
        </w:r>
        <w:r w:rsidR="00C64A11">
          <w:rPr>
            <w:noProof/>
            <w:webHidden/>
          </w:rPr>
        </w:r>
        <w:r w:rsidR="00C64A11">
          <w:rPr>
            <w:noProof/>
            <w:webHidden/>
          </w:rPr>
          <w:fldChar w:fldCharType="separate"/>
        </w:r>
        <w:r w:rsidR="00D01D8B">
          <w:rPr>
            <w:noProof/>
            <w:webHidden/>
          </w:rPr>
          <w:t>2</w:t>
        </w:r>
        <w:r w:rsidR="00C64A11">
          <w:rPr>
            <w:noProof/>
            <w:webHidden/>
          </w:rPr>
          <w:fldChar w:fldCharType="end"/>
        </w:r>
      </w:hyperlink>
    </w:p>
    <w:p w14:paraId="6F8DE202" w14:textId="77777777" w:rsidR="00C64A11" w:rsidRPr="00420F46" w:rsidRDefault="008C12B7">
      <w:pPr>
        <w:pStyle w:val="TM2"/>
        <w:tabs>
          <w:tab w:val="right" w:leader="underscore" w:pos="9062"/>
        </w:tabs>
        <w:rPr>
          <w:rFonts w:cs="Times New Roman"/>
          <w:b w:val="0"/>
          <w:bCs w:val="0"/>
          <w:noProof/>
        </w:rPr>
      </w:pPr>
      <w:hyperlink w:anchor="_Toc374450913" w:history="1">
        <w:r w:rsidR="00C64A11" w:rsidRPr="00D77B28">
          <w:rPr>
            <w:rStyle w:val="Lienhypertexte"/>
            <w:noProof/>
          </w:rPr>
          <w:t>II – Négociation des prix</w:t>
        </w:r>
        <w:r w:rsidR="00C64A11">
          <w:rPr>
            <w:noProof/>
            <w:webHidden/>
          </w:rPr>
          <w:tab/>
        </w:r>
        <w:r w:rsidR="00C64A11">
          <w:rPr>
            <w:noProof/>
            <w:webHidden/>
          </w:rPr>
          <w:fldChar w:fldCharType="begin"/>
        </w:r>
        <w:r w:rsidR="00C64A11">
          <w:rPr>
            <w:noProof/>
            <w:webHidden/>
          </w:rPr>
          <w:instrText xml:space="preserve"> PAGEREF _Toc374450913 \h </w:instrText>
        </w:r>
        <w:r w:rsidR="00C64A11">
          <w:rPr>
            <w:noProof/>
            <w:webHidden/>
          </w:rPr>
        </w:r>
        <w:r w:rsidR="00C64A11">
          <w:rPr>
            <w:noProof/>
            <w:webHidden/>
          </w:rPr>
          <w:fldChar w:fldCharType="separate"/>
        </w:r>
        <w:r w:rsidR="00D01D8B">
          <w:rPr>
            <w:noProof/>
            <w:webHidden/>
          </w:rPr>
          <w:t>3</w:t>
        </w:r>
        <w:r w:rsidR="00C64A11">
          <w:rPr>
            <w:noProof/>
            <w:webHidden/>
          </w:rPr>
          <w:fldChar w:fldCharType="end"/>
        </w:r>
      </w:hyperlink>
    </w:p>
    <w:p w14:paraId="31245360" w14:textId="77777777" w:rsidR="00C64A11" w:rsidRPr="00420F46" w:rsidRDefault="008C12B7">
      <w:pPr>
        <w:pStyle w:val="TM2"/>
        <w:tabs>
          <w:tab w:val="right" w:leader="underscore" w:pos="9062"/>
        </w:tabs>
        <w:rPr>
          <w:rFonts w:cs="Times New Roman"/>
          <w:b w:val="0"/>
          <w:bCs w:val="0"/>
          <w:noProof/>
        </w:rPr>
      </w:pPr>
      <w:hyperlink w:anchor="_Toc374450914" w:history="1">
        <w:r w:rsidR="00C64A11" w:rsidRPr="00D77B28">
          <w:rPr>
            <w:rStyle w:val="Lienhypertexte"/>
            <w:noProof/>
          </w:rPr>
          <w:t>III - La mise en œuvre de l’évaluation</w:t>
        </w:r>
        <w:r w:rsidR="00C64A11">
          <w:rPr>
            <w:noProof/>
            <w:webHidden/>
          </w:rPr>
          <w:tab/>
        </w:r>
        <w:r w:rsidR="00C64A11">
          <w:rPr>
            <w:noProof/>
            <w:webHidden/>
          </w:rPr>
          <w:fldChar w:fldCharType="begin"/>
        </w:r>
        <w:r w:rsidR="00C64A11">
          <w:rPr>
            <w:noProof/>
            <w:webHidden/>
          </w:rPr>
          <w:instrText xml:space="preserve"> PAGEREF _Toc374450914 \h </w:instrText>
        </w:r>
        <w:r w:rsidR="00C64A11">
          <w:rPr>
            <w:noProof/>
            <w:webHidden/>
          </w:rPr>
        </w:r>
        <w:r w:rsidR="00C64A11">
          <w:rPr>
            <w:noProof/>
            <w:webHidden/>
          </w:rPr>
          <w:fldChar w:fldCharType="separate"/>
        </w:r>
        <w:r w:rsidR="00D01D8B">
          <w:rPr>
            <w:noProof/>
            <w:webHidden/>
          </w:rPr>
          <w:t>4</w:t>
        </w:r>
        <w:r w:rsidR="00C64A11">
          <w:rPr>
            <w:noProof/>
            <w:webHidden/>
          </w:rPr>
          <w:fldChar w:fldCharType="end"/>
        </w:r>
      </w:hyperlink>
    </w:p>
    <w:p w14:paraId="599F4C09" w14:textId="77777777" w:rsidR="00C64A11" w:rsidRPr="00420F46" w:rsidRDefault="008C12B7">
      <w:pPr>
        <w:pStyle w:val="TM3"/>
        <w:tabs>
          <w:tab w:val="right" w:leader="underscore" w:pos="9062"/>
        </w:tabs>
        <w:rPr>
          <w:rFonts w:cs="Times New Roman"/>
          <w:noProof/>
          <w:sz w:val="22"/>
          <w:szCs w:val="22"/>
        </w:rPr>
      </w:pPr>
      <w:hyperlink w:anchor="_Toc374450915" w:history="1">
        <w:r w:rsidR="00C64A11" w:rsidRPr="00D77B28">
          <w:rPr>
            <w:rStyle w:val="Lienhypertexte"/>
            <w:noProof/>
          </w:rPr>
          <w:t>12 – Les différentes étapes</w:t>
        </w:r>
        <w:r w:rsidR="00C64A11">
          <w:rPr>
            <w:noProof/>
            <w:webHidden/>
          </w:rPr>
          <w:tab/>
        </w:r>
        <w:r w:rsidR="00C64A11">
          <w:rPr>
            <w:noProof/>
            <w:webHidden/>
          </w:rPr>
          <w:fldChar w:fldCharType="begin"/>
        </w:r>
        <w:r w:rsidR="00C64A11">
          <w:rPr>
            <w:noProof/>
            <w:webHidden/>
          </w:rPr>
          <w:instrText xml:space="preserve"> PAGEREF _Toc374450915 \h </w:instrText>
        </w:r>
        <w:r w:rsidR="00C64A11">
          <w:rPr>
            <w:noProof/>
            <w:webHidden/>
          </w:rPr>
        </w:r>
        <w:r w:rsidR="00C64A11">
          <w:rPr>
            <w:noProof/>
            <w:webHidden/>
          </w:rPr>
          <w:fldChar w:fldCharType="separate"/>
        </w:r>
        <w:r w:rsidR="00D01D8B">
          <w:rPr>
            <w:noProof/>
            <w:webHidden/>
          </w:rPr>
          <w:t>4</w:t>
        </w:r>
        <w:r w:rsidR="00C64A11">
          <w:rPr>
            <w:noProof/>
            <w:webHidden/>
          </w:rPr>
          <w:fldChar w:fldCharType="end"/>
        </w:r>
      </w:hyperlink>
    </w:p>
    <w:p w14:paraId="4F34DE05" w14:textId="77777777" w:rsidR="00C64A11" w:rsidRPr="00420F46" w:rsidRDefault="008C12B7">
      <w:pPr>
        <w:pStyle w:val="TM3"/>
        <w:tabs>
          <w:tab w:val="right" w:leader="underscore" w:pos="9062"/>
        </w:tabs>
        <w:rPr>
          <w:rFonts w:cs="Times New Roman"/>
          <w:noProof/>
          <w:sz w:val="22"/>
          <w:szCs w:val="22"/>
        </w:rPr>
      </w:pPr>
      <w:hyperlink w:anchor="_Toc374450916" w:history="1">
        <w:r w:rsidR="00C64A11" w:rsidRPr="00D77B28">
          <w:rPr>
            <w:rStyle w:val="Lienhypertexte"/>
            <w:noProof/>
          </w:rPr>
          <w:t>13 - Les différentes démarches :</w:t>
        </w:r>
        <w:r w:rsidR="00C64A11">
          <w:rPr>
            <w:noProof/>
            <w:webHidden/>
          </w:rPr>
          <w:tab/>
        </w:r>
        <w:r w:rsidR="00C64A11">
          <w:rPr>
            <w:noProof/>
            <w:webHidden/>
          </w:rPr>
          <w:fldChar w:fldCharType="begin"/>
        </w:r>
        <w:r w:rsidR="00C64A11">
          <w:rPr>
            <w:noProof/>
            <w:webHidden/>
          </w:rPr>
          <w:instrText xml:space="preserve"> PAGEREF _Toc374450916 \h </w:instrText>
        </w:r>
        <w:r w:rsidR="00C64A11">
          <w:rPr>
            <w:noProof/>
            <w:webHidden/>
          </w:rPr>
        </w:r>
        <w:r w:rsidR="00C64A11">
          <w:rPr>
            <w:noProof/>
            <w:webHidden/>
          </w:rPr>
          <w:fldChar w:fldCharType="separate"/>
        </w:r>
        <w:r w:rsidR="00D01D8B">
          <w:rPr>
            <w:noProof/>
            <w:webHidden/>
          </w:rPr>
          <w:t>4</w:t>
        </w:r>
        <w:r w:rsidR="00C64A11">
          <w:rPr>
            <w:noProof/>
            <w:webHidden/>
          </w:rPr>
          <w:fldChar w:fldCharType="end"/>
        </w:r>
      </w:hyperlink>
    </w:p>
    <w:p w14:paraId="3A363D1C" w14:textId="77777777" w:rsidR="00C64A11" w:rsidRPr="00420F46" w:rsidRDefault="008C12B7">
      <w:pPr>
        <w:pStyle w:val="TM3"/>
        <w:tabs>
          <w:tab w:val="right" w:leader="underscore" w:pos="9062"/>
        </w:tabs>
        <w:rPr>
          <w:rFonts w:cs="Times New Roman"/>
          <w:noProof/>
          <w:sz w:val="22"/>
          <w:szCs w:val="22"/>
        </w:rPr>
      </w:pPr>
      <w:hyperlink w:anchor="_Toc374450917" w:history="1">
        <w:r w:rsidR="00C64A11" w:rsidRPr="00D77B28">
          <w:rPr>
            <w:rStyle w:val="Lienhypertexte"/>
            <w:noProof/>
          </w:rPr>
          <w:t>14 - Autre présentation possible</w:t>
        </w:r>
        <w:r w:rsidR="00C64A11">
          <w:rPr>
            <w:noProof/>
            <w:webHidden/>
          </w:rPr>
          <w:tab/>
        </w:r>
        <w:r w:rsidR="00C64A11">
          <w:rPr>
            <w:noProof/>
            <w:webHidden/>
          </w:rPr>
          <w:fldChar w:fldCharType="begin"/>
        </w:r>
        <w:r w:rsidR="00C64A11">
          <w:rPr>
            <w:noProof/>
            <w:webHidden/>
          </w:rPr>
          <w:instrText xml:space="preserve"> PAGEREF _Toc374450917 \h </w:instrText>
        </w:r>
        <w:r w:rsidR="00C64A11">
          <w:rPr>
            <w:noProof/>
            <w:webHidden/>
          </w:rPr>
        </w:r>
        <w:r w:rsidR="00C64A11">
          <w:rPr>
            <w:noProof/>
            <w:webHidden/>
          </w:rPr>
          <w:fldChar w:fldCharType="separate"/>
        </w:r>
        <w:r w:rsidR="00D01D8B">
          <w:rPr>
            <w:noProof/>
            <w:webHidden/>
          </w:rPr>
          <w:t>4</w:t>
        </w:r>
        <w:r w:rsidR="00C64A11">
          <w:rPr>
            <w:noProof/>
            <w:webHidden/>
          </w:rPr>
          <w:fldChar w:fldCharType="end"/>
        </w:r>
      </w:hyperlink>
    </w:p>
    <w:p w14:paraId="4DD3261A" w14:textId="77777777" w:rsidR="00C64A11" w:rsidRDefault="00C64A11" w:rsidP="00626909">
      <w:r>
        <w:fldChar w:fldCharType="end"/>
      </w:r>
    </w:p>
    <w:p w14:paraId="38697F80" w14:textId="77777777" w:rsidR="004E1ABB" w:rsidRDefault="00B611D1" w:rsidP="00626909">
      <w:r>
        <w:t xml:space="preserve">L’évaluation d’entreprise est </w:t>
      </w:r>
      <w:r w:rsidR="00537A97">
        <w:t>utilisée</w:t>
      </w:r>
      <w:r w:rsidR="00626909">
        <w:t xml:space="preserve"> dans le cadre d’opérations de cession, de rachat,</w:t>
      </w:r>
      <w:r w:rsidR="004E1ABB">
        <w:t xml:space="preserve"> de fusions et de rapprochement, introduction en bourse…ou se faire en dehors de toute idée de transaction.</w:t>
      </w:r>
    </w:p>
    <w:p w14:paraId="424D12FD" w14:textId="77777777" w:rsidR="00626909" w:rsidRDefault="00626909" w:rsidP="00626909"/>
    <w:p w14:paraId="21DE444F" w14:textId="77777777" w:rsidR="00626909" w:rsidRDefault="00626909" w:rsidP="00626909">
      <w:r>
        <w:t>Du côté de l’acquéreur, deux types d’approches sont possibles :</w:t>
      </w:r>
    </w:p>
    <w:p w14:paraId="66EF60B7" w14:textId="77777777" w:rsidR="00626909" w:rsidRDefault="00626909" w:rsidP="00626909"/>
    <w:p w14:paraId="085E3A67" w14:textId="77777777" w:rsidR="00626909" w:rsidRDefault="00626909" w:rsidP="00626909">
      <w:r>
        <w:sym w:font="Wingdings" w:char="F0D6"/>
      </w:r>
      <w:r w:rsidRPr="00B611D1">
        <w:rPr>
          <w:b/>
        </w:rPr>
        <w:t>Dans le premier cas,</w:t>
      </w:r>
      <w:r>
        <w:t xml:space="preserve"> l’acquéreur </w:t>
      </w:r>
      <w:r w:rsidRPr="00537A97">
        <w:rPr>
          <w:u w:val="single"/>
        </w:rPr>
        <w:t>informe</w:t>
      </w:r>
      <w:r>
        <w:t xml:space="preserve"> un certain nombre d’acteurs susceptibles de l’aider dans sa recherche. De même, il s’informe sur les entreprises à vendre ou en difficulté, pour lesquelles un plan de reprise peut être présenté.</w:t>
      </w:r>
    </w:p>
    <w:p w14:paraId="21F346CE" w14:textId="77777777" w:rsidR="00626909" w:rsidRDefault="00626909" w:rsidP="00626909"/>
    <w:p w14:paraId="0CF007F5" w14:textId="77777777" w:rsidR="00626909" w:rsidRDefault="00626909" w:rsidP="00626909">
      <w:r>
        <w:sym w:font="Wingdings" w:char="F0D6"/>
      </w:r>
      <w:r w:rsidRPr="00B611D1">
        <w:rPr>
          <w:b/>
        </w:rPr>
        <w:t>Dans le second cas,</w:t>
      </w:r>
      <w:r>
        <w:t xml:space="preserve"> l’entreprise </w:t>
      </w:r>
      <w:r w:rsidRPr="00537A97">
        <w:rPr>
          <w:u w:val="single"/>
        </w:rPr>
        <w:t>va directement approcher</w:t>
      </w:r>
      <w:r>
        <w:t xml:space="preserve"> les firmes qu’elle considère comme correspondant au profil recherché. Cette identification se fait par des contacts avec les clients, les fournisseurs, les visites dans les salons professionnels…Si le taux de succès est supérieur à celui de la première approche, </w:t>
      </w:r>
      <w:r w:rsidRPr="00B24093">
        <w:rPr>
          <w:highlight w:val="yellow"/>
        </w:rPr>
        <w:t>le prix final risque d’être plus élevé</w:t>
      </w:r>
      <w:r>
        <w:t>, puisque l’entreprise est en position de demandeur.</w:t>
      </w:r>
    </w:p>
    <w:p w14:paraId="6F6E018A" w14:textId="77777777" w:rsidR="00626909" w:rsidRDefault="00626909" w:rsidP="00626909"/>
    <w:p w14:paraId="6A3E0C88" w14:textId="77777777" w:rsidR="00626909" w:rsidRDefault="00626909" w:rsidP="00626909">
      <w:r>
        <w:t xml:space="preserve">Au sens strict, l’évaluation d’une entreprise </w:t>
      </w:r>
      <w:r w:rsidRPr="00714149">
        <w:rPr>
          <w:highlight w:val="yellow"/>
        </w:rPr>
        <w:t>consiste à calculer, à partir de données comptables et financières,</w:t>
      </w:r>
      <w:r>
        <w:t xml:space="preserve"> la valeur de cette entreprise à l’aide de formules précises, variant en fonction de l’approche retenue. La valeur de l’entreprise est censée donner le prix auquel se fera </w:t>
      </w:r>
      <w:r w:rsidRPr="00714149">
        <w:rPr>
          <w:highlight w:val="yellow"/>
        </w:rPr>
        <w:t>la transaction entre l’acheteur et le vendeur.</w:t>
      </w:r>
    </w:p>
    <w:p w14:paraId="6973B1EB" w14:textId="77777777" w:rsidR="00626909" w:rsidRDefault="00626909" w:rsidP="00626909">
      <w:r>
        <w:t xml:space="preserve">Toutefois, l’expérience démontre que </w:t>
      </w:r>
      <w:r w:rsidRPr="00CD7C63">
        <w:rPr>
          <w:highlight w:val="yellow"/>
        </w:rPr>
        <w:t>la négociation</w:t>
      </w:r>
      <w:r>
        <w:t xml:space="preserve"> porte non pas sur cette valeur, mais sur </w:t>
      </w:r>
      <w:r w:rsidRPr="00B52784">
        <w:rPr>
          <w:highlight w:val="yellow"/>
        </w:rPr>
        <w:t>les points forts et les points faibles de l’entreprise ciblée.</w:t>
      </w:r>
    </w:p>
    <w:p w14:paraId="167D6F85" w14:textId="77777777" w:rsidR="00626909" w:rsidRDefault="00626909" w:rsidP="00626909">
      <w:r>
        <w:t xml:space="preserve">Ainsi, au sens large, l’évaluation de l’entreprise cible comprend </w:t>
      </w:r>
      <w:r w:rsidRPr="00B52784">
        <w:rPr>
          <w:highlight w:val="yellow"/>
        </w:rPr>
        <w:t>une dimension qualitative,</w:t>
      </w:r>
      <w:r>
        <w:t xml:space="preserve"> abordée par un diagnostic, et </w:t>
      </w:r>
      <w:r w:rsidRPr="00B52784">
        <w:rPr>
          <w:highlight w:val="yellow"/>
        </w:rPr>
        <w:t>une dimension quantitative</w:t>
      </w:r>
      <w:r>
        <w:t xml:space="preserve"> à travers le calcul de la valeur de l’entreprise.</w:t>
      </w:r>
    </w:p>
    <w:p w14:paraId="652C116A" w14:textId="77777777" w:rsidR="00626909" w:rsidRDefault="00626909" w:rsidP="00626909"/>
    <w:p w14:paraId="66A4F003" w14:textId="77777777" w:rsidR="00626909" w:rsidRDefault="00B24093" w:rsidP="00626909">
      <w:pPr>
        <w:pStyle w:val="Titre2"/>
      </w:pPr>
      <w:bookmarkStart w:id="1" w:name="_Toc374450912"/>
      <w:r>
        <w:br w:type="page"/>
      </w:r>
      <w:r w:rsidR="00626909">
        <w:lastRenderedPageBreak/>
        <w:t>I – Le diagnostic</w:t>
      </w:r>
      <w:bookmarkEnd w:id="1"/>
    </w:p>
    <w:p w14:paraId="6098A17E" w14:textId="77777777" w:rsidR="00626909" w:rsidRDefault="00626909" w:rsidP="00626909">
      <w:r>
        <w:t>En théorie, l’acquéreur doit pouvoir réaliser un diagnostic stratégique.</w:t>
      </w:r>
    </w:p>
    <w:p w14:paraId="5A784905" w14:textId="77777777" w:rsidR="00626909" w:rsidRDefault="00626909" w:rsidP="00626909">
      <w:r>
        <w:t>Schématiquement, on distingue :</w:t>
      </w:r>
    </w:p>
    <w:p w14:paraId="53963462" w14:textId="77777777" w:rsidR="00626909" w:rsidRDefault="00626909" w:rsidP="00626909"/>
    <w:p w14:paraId="44647F33" w14:textId="77777777" w:rsidR="00626909" w:rsidRDefault="00714149" w:rsidP="00626909">
      <w:pPr>
        <w:numPr>
          <w:ilvl w:val="0"/>
          <w:numId w:val="3"/>
        </w:numPr>
      </w:pPr>
      <w:r>
        <w:t>Le</w:t>
      </w:r>
      <w:r w:rsidR="00626909">
        <w:t xml:space="preserve"> diagnostic interne menant aux forces et faiblesses de l’entreprise ;</w:t>
      </w:r>
    </w:p>
    <w:p w14:paraId="5E709B12" w14:textId="77777777" w:rsidR="00626909" w:rsidRDefault="00626909" w:rsidP="00626909">
      <w:pPr>
        <w:ind w:left="360"/>
      </w:pPr>
    </w:p>
    <w:p w14:paraId="20F9EFB0" w14:textId="77777777" w:rsidR="00626909" w:rsidRDefault="00626909" w:rsidP="00626909">
      <w:pPr>
        <w:jc w:val="center"/>
      </w:pPr>
      <w:r>
        <w:t>Eléments de diagnostic interne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2"/>
        <w:gridCol w:w="6630"/>
      </w:tblGrid>
      <w:tr w:rsidR="00626909" w14:paraId="092E3373" w14:textId="77777777" w:rsidTr="00766347">
        <w:tc>
          <w:tcPr>
            <w:tcW w:w="2635" w:type="dxa"/>
          </w:tcPr>
          <w:p w14:paraId="2F6CE6DD" w14:textId="77777777" w:rsidR="00626909" w:rsidRPr="004978E7" w:rsidRDefault="00626909" w:rsidP="004978E7">
            <w:pPr>
              <w:jc w:val="center"/>
              <w:rPr>
                <w:b/>
              </w:rPr>
            </w:pPr>
            <w:r w:rsidRPr="004978E7">
              <w:rPr>
                <w:b/>
              </w:rPr>
              <w:t>Diagnostic interne</w:t>
            </w:r>
          </w:p>
        </w:tc>
        <w:tc>
          <w:tcPr>
            <w:tcW w:w="7709" w:type="dxa"/>
          </w:tcPr>
          <w:p w14:paraId="7FE18166" w14:textId="77777777" w:rsidR="00626909" w:rsidRPr="004978E7" w:rsidRDefault="00626909" w:rsidP="004978E7">
            <w:pPr>
              <w:jc w:val="center"/>
              <w:rPr>
                <w:b/>
              </w:rPr>
            </w:pPr>
            <w:r w:rsidRPr="004978E7">
              <w:rPr>
                <w:b/>
              </w:rPr>
              <w:t>Contenu</w:t>
            </w:r>
          </w:p>
        </w:tc>
      </w:tr>
      <w:tr w:rsidR="00626909" w14:paraId="651B1877" w14:textId="77777777" w:rsidTr="00766347">
        <w:tc>
          <w:tcPr>
            <w:tcW w:w="2635" w:type="dxa"/>
          </w:tcPr>
          <w:p w14:paraId="4C786CF6" w14:textId="77777777" w:rsidR="00626909" w:rsidRDefault="00626909" w:rsidP="00766347">
            <w:r>
              <w:t>Diagnostic financier</w:t>
            </w:r>
          </w:p>
        </w:tc>
        <w:tc>
          <w:tcPr>
            <w:tcW w:w="7709" w:type="dxa"/>
          </w:tcPr>
          <w:p w14:paraId="42F8FD52" w14:textId="77777777" w:rsidR="00626909" w:rsidRDefault="00626909" w:rsidP="00766347">
            <w:pPr>
              <w:pStyle w:val="En-tte"/>
              <w:tabs>
                <w:tab w:val="clear" w:pos="4536"/>
                <w:tab w:val="clear" w:pos="9072"/>
              </w:tabs>
            </w:pPr>
            <w:r>
              <w:t>Analyse de l’évolution des postes de bilans et comptes de résultats sur au moins trois années, calcul des principaux ratios financiers, analyse de la politique financière.</w:t>
            </w:r>
          </w:p>
        </w:tc>
      </w:tr>
      <w:tr w:rsidR="00626909" w14:paraId="6F5EC2C7" w14:textId="77777777" w:rsidTr="00766347">
        <w:tc>
          <w:tcPr>
            <w:tcW w:w="2635" w:type="dxa"/>
          </w:tcPr>
          <w:p w14:paraId="5B8679BA" w14:textId="77777777" w:rsidR="00626909" w:rsidRDefault="00626909" w:rsidP="00766347">
            <w:r>
              <w:t>Diagnostic commercial</w:t>
            </w:r>
          </w:p>
        </w:tc>
        <w:tc>
          <w:tcPr>
            <w:tcW w:w="7709" w:type="dxa"/>
          </w:tcPr>
          <w:p w14:paraId="50F8AF02" w14:textId="77777777" w:rsidR="00626909" w:rsidRDefault="00626909" w:rsidP="00766347">
            <w:r>
              <w:t>Portefeuille de produits et de clients, canaux de distribution, force de vente.</w:t>
            </w:r>
          </w:p>
        </w:tc>
      </w:tr>
      <w:tr w:rsidR="00626909" w14:paraId="58308C3E" w14:textId="77777777" w:rsidTr="00766347">
        <w:tc>
          <w:tcPr>
            <w:tcW w:w="2635" w:type="dxa"/>
          </w:tcPr>
          <w:p w14:paraId="21635171" w14:textId="77777777" w:rsidR="00626909" w:rsidRDefault="00626909" w:rsidP="00766347">
            <w:r>
              <w:t>Diagnostic technologique</w:t>
            </w:r>
          </w:p>
        </w:tc>
        <w:tc>
          <w:tcPr>
            <w:tcW w:w="7709" w:type="dxa"/>
          </w:tcPr>
          <w:p w14:paraId="7A382D58" w14:textId="77777777" w:rsidR="00626909" w:rsidRDefault="00626909" w:rsidP="00766347">
            <w:r>
              <w:t>Ampleur de la recherche et développement, dépôt de brevets, veille technologique.</w:t>
            </w:r>
          </w:p>
        </w:tc>
      </w:tr>
      <w:tr w:rsidR="00626909" w14:paraId="20C721C6" w14:textId="77777777" w:rsidTr="00766347">
        <w:tc>
          <w:tcPr>
            <w:tcW w:w="2635" w:type="dxa"/>
          </w:tcPr>
          <w:p w14:paraId="5981095A" w14:textId="77777777" w:rsidR="00626909" w:rsidRDefault="00626909" w:rsidP="00766347">
            <w:r>
              <w:t>Diagnostic humain</w:t>
            </w:r>
          </w:p>
        </w:tc>
        <w:tc>
          <w:tcPr>
            <w:tcW w:w="7709" w:type="dxa"/>
          </w:tcPr>
          <w:p w14:paraId="4650B1F0" w14:textId="77777777" w:rsidR="00626909" w:rsidRDefault="00626909" w:rsidP="00766347">
            <w:r>
              <w:t xml:space="preserve"> Recrutement et formation, compétences, climat social.</w:t>
            </w:r>
          </w:p>
        </w:tc>
      </w:tr>
      <w:tr w:rsidR="00626909" w14:paraId="4232F3E0" w14:textId="77777777" w:rsidTr="00766347">
        <w:tc>
          <w:tcPr>
            <w:tcW w:w="2635" w:type="dxa"/>
          </w:tcPr>
          <w:p w14:paraId="12677DC0" w14:textId="77777777" w:rsidR="00626909" w:rsidRDefault="00626909" w:rsidP="00766347">
            <w:r>
              <w:t>Diagnostic structurel</w:t>
            </w:r>
          </w:p>
        </w:tc>
        <w:tc>
          <w:tcPr>
            <w:tcW w:w="7709" w:type="dxa"/>
          </w:tcPr>
          <w:p w14:paraId="274FF9E8" w14:textId="77777777" w:rsidR="00626909" w:rsidRDefault="00626909" w:rsidP="00766347">
            <w:r>
              <w:t>Organisation, systèmes de gestion, centralisation des décisions.</w:t>
            </w:r>
          </w:p>
        </w:tc>
      </w:tr>
      <w:tr w:rsidR="00626909" w14:paraId="5F5B2EA7" w14:textId="77777777" w:rsidTr="00766347">
        <w:tc>
          <w:tcPr>
            <w:tcW w:w="2635" w:type="dxa"/>
          </w:tcPr>
          <w:p w14:paraId="37C2B3DD" w14:textId="77777777" w:rsidR="00626909" w:rsidRDefault="00626909" w:rsidP="00766347">
            <w:r>
              <w:t>Diagnostic culturel</w:t>
            </w:r>
          </w:p>
        </w:tc>
        <w:tc>
          <w:tcPr>
            <w:tcW w:w="7709" w:type="dxa"/>
          </w:tcPr>
          <w:p w14:paraId="437AF6CF" w14:textId="77777777" w:rsidR="00626909" w:rsidRDefault="00626909" w:rsidP="00766347">
            <w:r>
              <w:t>Valeurs et culture de l’entreprise, type de management.</w:t>
            </w:r>
          </w:p>
        </w:tc>
      </w:tr>
    </w:tbl>
    <w:p w14:paraId="48199323" w14:textId="77777777" w:rsidR="00626909" w:rsidRDefault="00626909" w:rsidP="00626909"/>
    <w:p w14:paraId="182E70B9" w14:textId="77777777" w:rsidR="00626909" w:rsidRDefault="00626909" w:rsidP="00626909"/>
    <w:p w14:paraId="48A715DD" w14:textId="77777777" w:rsidR="00626909" w:rsidRDefault="00714149" w:rsidP="00626909">
      <w:pPr>
        <w:numPr>
          <w:ilvl w:val="0"/>
          <w:numId w:val="3"/>
        </w:numPr>
      </w:pPr>
      <w:r>
        <w:t>Le</w:t>
      </w:r>
      <w:r w:rsidR="00626909">
        <w:t xml:space="preserve"> diagnostic externe mettant en évidence les menaces et les opportunités dans l’environnement.</w:t>
      </w:r>
    </w:p>
    <w:p w14:paraId="4CFEA304" w14:textId="77777777" w:rsidR="00626909" w:rsidRDefault="00626909" w:rsidP="00626909"/>
    <w:p w14:paraId="5FC0A139" w14:textId="77777777" w:rsidR="00626909" w:rsidRDefault="00626909" w:rsidP="00626909">
      <w:pPr>
        <w:jc w:val="center"/>
      </w:pPr>
      <w:r>
        <w:t>Eléments du diagnostic externe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92"/>
        <w:gridCol w:w="5970"/>
      </w:tblGrid>
      <w:tr w:rsidR="00626909" w14:paraId="0ABA3E89" w14:textId="77777777" w:rsidTr="00766347">
        <w:tc>
          <w:tcPr>
            <w:tcW w:w="3433" w:type="dxa"/>
          </w:tcPr>
          <w:p w14:paraId="7BF60090" w14:textId="77777777" w:rsidR="00626909" w:rsidRPr="004978E7" w:rsidRDefault="00626909" w:rsidP="004978E7">
            <w:pPr>
              <w:jc w:val="center"/>
              <w:rPr>
                <w:b/>
              </w:rPr>
            </w:pPr>
            <w:r w:rsidRPr="004978E7">
              <w:rPr>
                <w:b/>
              </w:rPr>
              <w:t>Diagnostic externe</w:t>
            </w:r>
          </w:p>
        </w:tc>
        <w:tc>
          <w:tcPr>
            <w:tcW w:w="6911" w:type="dxa"/>
          </w:tcPr>
          <w:p w14:paraId="278093FE" w14:textId="77777777" w:rsidR="00626909" w:rsidRPr="004978E7" w:rsidRDefault="00626909" w:rsidP="004978E7">
            <w:pPr>
              <w:jc w:val="center"/>
              <w:rPr>
                <w:b/>
              </w:rPr>
            </w:pPr>
            <w:r w:rsidRPr="004978E7">
              <w:rPr>
                <w:b/>
              </w:rPr>
              <w:t>Contenu</w:t>
            </w:r>
          </w:p>
        </w:tc>
      </w:tr>
      <w:tr w:rsidR="00626909" w14:paraId="2028C6E2" w14:textId="77777777" w:rsidTr="00766347">
        <w:tc>
          <w:tcPr>
            <w:tcW w:w="3433" w:type="dxa"/>
          </w:tcPr>
          <w:p w14:paraId="25FDB748" w14:textId="77777777" w:rsidR="00626909" w:rsidRDefault="00626909" w:rsidP="00766347">
            <w:r>
              <w:t>Demande</w:t>
            </w:r>
          </w:p>
        </w:tc>
        <w:tc>
          <w:tcPr>
            <w:tcW w:w="6911" w:type="dxa"/>
          </w:tcPr>
          <w:p w14:paraId="116D10C3" w14:textId="77777777" w:rsidR="00626909" w:rsidRDefault="00626909" w:rsidP="00766347">
            <w:r>
              <w:t>Nature, évolution et perspectives.</w:t>
            </w:r>
          </w:p>
        </w:tc>
      </w:tr>
      <w:tr w:rsidR="00626909" w14:paraId="1DE35DC6" w14:textId="77777777" w:rsidTr="00766347">
        <w:tc>
          <w:tcPr>
            <w:tcW w:w="3433" w:type="dxa"/>
          </w:tcPr>
          <w:p w14:paraId="57628EDD" w14:textId="77777777" w:rsidR="00626909" w:rsidRDefault="00626909" w:rsidP="00766347">
            <w:r>
              <w:t>Offre</w:t>
            </w:r>
          </w:p>
        </w:tc>
        <w:tc>
          <w:tcPr>
            <w:tcW w:w="6911" w:type="dxa"/>
          </w:tcPr>
          <w:p w14:paraId="7B0F880D" w14:textId="77777777" w:rsidR="00626909" w:rsidRDefault="00626909" w:rsidP="00766347">
            <w:r>
              <w:t>Concentration du secteur, position sur la courbe de vie.</w:t>
            </w:r>
          </w:p>
        </w:tc>
      </w:tr>
      <w:tr w:rsidR="00626909" w14:paraId="03987BD4" w14:textId="77777777" w:rsidTr="00766347">
        <w:tc>
          <w:tcPr>
            <w:tcW w:w="3433" w:type="dxa"/>
          </w:tcPr>
          <w:p w14:paraId="369142EE" w14:textId="77777777" w:rsidR="00626909" w:rsidRDefault="00626909" w:rsidP="00766347">
            <w:r>
              <w:t>Concurrence</w:t>
            </w:r>
          </w:p>
        </w:tc>
        <w:tc>
          <w:tcPr>
            <w:tcW w:w="6911" w:type="dxa"/>
          </w:tcPr>
          <w:p w14:paraId="7DC181AB" w14:textId="77777777" w:rsidR="00626909" w:rsidRDefault="00626909" w:rsidP="00766347">
            <w:r>
              <w:t>Intensité des forces concurrentielles.</w:t>
            </w:r>
          </w:p>
        </w:tc>
      </w:tr>
      <w:tr w:rsidR="00626909" w14:paraId="65C9AC0E" w14:textId="77777777" w:rsidTr="00766347">
        <w:tc>
          <w:tcPr>
            <w:tcW w:w="3433" w:type="dxa"/>
          </w:tcPr>
          <w:p w14:paraId="0BD32D7D" w14:textId="77777777" w:rsidR="00626909" w:rsidRDefault="00626909" w:rsidP="00766347">
            <w:r>
              <w:t>Environnement technologique</w:t>
            </w:r>
          </w:p>
        </w:tc>
        <w:tc>
          <w:tcPr>
            <w:tcW w:w="6911" w:type="dxa"/>
          </w:tcPr>
          <w:p w14:paraId="3F84D419" w14:textId="77777777" w:rsidR="00626909" w:rsidRDefault="00626909" w:rsidP="00766347">
            <w:r>
              <w:t>Evolution des technologies, impact sur la segmentation stratégique.</w:t>
            </w:r>
          </w:p>
        </w:tc>
      </w:tr>
      <w:tr w:rsidR="00626909" w14:paraId="5670F52B" w14:textId="77777777" w:rsidTr="00766347">
        <w:tc>
          <w:tcPr>
            <w:tcW w:w="3433" w:type="dxa"/>
          </w:tcPr>
          <w:p w14:paraId="04DA8149" w14:textId="77777777" w:rsidR="00626909" w:rsidRDefault="00626909" w:rsidP="00766347">
            <w:r>
              <w:t>Environnement socio-économique</w:t>
            </w:r>
          </w:p>
        </w:tc>
        <w:tc>
          <w:tcPr>
            <w:tcW w:w="6911" w:type="dxa"/>
          </w:tcPr>
          <w:p w14:paraId="4D9E8C16" w14:textId="77777777" w:rsidR="00626909" w:rsidRDefault="00626909" w:rsidP="00766347">
            <w:r>
              <w:t>Grandes tendances (inflation, politique monétaire, réglementation…)</w:t>
            </w:r>
          </w:p>
        </w:tc>
      </w:tr>
      <w:tr w:rsidR="00714149" w14:paraId="6745533B" w14:textId="77777777" w:rsidTr="00766347">
        <w:tc>
          <w:tcPr>
            <w:tcW w:w="3433" w:type="dxa"/>
          </w:tcPr>
          <w:p w14:paraId="467A4FE8" w14:textId="4DD7474D" w:rsidR="00714149" w:rsidRPr="0050080A" w:rsidRDefault="00714149" w:rsidP="00766347">
            <w:r w:rsidRPr="0050080A">
              <w:t>Environnement climat COP</w:t>
            </w:r>
            <w:r w:rsidR="00B874C1">
              <w:t>30</w:t>
            </w:r>
          </w:p>
          <w:p w14:paraId="5D585697" w14:textId="77777777" w:rsidR="00B52784" w:rsidRPr="00714149" w:rsidRDefault="00B52784" w:rsidP="00766347">
            <w:pPr>
              <w:rPr>
                <w:color w:val="FF0000"/>
              </w:rPr>
            </w:pPr>
          </w:p>
        </w:tc>
        <w:tc>
          <w:tcPr>
            <w:tcW w:w="6911" w:type="dxa"/>
          </w:tcPr>
          <w:p w14:paraId="20FEBA7F" w14:textId="77777777" w:rsidR="00714149" w:rsidRDefault="00714149" w:rsidP="00766347">
            <w:r>
              <w:t>Changement d’énergie et investissement important…</w:t>
            </w:r>
          </w:p>
        </w:tc>
      </w:tr>
    </w:tbl>
    <w:p w14:paraId="6996E801" w14:textId="77777777" w:rsidR="00626909" w:rsidRDefault="00626909" w:rsidP="00626909"/>
    <w:p w14:paraId="5D4F6BF1" w14:textId="77777777" w:rsidR="00626909" w:rsidRDefault="00626909" w:rsidP="00626909">
      <w:r>
        <w:t>L’évaluation du potentiel de synergies entre l’acquéreur et l’entreprise ciblée est aussi très importante.</w:t>
      </w:r>
    </w:p>
    <w:p w14:paraId="4AECE6E0" w14:textId="77777777" w:rsidR="004978E7" w:rsidRDefault="004978E7" w:rsidP="004978E7">
      <w:r>
        <w:t>Les différentes logiques qui seront adoptées lors des processus d’évaluation s’appuient sur objectifs poursuivis par l’acquéreur.</w:t>
      </w:r>
    </w:p>
    <w:p w14:paraId="7D61EF8B" w14:textId="77777777" w:rsidR="005674D9" w:rsidRDefault="005674D9" w:rsidP="004978E7"/>
    <w:p w14:paraId="312FB556" w14:textId="36EA3070" w:rsidR="00626909" w:rsidRDefault="00983FB8" w:rsidP="004978E7">
      <w:r>
        <w:rPr>
          <w:noProof/>
        </w:rPr>
        <w:lastRenderedPageBreak/>
        <w:drawing>
          <wp:inline distT="0" distB="0" distL="0" distR="0" wp14:anchorId="362A49A1" wp14:editId="5E1A6D91">
            <wp:extent cx="5384800" cy="31496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4800" cy="3149600"/>
                    </a:xfrm>
                    <a:prstGeom prst="rect">
                      <a:avLst/>
                    </a:prstGeom>
                    <a:noFill/>
                    <a:ln>
                      <a:noFill/>
                    </a:ln>
                  </pic:spPr>
                </pic:pic>
              </a:graphicData>
            </a:graphic>
          </wp:inline>
        </w:drawing>
      </w:r>
    </w:p>
    <w:p w14:paraId="0E4C783D" w14:textId="77777777" w:rsidR="00626909" w:rsidRDefault="00626909" w:rsidP="00626909">
      <w:pPr>
        <w:pStyle w:val="Titre2"/>
      </w:pPr>
      <w:bookmarkStart w:id="2" w:name="_Toc374450913"/>
      <w:r>
        <w:t>II – Négociation des prix</w:t>
      </w:r>
      <w:bookmarkEnd w:id="2"/>
    </w:p>
    <w:p w14:paraId="26AD8764" w14:textId="77777777" w:rsidR="00626909" w:rsidRDefault="00626909" w:rsidP="00626909">
      <w:r>
        <w:t xml:space="preserve">La négociation est le processus au terme duquel acheteur et vendeur </w:t>
      </w:r>
      <w:r w:rsidRPr="00714149">
        <w:rPr>
          <w:highlight w:val="yellow"/>
        </w:rPr>
        <w:t>vont se mettre d’accord sur un prix.</w:t>
      </w:r>
    </w:p>
    <w:p w14:paraId="6A2FC8E3" w14:textId="77777777" w:rsidR="00626909" w:rsidRDefault="00626909" w:rsidP="00626909"/>
    <w:p w14:paraId="463AAA32" w14:textId="77777777" w:rsidR="00626909" w:rsidRDefault="00626909" w:rsidP="00626909">
      <w:r>
        <w:t xml:space="preserve">Pour une entreprise en situation d’acheteur, il peut être important </w:t>
      </w:r>
      <w:r w:rsidRPr="00714149">
        <w:rPr>
          <w:highlight w:val="yellow"/>
        </w:rPr>
        <w:t>de connaître les motivations du vendeur afin d’optimiser le déroulement de la négociation.</w:t>
      </w:r>
    </w:p>
    <w:p w14:paraId="53A0120F" w14:textId="77777777" w:rsidR="00626909" w:rsidRDefault="00626909" w:rsidP="00626909">
      <w:r>
        <w:t>Pour mener à bien cette négociation, voici un plan directeur :</w:t>
      </w:r>
    </w:p>
    <w:p w14:paraId="3EE1B7BE" w14:textId="77777777" w:rsidR="00626909" w:rsidRDefault="00626909" w:rsidP="00626909">
      <w:pPr>
        <w:numPr>
          <w:ilvl w:val="0"/>
          <w:numId w:val="6"/>
        </w:numPr>
      </w:pPr>
      <w:r>
        <w:t>L’élaboration d’un plan de négociation, fixant le résultat souhaité ainsi que les limites à ne pas dépasser, les modalités de la négociation, la constitution de l’équipe, la répartition des rôles…</w:t>
      </w:r>
    </w:p>
    <w:p w14:paraId="7452DC3F" w14:textId="77777777" w:rsidR="00626909" w:rsidRDefault="00626909" w:rsidP="00626909">
      <w:pPr>
        <w:numPr>
          <w:ilvl w:val="0"/>
          <w:numId w:val="6"/>
        </w:numPr>
      </w:pPr>
      <w:r>
        <w:t>Le maintien de l’initiative, en effectuant une proposition de prix ;</w:t>
      </w:r>
    </w:p>
    <w:p w14:paraId="29D85021" w14:textId="77777777" w:rsidR="00626909" w:rsidRDefault="00626909" w:rsidP="00626909">
      <w:pPr>
        <w:numPr>
          <w:ilvl w:val="0"/>
          <w:numId w:val="6"/>
        </w:numPr>
      </w:pPr>
      <w:r>
        <w:t>Ne pas s’enfermer dans une formule d’évaluation ;</w:t>
      </w:r>
    </w:p>
    <w:p w14:paraId="6A86C38C" w14:textId="77777777" w:rsidR="00626909" w:rsidRDefault="00626909" w:rsidP="00626909">
      <w:pPr>
        <w:numPr>
          <w:ilvl w:val="0"/>
          <w:numId w:val="6"/>
        </w:numPr>
      </w:pPr>
      <w:r>
        <w:t>Savoir dire</w:t>
      </w:r>
      <w:r w:rsidR="00732E08">
        <w:t xml:space="preserve"> « oui</w:t>
      </w:r>
      <w:r>
        <w:t>, mais… » ;</w:t>
      </w:r>
    </w:p>
    <w:p w14:paraId="4F08CF97" w14:textId="77777777" w:rsidR="00626909" w:rsidRDefault="00626909" w:rsidP="00626909">
      <w:pPr>
        <w:numPr>
          <w:ilvl w:val="0"/>
          <w:numId w:val="6"/>
        </w:numPr>
      </w:pPr>
      <w:r>
        <w:t>Respecter les règles du jeu propres au pays ;</w:t>
      </w:r>
    </w:p>
    <w:p w14:paraId="2010A5C1" w14:textId="77777777" w:rsidR="00626909" w:rsidRDefault="00626909" w:rsidP="00626909">
      <w:pPr>
        <w:numPr>
          <w:ilvl w:val="0"/>
          <w:numId w:val="6"/>
        </w:numPr>
      </w:pPr>
      <w:r>
        <w:t>Négocier globalement ;</w:t>
      </w:r>
    </w:p>
    <w:p w14:paraId="39B3A50C" w14:textId="77777777" w:rsidR="00626909" w:rsidRDefault="00626909" w:rsidP="00626909">
      <w:pPr>
        <w:numPr>
          <w:ilvl w:val="0"/>
          <w:numId w:val="6"/>
        </w:numPr>
      </w:pPr>
      <w:r>
        <w:t>Signer un document lorsque la négociation a abouti.</w:t>
      </w:r>
    </w:p>
    <w:p w14:paraId="3BCF7F39" w14:textId="77777777" w:rsidR="00626909" w:rsidRDefault="00626909" w:rsidP="00626909"/>
    <w:p w14:paraId="22507A96" w14:textId="77777777" w:rsidR="00626909" w:rsidRDefault="00626909" w:rsidP="00626909">
      <w:r>
        <w:t xml:space="preserve">L’existence juridique de la </w:t>
      </w:r>
      <w:r w:rsidRPr="00537A97">
        <w:rPr>
          <w:b/>
        </w:rPr>
        <w:t>transaction</w:t>
      </w:r>
      <w:r>
        <w:t xml:space="preserve"> doit être matérialisée dans un document dénommé </w:t>
      </w:r>
      <w:r w:rsidRPr="00FA5E2F">
        <w:rPr>
          <w:b/>
          <w:highlight w:val="yellow"/>
        </w:rPr>
        <w:t>protocole d’accord</w:t>
      </w:r>
      <w:r w:rsidRPr="00FA5E2F">
        <w:rPr>
          <w:highlight w:val="yellow"/>
        </w:rPr>
        <w:t>.</w:t>
      </w:r>
      <w:r>
        <w:t xml:space="preserve"> Ce document fait apparaître toute une série d’éléments qui engagent définitivement les deux parties.</w:t>
      </w:r>
    </w:p>
    <w:p w14:paraId="047B8DE9" w14:textId="77777777" w:rsidR="00BA369F" w:rsidRDefault="00C64A11" w:rsidP="00BA369F">
      <w:r>
        <w:br w:type="page"/>
      </w:r>
    </w:p>
    <w:p w14:paraId="12FFC6B7" w14:textId="77777777" w:rsidR="00031FD3" w:rsidRDefault="00BA369F" w:rsidP="004978E7">
      <w:pPr>
        <w:pStyle w:val="Titre2"/>
      </w:pPr>
      <w:bookmarkStart w:id="3" w:name="_Toc374450914"/>
      <w:r>
        <w:lastRenderedPageBreak/>
        <w:t>I</w:t>
      </w:r>
      <w:r w:rsidR="00626909">
        <w:t>II</w:t>
      </w:r>
      <w:r>
        <w:t xml:space="preserve"> - La mise en œuvre de l’évaluation</w:t>
      </w:r>
      <w:bookmarkEnd w:id="3"/>
    </w:p>
    <w:p w14:paraId="79770E41" w14:textId="77777777" w:rsidR="00031FD3" w:rsidRDefault="00031FD3" w:rsidP="00BA369F"/>
    <w:p w14:paraId="676AC128" w14:textId="77777777" w:rsidR="00031FD3" w:rsidRDefault="00031FD3" w:rsidP="00031FD3">
      <w:pPr>
        <w:pStyle w:val="Titre3"/>
      </w:pPr>
      <w:bookmarkStart w:id="4" w:name="_Toc374450915"/>
      <w:r>
        <w:t>12 – Les différentes étapes</w:t>
      </w:r>
      <w:bookmarkEnd w:id="4"/>
    </w:p>
    <w:p w14:paraId="05810AF4" w14:textId="77777777" w:rsidR="00031FD3" w:rsidRDefault="00031FD3" w:rsidP="00BA369F"/>
    <w:p w14:paraId="428DE9F0" w14:textId="31DF583F" w:rsidR="00031FD3" w:rsidRDefault="00983FB8" w:rsidP="00BA369F">
      <w:r>
        <w:rPr>
          <w:noProof/>
        </w:rPr>
        <w:drawing>
          <wp:inline distT="0" distB="0" distL="0" distR="0" wp14:anchorId="0F578480" wp14:editId="5381B3E6">
            <wp:extent cx="5251450" cy="2571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1450" cy="2571750"/>
                    </a:xfrm>
                    <a:prstGeom prst="rect">
                      <a:avLst/>
                    </a:prstGeom>
                    <a:noFill/>
                    <a:ln>
                      <a:noFill/>
                    </a:ln>
                  </pic:spPr>
                </pic:pic>
              </a:graphicData>
            </a:graphic>
          </wp:inline>
        </w:drawing>
      </w:r>
    </w:p>
    <w:p w14:paraId="595477F9" w14:textId="77777777" w:rsidR="00031FD3" w:rsidRDefault="00031FD3" w:rsidP="00BA369F"/>
    <w:p w14:paraId="188B78DB" w14:textId="78697117" w:rsidR="00031FD3" w:rsidRDefault="00031FD3" w:rsidP="00031FD3">
      <w:pPr>
        <w:pStyle w:val="Titre3"/>
        <w:rPr>
          <w:color w:val="FF0000"/>
        </w:rPr>
      </w:pPr>
      <w:bookmarkStart w:id="5" w:name="_Toc374450916"/>
      <w:r>
        <w:t>13 - Les différentes démarches :</w:t>
      </w:r>
      <w:bookmarkEnd w:id="5"/>
      <w:r w:rsidR="00C94E79">
        <w:t xml:space="preserve"> </w:t>
      </w:r>
    </w:p>
    <w:p w14:paraId="0E22F541" w14:textId="77777777" w:rsidR="00C94E79" w:rsidRPr="008C12B7" w:rsidRDefault="00C94E79" w:rsidP="00C94E79">
      <w:pPr>
        <w:rPr>
          <w:u w:val="single"/>
        </w:rPr>
      </w:pPr>
      <w:r w:rsidRPr="008C12B7">
        <w:rPr>
          <w:u w:val="single"/>
        </w:rPr>
        <w:t>Les différentes méthodes :</w:t>
      </w:r>
    </w:p>
    <w:p w14:paraId="6E2765F3" w14:textId="51BFCE80" w:rsidR="00C94E79" w:rsidRPr="008C12B7" w:rsidRDefault="00C94E79" w:rsidP="00C94E79">
      <w:r>
        <w:t xml:space="preserve">Approche financière : </w:t>
      </w:r>
      <w:r w:rsidRPr="008C12B7">
        <w:t>DCF</w:t>
      </w:r>
      <w:r w:rsidR="008C12B7" w:rsidRPr="008C12B7">
        <w:t> : GLS</w:t>
      </w:r>
    </w:p>
    <w:p w14:paraId="787F02FA" w14:textId="46F3ACE3" w:rsidR="00C94E79" w:rsidRDefault="00C94E79" w:rsidP="00C94E79">
      <w:r>
        <w:t xml:space="preserve">Approche patrimoniale : </w:t>
      </w:r>
      <w:proofErr w:type="spellStart"/>
      <w:r>
        <w:t>ANC+ANCC+Goodwill</w:t>
      </w:r>
      <w:proofErr w:type="spellEnd"/>
      <w:r w:rsidR="00937014">
        <w:t> : IN</w:t>
      </w:r>
    </w:p>
    <w:p w14:paraId="3BA219A5" w14:textId="73F3A2F4" w:rsidR="00C94E79" w:rsidRPr="00C94E79" w:rsidRDefault="00C94E79" w:rsidP="00C94E79">
      <w:r>
        <w:t>Approche comparative : multiples ou comparable</w:t>
      </w:r>
      <w:r w:rsidR="008C12B7">
        <w:t> : IN</w:t>
      </w:r>
    </w:p>
    <w:p w14:paraId="6C532B81" w14:textId="4DB8F005" w:rsidR="00C94E79" w:rsidRDefault="00C94E79" w:rsidP="00C94E79"/>
    <w:p w14:paraId="39A82487" w14:textId="30BC8EBD" w:rsidR="00031FD3" w:rsidRDefault="00983FB8" w:rsidP="00BA369F">
      <w:bookmarkStart w:id="6" w:name="_GoBack"/>
      <w:r>
        <w:rPr>
          <w:noProof/>
        </w:rPr>
        <w:drawing>
          <wp:inline distT="0" distB="0" distL="0" distR="0" wp14:anchorId="2B82E244" wp14:editId="494FED24">
            <wp:extent cx="4591050" cy="224966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04181" cy="2256102"/>
                    </a:xfrm>
                    <a:prstGeom prst="rect">
                      <a:avLst/>
                    </a:prstGeom>
                    <a:noFill/>
                    <a:ln>
                      <a:noFill/>
                    </a:ln>
                  </pic:spPr>
                </pic:pic>
              </a:graphicData>
            </a:graphic>
          </wp:inline>
        </w:drawing>
      </w:r>
      <w:bookmarkEnd w:id="6"/>
    </w:p>
    <w:p w14:paraId="749EC09B" w14:textId="71420E13" w:rsidR="00C94E79" w:rsidRPr="00C94E79" w:rsidRDefault="0057150C" w:rsidP="00C94E79">
      <w:pPr>
        <w:pStyle w:val="Titre3"/>
      </w:pPr>
      <w:bookmarkStart w:id="7" w:name="_Toc374450917"/>
      <w:r>
        <w:t>14 - Autre présentation possible</w:t>
      </w:r>
      <w:bookmarkEnd w:id="7"/>
    </w:p>
    <w:p w14:paraId="227B5B02" w14:textId="77777777" w:rsidR="0057150C" w:rsidRDefault="00ED2694" w:rsidP="00ED2694">
      <w:pPr>
        <w:ind w:firstLine="360"/>
      </w:pPr>
      <w:r>
        <w:t>O</w:t>
      </w:r>
      <w:r w:rsidR="0057150C">
        <w:t xml:space="preserve">n peut distinguer l’approche directe de l’approche </w:t>
      </w:r>
      <w:proofErr w:type="gramStart"/>
      <w:r w:rsidR="0057150C">
        <w:t>indirecte:</w:t>
      </w:r>
      <w:proofErr w:type="gramEnd"/>
    </w:p>
    <w:p w14:paraId="715F290D" w14:textId="77777777" w:rsidR="0057150C" w:rsidRDefault="00125786" w:rsidP="0057150C">
      <w:pPr>
        <w:numPr>
          <w:ilvl w:val="0"/>
          <w:numId w:val="2"/>
        </w:numPr>
      </w:pPr>
      <w:r>
        <w:t>L</w:t>
      </w:r>
      <w:r w:rsidR="0057150C">
        <w:t xml:space="preserve">es </w:t>
      </w:r>
      <w:r w:rsidR="0057150C" w:rsidRPr="00125786">
        <w:rPr>
          <w:b/>
        </w:rPr>
        <w:t>méthodes directes</w:t>
      </w:r>
      <w:r w:rsidR="0057150C">
        <w:t xml:space="preserve"> évaluent</w:t>
      </w:r>
      <w:r w:rsidR="00D01D8B">
        <w:t xml:space="preserve"> « directement »</w:t>
      </w:r>
      <w:r w:rsidR="0057150C">
        <w:t xml:space="preserve"> la valeur des capitaux propres (PER, actualisation des dividendes...)</w:t>
      </w:r>
    </w:p>
    <w:p w14:paraId="6AB6D9F2" w14:textId="77777777" w:rsidR="00031FD3" w:rsidRDefault="00125786" w:rsidP="0057150C">
      <w:pPr>
        <w:numPr>
          <w:ilvl w:val="0"/>
          <w:numId w:val="2"/>
        </w:numPr>
      </w:pPr>
      <w:r>
        <w:t>L</w:t>
      </w:r>
      <w:r w:rsidR="0057150C">
        <w:t xml:space="preserve">es </w:t>
      </w:r>
      <w:r w:rsidR="0057150C" w:rsidRPr="00125786">
        <w:rPr>
          <w:b/>
        </w:rPr>
        <w:t>méthodes indirectes</w:t>
      </w:r>
      <w:r w:rsidR="0057150C">
        <w:t xml:space="preserve"> évaluent l’entreprise comme un</w:t>
      </w:r>
      <w:r w:rsidR="00D01D8B">
        <w:t xml:space="preserve"> « tout »</w:t>
      </w:r>
      <w:r w:rsidR="0057150C">
        <w:t xml:space="preserve"> auquel il faut ôter la valeur de l’endettement (actualisation des flux de trésorerie...).</w:t>
      </w:r>
    </w:p>
    <w:p w14:paraId="03D40D6E" w14:textId="6AE0557C" w:rsidR="0057150C" w:rsidRDefault="0057150C" w:rsidP="0057150C">
      <w:pPr>
        <w:ind w:left="360"/>
      </w:pPr>
    </w:p>
    <w:p w14:paraId="0E60E47D" w14:textId="7CA081A6" w:rsidR="004E1ABB" w:rsidRPr="004E1ABB" w:rsidRDefault="0057150C" w:rsidP="00C94E79">
      <w:pPr>
        <w:pBdr>
          <w:top w:val="single" w:sz="4" w:space="1" w:color="auto"/>
          <w:left w:val="single" w:sz="4" w:space="0" w:color="auto"/>
          <w:bottom w:val="single" w:sz="4" w:space="1" w:color="auto"/>
          <w:right w:val="single" w:sz="4" w:space="0" w:color="auto"/>
        </w:pBdr>
        <w:ind w:left="360"/>
      </w:pPr>
      <w:r>
        <w:t xml:space="preserve">Valeur totale – valeur de la dette = </w:t>
      </w:r>
      <w:r w:rsidRPr="00D82BCF">
        <w:rPr>
          <w:highlight w:val="yellow"/>
        </w:rPr>
        <w:t>valeur de l’entité (capitaux propres)</w:t>
      </w:r>
    </w:p>
    <w:sectPr w:rsidR="004E1ABB" w:rsidRPr="004E1AB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226FD" w14:textId="77777777" w:rsidR="00CA236B" w:rsidRDefault="00CA236B">
      <w:r>
        <w:separator/>
      </w:r>
    </w:p>
  </w:endnote>
  <w:endnote w:type="continuationSeparator" w:id="0">
    <w:p w14:paraId="754B7D7E" w14:textId="77777777" w:rsidR="00CA236B" w:rsidRDefault="00CA2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8B2F4" w14:textId="77777777" w:rsidR="00983FB8" w:rsidRDefault="00983FB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4ADBE" w14:textId="070CFAD5" w:rsidR="00ED2694" w:rsidRDefault="00983FB8">
    <w:pPr>
      <w:pStyle w:val="Pieddepage"/>
    </w:pPr>
    <w:r>
      <w:rPr>
        <w:noProof/>
      </w:rPr>
      <w:drawing>
        <wp:inline distT="0" distB="0" distL="0" distR="0" wp14:anchorId="2C092E7A" wp14:editId="1E24DBB2">
          <wp:extent cx="730250" cy="292100"/>
          <wp:effectExtent l="0" t="0" r="0" b="0"/>
          <wp:docPr id="1" name="Image 1" descr="Log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201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30250" cy="292100"/>
                  </a:xfrm>
                  <a:prstGeom prst="rect">
                    <a:avLst/>
                  </a:prstGeom>
                  <a:noFill/>
                  <a:ln>
                    <a:noFill/>
                  </a:ln>
                </pic:spPr>
              </pic:pic>
            </a:graphicData>
          </a:graphic>
        </wp:inline>
      </w:drawing>
    </w:r>
    <w:r w:rsidR="00ED2694">
      <w:tab/>
      <w:t>D.S.C.G./UE 2 –UE 4</w:t>
    </w:r>
    <w:r w:rsidR="00ED2694">
      <w:tab/>
      <w:t xml:space="preserve">Page </w:t>
    </w:r>
    <w:r w:rsidR="00ED2694">
      <w:rPr>
        <w:rStyle w:val="Numrodepage"/>
      </w:rPr>
      <w:fldChar w:fldCharType="begin"/>
    </w:r>
    <w:r w:rsidR="00ED2694">
      <w:rPr>
        <w:rStyle w:val="Numrodepage"/>
      </w:rPr>
      <w:instrText xml:space="preserve"> PAGE </w:instrText>
    </w:r>
    <w:r w:rsidR="00ED2694">
      <w:rPr>
        <w:rStyle w:val="Numrodepage"/>
      </w:rPr>
      <w:fldChar w:fldCharType="separate"/>
    </w:r>
    <w:r w:rsidR="00993725">
      <w:rPr>
        <w:rStyle w:val="Numrodepage"/>
        <w:noProof/>
      </w:rPr>
      <w:t>5</w:t>
    </w:r>
    <w:r w:rsidR="00ED2694">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D9CD0" w14:textId="77777777" w:rsidR="00983FB8" w:rsidRDefault="00983F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9F63B" w14:textId="77777777" w:rsidR="00CA236B" w:rsidRDefault="00CA236B">
      <w:r>
        <w:separator/>
      </w:r>
    </w:p>
  </w:footnote>
  <w:footnote w:type="continuationSeparator" w:id="0">
    <w:p w14:paraId="35868E51" w14:textId="77777777" w:rsidR="00CA236B" w:rsidRDefault="00CA2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E6188" w14:textId="77777777" w:rsidR="00983FB8" w:rsidRDefault="00983FB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1E4240" w14:textId="77777777" w:rsidR="00ED2694" w:rsidRDefault="00983FB8" w:rsidP="00125786">
    <w:pPr>
      <w:pStyle w:val="En-tte"/>
      <w:pBdr>
        <w:bottom w:val="single" w:sz="4" w:space="1" w:color="auto"/>
      </w:pBdr>
      <w:jc w:val="right"/>
    </w:pPr>
    <w:r>
      <w:t xml:space="preserve">DIAPOS - </w:t>
    </w:r>
    <w:r w:rsidR="00ED2694">
      <w:t xml:space="preserve">L’introduction à l’évaluation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8791E" w14:textId="77777777" w:rsidR="00983FB8" w:rsidRDefault="00983FB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A6BFD"/>
    <w:multiLevelType w:val="hybridMultilevel"/>
    <w:tmpl w:val="490A52A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B3534F"/>
    <w:multiLevelType w:val="hybridMultilevel"/>
    <w:tmpl w:val="82100AC6"/>
    <w:lvl w:ilvl="0" w:tplc="3A66C540">
      <w:start w:val="1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D04028"/>
    <w:multiLevelType w:val="hybridMultilevel"/>
    <w:tmpl w:val="19F6763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156C8E"/>
    <w:multiLevelType w:val="hybridMultilevel"/>
    <w:tmpl w:val="A600E9B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B114155"/>
    <w:multiLevelType w:val="hybridMultilevel"/>
    <w:tmpl w:val="5622EDB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F537AC"/>
    <w:multiLevelType w:val="hybridMultilevel"/>
    <w:tmpl w:val="B21ECBAE"/>
    <w:lvl w:ilvl="0" w:tplc="3A66C540">
      <w:start w:val="1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69F"/>
    <w:rsid w:val="00031FD3"/>
    <w:rsid w:val="000535C8"/>
    <w:rsid w:val="00125786"/>
    <w:rsid w:val="00147752"/>
    <w:rsid w:val="00153D8A"/>
    <w:rsid w:val="00261621"/>
    <w:rsid w:val="002E5AEB"/>
    <w:rsid w:val="003104C6"/>
    <w:rsid w:val="00315F09"/>
    <w:rsid w:val="00420F46"/>
    <w:rsid w:val="004978E7"/>
    <w:rsid w:val="004E1ABB"/>
    <w:rsid w:val="0050080A"/>
    <w:rsid w:val="00535A0A"/>
    <w:rsid w:val="00537A97"/>
    <w:rsid w:val="005674D9"/>
    <w:rsid w:val="0057150C"/>
    <w:rsid w:val="005E3119"/>
    <w:rsid w:val="00626909"/>
    <w:rsid w:val="00710485"/>
    <w:rsid w:val="00714149"/>
    <w:rsid w:val="00732E08"/>
    <w:rsid w:val="00755EBE"/>
    <w:rsid w:val="00766347"/>
    <w:rsid w:val="007700FB"/>
    <w:rsid w:val="007B0AA1"/>
    <w:rsid w:val="007B3C2E"/>
    <w:rsid w:val="007F071F"/>
    <w:rsid w:val="007F79FE"/>
    <w:rsid w:val="00883895"/>
    <w:rsid w:val="008C12B7"/>
    <w:rsid w:val="00937014"/>
    <w:rsid w:val="00957FB5"/>
    <w:rsid w:val="00973AF9"/>
    <w:rsid w:val="00983FB8"/>
    <w:rsid w:val="00993725"/>
    <w:rsid w:val="00B00AD7"/>
    <w:rsid w:val="00B24093"/>
    <w:rsid w:val="00B31992"/>
    <w:rsid w:val="00B36C04"/>
    <w:rsid w:val="00B52784"/>
    <w:rsid w:val="00B611D1"/>
    <w:rsid w:val="00B874C1"/>
    <w:rsid w:val="00B902B8"/>
    <w:rsid w:val="00BA369F"/>
    <w:rsid w:val="00C64A11"/>
    <w:rsid w:val="00C94E79"/>
    <w:rsid w:val="00CA236B"/>
    <w:rsid w:val="00CA5F9E"/>
    <w:rsid w:val="00CD7C63"/>
    <w:rsid w:val="00D01D8B"/>
    <w:rsid w:val="00D06C8F"/>
    <w:rsid w:val="00D82BCF"/>
    <w:rsid w:val="00D92397"/>
    <w:rsid w:val="00DC10AF"/>
    <w:rsid w:val="00E06941"/>
    <w:rsid w:val="00ED2694"/>
    <w:rsid w:val="00F6143D"/>
    <w:rsid w:val="00FA5E2F"/>
    <w:rsid w:val="00FC32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E1031"/>
  <w15:chartTrackingRefBased/>
  <w15:docId w15:val="{C9DA06B0-79E5-4079-9E94-5551C34D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BA369F"/>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BA369F"/>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031FD3"/>
    <w:pPr>
      <w:keepNext/>
      <w:spacing w:before="240" w:after="60"/>
      <w:outlineLvl w:val="2"/>
    </w:pPr>
    <w:rPr>
      <w:rFonts w:ascii="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125786"/>
    <w:pPr>
      <w:tabs>
        <w:tab w:val="center" w:pos="4536"/>
        <w:tab w:val="right" w:pos="9072"/>
      </w:tabs>
    </w:pPr>
  </w:style>
  <w:style w:type="paragraph" w:styleId="Pieddepage">
    <w:name w:val="footer"/>
    <w:basedOn w:val="Normal"/>
    <w:rsid w:val="00125786"/>
    <w:pPr>
      <w:tabs>
        <w:tab w:val="center" w:pos="4536"/>
        <w:tab w:val="right" w:pos="9072"/>
      </w:tabs>
    </w:pPr>
  </w:style>
  <w:style w:type="character" w:styleId="Numrodepage">
    <w:name w:val="page number"/>
    <w:basedOn w:val="Policepardfaut"/>
    <w:rsid w:val="00125786"/>
  </w:style>
  <w:style w:type="paragraph" w:styleId="Textedebulles">
    <w:name w:val="Balloon Text"/>
    <w:basedOn w:val="Normal"/>
    <w:link w:val="TextedebullesCar"/>
    <w:rsid w:val="00537A97"/>
    <w:rPr>
      <w:rFonts w:ascii="Tahoma" w:hAnsi="Tahoma" w:cs="Tahoma"/>
      <w:sz w:val="16"/>
      <w:szCs w:val="16"/>
    </w:rPr>
  </w:style>
  <w:style w:type="character" w:customStyle="1" w:styleId="TextedebullesCar">
    <w:name w:val="Texte de bulles Car"/>
    <w:link w:val="Textedebulles"/>
    <w:rsid w:val="00537A97"/>
    <w:rPr>
      <w:rFonts w:ascii="Tahoma" w:hAnsi="Tahoma" w:cs="Tahoma"/>
      <w:sz w:val="16"/>
      <w:szCs w:val="16"/>
    </w:rPr>
  </w:style>
  <w:style w:type="paragraph" w:styleId="TM1">
    <w:name w:val="toc 1"/>
    <w:basedOn w:val="Normal"/>
    <w:next w:val="Normal"/>
    <w:autoRedefine/>
    <w:uiPriority w:val="39"/>
    <w:rsid w:val="00C64A11"/>
    <w:pPr>
      <w:spacing w:before="120"/>
    </w:pPr>
    <w:rPr>
      <w:rFonts w:ascii="Calibri" w:hAnsi="Calibri" w:cs="Calibri"/>
      <w:b/>
      <w:bCs/>
      <w:i/>
      <w:iCs/>
    </w:rPr>
  </w:style>
  <w:style w:type="paragraph" w:styleId="TM2">
    <w:name w:val="toc 2"/>
    <w:basedOn w:val="Normal"/>
    <w:next w:val="Normal"/>
    <w:autoRedefine/>
    <w:uiPriority w:val="39"/>
    <w:rsid w:val="00C64A11"/>
    <w:pPr>
      <w:spacing w:before="120"/>
      <w:ind w:left="240"/>
    </w:pPr>
    <w:rPr>
      <w:rFonts w:ascii="Calibri" w:hAnsi="Calibri" w:cs="Calibri"/>
      <w:b/>
      <w:bCs/>
      <w:sz w:val="22"/>
      <w:szCs w:val="22"/>
    </w:rPr>
  </w:style>
  <w:style w:type="paragraph" w:styleId="TM3">
    <w:name w:val="toc 3"/>
    <w:basedOn w:val="Normal"/>
    <w:next w:val="Normal"/>
    <w:autoRedefine/>
    <w:uiPriority w:val="39"/>
    <w:rsid w:val="00C64A11"/>
    <w:pPr>
      <w:ind w:left="480"/>
    </w:pPr>
    <w:rPr>
      <w:rFonts w:ascii="Calibri" w:hAnsi="Calibri" w:cs="Calibri"/>
      <w:sz w:val="20"/>
      <w:szCs w:val="20"/>
    </w:rPr>
  </w:style>
  <w:style w:type="paragraph" w:styleId="TM4">
    <w:name w:val="toc 4"/>
    <w:basedOn w:val="Normal"/>
    <w:next w:val="Normal"/>
    <w:autoRedefine/>
    <w:rsid w:val="00C64A11"/>
    <w:pPr>
      <w:ind w:left="720"/>
    </w:pPr>
    <w:rPr>
      <w:rFonts w:ascii="Calibri" w:hAnsi="Calibri" w:cs="Calibri"/>
      <w:sz w:val="20"/>
      <w:szCs w:val="20"/>
    </w:rPr>
  </w:style>
  <w:style w:type="paragraph" w:styleId="TM5">
    <w:name w:val="toc 5"/>
    <w:basedOn w:val="Normal"/>
    <w:next w:val="Normal"/>
    <w:autoRedefine/>
    <w:rsid w:val="00C64A11"/>
    <w:pPr>
      <w:ind w:left="960"/>
    </w:pPr>
    <w:rPr>
      <w:rFonts w:ascii="Calibri" w:hAnsi="Calibri" w:cs="Calibri"/>
      <w:sz w:val="20"/>
      <w:szCs w:val="20"/>
    </w:rPr>
  </w:style>
  <w:style w:type="paragraph" w:styleId="TM6">
    <w:name w:val="toc 6"/>
    <w:basedOn w:val="Normal"/>
    <w:next w:val="Normal"/>
    <w:autoRedefine/>
    <w:rsid w:val="00C64A11"/>
    <w:pPr>
      <w:ind w:left="1200"/>
    </w:pPr>
    <w:rPr>
      <w:rFonts w:ascii="Calibri" w:hAnsi="Calibri" w:cs="Calibri"/>
      <w:sz w:val="20"/>
      <w:szCs w:val="20"/>
    </w:rPr>
  </w:style>
  <w:style w:type="paragraph" w:styleId="TM7">
    <w:name w:val="toc 7"/>
    <w:basedOn w:val="Normal"/>
    <w:next w:val="Normal"/>
    <w:autoRedefine/>
    <w:rsid w:val="00C64A11"/>
    <w:pPr>
      <w:ind w:left="1440"/>
    </w:pPr>
    <w:rPr>
      <w:rFonts w:ascii="Calibri" w:hAnsi="Calibri" w:cs="Calibri"/>
      <w:sz w:val="20"/>
      <w:szCs w:val="20"/>
    </w:rPr>
  </w:style>
  <w:style w:type="paragraph" w:styleId="TM8">
    <w:name w:val="toc 8"/>
    <w:basedOn w:val="Normal"/>
    <w:next w:val="Normal"/>
    <w:autoRedefine/>
    <w:rsid w:val="00C64A11"/>
    <w:pPr>
      <w:ind w:left="1680"/>
    </w:pPr>
    <w:rPr>
      <w:rFonts w:ascii="Calibri" w:hAnsi="Calibri" w:cs="Calibri"/>
      <w:sz w:val="20"/>
      <w:szCs w:val="20"/>
    </w:rPr>
  </w:style>
  <w:style w:type="paragraph" w:styleId="TM9">
    <w:name w:val="toc 9"/>
    <w:basedOn w:val="Normal"/>
    <w:next w:val="Normal"/>
    <w:autoRedefine/>
    <w:rsid w:val="00C64A11"/>
    <w:pPr>
      <w:ind w:left="1920"/>
    </w:pPr>
    <w:rPr>
      <w:rFonts w:ascii="Calibri" w:hAnsi="Calibri" w:cs="Calibri"/>
      <w:sz w:val="20"/>
      <w:szCs w:val="20"/>
    </w:rPr>
  </w:style>
  <w:style w:type="character" w:styleId="Lienhypertexte">
    <w:name w:val="Hyperlink"/>
    <w:uiPriority w:val="99"/>
    <w:unhideWhenUsed/>
    <w:rsid w:val="00C64A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e31714791e3787ca78dfcc6f67d93daa">
  <xsd:schema xmlns:xsd="http://www.w3.org/2001/XMLSchema" xmlns:xs="http://www.w3.org/2001/XMLSchema" xmlns:p="http://schemas.microsoft.com/office/2006/metadata/properties" xmlns:ns2="bef2f228-2bdb-4b96-a185-7ec984349d4f" targetNamespace="http://schemas.microsoft.com/office/2006/metadata/properties" ma:root="true" ma:fieldsID="c8ac2a7471fd00b7a0f3122cfaa9a849"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851AA-173C-475F-A60A-7DCD279FAB63}"/>
</file>

<file path=customXml/itemProps2.xml><?xml version="1.0" encoding="utf-8"?>
<ds:datastoreItem xmlns:ds="http://schemas.openxmlformats.org/officeDocument/2006/customXml" ds:itemID="{A2B8701D-0334-4DC2-AFEC-0A4A25F906F5}">
  <ds:schemaRefs>
    <ds:schemaRef ds:uri="http://schemas.microsoft.com/sharepoint/v3/contenttype/forms"/>
  </ds:schemaRefs>
</ds:datastoreItem>
</file>

<file path=customXml/itemProps3.xml><?xml version="1.0" encoding="utf-8"?>
<ds:datastoreItem xmlns:ds="http://schemas.openxmlformats.org/officeDocument/2006/customXml" ds:itemID="{40B5AF98-05FB-420B-893C-180D8F8A8F98}">
  <ds:schemaRefs>
    <ds:schemaRef ds:uri="d7de3652-cb89-49f2-9caa-30c03dd58174"/>
    <ds:schemaRef ds:uri="http://purl.org/dc/elements/1.1/"/>
    <ds:schemaRef ds:uri="http://www.w3.org/XML/1998/namespace"/>
    <ds:schemaRef ds:uri="http://schemas.microsoft.com/office/2006/metadata/properties"/>
    <ds:schemaRef ds:uri="386cce11-c92d-40e9-9dfe-09a3dc372ce6"/>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purl.org/dc/terms/"/>
  </ds:schemaRefs>
</ds:datastoreItem>
</file>

<file path=customXml/itemProps4.xml><?xml version="1.0" encoding="utf-8"?>
<ds:datastoreItem xmlns:ds="http://schemas.openxmlformats.org/officeDocument/2006/customXml" ds:itemID="{25BDF6A0-53D9-4D88-8732-8A86F4B26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769</Words>
  <Characters>5064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La Joliverie</Company>
  <LinksUpToDate>false</LinksUpToDate>
  <CharactersWithSpaces>5822</CharactersWithSpaces>
  <SharedDoc>false</SharedDoc>
  <HLinks>
    <vt:vector size="48" baseType="variant">
      <vt:variant>
        <vt:i4>1376315</vt:i4>
      </vt:variant>
      <vt:variant>
        <vt:i4>38</vt:i4>
      </vt:variant>
      <vt:variant>
        <vt:i4>0</vt:i4>
      </vt:variant>
      <vt:variant>
        <vt:i4>5</vt:i4>
      </vt:variant>
      <vt:variant>
        <vt:lpwstr/>
      </vt:variant>
      <vt:variant>
        <vt:lpwstr>_Toc374450917</vt:lpwstr>
      </vt:variant>
      <vt:variant>
        <vt:i4>1376315</vt:i4>
      </vt:variant>
      <vt:variant>
        <vt:i4>32</vt:i4>
      </vt:variant>
      <vt:variant>
        <vt:i4>0</vt:i4>
      </vt:variant>
      <vt:variant>
        <vt:i4>5</vt:i4>
      </vt:variant>
      <vt:variant>
        <vt:lpwstr/>
      </vt:variant>
      <vt:variant>
        <vt:lpwstr>_Toc374450916</vt:lpwstr>
      </vt:variant>
      <vt:variant>
        <vt:i4>1376315</vt:i4>
      </vt:variant>
      <vt:variant>
        <vt:i4>26</vt:i4>
      </vt:variant>
      <vt:variant>
        <vt:i4>0</vt:i4>
      </vt:variant>
      <vt:variant>
        <vt:i4>5</vt:i4>
      </vt:variant>
      <vt:variant>
        <vt:lpwstr/>
      </vt:variant>
      <vt:variant>
        <vt:lpwstr>_Toc374450915</vt:lpwstr>
      </vt:variant>
      <vt:variant>
        <vt:i4>1376315</vt:i4>
      </vt:variant>
      <vt:variant>
        <vt:i4>20</vt:i4>
      </vt:variant>
      <vt:variant>
        <vt:i4>0</vt:i4>
      </vt:variant>
      <vt:variant>
        <vt:i4>5</vt:i4>
      </vt:variant>
      <vt:variant>
        <vt:lpwstr/>
      </vt:variant>
      <vt:variant>
        <vt:lpwstr>_Toc374450914</vt:lpwstr>
      </vt:variant>
      <vt:variant>
        <vt:i4>1376315</vt:i4>
      </vt:variant>
      <vt:variant>
        <vt:i4>14</vt:i4>
      </vt:variant>
      <vt:variant>
        <vt:i4>0</vt:i4>
      </vt:variant>
      <vt:variant>
        <vt:i4>5</vt:i4>
      </vt:variant>
      <vt:variant>
        <vt:lpwstr/>
      </vt:variant>
      <vt:variant>
        <vt:lpwstr>_Toc374450913</vt:lpwstr>
      </vt:variant>
      <vt:variant>
        <vt:i4>1376315</vt:i4>
      </vt:variant>
      <vt:variant>
        <vt:i4>8</vt:i4>
      </vt:variant>
      <vt:variant>
        <vt:i4>0</vt:i4>
      </vt:variant>
      <vt:variant>
        <vt:i4>5</vt:i4>
      </vt:variant>
      <vt:variant>
        <vt:lpwstr/>
      </vt:variant>
      <vt:variant>
        <vt:lpwstr>_Toc374450912</vt:lpwstr>
      </vt:variant>
      <vt:variant>
        <vt:i4>1376315</vt:i4>
      </vt:variant>
      <vt:variant>
        <vt:i4>2</vt:i4>
      </vt:variant>
      <vt:variant>
        <vt:i4>0</vt:i4>
      </vt:variant>
      <vt:variant>
        <vt:i4>5</vt:i4>
      </vt:variant>
      <vt:variant>
        <vt:lpwstr/>
      </vt:variant>
      <vt:variant>
        <vt:lpwstr>_Toc374450911</vt:lpwstr>
      </vt:variant>
      <vt:variant>
        <vt:i4>7143439</vt:i4>
      </vt:variant>
      <vt:variant>
        <vt:i4>7848</vt:i4>
      </vt:variant>
      <vt:variant>
        <vt:i4>1028</vt:i4>
      </vt:variant>
      <vt:variant>
        <vt:i4>1</vt:i4>
      </vt:variant>
      <vt:variant>
        <vt:lpwstr>cid:image001.png@01D28134.53437CE0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c:creator>
  <cp:keywords/>
  <cp:lastModifiedBy>NEAU Irène</cp:lastModifiedBy>
  <cp:revision>8</cp:revision>
  <cp:lastPrinted>2018-10-25T14:21:00Z</cp:lastPrinted>
  <dcterms:created xsi:type="dcterms:W3CDTF">2024-01-04T08:36:00Z</dcterms:created>
  <dcterms:modified xsi:type="dcterms:W3CDTF">2025-11-18T14:46:00Z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