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1F336" w14:textId="77777777" w:rsidR="00D904C3" w:rsidRDefault="00D904C3" w:rsidP="00D904C3">
      <w:pPr>
        <w:jc w:val="center"/>
        <w:rPr>
          <w:rFonts w:ascii="Times New Roman" w:hAnsi="Times New Roman" w:cs="Times New Roman"/>
          <w:b/>
          <w:sz w:val="24"/>
          <w:szCs w:val="24"/>
          <w:u w:val="single"/>
        </w:rPr>
      </w:pPr>
      <w:r>
        <w:rPr>
          <w:rFonts w:ascii="Times New Roman" w:hAnsi="Times New Roman" w:cs="Times New Roman"/>
          <w:b/>
          <w:sz w:val="24"/>
          <w:szCs w:val="24"/>
          <w:u w:val="single"/>
        </w:rPr>
        <w:t>CAS PRATIQUE</w:t>
      </w:r>
    </w:p>
    <w:p w14:paraId="0DD1F337" w14:textId="77777777" w:rsidR="00D904C3" w:rsidRDefault="00D904C3" w:rsidP="00D904C3">
      <w:pPr>
        <w:jc w:val="center"/>
        <w:rPr>
          <w:rFonts w:ascii="Times New Roman" w:hAnsi="Times New Roman" w:cs="Times New Roman"/>
          <w:b/>
          <w:sz w:val="24"/>
          <w:szCs w:val="24"/>
        </w:rPr>
      </w:pPr>
      <w:r>
        <w:rPr>
          <w:rFonts w:ascii="Times New Roman" w:hAnsi="Times New Roman" w:cs="Times New Roman"/>
          <w:b/>
          <w:sz w:val="24"/>
          <w:szCs w:val="24"/>
        </w:rPr>
        <w:t>PRATIQUES ANTICONCURRENTIELLES</w:t>
      </w:r>
    </w:p>
    <w:p w14:paraId="0DD1F338" w14:textId="77777777" w:rsidR="00AE7F2E" w:rsidRDefault="00AE7F2E" w:rsidP="00AE7F2E">
      <w:pPr>
        <w:ind w:firstLine="708"/>
        <w:jc w:val="both"/>
        <w:rPr>
          <w:i/>
        </w:rPr>
      </w:pPr>
    </w:p>
    <w:p w14:paraId="0DD1F339" w14:textId="77777777" w:rsidR="00AE7F2E" w:rsidRPr="00AE7F2E" w:rsidRDefault="00AE7F2E" w:rsidP="00AE7F2E">
      <w:pPr>
        <w:ind w:firstLine="708"/>
        <w:jc w:val="both"/>
        <w:rPr>
          <w:rFonts w:ascii="Times New Roman" w:hAnsi="Times New Roman" w:cs="Times New Roman"/>
          <w:i/>
          <w:sz w:val="24"/>
          <w:szCs w:val="24"/>
        </w:rPr>
      </w:pPr>
      <w:r w:rsidRPr="00AE7F2E">
        <w:rPr>
          <w:rFonts w:ascii="Times New Roman" w:hAnsi="Times New Roman" w:cs="Times New Roman"/>
          <w:i/>
          <w:sz w:val="24"/>
          <w:szCs w:val="24"/>
        </w:rPr>
        <w:t xml:space="preserve">Les sociétés de savons « Beausavon » et « Le petit M » dominent le marché provençal depuis plus de 50 ans. La société « Bain douche », dirigée par Monsieur Propre, cherche à s’implanter car il est certain de la qualité de son produit et de sa qualité prix. Pourtant, quand il a mis ses produits en vente, « Beausavon » et « Le petit M » ont immédiatement baissé les prix comme un seul homme, à un niveau incroyable. « Bain douche » n’a pas vendu un seul savon. </w:t>
      </w:r>
    </w:p>
    <w:p w14:paraId="0DD1F33A" w14:textId="77777777" w:rsidR="00AE7F2E" w:rsidRPr="00AE7F2E" w:rsidRDefault="00AE7F2E" w:rsidP="00AE7F2E">
      <w:pPr>
        <w:ind w:firstLine="708"/>
        <w:jc w:val="both"/>
        <w:rPr>
          <w:rFonts w:ascii="Times New Roman" w:hAnsi="Times New Roman" w:cs="Times New Roman"/>
          <w:b/>
          <w:i/>
          <w:sz w:val="24"/>
          <w:szCs w:val="24"/>
        </w:rPr>
      </w:pPr>
      <w:r w:rsidRPr="00AE7F2E">
        <w:rPr>
          <w:rFonts w:ascii="Times New Roman" w:hAnsi="Times New Roman" w:cs="Times New Roman"/>
          <w:i/>
          <w:sz w:val="24"/>
          <w:szCs w:val="24"/>
        </w:rPr>
        <w:t xml:space="preserve">Monsieur Propre vient vous voir car il voudrait savoir s’il n’y a pas moyen de faire cesser ces pratiques qu’il juge scandaleuses. </w:t>
      </w:r>
      <w:r w:rsidRPr="00AE7F2E">
        <w:rPr>
          <w:rFonts w:ascii="Times New Roman" w:hAnsi="Times New Roman" w:cs="Times New Roman"/>
          <w:b/>
          <w:i/>
          <w:sz w:val="24"/>
          <w:szCs w:val="24"/>
        </w:rPr>
        <w:t>Qu’en pensez-vous ?</w:t>
      </w:r>
    </w:p>
    <w:p w14:paraId="0DD1F33B" w14:textId="77777777" w:rsidR="00D904C3" w:rsidRDefault="00D904C3" w:rsidP="00D904C3">
      <w:pPr>
        <w:rPr>
          <w:rFonts w:ascii="Times New Roman" w:hAnsi="Times New Roman" w:cs="Times New Roman"/>
          <w:b/>
          <w:sz w:val="24"/>
          <w:szCs w:val="24"/>
        </w:rPr>
      </w:pPr>
    </w:p>
    <w:p w14:paraId="0DD1F33C" w14:textId="77777777" w:rsidR="00D904C3" w:rsidRDefault="00D904C3" w:rsidP="00D904C3">
      <w:pPr>
        <w:jc w:val="both"/>
        <w:rPr>
          <w:rFonts w:ascii="Times New Roman" w:hAnsi="Times New Roman" w:cs="Times New Roman"/>
          <w:b/>
          <w:sz w:val="24"/>
          <w:szCs w:val="24"/>
        </w:rPr>
      </w:pPr>
      <w:r>
        <w:rPr>
          <w:rFonts w:ascii="Times New Roman" w:hAnsi="Times New Roman" w:cs="Times New Roman"/>
          <w:b/>
          <w:sz w:val="24"/>
          <w:szCs w:val="24"/>
        </w:rPr>
        <w:t xml:space="preserve">Quels sont les critères à retenir pour déclarer </w:t>
      </w:r>
      <w:r w:rsidRPr="007252E3">
        <w:rPr>
          <w:rFonts w:ascii="Times New Roman" w:hAnsi="Times New Roman" w:cs="Times New Roman"/>
          <w:b/>
          <w:sz w:val="24"/>
          <w:szCs w:val="24"/>
          <w:u w:val="single"/>
        </w:rPr>
        <w:t>une entente illicite</w:t>
      </w:r>
      <w:r>
        <w:rPr>
          <w:rFonts w:ascii="Times New Roman" w:hAnsi="Times New Roman" w:cs="Times New Roman"/>
          <w:b/>
          <w:sz w:val="24"/>
          <w:szCs w:val="24"/>
        </w:rPr>
        <w:t xml:space="preserve"> et quelles sont les sanctions qui peuvent être prononcées contre les auteurs de cette entente ? </w:t>
      </w:r>
    </w:p>
    <w:p w14:paraId="0DD1F33D" w14:textId="77777777" w:rsidR="00D904C3" w:rsidRDefault="00D904C3" w:rsidP="00D904C3">
      <w:pPr>
        <w:ind w:firstLine="708"/>
        <w:jc w:val="both"/>
        <w:rPr>
          <w:rFonts w:ascii="Times New Roman" w:hAnsi="Times New Roman" w:cs="Times New Roman"/>
          <w:sz w:val="24"/>
          <w:szCs w:val="24"/>
        </w:rPr>
      </w:pPr>
      <w:r>
        <w:rPr>
          <w:rFonts w:ascii="Times New Roman" w:hAnsi="Times New Roman" w:cs="Times New Roman"/>
          <w:sz w:val="24"/>
          <w:szCs w:val="24"/>
        </w:rPr>
        <w:t>Les ententes sont sanctionnées par le droit français lorsqu’elles ont pour objet ou effet d’empêcher, de restreindre ou de fausser le jeu de la concurrence sur un marché. Pour qu’une entente soit considérée comme anticoncurrentielle, plusieurs conditions doivent être réunies.</w:t>
      </w:r>
    </w:p>
    <w:p w14:paraId="0DD1F33E" w14:textId="77777777" w:rsidR="00D904C3" w:rsidRPr="009D5DFE" w:rsidRDefault="00D904C3" w:rsidP="00D904C3">
      <w:pPr>
        <w:jc w:val="both"/>
        <w:rPr>
          <w:rFonts w:ascii="Times New Roman" w:hAnsi="Times New Roman" w:cs="Times New Roman"/>
          <w:i/>
          <w:color w:val="5B9BD5" w:themeColor="accent1"/>
        </w:rPr>
      </w:pPr>
      <w:r>
        <w:rPr>
          <w:rFonts w:ascii="Times New Roman" w:hAnsi="Times New Roman" w:cs="Times New Roman"/>
          <w:sz w:val="24"/>
          <w:szCs w:val="24"/>
        </w:rPr>
        <w:t xml:space="preserve">Il faut tout d’abord </w:t>
      </w:r>
      <w:r>
        <w:rPr>
          <w:rFonts w:ascii="Times New Roman" w:hAnsi="Times New Roman" w:cs="Times New Roman"/>
          <w:b/>
          <w:sz w:val="24"/>
          <w:szCs w:val="24"/>
        </w:rPr>
        <w:t xml:space="preserve">un accord entre des </w:t>
      </w:r>
      <w:r w:rsidRPr="00307D2D">
        <w:rPr>
          <w:rFonts w:ascii="Times New Roman" w:hAnsi="Times New Roman" w:cs="Times New Roman"/>
          <w:b/>
          <w:sz w:val="24"/>
          <w:szCs w:val="24"/>
        </w:rPr>
        <w:t>opérateurs économiques indépendants</w:t>
      </w:r>
      <w:r>
        <w:rPr>
          <w:rFonts w:ascii="Times New Roman" w:hAnsi="Times New Roman" w:cs="Times New Roman"/>
          <w:sz w:val="24"/>
          <w:szCs w:val="24"/>
        </w:rPr>
        <w:t xml:space="preserve">, un accord de volonté impliquant le libre consentement et l’autonomie de décision de chaque </w:t>
      </w:r>
      <w:r w:rsidR="00307D2D">
        <w:rPr>
          <w:rFonts w:ascii="Times New Roman" w:hAnsi="Times New Roman" w:cs="Times New Roman"/>
          <w:sz w:val="24"/>
          <w:szCs w:val="24"/>
        </w:rPr>
        <w:t>opérateur</w:t>
      </w:r>
      <w:r>
        <w:rPr>
          <w:rFonts w:ascii="Times New Roman" w:hAnsi="Times New Roman" w:cs="Times New Roman"/>
          <w:sz w:val="24"/>
          <w:szCs w:val="24"/>
        </w:rPr>
        <w:t xml:space="preserve">. Cet accord peut prendre la forme </w:t>
      </w:r>
      <w:r w:rsidR="00355AAB">
        <w:rPr>
          <w:rFonts w:ascii="Times New Roman" w:hAnsi="Times New Roman" w:cs="Times New Roman"/>
          <w:sz w:val="24"/>
          <w:szCs w:val="24"/>
        </w:rPr>
        <w:t xml:space="preserve">d’une convention, d’une entente expresse ou tacite ou bien </w:t>
      </w:r>
      <w:r>
        <w:rPr>
          <w:rFonts w:ascii="Times New Roman" w:hAnsi="Times New Roman" w:cs="Times New Roman"/>
          <w:sz w:val="24"/>
          <w:szCs w:val="24"/>
        </w:rPr>
        <w:t>d’une action concertée</w:t>
      </w:r>
      <w:r w:rsidR="007252E3">
        <w:rPr>
          <w:rFonts w:ascii="Times New Roman" w:hAnsi="Times New Roman" w:cs="Times New Roman"/>
          <w:sz w:val="24"/>
          <w:szCs w:val="24"/>
        </w:rPr>
        <w:t xml:space="preserve"> </w:t>
      </w:r>
      <w:r w:rsidR="007252E3" w:rsidRPr="009D5DFE">
        <w:rPr>
          <w:rFonts w:ascii="Times New Roman" w:hAnsi="Times New Roman" w:cs="Times New Roman"/>
          <w:i/>
          <w:color w:val="5B9BD5" w:themeColor="accent1"/>
        </w:rPr>
        <w:t>(entente informelle</w:t>
      </w:r>
      <w:r w:rsidR="00F84A6B" w:rsidRPr="009D5DFE">
        <w:rPr>
          <w:rFonts w:ascii="Times New Roman" w:hAnsi="Times New Roman" w:cs="Times New Roman"/>
          <w:i/>
          <w:color w:val="5B9BD5" w:themeColor="accent1"/>
        </w:rPr>
        <w:t> : Selon la définition consacrée par la jurisprudence, une pratique concertée est « une forme de coordination entre entreprises qui n’a pas été poussée jusqu'à la réalisation d'une convention proprement dite mais qui révèle une coopération pratique entre elles</w:t>
      </w:r>
      <w:r w:rsidR="008029E7" w:rsidRPr="009D5DFE">
        <w:rPr>
          <w:rFonts w:ascii="Times New Roman" w:hAnsi="Times New Roman" w:cs="Times New Roman"/>
          <w:i/>
          <w:color w:val="5B9BD5" w:themeColor="accent1"/>
        </w:rPr>
        <w:t> ; on parle d'une collusion plus subtile et discrète, qui ne correspond pas à une forme juridique déterminée.</w:t>
      </w:r>
      <w:r w:rsidR="007252E3" w:rsidRPr="009D5DFE">
        <w:rPr>
          <w:rFonts w:ascii="Times New Roman" w:hAnsi="Times New Roman" w:cs="Times New Roman"/>
          <w:i/>
          <w:color w:val="5B9BD5" w:themeColor="accent1"/>
        </w:rPr>
        <w:t>)</w:t>
      </w:r>
      <w:r w:rsidR="00307D2D" w:rsidRPr="009D5DFE">
        <w:rPr>
          <w:rFonts w:ascii="Times New Roman" w:hAnsi="Times New Roman" w:cs="Times New Roman"/>
          <w:i/>
          <w:color w:val="5B9BD5" w:themeColor="accent1"/>
        </w:rPr>
        <w:t>…</w:t>
      </w:r>
      <w:r w:rsidRPr="009D5DFE">
        <w:rPr>
          <w:rFonts w:ascii="Times New Roman" w:hAnsi="Times New Roman" w:cs="Times New Roman"/>
          <w:i/>
          <w:color w:val="5B9BD5" w:themeColor="accent1"/>
        </w:rPr>
        <w:t xml:space="preserve"> </w:t>
      </w:r>
    </w:p>
    <w:p w14:paraId="0DD1F33F" w14:textId="66023A7E" w:rsidR="00D904C3" w:rsidRDefault="00D904C3" w:rsidP="007C1910">
      <w:pPr>
        <w:jc w:val="both"/>
        <w:rPr>
          <w:rFonts w:ascii="Times New Roman" w:hAnsi="Times New Roman" w:cs="Times New Roman"/>
          <w:sz w:val="24"/>
          <w:szCs w:val="24"/>
        </w:rPr>
      </w:pPr>
      <w:r>
        <w:rPr>
          <w:rFonts w:ascii="Times New Roman" w:hAnsi="Times New Roman" w:cs="Times New Roman"/>
          <w:sz w:val="24"/>
          <w:szCs w:val="24"/>
        </w:rPr>
        <w:t xml:space="preserve">L’entente </w:t>
      </w:r>
      <w:r>
        <w:rPr>
          <w:rFonts w:ascii="Times New Roman" w:hAnsi="Times New Roman" w:cs="Times New Roman"/>
          <w:b/>
          <w:sz w:val="24"/>
          <w:szCs w:val="24"/>
        </w:rPr>
        <w:t>doit avoir pour but de porter atteinte à la concurrence ou, plus précisément, pour objet ou effet d’empêcher, de restreindre ou de fausser le jeu de la concurrence sur un marché</w:t>
      </w:r>
      <w:r w:rsidR="00307D2D">
        <w:rPr>
          <w:rFonts w:ascii="Times New Roman" w:hAnsi="Times New Roman" w:cs="Times New Roman"/>
          <w:b/>
          <w:sz w:val="24"/>
          <w:szCs w:val="24"/>
        </w:rPr>
        <w:t>, un marché défini</w:t>
      </w:r>
      <w:r>
        <w:rPr>
          <w:rFonts w:ascii="Times New Roman" w:hAnsi="Times New Roman" w:cs="Times New Roman"/>
          <w:b/>
          <w:sz w:val="24"/>
          <w:szCs w:val="24"/>
        </w:rPr>
        <w:t>.</w:t>
      </w:r>
      <w:r>
        <w:rPr>
          <w:rFonts w:ascii="Times New Roman" w:hAnsi="Times New Roman" w:cs="Times New Roman"/>
          <w:sz w:val="24"/>
          <w:szCs w:val="24"/>
        </w:rPr>
        <w:t xml:space="preserve"> Il s’agit</w:t>
      </w:r>
      <w:r w:rsidR="00277164">
        <w:rPr>
          <w:rFonts w:ascii="Times New Roman" w:hAnsi="Times New Roman" w:cs="Times New Roman"/>
          <w:sz w:val="24"/>
          <w:szCs w:val="24"/>
        </w:rPr>
        <w:t xml:space="preserve"> par exemple </w:t>
      </w:r>
      <w:r>
        <w:rPr>
          <w:rFonts w:ascii="Times New Roman" w:hAnsi="Times New Roman" w:cs="Times New Roman"/>
          <w:sz w:val="24"/>
          <w:szCs w:val="24"/>
        </w:rPr>
        <w:t xml:space="preserve">d’écarter ou d’empêcher d’entrer tout nouveau concurrent sur le marché. </w:t>
      </w:r>
      <w:r w:rsidR="007C1910">
        <w:rPr>
          <w:rFonts w:ascii="Times New Roman" w:hAnsi="Times New Roman" w:cs="Times New Roman"/>
          <w:sz w:val="24"/>
          <w:szCs w:val="24"/>
        </w:rPr>
        <w:t>D’ailleurs, l</w:t>
      </w:r>
      <w:r>
        <w:rPr>
          <w:rFonts w:ascii="Times New Roman" w:hAnsi="Times New Roman" w:cs="Times New Roman"/>
          <w:sz w:val="24"/>
          <w:szCs w:val="24"/>
        </w:rPr>
        <w:t>e</w:t>
      </w:r>
      <w:r w:rsidR="00307D2D">
        <w:rPr>
          <w:rFonts w:ascii="Times New Roman" w:hAnsi="Times New Roman" w:cs="Times New Roman"/>
          <w:sz w:val="24"/>
          <w:szCs w:val="24"/>
        </w:rPr>
        <w:t xml:space="preserve"> </w:t>
      </w:r>
      <w:r>
        <w:rPr>
          <w:rFonts w:ascii="Times New Roman" w:hAnsi="Times New Roman" w:cs="Times New Roman"/>
          <w:sz w:val="24"/>
          <w:szCs w:val="24"/>
        </w:rPr>
        <w:t>droit français donne une liste d’ententes dont l’objet est illicite. On y retrouve notamment le fait de « </w:t>
      </w:r>
      <w:r w:rsidRPr="00307D2D">
        <w:rPr>
          <w:rFonts w:ascii="Times New Roman" w:hAnsi="Times New Roman" w:cs="Times New Roman"/>
          <w:i/>
          <w:sz w:val="24"/>
          <w:szCs w:val="24"/>
        </w:rPr>
        <w:t>faire obstacle à la fixation des prix par le libre jeu du marché en favorisant artificiellement sa hausse ou sa baisse</w:t>
      </w:r>
      <w:r>
        <w:rPr>
          <w:rFonts w:ascii="Times New Roman" w:hAnsi="Times New Roman" w:cs="Times New Roman"/>
          <w:sz w:val="24"/>
          <w:szCs w:val="24"/>
        </w:rPr>
        <w:t> ».</w:t>
      </w:r>
    </w:p>
    <w:p w14:paraId="0DD1F340" w14:textId="77777777" w:rsidR="00D904C3" w:rsidRDefault="00D904C3" w:rsidP="00D904C3">
      <w:pPr>
        <w:jc w:val="both"/>
        <w:rPr>
          <w:rFonts w:ascii="Times New Roman" w:hAnsi="Times New Roman" w:cs="Times New Roman"/>
          <w:sz w:val="24"/>
          <w:szCs w:val="24"/>
        </w:rPr>
      </w:pPr>
      <w:r>
        <w:rPr>
          <w:rFonts w:ascii="Times New Roman" w:hAnsi="Times New Roman" w:cs="Times New Roman"/>
          <w:sz w:val="24"/>
          <w:szCs w:val="24"/>
        </w:rPr>
        <w:t xml:space="preserve">Le droit français considère enfin que l’entente doit être condamnée si l’atteinte qu’elle porte à la concurrence, ou qu’elle est susceptible de porter est suffisamment sensible, sachant toutefois que les seuils de sensibilité ne sont pas toujours applicables, notamment lorsque les pratiques en cause contiennent une restriction ayant </w:t>
      </w:r>
      <w:r w:rsidRPr="008029E7">
        <w:rPr>
          <w:rFonts w:ascii="Times New Roman" w:hAnsi="Times New Roman" w:cs="Times New Roman"/>
          <w:sz w:val="24"/>
          <w:szCs w:val="24"/>
          <w:u w:val="single"/>
        </w:rPr>
        <w:t>pour objet</w:t>
      </w:r>
      <w:r>
        <w:rPr>
          <w:rFonts w:ascii="Times New Roman" w:hAnsi="Times New Roman" w:cs="Times New Roman"/>
          <w:sz w:val="24"/>
          <w:szCs w:val="24"/>
        </w:rPr>
        <w:t xml:space="preserve"> la fixation du prix de vente. </w:t>
      </w:r>
    </w:p>
    <w:p w14:paraId="0DD1F341" w14:textId="044586D9" w:rsidR="00D904C3" w:rsidRDefault="00D904C3" w:rsidP="00D904C3">
      <w:pPr>
        <w:jc w:val="both"/>
        <w:rPr>
          <w:rFonts w:ascii="Times New Roman" w:hAnsi="Times New Roman" w:cs="Times New Roman"/>
          <w:sz w:val="24"/>
          <w:szCs w:val="24"/>
        </w:rPr>
      </w:pPr>
      <w:r w:rsidRPr="00307D2D">
        <w:rPr>
          <w:rFonts w:ascii="Times New Roman" w:hAnsi="Times New Roman" w:cs="Times New Roman"/>
          <w:b/>
          <w:sz w:val="24"/>
          <w:szCs w:val="24"/>
        </w:rPr>
        <w:t>S’agissant des sanctions</w:t>
      </w:r>
      <w:r>
        <w:rPr>
          <w:rFonts w:ascii="Times New Roman" w:hAnsi="Times New Roman" w:cs="Times New Roman"/>
          <w:sz w:val="24"/>
          <w:szCs w:val="24"/>
        </w:rPr>
        <w:t>, l’Autorité de la concurrence peut prononcer une injonction aux fins de cessation des pratiques et condamner les auteurs au paiement d’une amende administrative dont le montant peut aller jusqu’à 10% du Chiffre d’affaires total réalisé par l’entreprise ou l’association d’entreprises participant à l’infraction.</w:t>
      </w:r>
    </w:p>
    <w:p w14:paraId="0DD1F342" w14:textId="77777777" w:rsidR="00D904C3" w:rsidRDefault="00D904C3" w:rsidP="00D904C3">
      <w:pPr>
        <w:jc w:val="both"/>
        <w:rPr>
          <w:rFonts w:ascii="Times New Roman" w:hAnsi="Times New Roman" w:cs="Times New Roman"/>
          <w:sz w:val="24"/>
          <w:szCs w:val="24"/>
        </w:rPr>
      </w:pPr>
      <w:r>
        <w:rPr>
          <w:rFonts w:ascii="Times New Roman" w:hAnsi="Times New Roman" w:cs="Times New Roman"/>
          <w:sz w:val="24"/>
          <w:szCs w:val="24"/>
        </w:rPr>
        <w:lastRenderedPageBreak/>
        <w:t>En outre, selon le droit commun, l’entente peut être pénalement sanctionnée (4 ans d’emprisonnement et 75 000 € d’amende) et civilement sanctionnée (nullité de l’acte et condamnation éventuelle de l’auteur à verser des dommages et intérêts à la victime).</w:t>
      </w:r>
    </w:p>
    <w:p w14:paraId="0DD1F343" w14:textId="77777777" w:rsidR="00D904C3" w:rsidRDefault="00D904C3" w:rsidP="00D904C3">
      <w:pPr>
        <w:jc w:val="both"/>
        <w:rPr>
          <w:rFonts w:ascii="Times New Roman" w:hAnsi="Times New Roman" w:cs="Times New Roman"/>
          <w:sz w:val="24"/>
          <w:szCs w:val="24"/>
        </w:rPr>
      </w:pPr>
    </w:p>
    <w:p w14:paraId="0DD1F344" w14:textId="776A375D" w:rsidR="00D904C3" w:rsidRDefault="00D904C3" w:rsidP="00D904C3">
      <w:pPr>
        <w:jc w:val="both"/>
        <w:rPr>
          <w:rFonts w:ascii="Times New Roman" w:hAnsi="Times New Roman" w:cs="Times New Roman"/>
          <w:sz w:val="24"/>
          <w:szCs w:val="24"/>
        </w:rPr>
      </w:pPr>
      <w:r>
        <w:rPr>
          <w:rFonts w:ascii="Times New Roman" w:hAnsi="Times New Roman" w:cs="Times New Roman"/>
          <w:sz w:val="24"/>
          <w:szCs w:val="24"/>
        </w:rPr>
        <w:t xml:space="preserve">En l’espèce, les entreprises « Beausavon » et « Le petit M », qui dominent le marché provençal du savon, ont, au moment où la société « bain douche » a voulu intégrer le marché en mettant en vente ses produits, </w:t>
      </w:r>
      <w:r w:rsidRPr="00277164">
        <w:rPr>
          <w:rFonts w:ascii="Times New Roman" w:hAnsi="Times New Roman" w:cs="Times New Roman"/>
          <w:sz w:val="24"/>
          <w:szCs w:val="24"/>
          <w:u w:val="single"/>
        </w:rPr>
        <w:t>baisser en même temps le prix de leurs produits</w:t>
      </w:r>
      <w:r>
        <w:rPr>
          <w:rFonts w:ascii="Times New Roman" w:hAnsi="Times New Roman" w:cs="Times New Roman"/>
          <w:sz w:val="24"/>
          <w:szCs w:val="24"/>
        </w:rPr>
        <w:t xml:space="preserve">. Les deux entreprises se </w:t>
      </w:r>
      <w:r w:rsidRPr="00F7502E">
        <w:rPr>
          <w:rFonts w:ascii="Times New Roman" w:hAnsi="Times New Roman" w:cs="Times New Roman"/>
          <w:b/>
          <w:sz w:val="24"/>
          <w:szCs w:val="24"/>
        </w:rPr>
        <w:t>sont entendues pour baisser très bas les prix</w:t>
      </w:r>
      <w:r>
        <w:rPr>
          <w:rFonts w:ascii="Times New Roman" w:hAnsi="Times New Roman" w:cs="Times New Roman"/>
          <w:sz w:val="24"/>
          <w:szCs w:val="24"/>
        </w:rPr>
        <w:t xml:space="preserve">, bloquer la concurrence et fermer le marché à la société bain douche. Le fait que cette baisse intervienne au même moment (les sociétés ont baissé les prix « </w:t>
      </w:r>
      <w:r>
        <w:rPr>
          <w:rFonts w:ascii="Times New Roman" w:hAnsi="Times New Roman" w:cs="Times New Roman"/>
          <w:i/>
          <w:sz w:val="24"/>
          <w:szCs w:val="24"/>
        </w:rPr>
        <w:t>comme un seul homme</w:t>
      </w:r>
      <w:r>
        <w:rPr>
          <w:rFonts w:ascii="Times New Roman" w:hAnsi="Times New Roman" w:cs="Times New Roman"/>
          <w:sz w:val="24"/>
          <w:szCs w:val="24"/>
        </w:rPr>
        <w:t> »</w:t>
      </w:r>
      <w:r w:rsidR="007252E3">
        <w:rPr>
          <w:rFonts w:ascii="Times New Roman" w:hAnsi="Times New Roman" w:cs="Times New Roman"/>
          <w:sz w:val="24"/>
          <w:szCs w:val="24"/>
        </w:rPr>
        <w:t> : on parle de parallélisme de comportement</w:t>
      </w:r>
      <w:r>
        <w:rPr>
          <w:rFonts w:ascii="Times New Roman" w:hAnsi="Times New Roman" w:cs="Times New Roman"/>
          <w:sz w:val="24"/>
          <w:szCs w:val="24"/>
        </w:rPr>
        <w:t>) et précisément lorsque « bain douche » a mis ses produits en vente prouve qu’il s’agit d’une entente entre les deux sociétés dominant le marché du savon. L’objectif étant d’empêcher la société bain douche d’accéder au marché provençal du savon, l’entente en question s’apparente à une entente illicite qui concerne un marché défini, celui du savon provençal. L’atteinte à la concurrence est effective puisque, face à cette baisse des prix à un niveau incroyable, la société « bain douche » n’a pas vendu un seul savon</w:t>
      </w:r>
      <w:r w:rsidR="00355AAB">
        <w:rPr>
          <w:rFonts w:ascii="Times New Roman" w:hAnsi="Times New Roman" w:cs="Times New Roman"/>
          <w:sz w:val="24"/>
          <w:szCs w:val="24"/>
        </w:rPr>
        <w:t xml:space="preserve"> </w:t>
      </w:r>
      <w:r w:rsidR="00355AAB">
        <w:rPr>
          <w:rFonts w:ascii="Times New Roman" w:hAnsi="Times New Roman" w:cs="Times New Roman"/>
          <w:color w:val="5B9BD5" w:themeColor="accent1"/>
          <w:sz w:val="24"/>
          <w:szCs w:val="24"/>
        </w:rPr>
        <w:t>(objet et effet peuvent se cumuler)</w:t>
      </w:r>
      <w:r>
        <w:rPr>
          <w:rFonts w:ascii="Times New Roman" w:hAnsi="Times New Roman" w:cs="Times New Roman"/>
          <w:sz w:val="24"/>
          <w:szCs w:val="24"/>
        </w:rPr>
        <w:t xml:space="preserve">. </w:t>
      </w:r>
    </w:p>
    <w:p w14:paraId="0DD1F345" w14:textId="77777777" w:rsidR="00D904C3" w:rsidRDefault="00D904C3" w:rsidP="00D904C3">
      <w:pPr>
        <w:jc w:val="both"/>
        <w:rPr>
          <w:rFonts w:ascii="Times New Roman" w:hAnsi="Times New Roman" w:cs="Times New Roman"/>
          <w:sz w:val="24"/>
          <w:szCs w:val="24"/>
        </w:rPr>
      </w:pPr>
      <w:r>
        <w:rPr>
          <w:rFonts w:ascii="Times New Roman" w:hAnsi="Times New Roman" w:cs="Times New Roman"/>
          <w:sz w:val="24"/>
          <w:szCs w:val="24"/>
        </w:rPr>
        <w:t>Selon les textes</w:t>
      </w:r>
      <w:r w:rsidR="00355AAB">
        <w:rPr>
          <w:rFonts w:ascii="Times New Roman" w:hAnsi="Times New Roman" w:cs="Times New Roman"/>
          <w:sz w:val="24"/>
          <w:szCs w:val="24"/>
        </w:rPr>
        <w:t>,</w:t>
      </w:r>
      <w:r>
        <w:rPr>
          <w:rFonts w:ascii="Times New Roman" w:hAnsi="Times New Roman" w:cs="Times New Roman"/>
          <w:sz w:val="24"/>
          <w:szCs w:val="24"/>
        </w:rPr>
        <w:t xml:space="preserve"> l’atteinte doit être suffisamment sensible, le seuil de sensibilité étant mesuré grâce aux parts de marché détenues par les entreprises parties à l’entente. Dans notre cas, ces dernières dominent le marché provençal depuis plus de 50 ans. </w:t>
      </w:r>
      <w:r w:rsidRPr="00277164">
        <w:rPr>
          <w:rFonts w:ascii="Times New Roman" w:hAnsi="Times New Roman" w:cs="Times New Roman"/>
          <w:sz w:val="24"/>
          <w:szCs w:val="24"/>
          <w:u w:val="single"/>
        </w:rPr>
        <w:t>Leur action concertée</w:t>
      </w:r>
      <w:r>
        <w:rPr>
          <w:rFonts w:ascii="Times New Roman" w:hAnsi="Times New Roman" w:cs="Times New Roman"/>
          <w:sz w:val="24"/>
          <w:szCs w:val="24"/>
        </w:rPr>
        <w:t xml:space="preserve"> a donc une forte incidence sur l’entrée de nouveaux concurrents sur le marché en question. Notons toutefois que la pratique visée ici concerne la fixation des prix et que, dans un tel cas, le seuil de sensibilité n’est pas applicable</w:t>
      </w:r>
      <w:r w:rsidR="008029E7">
        <w:rPr>
          <w:rFonts w:ascii="Times New Roman" w:hAnsi="Times New Roman" w:cs="Times New Roman"/>
          <w:sz w:val="24"/>
          <w:szCs w:val="24"/>
        </w:rPr>
        <w:t xml:space="preserve"> car l’objet </w:t>
      </w:r>
      <w:r w:rsidR="00355AAB">
        <w:rPr>
          <w:rFonts w:ascii="Times New Roman" w:hAnsi="Times New Roman" w:cs="Times New Roman"/>
          <w:sz w:val="24"/>
          <w:szCs w:val="24"/>
        </w:rPr>
        <w:t xml:space="preserve">même </w:t>
      </w:r>
      <w:r w:rsidR="008029E7">
        <w:rPr>
          <w:rFonts w:ascii="Times New Roman" w:hAnsi="Times New Roman" w:cs="Times New Roman"/>
          <w:sz w:val="24"/>
          <w:szCs w:val="24"/>
        </w:rPr>
        <w:t xml:space="preserve">de l’entente rend </w:t>
      </w:r>
      <w:r w:rsidR="00DF7303">
        <w:rPr>
          <w:rFonts w:ascii="Times New Roman" w:hAnsi="Times New Roman" w:cs="Times New Roman"/>
          <w:sz w:val="24"/>
          <w:szCs w:val="24"/>
        </w:rPr>
        <w:t>celle-ci illicite</w:t>
      </w:r>
      <w:r>
        <w:rPr>
          <w:rFonts w:ascii="Times New Roman" w:hAnsi="Times New Roman" w:cs="Times New Roman"/>
          <w:sz w:val="24"/>
          <w:szCs w:val="24"/>
        </w:rPr>
        <w:t xml:space="preserve">. </w:t>
      </w:r>
    </w:p>
    <w:p w14:paraId="0DD1F346" w14:textId="77777777" w:rsidR="00D904C3" w:rsidRDefault="00D904C3" w:rsidP="00D904C3">
      <w:pPr>
        <w:jc w:val="both"/>
        <w:rPr>
          <w:rFonts w:ascii="Times New Roman" w:hAnsi="Times New Roman" w:cs="Times New Roman"/>
          <w:sz w:val="24"/>
          <w:szCs w:val="24"/>
        </w:rPr>
      </w:pPr>
      <w:r>
        <w:rPr>
          <w:rFonts w:ascii="Times New Roman" w:hAnsi="Times New Roman" w:cs="Times New Roman"/>
          <w:sz w:val="24"/>
          <w:szCs w:val="24"/>
        </w:rPr>
        <w:t xml:space="preserve">L’action des sociétés « Beausavon » et « Le petit M » constitue donc bien une entente illicite sanctionnée par le droit français au titre des pratiques anticoncurrentielles. </w:t>
      </w:r>
    </w:p>
    <w:p w14:paraId="0DD1F347" w14:textId="77777777" w:rsidR="00D904C3" w:rsidRDefault="00D904C3" w:rsidP="00D904C3">
      <w:pPr>
        <w:jc w:val="both"/>
        <w:rPr>
          <w:rFonts w:ascii="Times New Roman" w:hAnsi="Times New Roman" w:cs="Times New Roman"/>
          <w:sz w:val="24"/>
          <w:szCs w:val="24"/>
        </w:rPr>
      </w:pPr>
      <w:r>
        <w:rPr>
          <w:rFonts w:ascii="Times New Roman" w:hAnsi="Times New Roman" w:cs="Times New Roman"/>
          <w:sz w:val="24"/>
          <w:szCs w:val="24"/>
        </w:rPr>
        <w:t xml:space="preserve">L’Autorité de la concurrence pourra prononcer à l’encontre des deux sociétés une injonction aux fins de faire cesser l’entente et condamner les auteurs à une amende administrative. Des sanctions pénale et civile pourront également être prononcées. </w:t>
      </w:r>
    </w:p>
    <w:p w14:paraId="0DD1F348" w14:textId="77777777" w:rsidR="00355AAB" w:rsidRDefault="00355AAB" w:rsidP="00D904C3">
      <w:pPr>
        <w:jc w:val="both"/>
        <w:rPr>
          <w:rFonts w:ascii="Times New Roman" w:hAnsi="Times New Roman" w:cs="Times New Roman"/>
          <w:sz w:val="24"/>
          <w:szCs w:val="24"/>
        </w:rPr>
      </w:pPr>
    </w:p>
    <w:p w14:paraId="0DD1F349" w14:textId="77777777" w:rsidR="00355AAB" w:rsidRDefault="00355AAB" w:rsidP="00355AAB">
      <w:pPr>
        <w:jc w:val="both"/>
        <w:rPr>
          <w:rFonts w:ascii="Times New Roman" w:hAnsi="Times New Roman" w:cs="Times New Roman"/>
          <w:i/>
        </w:rPr>
      </w:pPr>
      <w:r w:rsidRPr="009D5DFE">
        <w:rPr>
          <w:rFonts w:ascii="Times New Roman" w:hAnsi="Times New Roman" w:cs="Times New Roman"/>
          <w:i/>
          <w:u w:val="single"/>
        </w:rPr>
        <w:t>Remarque</w:t>
      </w:r>
      <w:r>
        <w:rPr>
          <w:rFonts w:ascii="Times New Roman" w:hAnsi="Times New Roman" w:cs="Times New Roman"/>
          <w:i/>
        </w:rPr>
        <w:t xml:space="preserve"> : si la preuve de l’entente se révélait difficile à rapporter, la victime pourrait agir sur le fondement de l’abus de position dominante qui est également sanctionné en vertu de la prohibition des pratiques anticoncurrentielles. </w:t>
      </w:r>
    </w:p>
    <w:p w14:paraId="0DD1F34A" w14:textId="77777777" w:rsidR="00355AAB" w:rsidRDefault="00355AAB" w:rsidP="00355AAB">
      <w:pPr>
        <w:jc w:val="both"/>
        <w:rPr>
          <w:rFonts w:ascii="Times New Roman" w:hAnsi="Times New Roman" w:cs="Times New Roman"/>
          <w:i/>
        </w:rPr>
      </w:pPr>
      <w:r>
        <w:rPr>
          <w:rFonts w:ascii="Times New Roman" w:hAnsi="Times New Roman" w:cs="Times New Roman"/>
          <w:i/>
        </w:rPr>
        <w:t xml:space="preserve">-Plutôt entente : -action bilatérale (même si l’APD peut être collective, on privilégie l’entente en cas de comportements pluraux). </w:t>
      </w:r>
    </w:p>
    <w:p w14:paraId="0DD1F34B" w14:textId="77777777" w:rsidR="00355AAB" w:rsidRDefault="00355AAB" w:rsidP="00355AAB">
      <w:pPr>
        <w:ind w:left="708" w:firstLine="708"/>
        <w:jc w:val="both"/>
        <w:rPr>
          <w:rFonts w:ascii="Times New Roman" w:hAnsi="Times New Roman" w:cs="Times New Roman"/>
          <w:i/>
        </w:rPr>
      </w:pPr>
      <w:r>
        <w:rPr>
          <w:rFonts w:ascii="Times New Roman" w:hAnsi="Times New Roman" w:cs="Times New Roman"/>
          <w:i/>
        </w:rPr>
        <w:t xml:space="preserve">-Entente sur les prix est spécialement visée par les textes nationaux (Code com)  </w:t>
      </w:r>
    </w:p>
    <w:p w14:paraId="0DD1F34C" w14:textId="77777777" w:rsidR="00490199" w:rsidRDefault="00490199" w:rsidP="00355AAB">
      <w:pPr>
        <w:ind w:left="708" w:firstLine="708"/>
        <w:jc w:val="both"/>
        <w:rPr>
          <w:rFonts w:ascii="Times New Roman" w:hAnsi="Times New Roman" w:cs="Times New Roman"/>
          <w:i/>
        </w:rPr>
      </w:pPr>
    </w:p>
    <w:p w14:paraId="0DD1F34D" w14:textId="77777777" w:rsidR="00490199" w:rsidRDefault="00490199" w:rsidP="00355AAB">
      <w:pPr>
        <w:ind w:left="708" w:firstLine="708"/>
        <w:jc w:val="both"/>
        <w:rPr>
          <w:rFonts w:ascii="Times New Roman" w:hAnsi="Times New Roman" w:cs="Times New Roman"/>
          <w:i/>
        </w:rPr>
      </w:pPr>
    </w:p>
    <w:p w14:paraId="0DD1F34E" w14:textId="77777777" w:rsidR="00490199" w:rsidRDefault="00490199" w:rsidP="00355AAB">
      <w:pPr>
        <w:ind w:left="708" w:firstLine="708"/>
        <w:jc w:val="both"/>
        <w:rPr>
          <w:rFonts w:ascii="Times New Roman" w:hAnsi="Times New Roman" w:cs="Times New Roman"/>
          <w:i/>
        </w:rPr>
      </w:pPr>
    </w:p>
    <w:p w14:paraId="0DD1F34F" w14:textId="77777777" w:rsidR="00490199" w:rsidRDefault="00490199" w:rsidP="00355AAB">
      <w:pPr>
        <w:ind w:left="708" w:firstLine="708"/>
        <w:jc w:val="both"/>
        <w:rPr>
          <w:rFonts w:ascii="Times New Roman" w:hAnsi="Times New Roman" w:cs="Times New Roman"/>
          <w:i/>
        </w:rPr>
      </w:pPr>
    </w:p>
    <w:p w14:paraId="0DD1F350" w14:textId="77777777" w:rsidR="00490199" w:rsidRDefault="00490199" w:rsidP="00355AAB">
      <w:pPr>
        <w:ind w:left="708" w:firstLine="708"/>
        <w:jc w:val="both"/>
        <w:rPr>
          <w:rFonts w:ascii="Times New Roman" w:hAnsi="Times New Roman" w:cs="Times New Roman"/>
          <w:i/>
        </w:rPr>
      </w:pPr>
    </w:p>
    <w:sectPr w:rsidR="004901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B12CF"/>
    <w:multiLevelType w:val="hybridMultilevel"/>
    <w:tmpl w:val="73063A58"/>
    <w:lvl w:ilvl="0" w:tplc="040C000F">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 w15:restartNumberingAfterBreak="0">
    <w:nsid w:val="18B916D1"/>
    <w:multiLevelType w:val="hybridMultilevel"/>
    <w:tmpl w:val="60AC0C4E"/>
    <w:lvl w:ilvl="0" w:tplc="F24E65AE">
      <w:start w:val="1"/>
      <w:numFmt w:val="upperLetter"/>
      <w:lvlText w:val="%1-"/>
      <w:lvlJc w:val="left"/>
      <w:pPr>
        <w:ind w:left="1776" w:hanging="360"/>
      </w:pPr>
    </w:lvl>
    <w:lvl w:ilvl="1" w:tplc="040C0019">
      <w:start w:val="1"/>
      <w:numFmt w:val="lowerLetter"/>
      <w:lvlText w:val="%2."/>
      <w:lvlJc w:val="left"/>
      <w:pPr>
        <w:ind w:left="2496" w:hanging="360"/>
      </w:pPr>
    </w:lvl>
    <w:lvl w:ilvl="2" w:tplc="040C001B">
      <w:start w:val="1"/>
      <w:numFmt w:val="lowerRoman"/>
      <w:lvlText w:val="%3."/>
      <w:lvlJc w:val="right"/>
      <w:pPr>
        <w:ind w:left="3216" w:hanging="180"/>
      </w:pPr>
    </w:lvl>
    <w:lvl w:ilvl="3" w:tplc="040C000F">
      <w:start w:val="1"/>
      <w:numFmt w:val="decimal"/>
      <w:lvlText w:val="%4."/>
      <w:lvlJc w:val="left"/>
      <w:pPr>
        <w:ind w:left="3936" w:hanging="360"/>
      </w:pPr>
    </w:lvl>
    <w:lvl w:ilvl="4" w:tplc="040C0019">
      <w:start w:val="1"/>
      <w:numFmt w:val="lowerLetter"/>
      <w:lvlText w:val="%5."/>
      <w:lvlJc w:val="left"/>
      <w:pPr>
        <w:ind w:left="4656" w:hanging="360"/>
      </w:pPr>
    </w:lvl>
    <w:lvl w:ilvl="5" w:tplc="040C001B">
      <w:start w:val="1"/>
      <w:numFmt w:val="lowerRoman"/>
      <w:lvlText w:val="%6."/>
      <w:lvlJc w:val="right"/>
      <w:pPr>
        <w:ind w:left="5376" w:hanging="180"/>
      </w:pPr>
    </w:lvl>
    <w:lvl w:ilvl="6" w:tplc="040C000F">
      <w:start w:val="1"/>
      <w:numFmt w:val="decimal"/>
      <w:lvlText w:val="%7."/>
      <w:lvlJc w:val="left"/>
      <w:pPr>
        <w:ind w:left="6096" w:hanging="360"/>
      </w:pPr>
    </w:lvl>
    <w:lvl w:ilvl="7" w:tplc="040C0019">
      <w:start w:val="1"/>
      <w:numFmt w:val="lowerLetter"/>
      <w:lvlText w:val="%8."/>
      <w:lvlJc w:val="left"/>
      <w:pPr>
        <w:ind w:left="6816" w:hanging="360"/>
      </w:pPr>
    </w:lvl>
    <w:lvl w:ilvl="8" w:tplc="040C001B">
      <w:start w:val="1"/>
      <w:numFmt w:val="lowerRoman"/>
      <w:lvlText w:val="%9."/>
      <w:lvlJc w:val="right"/>
      <w:pPr>
        <w:ind w:left="7536" w:hanging="180"/>
      </w:pPr>
    </w:lvl>
  </w:abstractNum>
  <w:abstractNum w:abstractNumId="2" w15:restartNumberingAfterBreak="0">
    <w:nsid w:val="1DF0247D"/>
    <w:multiLevelType w:val="hybridMultilevel"/>
    <w:tmpl w:val="AB12825E"/>
    <w:lvl w:ilvl="0" w:tplc="E0E44A20">
      <w:start w:val="1"/>
      <w:numFmt w:val="decimal"/>
      <w:lvlText w:val="%1."/>
      <w:lvlJc w:val="left"/>
      <w:pPr>
        <w:tabs>
          <w:tab w:val="num" w:pos="1140"/>
        </w:tabs>
        <w:ind w:left="1140" w:hanging="360"/>
      </w:pPr>
      <w:rPr>
        <w:b/>
      </w:rPr>
    </w:lvl>
    <w:lvl w:ilvl="1" w:tplc="040C0019">
      <w:start w:val="1"/>
      <w:numFmt w:val="lowerLetter"/>
      <w:lvlText w:val="%2."/>
      <w:lvlJc w:val="left"/>
      <w:pPr>
        <w:tabs>
          <w:tab w:val="num" w:pos="1860"/>
        </w:tabs>
        <w:ind w:left="1860" w:hanging="360"/>
      </w:pPr>
    </w:lvl>
    <w:lvl w:ilvl="2" w:tplc="040C001B">
      <w:start w:val="1"/>
      <w:numFmt w:val="lowerRoman"/>
      <w:lvlText w:val="%3."/>
      <w:lvlJc w:val="right"/>
      <w:pPr>
        <w:tabs>
          <w:tab w:val="num" w:pos="2580"/>
        </w:tabs>
        <w:ind w:left="2580" w:hanging="180"/>
      </w:pPr>
    </w:lvl>
    <w:lvl w:ilvl="3" w:tplc="040C000F">
      <w:start w:val="1"/>
      <w:numFmt w:val="decimal"/>
      <w:lvlText w:val="%4."/>
      <w:lvlJc w:val="left"/>
      <w:pPr>
        <w:tabs>
          <w:tab w:val="num" w:pos="3300"/>
        </w:tabs>
        <w:ind w:left="3300" w:hanging="360"/>
      </w:pPr>
    </w:lvl>
    <w:lvl w:ilvl="4" w:tplc="040C0019">
      <w:start w:val="1"/>
      <w:numFmt w:val="lowerLetter"/>
      <w:lvlText w:val="%5."/>
      <w:lvlJc w:val="left"/>
      <w:pPr>
        <w:tabs>
          <w:tab w:val="num" w:pos="4020"/>
        </w:tabs>
        <w:ind w:left="4020" w:hanging="360"/>
      </w:pPr>
    </w:lvl>
    <w:lvl w:ilvl="5" w:tplc="040C001B">
      <w:start w:val="1"/>
      <w:numFmt w:val="lowerRoman"/>
      <w:lvlText w:val="%6."/>
      <w:lvlJc w:val="right"/>
      <w:pPr>
        <w:tabs>
          <w:tab w:val="num" w:pos="4740"/>
        </w:tabs>
        <w:ind w:left="4740" w:hanging="180"/>
      </w:pPr>
    </w:lvl>
    <w:lvl w:ilvl="6" w:tplc="040C000F">
      <w:start w:val="1"/>
      <w:numFmt w:val="decimal"/>
      <w:lvlText w:val="%7."/>
      <w:lvlJc w:val="left"/>
      <w:pPr>
        <w:tabs>
          <w:tab w:val="num" w:pos="5460"/>
        </w:tabs>
        <w:ind w:left="5460" w:hanging="360"/>
      </w:pPr>
    </w:lvl>
    <w:lvl w:ilvl="7" w:tplc="040C0019">
      <w:start w:val="1"/>
      <w:numFmt w:val="lowerLetter"/>
      <w:lvlText w:val="%8."/>
      <w:lvlJc w:val="left"/>
      <w:pPr>
        <w:tabs>
          <w:tab w:val="num" w:pos="6180"/>
        </w:tabs>
        <w:ind w:left="6180" w:hanging="360"/>
      </w:pPr>
    </w:lvl>
    <w:lvl w:ilvl="8" w:tplc="040C001B">
      <w:start w:val="1"/>
      <w:numFmt w:val="lowerRoman"/>
      <w:lvlText w:val="%9."/>
      <w:lvlJc w:val="right"/>
      <w:pPr>
        <w:tabs>
          <w:tab w:val="num" w:pos="6900"/>
        </w:tabs>
        <w:ind w:left="6900" w:hanging="180"/>
      </w:pPr>
    </w:lvl>
  </w:abstractNum>
  <w:abstractNum w:abstractNumId="3" w15:restartNumberingAfterBreak="0">
    <w:nsid w:val="1F874897"/>
    <w:multiLevelType w:val="hybridMultilevel"/>
    <w:tmpl w:val="2E1E7C8C"/>
    <w:lvl w:ilvl="0" w:tplc="040C0001">
      <w:start w:val="1"/>
      <w:numFmt w:val="bullet"/>
      <w:lvlText w:val=""/>
      <w:lvlJc w:val="left"/>
      <w:pPr>
        <w:tabs>
          <w:tab w:val="num" w:pos="780"/>
        </w:tabs>
        <w:ind w:left="780" w:hanging="360"/>
      </w:pPr>
      <w:rPr>
        <w:rFonts w:ascii="Symbol" w:hAnsi="Symbol" w:hint="default"/>
      </w:rPr>
    </w:lvl>
    <w:lvl w:ilvl="1" w:tplc="040C0003">
      <w:start w:val="1"/>
      <w:numFmt w:val="bullet"/>
      <w:lvlText w:val="o"/>
      <w:lvlJc w:val="left"/>
      <w:pPr>
        <w:tabs>
          <w:tab w:val="num" w:pos="1500"/>
        </w:tabs>
        <w:ind w:left="1500" w:hanging="360"/>
      </w:pPr>
      <w:rPr>
        <w:rFonts w:ascii="Courier New" w:hAnsi="Courier New" w:cs="Courier New" w:hint="default"/>
      </w:rPr>
    </w:lvl>
    <w:lvl w:ilvl="2" w:tplc="040C0005">
      <w:start w:val="1"/>
      <w:numFmt w:val="bullet"/>
      <w:lvlText w:val=""/>
      <w:lvlJc w:val="left"/>
      <w:pPr>
        <w:tabs>
          <w:tab w:val="num" w:pos="2220"/>
        </w:tabs>
        <w:ind w:left="2220" w:hanging="360"/>
      </w:pPr>
      <w:rPr>
        <w:rFonts w:ascii="Wingdings" w:hAnsi="Wingdings" w:hint="default"/>
      </w:rPr>
    </w:lvl>
    <w:lvl w:ilvl="3" w:tplc="040C0001">
      <w:start w:val="1"/>
      <w:numFmt w:val="bullet"/>
      <w:lvlText w:val=""/>
      <w:lvlJc w:val="left"/>
      <w:pPr>
        <w:tabs>
          <w:tab w:val="num" w:pos="2940"/>
        </w:tabs>
        <w:ind w:left="2940" w:hanging="360"/>
      </w:pPr>
      <w:rPr>
        <w:rFonts w:ascii="Symbol" w:hAnsi="Symbol" w:hint="default"/>
      </w:rPr>
    </w:lvl>
    <w:lvl w:ilvl="4" w:tplc="040C0003">
      <w:start w:val="1"/>
      <w:numFmt w:val="bullet"/>
      <w:lvlText w:val="o"/>
      <w:lvlJc w:val="left"/>
      <w:pPr>
        <w:tabs>
          <w:tab w:val="num" w:pos="3660"/>
        </w:tabs>
        <w:ind w:left="3660" w:hanging="360"/>
      </w:pPr>
      <w:rPr>
        <w:rFonts w:ascii="Courier New" w:hAnsi="Courier New" w:cs="Courier New" w:hint="default"/>
      </w:rPr>
    </w:lvl>
    <w:lvl w:ilvl="5" w:tplc="040C0005">
      <w:start w:val="1"/>
      <w:numFmt w:val="bullet"/>
      <w:lvlText w:val=""/>
      <w:lvlJc w:val="left"/>
      <w:pPr>
        <w:tabs>
          <w:tab w:val="num" w:pos="4380"/>
        </w:tabs>
        <w:ind w:left="4380" w:hanging="360"/>
      </w:pPr>
      <w:rPr>
        <w:rFonts w:ascii="Wingdings" w:hAnsi="Wingdings" w:hint="default"/>
      </w:rPr>
    </w:lvl>
    <w:lvl w:ilvl="6" w:tplc="040C0001">
      <w:start w:val="1"/>
      <w:numFmt w:val="bullet"/>
      <w:lvlText w:val=""/>
      <w:lvlJc w:val="left"/>
      <w:pPr>
        <w:tabs>
          <w:tab w:val="num" w:pos="5100"/>
        </w:tabs>
        <w:ind w:left="5100" w:hanging="360"/>
      </w:pPr>
      <w:rPr>
        <w:rFonts w:ascii="Symbol" w:hAnsi="Symbol" w:hint="default"/>
      </w:rPr>
    </w:lvl>
    <w:lvl w:ilvl="7" w:tplc="040C0003">
      <w:start w:val="1"/>
      <w:numFmt w:val="bullet"/>
      <w:lvlText w:val="o"/>
      <w:lvlJc w:val="left"/>
      <w:pPr>
        <w:tabs>
          <w:tab w:val="num" w:pos="5820"/>
        </w:tabs>
        <w:ind w:left="5820" w:hanging="360"/>
      </w:pPr>
      <w:rPr>
        <w:rFonts w:ascii="Courier New" w:hAnsi="Courier New" w:cs="Courier New" w:hint="default"/>
      </w:rPr>
    </w:lvl>
    <w:lvl w:ilvl="8" w:tplc="040C0005">
      <w:start w:val="1"/>
      <w:numFmt w:val="bullet"/>
      <w:lvlText w:val=""/>
      <w:lvlJc w:val="left"/>
      <w:pPr>
        <w:tabs>
          <w:tab w:val="num" w:pos="6540"/>
        </w:tabs>
        <w:ind w:left="6540" w:hanging="360"/>
      </w:pPr>
      <w:rPr>
        <w:rFonts w:ascii="Wingdings" w:hAnsi="Wingdings" w:hint="default"/>
      </w:rPr>
    </w:lvl>
  </w:abstractNum>
  <w:abstractNum w:abstractNumId="4" w15:restartNumberingAfterBreak="0">
    <w:nsid w:val="3F4D1B4C"/>
    <w:multiLevelType w:val="hybridMultilevel"/>
    <w:tmpl w:val="95ECE346"/>
    <w:lvl w:ilvl="0" w:tplc="040C000F">
      <w:start w:val="1"/>
      <w:numFmt w:val="decimal"/>
      <w:lvlText w:val="%1."/>
      <w:lvlJc w:val="left"/>
      <w:pPr>
        <w:tabs>
          <w:tab w:val="num" w:pos="780"/>
        </w:tabs>
        <w:ind w:left="780" w:hanging="360"/>
      </w:pPr>
    </w:lvl>
    <w:lvl w:ilvl="1" w:tplc="040C0019">
      <w:start w:val="1"/>
      <w:numFmt w:val="lowerLetter"/>
      <w:lvlText w:val="%2."/>
      <w:lvlJc w:val="left"/>
      <w:pPr>
        <w:tabs>
          <w:tab w:val="num" w:pos="1500"/>
        </w:tabs>
        <w:ind w:left="1500" w:hanging="360"/>
      </w:pPr>
    </w:lvl>
    <w:lvl w:ilvl="2" w:tplc="040C001B">
      <w:start w:val="1"/>
      <w:numFmt w:val="lowerRoman"/>
      <w:lvlText w:val="%3."/>
      <w:lvlJc w:val="right"/>
      <w:pPr>
        <w:tabs>
          <w:tab w:val="num" w:pos="2220"/>
        </w:tabs>
        <w:ind w:left="2220" w:hanging="180"/>
      </w:pPr>
    </w:lvl>
    <w:lvl w:ilvl="3" w:tplc="040C000F">
      <w:start w:val="1"/>
      <w:numFmt w:val="decimal"/>
      <w:lvlText w:val="%4."/>
      <w:lvlJc w:val="left"/>
      <w:pPr>
        <w:tabs>
          <w:tab w:val="num" w:pos="2940"/>
        </w:tabs>
        <w:ind w:left="2940" w:hanging="360"/>
      </w:pPr>
    </w:lvl>
    <w:lvl w:ilvl="4" w:tplc="040C0019">
      <w:start w:val="1"/>
      <w:numFmt w:val="lowerLetter"/>
      <w:lvlText w:val="%5."/>
      <w:lvlJc w:val="left"/>
      <w:pPr>
        <w:tabs>
          <w:tab w:val="num" w:pos="3660"/>
        </w:tabs>
        <w:ind w:left="3660" w:hanging="360"/>
      </w:pPr>
    </w:lvl>
    <w:lvl w:ilvl="5" w:tplc="040C001B">
      <w:start w:val="1"/>
      <w:numFmt w:val="lowerRoman"/>
      <w:lvlText w:val="%6."/>
      <w:lvlJc w:val="right"/>
      <w:pPr>
        <w:tabs>
          <w:tab w:val="num" w:pos="4380"/>
        </w:tabs>
        <w:ind w:left="4380" w:hanging="180"/>
      </w:pPr>
    </w:lvl>
    <w:lvl w:ilvl="6" w:tplc="040C000F">
      <w:start w:val="1"/>
      <w:numFmt w:val="decimal"/>
      <w:lvlText w:val="%7."/>
      <w:lvlJc w:val="left"/>
      <w:pPr>
        <w:tabs>
          <w:tab w:val="num" w:pos="5100"/>
        </w:tabs>
        <w:ind w:left="5100" w:hanging="360"/>
      </w:pPr>
    </w:lvl>
    <w:lvl w:ilvl="7" w:tplc="040C0019">
      <w:start w:val="1"/>
      <w:numFmt w:val="lowerLetter"/>
      <w:lvlText w:val="%8."/>
      <w:lvlJc w:val="left"/>
      <w:pPr>
        <w:tabs>
          <w:tab w:val="num" w:pos="5820"/>
        </w:tabs>
        <w:ind w:left="5820" w:hanging="360"/>
      </w:pPr>
    </w:lvl>
    <w:lvl w:ilvl="8" w:tplc="040C001B">
      <w:start w:val="1"/>
      <w:numFmt w:val="lowerRoman"/>
      <w:lvlText w:val="%9."/>
      <w:lvlJc w:val="right"/>
      <w:pPr>
        <w:tabs>
          <w:tab w:val="num" w:pos="6540"/>
        </w:tabs>
        <w:ind w:left="6540" w:hanging="180"/>
      </w:pPr>
    </w:lvl>
  </w:abstractNum>
  <w:abstractNum w:abstractNumId="5" w15:restartNumberingAfterBreak="0">
    <w:nsid w:val="41B0519B"/>
    <w:multiLevelType w:val="hybridMultilevel"/>
    <w:tmpl w:val="D6F03E52"/>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5175579"/>
    <w:multiLevelType w:val="hybridMultilevel"/>
    <w:tmpl w:val="444A2F62"/>
    <w:lvl w:ilvl="0" w:tplc="040C000F">
      <w:start w:val="1"/>
      <w:numFmt w:val="decimal"/>
      <w:lvlText w:val="%1."/>
      <w:lvlJc w:val="left"/>
      <w:pPr>
        <w:tabs>
          <w:tab w:val="num" w:pos="1080"/>
        </w:tabs>
        <w:ind w:left="1080" w:hanging="360"/>
      </w:pPr>
    </w:lvl>
    <w:lvl w:ilvl="1" w:tplc="040C0019">
      <w:start w:val="1"/>
      <w:numFmt w:val="lowerLetter"/>
      <w:lvlText w:val="%2."/>
      <w:lvlJc w:val="left"/>
      <w:pPr>
        <w:tabs>
          <w:tab w:val="num" w:pos="1800"/>
        </w:tabs>
        <w:ind w:left="1800" w:hanging="360"/>
      </w:pPr>
    </w:lvl>
    <w:lvl w:ilvl="2" w:tplc="040C001B">
      <w:start w:val="1"/>
      <w:numFmt w:val="lowerRoman"/>
      <w:lvlText w:val="%3."/>
      <w:lvlJc w:val="right"/>
      <w:pPr>
        <w:tabs>
          <w:tab w:val="num" w:pos="2520"/>
        </w:tabs>
        <w:ind w:left="2520" w:hanging="180"/>
      </w:pPr>
    </w:lvl>
    <w:lvl w:ilvl="3" w:tplc="040C000F">
      <w:start w:val="1"/>
      <w:numFmt w:val="decimal"/>
      <w:lvlText w:val="%4."/>
      <w:lvlJc w:val="left"/>
      <w:pPr>
        <w:tabs>
          <w:tab w:val="num" w:pos="3240"/>
        </w:tabs>
        <w:ind w:left="3240" w:hanging="360"/>
      </w:pPr>
    </w:lvl>
    <w:lvl w:ilvl="4" w:tplc="040C0019">
      <w:start w:val="1"/>
      <w:numFmt w:val="lowerLetter"/>
      <w:lvlText w:val="%5."/>
      <w:lvlJc w:val="left"/>
      <w:pPr>
        <w:tabs>
          <w:tab w:val="num" w:pos="3960"/>
        </w:tabs>
        <w:ind w:left="3960" w:hanging="360"/>
      </w:pPr>
    </w:lvl>
    <w:lvl w:ilvl="5" w:tplc="040C001B">
      <w:start w:val="1"/>
      <w:numFmt w:val="lowerRoman"/>
      <w:lvlText w:val="%6."/>
      <w:lvlJc w:val="right"/>
      <w:pPr>
        <w:tabs>
          <w:tab w:val="num" w:pos="4680"/>
        </w:tabs>
        <w:ind w:left="4680" w:hanging="180"/>
      </w:pPr>
    </w:lvl>
    <w:lvl w:ilvl="6" w:tplc="040C000F">
      <w:start w:val="1"/>
      <w:numFmt w:val="decimal"/>
      <w:lvlText w:val="%7."/>
      <w:lvlJc w:val="left"/>
      <w:pPr>
        <w:tabs>
          <w:tab w:val="num" w:pos="5400"/>
        </w:tabs>
        <w:ind w:left="5400" w:hanging="360"/>
      </w:pPr>
    </w:lvl>
    <w:lvl w:ilvl="7" w:tplc="040C0019">
      <w:start w:val="1"/>
      <w:numFmt w:val="lowerLetter"/>
      <w:lvlText w:val="%8."/>
      <w:lvlJc w:val="left"/>
      <w:pPr>
        <w:tabs>
          <w:tab w:val="num" w:pos="6120"/>
        </w:tabs>
        <w:ind w:left="6120" w:hanging="360"/>
      </w:pPr>
    </w:lvl>
    <w:lvl w:ilvl="8" w:tplc="040C001B">
      <w:start w:val="1"/>
      <w:numFmt w:val="lowerRoman"/>
      <w:lvlText w:val="%9."/>
      <w:lvlJc w:val="right"/>
      <w:pPr>
        <w:tabs>
          <w:tab w:val="num" w:pos="6840"/>
        </w:tabs>
        <w:ind w:left="6840" w:hanging="180"/>
      </w:pPr>
    </w:lvl>
  </w:abstractNum>
  <w:abstractNum w:abstractNumId="7" w15:restartNumberingAfterBreak="0">
    <w:nsid w:val="506F773B"/>
    <w:multiLevelType w:val="hybridMultilevel"/>
    <w:tmpl w:val="F46EE324"/>
    <w:lvl w:ilvl="0" w:tplc="040C0001">
      <w:start w:val="1"/>
      <w:numFmt w:val="bullet"/>
      <w:lvlText w:val=""/>
      <w:lvlJc w:val="left"/>
      <w:pPr>
        <w:tabs>
          <w:tab w:val="num" w:pos="780"/>
        </w:tabs>
        <w:ind w:left="780" w:hanging="360"/>
      </w:pPr>
      <w:rPr>
        <w:rFonts w:ascii="Symbol" w:hAnsi="Symbol" w:hint="default"/>
      </w:rPr>
    </w:lvl>
    <w:lvl w:ilvl="1" w:tplc="040C0003">
      <w:start w:val="1"/>
      <w:numFmt w:val="bullet"/>
      <w:lvlText w:val="o"/>
      <w:lvlJc w:val="left"/>
      <w:pPr>
        <w:tabs>
          <w:tab w:val="num" w:pos="1500"/>
        </w:tabs>
        <w:ind w:left="1500" w:hanging="360"/>
      </w:pPr>
      <w:rPr>
        <w:rFonts w:ascii="Courier New" w:hAnsi="Courier New" w:cs="Courier New" w:hint="default"/>
      </w:rPr>
    </w:lvl>
    <w:lvl w:ilvl="2" w:tplc="040C0005">
      <w:start w:val="1"/>
      <w:numFmt w:val="bullet"/>
      <w:lvlText w:val=""/>
      <w:lvlJc w:val="left"/>
      <w:pPr>
        <w:tabs>
          <w:tab w:val="num" w:pos="2220"/>
        </w:tabs>
        <w:ind w:left="2220" w:hanging="360"/>
      </w:pPr>
      <w:rPr>
        <w:rFonts w:ascii="Wingdings" w:hAnsi="Wingdings" w:hint="default"/>
      </w:rPr>
    </w:lvl>
    <w:lvl w:ilvl="3" w:tplc="040C0001">
      <w:start w:val="1"/>
      <w:numFmt w:val="bullet"/>
      <w:lvlText w:val=""/>
      <w:lvlJc w:val="left"/>
      <w:pPr>
        <w:tabs>
          <w:tab w:val="num" w:pos="2940"/>
        </w:tabs>
        <w:ind w:left="2940" w:hanging="360"/>
      </w:pPr>
      <w:rPr>
        <w:rFonts w:ascii="Symbol" w:hAnsi="Symbol" w:hint="default"/>
      </w:rPr>
    </w:lvl>
    <w:lvl w:ilvl="4" w:tplc="040C0003">
      <w:start w:val="1"/>
      <w:numFmt w:val="bullet"/>
      <w:lvlText w:val="o"/>
      <w:lvlJc w:val="left"/>
      <w:pPr>
        <w:tabs>
          <w:tab w:val="num" w:pos="3660"/>
        </w:tabs>
        <w:ind w:left="3660" w:hanging="360"/>
      </w:pPr>
      <w:rPr>
        <w:rFonts w:ascii="Courier New" w:hAnsi="Courier New" w:cs="Courier New" w:hint="default"/>
      </w:rPr>
    </w:lvl>
    <w:lvl w:ilvl="5" w:tplc="040C0005">
      <w:start w:val="1"/>
      <w:numFmt w:val="bullet"/>
      <w:lvlText w:val=""/>
      <w:lvlJc w:val="left"/>
      <w:pPr>
        <w:tabs>
          <w:tab w:val="num" w:pos="4380"/>
        </w:tabs>
        <w:ind w:left="4380" w:hanging="360"/>
      </w:pPr>
      <w:rPr>
        <w:rFonts w:ascii="Wingdings" w:hAnsi="Wingdings" w:hint="default"/>
      </w:rPr>
    </w:lvl>
    <w:lvl w:ilvl="6" w:tplc="040C0001">
      <w:start w:val="1"/>
      <w:numFmt w:val="bullet"/>
      <w:lvlText w:val=""/>
      <w:lvlJc w:val="left"/>
      <w:pPr>
        <w:tabs>
          <w:tab w:val="num" w:pos="5100"/>
        </w:tabs>
        <w:ind w:left="5100" w:hanging="360"/>
      </w:pPr>
      <w:rPr>
        <w:rFonts w:ascii="Symbol" w:hAnsi="Symbol" w:hint="default"/>
      </w:rPr>
    </w:lvl>
    <w:lvl w:ilvl="7" w:tplc="040C0003">
      <w:start w:val="1"/>
      <w:numFmt w:val="bullet"/>
      <w:lvlText w:val="o"/>
      <w:lvlJc w:val="left"/>
      <w:pPr>
        <w:tabs>
          <w:tab w:val="num" w:pos="5820"/>
        </w:tabs>
        <w:ind w:left="5820" w:hanging="360"/>
      </w:pPr>
      <w:rPr>
        <w:rFonts w:ascii="Courier New" w:hAnsi="Courier New" w:cs="Courier New" w:hint="default"/>
      </w:rPr>
    </w:lvl>
    <w:lvl w:ilvl="8" w:tplc="040C0005">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5686162B"/>
    <w:multiLevelType w:val="hybridMultilevel"/>
    <w:tmpl w:val="675E0EA4"/>
    <w:lvl w:ilvl="0" w:tplc="040C000F">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9" w15:restartNumberingAfterBreak="0">
    <w:nsid w:val="6CF71094"/>
    <w:multiLevelType w:val="hybridMultilevel"/>
    <w:tmpl w:val="710C6846"/>
    <w:lvl w:ilvl="0" w:tplc="040C000F">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0" w15:restartNumberingAfterBreak="0">
    <w:nsid w:val="78367F25"/>
    <w:multiLevelType w:val="hybridMultilevel"/>
    <w:tmpl w:val="0C4E4BC8"/>
    <w:lvl w:ilvl="0" w:tplc="C0D4343A">
      <w:start w:val="1"/>
      <w:numFmt w:val="decimal"/>
      <w:lvlText w:val="%1."/>
      <w:lvlJc w:val="left"/>
      <w:pPr>
        <w:tabs>
          <w:tab w:val="num" w:pos="780"/>
        </w:tabs>
        <w:ind w:left="780" w:hanging="360"/>
      </w:pPr>
      <w:rPr>
        <w:b/>
      </w:rPr>
    </w:lvl>
    <w:lvl w:ilvl="1" w:tplc="040C0019">
      <w:start w:val="1"/>
      <w:numFmt w:val="lowerLetter"/>
      <w:lvlText w:val="%2."/>
      <w:lvlJc w:val="left"/>
      <w:pPr>
        <w:tabs>
          <w:tab w:val="num" w:pos="1500"/>
        </w:tabs>
        <w:ind w:left="1500" w:hanging="360"/>
      </w:pPr>
    </w:lvl>
    <w:lvl w:ilvl="2" w:tplc="040C001B">
      <w:start w:val="1"/>
      <w:numFmt w:val="lowerRoman"/>
      <w:lvlText w:val="%3."/>
      <w:lvlJc w:val="right"/>
      <w:pPr>
        <w:tabs>
          <w:tab w:val="num" w:pos="2220"/>
        </w:tabs>
        <w:ind w:left="2220" w:hanging="180"/>
      </w:pPr>
    </w:lvl>
    <w:lvl w:ilvl="3" w:tplc="040C000F">
      <w:start w:val="1"/>
      <w:numFmt w:val="decimal"/>
      <w:lvlText w:val="%4."/>
      <w:lvlJc w:val="left"/>
      <w:pPr>
        <w:tabs>
          <w:tab w:val="num" w:pos="2940"/>
        </w:tabs>
        <w:ind w:left="2940" w:hanging="360"/>
      </w:pPr>
    </w:lvl>
    <w:lvl w:ilvl="4" w:tplc="040C0019">
      <w:start w:val="1"/>
      <w:numFmt w:val="lowerLetter"/>
      <w:lvlText w:val="%5."/>
      <w:lvlJc w:val="left"/>
      <w:pPr>
        <w:tabs>
          <w:tab w:val="num" w:pos="3660"/>
        </w:tabs>
        <w:ind w:left="3660" w:hanging="360"/>
      </w:pPr>
    </w:lvl>
    <w:lvl w:ilvl="5" w:tplc="040C001B">
      <w:start w:val="1"/>
      <w:numFmt w:val="lowerRoman"/>
      <w:lvlText w:val="%6."/>
      <w:lvlJc w:val="right"/>
      <w:pPr>
        <w:tabs>
          <w:tab w:val="num" w:pos="4380"/>
        </w:tabs>
        <w:ind w:left="4380" w:hanging="180"/>
      </w:pPr>
    </w:lvl>
    <w:lvl w:ilvl="6" w:tplc="040C000F">
      <w:start w:val="1"/>
      <w:numFmt w:val="decimal"/>
      <w:lvlText w:val="%7."/>
      <w:lvlJc w:val="left"/>
      <w:pPr>
        <w:tabs>
          <w:tab w:val="num" w:pos="5100"/>
        </w:tabs>
        <w:ind w:left="5100" w:hanging="360"/>
      </w:pPr>
    </w:lvl>
    <w:lvl w:ilvl="7" w:tplc="040C0019">
      <w:start w:val="1"/>
      <w:numFmt w:val="lowerLetter"/>
      <w:lvlText w:val="%8."/>
      <w:lvlJc w:val="left"/>
      <w:pPr>
        <w:tabs>
          <w:tab w:val="num" w:pos="5820"/>
        </w:tabs>
        <w:ind w:left="5820" w:hanging="360"/>
      </w:pPr>
    </w:lvl>
    <w:lvl w:ilvl="8" w:tplc="040C001B">
      <w:start w:val="1"/>
      <w:numFmt w:val="lowerRoman"/>
      <w:lvlText w:val="%9."/>
      <w:lvlJc w:val="right"/>
      <w:pPr>
        <w:tabs>
          <w:tab w:val="num" w:pos="6540"/>
        </w:tabs>
        <w:ind w:left="654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810"/>
    <w:rsid w:val="00077184"/>
    <w:rsid w:val="00277164"/>
    <w:rsid w:val="00307D2D"/>
    <w:rsid w:val="00355AAB"/>
    <w:rsid w:val="0048017C"/>
    <w:rsid w:val="00485756"/>
    <w:rsid w:val="00490199"/>
    <w:rsid w:val="005B0C98"/>
    <w:rsid w:val="007252E3"/>
    <w:rsid w:val="007C1910"/>
    <w:rsid w:val="007C739C"/>
    <w:rsid w:val="008029E7"/>
    <w:rsid w:val="009D5DFE"/>
    <w:rsid w:val="00AE7F2E"/>
    <w:rsid w:val="00D203A3"/>
    <w:rsid w:val="00D63810"/>
    <w:rsid w:val="00D904C3"/>
    <w:rsid w:val="00DF7303"/>
    <w:rsid w:val="00F7502E"/>
    <w:rsid w:val="00F84A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1F336"/>
  <w15:chartTrackingRefBased/>
  <w15:docId w15:val="{78EF739B-3380-49C2-B31A-80246FA9B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4C3"/>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E7F2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E7F2E"/>
    <w:rPr>
      <w:rFonts w:ascii="Segoe UI" w:hAnsi="Segoe UI" w:cs="Segoe UI"/>
      <w:sz w:val="18"/>
      <w:szCs w:val="18"/>
    </w:rPr>
  </w:style>
  <w:style w:type="table" w:styleId="Grilledutableau">
    <w:name w:val="Table Grid"/>
    <w:basedOn w:val="TableauNormal"/>
    <w:uiPriority w:val="39"/>
    <w:rsid w:val="00D203A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semiHidden/>
    <w:unhideWhenUsed/>
    <w:rsid w:val="00D203A3"/>
    <w:rPr>
      <w:color w:val="0000FF"/>
      <w:u w:val="single"/>
    </w:rPr>
  </w:style>
  <w:style w:type="character" w:styleId="Accentuation">
    <w:name w:val="Emphasis"/>
    <w:basedOn w:val="Policepardfaut"/>
    <w:uiPriority w:val="20"/>
    <w:qFormat/>
    <w:rsid w:val="00D203A3"/>
    <w:rPr>
      <w:i/>
      <w:iCs/>
    </w:rPr>
  </w:style>
  <w:style w:type="character" w:styleId="lev">
    <w:name w:val="Strong"/>
    <w:basedOn w:val="Policepardfaut"/>
    <w:uiPriority w:val="22"/>
    <w:qFormat/>
    <w:rsid w:val="00D203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56332">
      <w:bodyDiv w:val="1"/>
      <w:marLeft w:val="0"/>
      <w:marRight w:val="0"/>
      <w:marTop w:val="0"/>
      <w:marBottom w:val="0"/>
      <w:divBdr>
        <w:top w:val="none" w:sz="0" w:space="0" w:color="auto"/>
        <w:left w:val="none" w:sz="0" w:space="0" w:color="auto"/>
        <w:bottom w:val="none" w:sz="0" w:space="0" w:color="auto"/>
        <w:right w:val="none" w:sz="0" w:space="0" w:color="auto"/>
      </w:divBdr>
    </w:div>
    <w:div w:id="600138480">
      <w:bodyDiv w:val="1"/>
      <w:marLeft w:val="0"/>
      <w:marRight w:val="0"/>
      <w:marTop w:val="0"/>
      <w:marBottom w:val="0"/>
      <w:divBdr>
        <w:top w:val="none" w:sz="0" w:space="0" w:color="auto"/>
        <w:left w:val="none" w:sz="0" w:space="0" w:color="auto"/>
        <w:bottom w:val="none" w:sz="0" w:space="0" w:color="auto"/>
        <w:right w:val="none" w:sz="0" w:space="0" w:color="auto"/>
      </w:divBdr>
    </w:div>
    <w:div w:id="789082156">
      <w:bodyDiv w:val="1"/>
      <w:marLeft w:val="0"/>
      <w:marRight w:val="0"/>
      <w:marTop w:val="0"/>
      <w:marBottom w:val="0"/>
      <w:divBdr>
        <w:top w:val="none" w:sz="0" w:space="0" w:color="auto"/>
        <w:left w:val="none" w:sz="0" w:space="0" w:color="auto"/>
        <w:bottom w:val="none" w:sz="0" w:space="0" w:color="auto"/>
        <w:right w:val="none" w:sz="0" w:space="0" w:color="auto"/>
      </w:divBdr>
    </w:div>
    <w:div w:id="115672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ACA033-3856-4AFD-92EC-EBF692A830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2FB591-535A-4FE2-ACC0-EE3186AFB884}"/>
</file>

<file path=customXml/itemProps3.xml><?xml version="1.0" encoding="utf-8"?>
<ds:datastoreItem xmlns:ds="http://schemas.openxmlformats.org/officeDocument/2006/customXml" ds:itemID="{5D08333B-6C5E-4FBB-9FB5-863E65995C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902</Words>
  <Characters>4964</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17</cp:revision>
  <cp:lastPrinted>2021-06-12T07:55:00Z</cp:lastPrinted>
  <dcterms:created xsi:type="dcterms:W3CDTF">2021-05-24T08:13:00Z</dcterms:created>
  <dcterms:modified xsi:type="dcterms:W3CDTF">2026-07-05T13:12:00Z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