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1E1FE" w14:textId="77777777" w:rsidR="0053189F" w:rsidRDefault="0053189F" w:rsidP="0053189F">
      <w:pPr>
        <w:pBdr>
          <w:top w:val="single" w:sz="4" w:space="1" w:color="000000"/>
          <w:left w:val="single" w:sz="4" w:space="4" w:color="000000"/>
          <w:bottom w:val="single" w:sz="4" w:space="1" w:color="000000"/>
          <w:right w:val="single" w:sz="4" w:space="4" w:color="000000"/>
        </w:pBdr>
        <w:jc w:val="center"/>
        <w:rPr>
          <w:b/>
          <w:sz w:val="36"/>
          <w:szCs w:val="36"/>
        </w:rPr>
      </w:pPr>
      <w:r>
        <w:rPr>
          <w:b/>
          <w:sz w:val="36"/>
          <w:szCs w:val="36"/>
        </w:rPr>
        <w:t>IVème PARTIE – LA CONCENTRATION</w:t>
      </w:r>
    </w:p>
    <w:p w14:paraId="00B7B521" w14:textId="5943350F" w:rsidR="0053189F" w:rsidRDefault="0053189F" w:rsidP="0053189F">
      <w:pPr>
        <w:jc w:val="both"/>
      </w:pPr>
    </w:p>
    <w:p w14:paraId="025771BF" w14:textId="6FB35213" w:rsidR="004D1FAF" w:rsidRDefault="004D1FAF" w:rsidP="0053189F">
      <w:pPr>
        <w:jc w:val="both"/>
      </w:pPr>
    </w:p>
    <w:p w14:paraId="4D608AC1" w14:textId="77777777" w:rsidR="004D1FAF" w:rsidRDefault="004D1FAF" w:rsidP="0053189F">
      <w:pPr>
        <w:jc w:val="both"/>
      </w:pPr>
    </w:p>
    <w:p w14:paraId="22AC5D06" w14:textId="77777777" w:rsidR="0053189F" w:rsidRDefault="0053189F" w:rsidP="0053189F">
      <w:pPr>
        <w:jc w:val="both"/>
      </w:pPr>
    </w:p>
    <w:p w14:paraId="49798533" w14:textId="77777777" w:rsidR="0053189F" w:rsidRDefault="0053189F" w:rsidP="0053189F">
      <w:pPr>
        <w:ind w:firstLine="708"/>
        <w:jc w:val="both"/>
      </w:pPr>
      <w:r>
        <w:t xml:space="preserve">Il y a concentration lorsque, par des modalités de (re)structuration, </w:t>
      </w:r>
      <w:r>
        <w:rPr>
          <w:b/>
        </w:rPr>
        <w:t>des entreprises se</w:t>
      </w:r>
      <w:r>
        <w:t xml:space="preserve"> </w:t>
      </w:r>
      <w:r>
        <w:rPr>
          <w:b/>
        </w:rPr>
        <w:t>rapprochent au point de pouvoir influer sur le bon fonctionnement du marché de référence</w:t>
      </w:r>
      <w:r>
        <w:t xml:space="preserve">. </w:t>
      </w:r>
    </w:p>
    <w:p w14:paraId="55F7C896" w14:textId="77777777" w:rsidR="0053189F" w:rsidRDefault="0053189F" w:rsidP="0053189F">
      <w:pPr>
        <w:jc w:val="both"/>
      </w:pPr>
    </w:p>
    <w:p w14:paraId="1DD6F690" w14:textId="279DCCA8" w:rsidR="0053189F" w:rsidRDefault="0053189F" w:rsidP="0053189F">
      <w:pPr>
        <w:jc w:val="both"/>
      </w:pPr>
      <w:r>
        <w:t xml:space="preserve">Le </w:t>
      </w:r>
      <w:r>
        <w:rPr>
          <w:b/>
        </w:rPr>
        <w:t>droit interne</w:t>
      </w:r>
      <w:r>
        <w:t xml:space="preserve"> et le </w:t>
      </w:r>
      <w:r>
        <w:rPr>
          <w:b/>
        </w:rPr>
        <w:t>droit européen</w:t>
      </w:r>
      <w:r>
        <w:t xml:space="preserve">, dans un même souci de prévenir ce qui pourrait être attentatoire au libre jeu de la concurrence, </w:t>
      </w:r>
      <w:r>
        <w:rPr>
          <w:b/>
        </w:rPr>
        <w:t xml:space="preserve">prévoient la nécessité d’un contrôle a priori des concentrations. </w:t>
      </w:r>
      <w:r>
        <w:t xml:space="preserve">Le </w:t>
      </w:r>
      <w:r>
        <w:rPr>
          <w:b/>
        </w:rPr>
        <w:t>contrôle des concentrations</w:t>
      </w:r>
      <w:r>
        <w:t xml:space="preserve"> d’entreprises </w:t>
      </w:r>
      <w:r>
        <w:rPr>
          <w:b/>
        </w:rPr>
        <w:t>consiste en</w:t>
      </w:r>
      <w:r>
        <w:t xml:space="preserve"> </w:t>
      </w:r>
      <w:r>
        <w:rPr>
          <w:b/>
        </w:rPr>
        <w:t>l’examen, par une autorité publique, du rapprochement d’entreprises, jusqu’alors autonomes</w:t>
      </w:r>
      <w:r>
        <w:t xml:space="preserve">, </w:t>
      </w:r>
      <w:r>
        <w:rPr>
          <w:b/>
        </w:rPr>
        <w:t>susceptible d’accroître une position économique sur un marché et supprimer ou réduire le caractère concurrentiel d’un marché.</w:t>
      </w:r>
      <w:r>
        <w:t xml:space="preserve"> </w:t>
      </w:r>
      <w:r>
        <w:rPr>
          <w:color w:val="131212"/>
          <w:shd w:val="clear" w:color="auto" w:fill="FFFFFF"/>
        </w:rPr>
        <w:t>L’objectif de ce contrôle est notamment de prévenir la constitution de positions trop fortes ou la création de monopoles.</w:t>
      </w:r>
    </w:p>
    <w:p w14:paraId="5ABDC482" w14:textId="77777777" w:rsidR="0053189F" w:rsidRDefault="0053189F" w:rsidP="0053189F">
      <w:pPr>
        <w:jc w:val="both"/>
      </w:pPr>
    </w:p>
    <w:p w14:paraId="3D289308" w14:textId="77777777" w:rsidR="0053189F" w:rsidRDefault="0053189F" w:rsidP="0053189F">
      <w:pPr>
        <w:jc w:val="both"/>
      </w:pPr>
      <w:r>
        <w:rPr>
          <w:b/>
        </w:rPr>
        <w:t xml:space="preserve">Le contrôle est exercé </w:t>
      </w:r>
      <w:r>
        <w:rPr>
          <w:b/>
          <w:i/>
        </w:rPr>
        <w:t>a priori</w:t>
      </w:r>
      <w:r>
        <w:rPr>
          <w:b/>
        </w:rPr>
        <w:t xml:space="preserve"> puisqu’il</w:t>
      </w:r>
      <w:r>
        <w:t xml:space="preserve"> </w:t>
      </w:r>
      <w:r>
        <w:rPr>
          <w:b/>
        </w:rPr>
        <w:t>vise à autoriser ou non</w:t>
      </w:r>
      <w:r>
        <w:t xml:space="preserve"> (ou autoriser sous condition) </w:t>
      </w:r>
      <w:r>
        <w:rPr>
          <w:b/>
        </w:rPr>
        <w:t>une opération de concentration qui n’existe pas encore.</w:t>
      </w:r>
      <w:r>
        <w:t xml:space="preserve"> Il s’agit d’ailleurs de l’un des rares contrôles </w:t>
      </w:r>
      <w:r>
        <w:rPr>
          <w:i/>
        </w:rPr>
        <w:t>a priori</w:t>
      </w:r>
      <w:r>
        <w:t xml:space="preserve"> exercés par les autorités publiques sur les activités des entreprises.</w:t>
      </w:r>
    </w:p>
    <w:p w14:paraId="589D71A5" w14:textId="77777777" w:rsidR="0053189F" w:rsidRDefault="0053189F" w:rsidP="0053189F">
      <w:pPr>
        <w:jc w:val="both"/>
      </w:pPr>
    </w:p>
    <w:p w14:paraId="2B1DBBAE" w14:textId="77777777" w:rsidR="0053189F" w:rsidRDefault="0053189F" w:rsidP="0053189F">
      <w:pPr>
        <w:jc w:val="both"/>
      </w:pPr>
      <w:r>
        <w:t xml:space="preserve">Notons qu’une (re)structuration d’entreprises n’a pas forcément à être soumise à un contrôle préalable. </w:t>
      </w:r>
      <w:r>
        <w:rPr>
          <w:b/>
        </w:rPr>
        <w:t>Le droit interne et le droit européen retiennent sensiblement les mêmes critères pour déterminer ce qu’est une opération de concentration</w:t>
      </w:r>
      <w:r>
        <w:t xml:space="preserve"> et l’importance qu’elle doit revêtir pour justifier un contrôle.</w:t>
      </w:r>
    </w:p>
    <w:p w14:paraId="2EB5DBE7" w14:textId="782AB5B3" w:rsidR="0053189F" w:rsidRDefault="0053189F" w:rsidP="0053189F">
      <w:pPr>
        <w:jc w:val="both"/>
        <w:rPr>
          <w:b/>
          <w:sz w:val="32"/>
          <w:szCs w:val="32"/>
        </w:rPr>
      </w:pPr>
    </w:p>
    <w:p w14:paraId="1989920F" w14:textId="4DB51101" w:rsidR="00B945B8" w:rsidRDefault="00B945B8" w:rsidP="0053189F">
      <w:pPr>
        <w:jc w:val="both"/>
        <w:rPr>
          <w:b/>
          <w:sz w:val="32"/>
          <w:szCs w:val="32"/>
        </w:rPr>
      </w:pPr>
    </w:p>
    <w:p w14:paraId="297B0F51" w14:textId="71076758" w:rsidR="00B945B8" w:rsidRDefault="00B945B8" w:rsidP="0053189F">
      <w:pPr>
        <w:jc w:val="both"/>
        <w:rPr>
          <w:b/>
          <w:sz w:val="32"/>
          <w:szCs w:val="32"/>
        </w:rPr>
      </w:pPr>
    </w:p>
    <w:p w14:paraId="20294A2C" w14:textId="77777777" w:rsidR="001B224F" w:rsidRDefault="001B224F" w:rsidP="0053189F">
      <w:pPr>
        <w:jc w:val="both"/>
        <w:rPr>
          <w:b/>
          <w:sz w:val="32"/>
          <w:szCs w:val="32"/>
        </w:rPr>
      </w:pPr>
    </w:p>
    <w:p w14:paraId="4238838E" w14:textId="77777777" w:rsidR="001B224F" w:rsidRDefault="001B224F" w:rsidP="0053189F">
      <w:pPr>
        <w:jc w:val="both"/>
        <w:rPr>
          <w:b/>
          <w:sz w:val="32"/>
          <w:szCs w:val="32"/>
        </w:rPr>
      </w:pPr>
    </w:p>
    <w:p w14:paraId="79EC915F" w14:textId="77777777" w:rsidR="001B224F" w:rsidRDefault="001B224F" w:rsidP="0053189F">
      <w:pPr>
        <w:jc w:val="both"/>
        <w:rPr>
          <w:b/>
          <w:sz w:val="32"/>
          <w:szCs w:val="32"/>
        </w:rPr>
      </w:pPr>
    </w:p>
    <w:p w14:paraId="0FE8216C" w14:textId="77777777" w:rsidR="001B224F" w:rsidRDefault="001B224F" w:rsidP="0053189F">
      <w:pPr>
        <w:jc w:val="both"/>
        <w:rPr>
          <w:b/>
          <w:sz w:val="32"/>
          <w:szCs w:val="32"/>
        </w:rPr>
      </w:pPr>
    </w:p>
    <w:p w14:paraId="38E590E8" w14:textId="77777777" w:rsidR="001B224F" w:rsidRDefault="001B224F" w:rsidP="0053189F">
      <w:pPr>
        <w:jc w:val="both"/>
        <w:rPr>
          <w:b/>
          <w:sz w:val="32"/>
          <w:szCs w:val="32"/>
        </w:rPr>
      </w:pPr>
    </w:p>
    <w:p w14:paraId="20AE377C" w14:textId="77777777" w:rsidR="001B224F" w:rsidRDefault="001B224F" w:rsidP="0053189F">
      <w:pPr>
        <w:jc w:val="both"/>
        <w:rPr>
          <w:b/>
          <w:sz w:val="32"/>
          <w:szCs w:val="32"/>
        </w:rPr>
      </w:pPr>
    </w:p>
    <w:p w14:paraId="6C78077E" w14:textId="77777777" w:rsidR="001B224F" w:rsidRDefault="001B224F" w:rsidP="0053189F">
      <w:pPr>
        <w:jc w:val="both"/>
        <w:rPr>
          <w:b/>
          <w:sz w:val="32"/>
          <w:szCs w:val="32"/>
        </w:rPr>
      </w:pPr>
    </w:p>
    <w:p w14:paraId="4414A1C4" w14:textId="668EAD59" w:rsidR="00B945B8" w:rsidRDefault="00B945B8" w:rsidP="0053189F">
      <w:pPr>
        <w:jc w:val="both"/>
        <w:rPr>
          <w:b/>
          <w:sz w:val="32"/>
          <w:szCs w:val="32"/>
        </w:rPr>
      </w:pPr>
    </w:p>
    <w:p w14:paraId="0A9D24AC" w14:textId="49949F32" w:rsidR="00B945B8" w:rsidRDefault="00B945B8" w:rsidP="0053189F">
      <w:pPr>
        <w:jc w:val="both"/>
        <w:rPr>
          <w:b/>
          <w:sz w:val="32"/>
          <w:szCs w:val="32"/>
        </w:rPr>
      </w:pPr>
    </w:p>
    <w:p w14:paraId="65AC0A4B" w14:textId="1413C3E1" w:rsidR="00B945B8" w:rsidRDefault="00B945B8" w:rsidP="0053189F">
      <w:pPr>
        <w:jc w:val="both"/>
        <w:rPr>
          <w:b/>
          <w:sz w:val="32"/>
          <w:szCs w:val="32"/>
        </w:rPr>
      </w:pPr>
    </w:p>
    <w:p w14:paraId="554E400A" w14:textId="35FBAD67" w:rsidR="00B945B8" w:rsidRDefault="00B945B8" w:rsidP="0053189F">
      <w:pPr>
        <w:jc w:val="both"/>
        <w:rPr>
          <w:b/>
          <w:sz w:val="32"/>
          <w:szCs w:val="32"/>
        </w:rPr>
      </w:pPr>
    </w:p>
    <w:p w14:paraId="1338263B" w14:textId="6C1F68CB" w:rsidR="00B945B8" w:rsidRDefault="00B945B8" w:rsidP="0053189F">
      <w:pPr>
        <w:jc w:val="both"/>
        <w:rPr>
          <w:b/>
          <w:sz w:val="32"/>
          <w:szCs w:val="32"/>
        </w:rPr>
      </w:pPr>
    </w:p>
    <w:p w14:paraId="0C0418E7" w14:textId="143C11CA" w:rsidR="00B945B8" w:rsidRDefault="00B945B8" w:rsidP="0053189F">
      <w:pPr>
        <w:jc w:val="both"/>
        <w:rPr>
          <w:b/>
          <w:sz w:val="32"/>
          <w:szCs w:val="32"/>
        </w:rPr>
      </w:pPr>
    </w:p>
    <w:p w14:paraId="5F832AE1" w14:textId="4610D1EE" w:rsidR="00B945B8" w:rsidRDefault="00B945B8" w:rsidP="0053189F">
      <w:pPr>
        <w:jc w:val="both"/>
        <w:rPr>
          <w:b/>
          <w:sz w:val="32"/>
          <w:szCs w:val="32"/>
        </w:rPr>
      </w:pPr>
    </w:p>
    <w:p w14:paraId="0E526949" w14:textId="77777777" w:rsidR="00B945B8" w:rsidRDefault="00B945B8" w:rsidP="0053189F">
      <w:pPr>
        <w:jc w:val="both"/>
        <w:rPr>
          <w:b/>
          <w:sz w:val="32"/>
          <w:szCs w:val="32"/>
        </w:rPr>
      </w:pPr>
    </w:p>
    <w:p w14:paraId="69A3C5E9" w14:textId="77777777" w:rsidR="004D1FAF" w:rsidRDefault="004D1FAF" w:rsidP="0053189F">
      <w:pPr>
        <w:jc w:val="both"/>
        <w:rPr>
          <w:b/>
          <w:sz w:val="32"/>
          <w:szCs w:val="32"/>
        </w:rPr>
      </w:pPr>
    </w:p>
    <w:p w14:paraId="11C1F0A8" w14:textId="77777777" w:rsidR="0053189F" w:rsidRDefault="0053189F" w:rsidP="0053189F">
      <w:pPr>
        <w:jc w:val="both"/>
        <w:rPr>
          <w:b/>
          <w:sz w:val="32"/>
          <w:szCs w:val="32"/>
          <w:u w:val="single"/>
        </w:rPr>
      </w:pPr>
      <w:r>
        <w:rPr>
          <w:b/>
          <w:sz w:val="32"/>
          <w:szCs w:val="32"/>
        </w:rPr>
        <w:lastRenderedPageBreak/>
        <w:t xml:space="preserve">   </w:t>
      </w:r>
      <w:r>
        <w:rPr>
          <w:b/>
          <w:sz w:val="32"/>
          <w:szCs w:val="32"/>
          <w:u w:val="single"/>
        </w:rPr>
        <w:t>I - UNE OPÉRATION DE CONCENTRATION :</w:t>
      </w:r>
    </w:p>
    <w:p w14:paraId="5543583D" w14:textId="77777777" w:rsidR="00B945B8" w:rsidRDefault="00B945B8" w:rsidP="0053189F">
      <w:pPr>
        <w:jc w:val="both"/>
        <w:rPr>
          <w:b/>
          <w:sz w:val="32"/>
          <w:szCs w:val="32"/>
          <w:u w:val="single"/>
        </w:rPr>
      </w:pPr>
    </w:p>
    <w:p w14:paraId="47C30F73" w14:textId="2923100C" w:rsidR="0053189F" w:rsidRDefault="0053189F" w:rsidP="0053189F">
      <w:pPr>
        <w:ind w:firstLine="708"/>
        <w:jc w:val="both"/>
      </w:pPr>
      <w:r>
        <w:t xml:space="preserve">Le contrôle </w:t>
      </w:r>
      <w:r>
        <w:rPr>
          <w:b/>
        </w:rPr>
        <w:t>porte sur tous les types d’activités économiques et</w:t>
      </w:r>
      <w:r>
        <w:t xml:space="preserve"> la présence, dans l’opération de concentration d’au moins une entreprise publique n’empêche pas le contrôle. </w:t>
      </w:r>
    </w:p>
    <w:p w14:paraId="0773B13A" w14:textId="7C62BC2F" w:rsidR="00B945B8" w:rsidRDefault="00B945B8" w:rsidP="0053189F">
      <w:pPr>
        <w:ind w:firstLine="708"/>
        <w:jc w:val="both"/>
      </w:pPr>
    </w:p>
    <w:p w14:paraId="765BB339" w14:textId="77777777" w:rsidR="0053189F" w:rsidRPr="00D02BB6" w:rsidRDefault="0053189F" w:rsidP="0053189F">
      <w:pPr>
        <w:jc w:val="both"/>
        <w:rPr>
          <w:sz w:val="20"/>
          <w:szCs w:val="20"/>
        </w:rPr>
      </w:pPr>
      <w:r w:rsidRPr="00D02BB6">
        <w:rPr>
          <w:b/>
          <w:sz w:val="20"/>
          <w:szCs w:val="20"/>
        </w:rPr>
        <w:t>Les opérations de concentration contrôlées sont définies par le droit français et européen (voir tableau ci-dessous) :</w:t>
      </w:r>
    </w:p>
    <w:p w14:paraId="36F79535" w14:textId="77777777" w:rsidR="0053189F" w:rsidRPr="00D02BB6" w:rsidRDefault="0053189F" w:rsidP="0053189F">
      <w:pPr>
        <w:jc w:val="both"/>
        <w:rPr>
          <w:sz w:val="20"/>
          <w:szCs w:val="20"/>
        </w:rPr>
      </w:pPr>
      <w:r w:rsidRPr="00D02BB6">
        <w:rPr>
          <w:noProof/>
          <w:sz w:val="20"/>
          <w:szCs w:val="20"/>
          <w:lang w:eastAsia="fr-FR"/>
        </w:rPr>
        <w:drawing>
          <wp:inline distT="0" distB="0" distL="0" distR="0" wp14:anchorId="7926431C" wp14:editId="4BE992BD">
            <wp:extent cx="5518150" cy="276860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8150" cy="2768600"/>
                    </a:xfrm>
                    <a:prstGeom prst="rect">
                      <a:avLst/>
                    </a:prstGeom>
                    <a:noFill/>
                    <a:ln>
                      <a:noFill/>
                    </a:ln>
                  </pic:spPr>
                </pic:pic>
              </a:graphicData>
            </a:graphic>
          </wp:inline>
        </w:drawing>
      </w:r>
    </w:p>
    <w:p w14:paraId="01704FF8" w14:textId="77777777" w:rsidR="0053189F" w:rsidRDefault="0053189F" w:rsidP="0053189F">
      <w:pPr>
        <w:jc w:val="both"/>
      </w:pPr>
      <w:r>
        <w:t xml:space="preserve">Quelle que soit la forme qu’elle prend, </w:t>
      </w:r>
      <w:r>
        <w:rPr>
          <w:b/>
        </w:rPr>
        <w:t>seule une opération de concentration d’une certaine dimension est soumise à un contrôle préalable</w:t>
      </w:r>
      <w:r>
        <w:t>.</w:t>
      </w:r>
    </w:p>
    <w:p w14:paraId="4CB8815C" w14:textId="77777777" w:rsidR="0053189F" w:rsidRDefault="0053189F" w:rsidP="0053189F">
      <w:pPr>
        <w:jc w:val="both"/>
      </w:pPr>
    </w:p>
    <w:p w14:paraId="5D477CF7" w14:textId="77777777" w:rsidR="0053189F" w:rsidRDefault="0053189F" w:rsidP="0053189F">
      <w:pPr>
        <w:jc w:val="both"/>
      </w:pPr>
    </w:p>
    <w:p w14:paraId="1A91ED2B" w14:textId="77777777" w:rsidR="0053189F" w:rsidRDefault="0053189F" w:rsidP="0053189F">
      <w:pPr>
        <w:jc w:val="both"/>
        <w:rPr>
          <w:b/>
          <w:sz w:val="32"/>
          <w:szCs w:val="32"/>
          <w:u w:val="single"/>
        </w:rPr>
      </w:pPr>
      <w:r>
        <w:rPr>
          <w:b/>
          <w:sz w:val="32"/>
          <w:szCs w:val="32"/>
          <w:u w:val="single"/>
        </w:rPr>
        <w:t xml:space="preserve">   II - UNE OPÉRATION DE DIMENSION NATIONALE OU EUROPÉENNE</w:t>
      </w:r>
    </w:p>
    <w:p w14:paraId="6B445180" w14:textId="77777777" w:rsidR="0053189F" w:rsidRDefault="0053189F" w:rsidP="0053189F">
      <w:pPr>
        <w:jc w:val="both"/>
        <w:rPr>
          <w:b/>
          <w:sz w:val="32"/>
          <w:szCs w:val="32"/>
        </w:rPr>
      </w:pPr>
    </w:p>
    <w:p w14:paraId="36F79542" w14:textId="77777777" w:rsidR="0053189F" w:rsidRDefault="0053189F" w:rsidP="0053189F">
      <w:pPr>
        <w:ind w:firstLine="708"/>
        <w:jc w:val="both"/>
      </w:pPr>
      <w:r>
        <w:t xml:space="preserve">Le droit interne comme le droit de l’UE soumettent les </w:t>
      </w:r>
      <w:r>
        <w:rPr>
          <w:b/>
        </w:rPr>
        <w:t>concentrations d’une ampleur minimale à un contrôle préalable,</w:t>
      </w:r>
      <w:r>
        <w:t xml:space="preserve"> mais ils se répartissent leurs domaines respectifs d’application en fonction de la dimension de l’opération.</w:t>
      </w:r>
    </w:p>
    <w:p w14:paraId="5325E542" w14:textId="77777777" w:rsidR="0053189F" w:rsidRDefault="0053189F" w:rsidP="0053189F">
      <w:pPr>
        <w:jc w:val="both"/>
        <w:rPr>
          <w:b/>
        </w:rPr>
      </w:pPr>
    </w:p>
    <w:p w14:paraId="6FD8FE79" w14:textId="77777777" w:rsidR="0053189F" w:rsidRDefault="0053189F" w:rsidP="0053189F">
      <w:pPr>
        <w:jc w:val="both"/>
      </w:pPr>
      <w:r>
        <w:rPr>
          <w:b/>
        </w:rPr>
        <w:t>Des seuils de contrôle exprimés en volume de chiffre d’affaires réalisé sont fixés</w:t>
      </w:r>
      <w:r>
        <w:t xml:space="preserve">. Ces seuils ont une </w:t>
      </w:r>
      <w:r>
        <w:rPr>
          <w:b/>
        </w:rPr>
        <w:t>double fonction</w:t>
      </w:r>
      <w:r>
        <w:t xml:space="preserve"> :</w:t>
      </w:r>
    </w:p>
    <w:p w14:paraId="72A75E91" w14:textId="77777777" w:rsidR="0053189F" w:rsidRDefault="0053189F" w:rsidP="0053189F">
      <w:pPr>
        <w:jc w:val="both"/>
      </w:pPr>
    </w:p>
    <w:p w14:paraId="19E3CF33" w14:textId="77777777" w:rsidR="0053189F" w:rsidRDefault="0053189F" w:rsidP="0053189F">
      <w:pPr>
        <w:numPr>
          <w:ilvl w:val="0"/>
          <w:numId w:val="1"/>
        </w:numPr>
        <w:jc w:val="both"/>
      </w:pPr>
      <w:r>
        <w:t xml:space="preserve">Ils permettent de déterminer si la concentration doit être contrôlée (au-delà des seuils) </w:t>
      </w:r>
    </w:p>
    <w:p w14:paraId="53908801" w14:textId="77777777" w:rsidR="0053189F" w:rsidRDefault="0053189F" w:rsidP="0053189F">
      <w:pPr>
        <w:ind w:left="780"/>
        <w:jc w:val="both"/>
      </w:pPr>
    </w:p>
    <w:p w14:paraId="6ABE7C35" w14:textId="77777777" w:rsidR="0053189F" w:rsidRDefault="0053189F" w:rsidP="0053189F">
      <w:pPr>
        <w:numPr>
          <w:ilvl w:val="0"/>
          <w:numId w:val="1"/>
        </w:numPr>
        <w:jc w:val="both"/>
      </w:pPr>
      <w:proofErr w:type="gramStart"/>
      <w:r>
        <w:t>ils</w:t>
      </w:r>
      <w:proofErr w:type="gramEnd"/>
      <w:r>
        <w:t xml:space="preserve"> permettent de délimiter la compétence des autorités européennes et nationales de contrôle. </w:t>
      </w:r>
      <w:r>
        <w:rPr>
          <w:b/>
        </w:rPr>
        <w:t>Si la concentration a une dimension européenne</w:t>
      </w:r>
      <w:r>
        <w:t xml:space="preserve">, </w:t>
      </w:r>
      <w:r>
        <w:rPr>
          <w:b/>
        </w:rPr>
        <w:t xml:space="preserve">seule les autorités de l’Union Européenne sont compétentes. </w:t>
      </w:r>
      <w:r w:rsidRPr="00A32EC0">
        <w:rPr>
          <w:b/>
          <w:u w:val="single"/>
        </w:rPr>
        <w:t>C’est le système dit du guichet unique</w:t>
      </w:r>
      <w:r>
        <w:t>.</w:t>
      </w:r>
    </w:p>
    <w:p w14:paraId="28AFE209" w14:textId="0A9DD67C" w:rsidR="0053189F" w:rsidRDefault="0053189F" w:rsidP="0053189F">
      <w:pPr>
        <w:ind w:left="780"/>
        <w:jc w:val="both"/>
      </w:pPr>
    </w:p>
    <w:p w14:paraId="7E7F3281" w14:textId="77777777" w:rsidR="0053189F" w:rsidRDefault="0053189F" w:rsidP="0053189F">
      <w:pPr>
        <w:ind w:left="780"/>
        <w:jc w:val="both"/>
      </w:pPr>
    </w:p>
    <w:p w14:paraId="70C18AC0" w14:textId="77777777" w:rsidR="0053189F" w:rsidRDefault="0053189F" w:rsidP="0053189F">
      <w:pPr>
        <w:ind w:firstLine="708"/>
        <w:jc w:val="both"/>
        <w:rPr>
          <w:b/>
          <w:sz w:val="28"/>
          <w:szCs w:val="28"/>
          <w:u w:val="single"/>
        </w:rPr>
      </w:pPr>
      <w:r>
        <w:rPr>
          <w:b/>
          <w:sz w:val="28"/>
          <w:szCs w:val="28"/>
        </w:rPr>
        <w:t xml:space="preserve">§1 - </w:t>
      </w:r>
      <w:r>
        <w:rPr>
          <w:b/>
          <w:sz w:val="28"/>
          <w:szCs w:val="28"/>
          <w:u w:val="single"/>
        </w:rPr>
        <w:t>LES SEUILS FRANÇAIS</w:t>
      </w:r>
    </w:p>
    <w:p w14:paraId="4BF4ECBF" w14:textId="77777777" w:rsidR="0053189F" w:rsidRDefault="0053189F" w:rsidP="0053189F">
      <w:pPr>
        <w:jc w:val="both"/>
      </w:pPr>
    </w:p>
    <w:p w14:paraId="0E2B451D" w14:textId="77777777" w:rsidR="0053189F" w:rsidRDefault="0053189F" w:rsidP="0053189F">
      <w:pPr>
        <w:ind w:firstLine="708"/>
        <w:jc w:val="both"/>
      </w:pPr>
      <w:r>
        <w:rPr>
          <w:b/>
        </w:rPr>
        <w:t>En droit interne</w:t>
      </w:r>
      <w:r>
        <w:t xml:space="preserve">, </w:t>
      </w:r>
      <w:r>
        <w:rPr>
          <w:b/>
        </w:rPr>
        <w:t>une opération de concentration</w:t>
      </w:r>
      <w:r>
        <w:t xml:space="preserve"> </w:t>
      </w:r>
      <w:r>
        <w:rPr>
          <w:b/>
        </w:rPr>
        <w:t>doit être soumise à un contrôle préalable</w:t>
      </w:r>
      <w:r>
        <w:t xml:space="preserve"> </w:t>
      </w:r>
      <w:r>
        <w:rPr>
          <w:u w:val="single"/>
        </w:rPr>
        <w:t>par les autorités françaises</w:t>
      </w:r>
      <w:r>
        <w:t xml:space="preserve"> lorsque les deux seuils suivants sont franchis :</w:t>
      </w:r>
    </w:p>
    <w:p w14:paraId="2D072854" w14:textId="77777777" w:rsidR="0053189F" w:rsidRDefault="0053189F" w:rsidP="0053189F">
      <w:pPr>
        <w:ind w:firstLine="708"/>
        <w:jc w:val="both"/>
      </w:pPr>
    </w:p>
    <w:p w14:paraId="06A2DA3D" w14:textId="77777777" w:rsidR="0053189F" w:rsidRDefault="0053189F" w:rsidP="0053189F">
      <w:pPr>
        <w:numPr>
          <w:ilvl w:val="0"/>
          <w:numId w:val="2"/>
        </w:numPr>
        <w:jc w:val="both"/>
      </w:pPr>
      <w:proofErr w:type="gramStart"/>
      <w:r>
        <w:lastRenderedPageBreak/>
        <w:t>les</w:t>
      </w:r>
      <w:proofErr w:type="gramEnd"/>
      <w:r>
        <w:t xml:space="preserve"> entreprises concernées réalisent ensemble un </w:t>
      </w:r>
      <w:r>
        <w:rPr>
          <w:b/>
        </w:rPr>
        <w:t>chiffre d’affaires mondial global hors taxes</w:t>
      </w:r>
      <w:r>
        <w:t xml:space="preserve"> de plus de </w:t>
      </w:r>
      <w:r>
        <w:rPr>
          <w:b/>
        </w:rPr>
        <w:t>150 millions d’euros</w:t>
      </w:r>
      <w:r>
        <w:t xml:space="preserve"> </w:t>
      </w:r>
    </w:p>
    <w:p w14:paraId="309B00B8" w14:textId="77777777" w:rsidR="0053189F" w:rsidRDefault="0053189F" w:rsidP="0053189F">
      <w:pPr>
        <w:numPr>
          <w:ilvl w:val="0"/>
          <w:numId w:val="2"/>
        </w:numPr>
        <w:jc w:val="both"/>
      </w:pPr>
      <w:proofErr w:type="gramStart"/>
      <w:r>
        <w:t>et</w:t>
      </w:r>
      <w:proofErr w:type="gramEnd"/>
      <w:r>
        <w:t xml:space="preserve"> deux de ces entreprises au moins réalisent en France un chiffre d’affaires, hors taxes, de plus de </w:t>
      </w:r>
      <w:r>
        <w:rPr>
          <w:b/>
        </w:rPr>
        <w:t>50 millions d’euros</w:t>
      </w:r>
      <w:r>
        <w:t>.</w:t>
      </w:r>
    </w:p>
    <w:p w14:paraId="4A48A8AB" w14:textId="77777777" w:rsidR="0054654A" w:rsidRDefault="0054654A" w:rsidP="0053189F">
      <w:pPr>
        <w:numPr>
          <w:ilvl w:val="0"/>
          <w:numId w:val="2"/>
        </w:numPr>
        <w:jc w:val="both"/>
      </w:pPr>
    </w:p>
    <w:p w14:paraId="4A5D556C" w14:textId="77777777" w:rsidR="0054654A" w:rsidRPr="0054654A" w:rsidRDefault="0054654A" w:rsidP="0054654A">
      <w:pPr>
        <w:jc w:val="both"/>
        <w:rPr>
          <w:b/>
          <w:bCs/>
          <w:i/>
          <w:iCs/>
          <w:u w:val="single"/>
        </w:rPr>
      </w:pPr>
      <w:r w:rsidRPr="0054654A">
        <w:rPr>
          <w:b/>
          <w:bCs/>
          <w:i/>
          <w:iCs/>
          <w:u w:val="single"/>
        </w:rPr>
        <w:t>…pour la protection des petits commerces : des seuils spéciaux :</w:t>
      </w:r>
    </w:p>
    <w:p w14:paraId="79A2E0C7" w14:textId="77777777" w:rsidR="0054654A" w:rsidRPr="0054654A" w:rsidRDefault="0054654A" w:rsidP="0054654A">
      <w:pPr>
        <w:jc w:val="both"/>
        <w:rPr>
          <w:b/>
          <w:i/>
          <w:iCs/>
        </w:rPr>
      </w:pPr>
      <w:r w:rsidRPr="0054654A">
        <w:rPr>
          <w:i/>
          <w:iCs/>
        </w:rPr>
        <w:t xml:space="preserve">La loi précise que lorsque deux au moins des parties à la concentration exploitent un ou plusieurs magasins de commerce de détail, le contrôle aura lieu si le chiffre d’affaire d’affaires total mondial hors taxes de l’ensemble des entreprises ou groupes des personnes physiques ou morales parties à la concentration doit être </w:t>
      </w:r>
      <w:r w:rsidRPr="0054654A">
        <w:rPr>
          <w:b/>
          <w:bCs/>
          <w:i/>
          <w:iCs/>
        </w:rPr>
        <w:t>supérieur à 75 millions d’euros</w:t>
      </w:r>
      <w:r w:rsidRPr="0054654A">
        <w:rPr>
          <w:i/>
          <w:iCs/>
        </w:rPr>
        <w:t xml:space="preserve"> </w:t>
      </w:r>
      <w:r w:rsidRPr="0054654A">
        <w:rPr>
          <w:b/>
          <w:bCs/>
          <w:i/>
          <w:iCs/>
        </w:rPr>
        <w:t xml:space="preserve">ET </w:t>
      </w:r>
      <w:r w:rsidRPr="0054654A">
        <w:rPr>
          <w:i/>
          <w:iCs/>
        </w:rPr>
        <w:t xml:space="preserve">le chiffre d’affaires total hors taxes réalisé en France dans le secteur du commerce de détail par deux au moins des entreprises ou groupes des personnes physiques ou morales concernés doit être </w:t>
      </w:r>
      <w:r w:rsidRPr="0054654A">
        <w:rPr>
          <w:b/>
          <w:i/>
          <w:iCs/>
        </w:rPr>
        <w:t>supérieur à 15 millions d’euros.</w:t>
      </w:r>
    </w:p>
    <w:p w14:paraId="7D0BD7A8" w14:textId="77777777" w:rsidR="0054654A" w:rsidRDefault="0054654A" w:rsidP="0054654A">
      <w:pPr>
        <w:jc w:val="both"/>
      </w:pPr>
    </w:p>
    <w:p w14:paraId="45777347" w14:textId="5650A031" w:rsidR="0053189F" w:rsidRDefault="0053189F" w:rsidP="0053189F">
      <w:pPr>
        <w:jc w:val="both"/>
        <w:rPr>
          <w:i/>
          <w:sz w:val="20"/>
          <w:szCs w:val="20"/>
        </w:rPr>
      </w:pPr>
    </w:p>
    <w:p w14:paraId="275C054E" w14:textId="28E8D3E0" w:rsidR="00B838D9" w:rsidRPr="006A6E9E" w:rsidRDefault="00C77A17" w:rsidP="0053189F">
      <w:pPr>
        <w:jc w:val="both"/>
        <w:rPr>
          <w:b/>
          <w:i/>
        </w:rPr>
      </w:pPr>
      <w:r>
        <w:rPr>
          <w:color w:val="1F1F1F"/>
          <w:shd w:val="clear" w:color="auto" w:fill="FFFFFF"/>
        </w:rPr>
        <w:t>Evolution législative : l</w:t>
      </w:r>
      <w:r w:rsidR="006A6E9E" w:rsidRPr="006A6E9E">
        <w:rPr>
          <w:color w:val="1F1F1F"/>
          <w:shd w:val="clear" w:color="auto" w:fill="FFFFFF"/>
        </w:rPr>
        <w:t>a loi de simplification de la vie économique du 15 avril 2026 procède à un relèvement substantiel des seuils de notification des </w:t>
      </w:r>
      <w:r w:rsidR="006A6E9E" w:rsidRPr="006A6E9E">
        <w:rPr>
          <w:b/>
          <w:bCs/>
          <w:color w:val="001D35"/>
          <w:shd w:val="clear" w:color="auto" w:fill="D3E3FD"/>
        </w:rPr>
        <w:t>opérations de concentration</w:t>
      </w:r>
      <w:r w:rsidR="006A6E9E" w:rsidRPr="006A6E9E">
        <w:rPr>
          <w:color w:val="1F1F1F"/>
          <w:shd w:val="clear" w:color="auto" w:fill="FFFFFF"/>
        </w:rPr>
        <w:t> soumises au contrôle de l'Autorité de la concurrence. Ces nouvelles règles entreront en vigueur entre le 1er septembre et le 1er octobre 2026</w:t>
      </w:r>
    </w:p>
    <w:p w14:paraId="39CFA143" w14:textId="77777777" w:rsidR="006A6E9E" w:rsidRDefault="006A6E9E" w:rsidP="00FD4061">
      <w:pPr>
        <w:suppressAutoHyphens w:val="0"/>
        <w:rPr>
          <w:color w:val="000000"/>
          <w:shd w:val="clear" w:color="auto" w:fill="FFFFFF"/>
          <w:lang w:eastAsia="fr-FR"/>
        </w:rPr>
      </w:pPr>
    </w:p>
    <w:p w14:paraId="012B0127" w14:textId="08157253" w:rsidR="00FD4061" w:rsidRPr="00FD4061" w:rsidRDefault="00FD4061" w:rsidP="00FD4061">
      <w:pPr>
        <w:suppressAutoHyphens w:val="0"/>
        <w:rPr>
          <w:u w:val="single"/>
          <w:lang w:eastAsia="fr-FR"/>
        </w:rPr>
      </w:pPr>
      <w:r w:rsidRPr="00FD4061">
        <w:rPr>
          <w:color w:val="000000"/>
          <w:u w:val="single"/>
          <w:shd w:val="clear" w:color="auto" w:fill="FFFFFF"/>
          <w:lang w:eastAsia="fr-FR"/>
        </w:rPr>
        <w:t>Les seuils sont réhaussés ainsi qu’il suit :</w:t>
      </w:r>
      <w:r w:rsidRPr="00FD4061">
        <w:rPr>
          <w:color w:val="000000"/>
          <w:u w:val="single"/>
          <w:lang w:eastAsia="fr-FR"/>
        </w:rPr>
        <w:br/>
      </w:r>
      <w:r w:rsidRPr="00FD4061">
        <w:rPr>
          <w:color w:val="000000"/>
          <w:u w:val="single"/>
          <w:shd w:val="clear" w:color="auto" w:fill="FFFFFF"/>
          <w:lang w:eastAsia="fr-FR"/>
        </w:rPr>
        <w:t> </w:t>
      </w:r>
    </w:p>
    <w:tbl>
      <w:tblPr>
        <w:tblStyle w:val="Grilledutableau"/>
        <w:tblW w:w="0" w:type="auto"/>
        <w:tblLook w:val="04A0" w:firstRow="1" w:lastRow="0" w:firstColumn="1" w:lastColumn="0" w:noHBand="0" w:noVBand="1"/>
      </w:tblPr>
      <w:tblGrid>
        <w:gridCol w:w="3020"/>
        <w:gridCol w:w="3020"/>
        <w:gridCol w:w="3021"/>
      </w:tblGrid>
      <w:tr w:rsidR="00CF1CFF" w14:paraId="12C5FA3E" w14:textId="77777777" w:rsidTr="00CF1CFF">
        <w:tc>
          <w:tcPr>
            <w:tcW w:w="3020" w:type="dxa"/>
          </w:tcPr>
          <w:p w14:paraId="1EE560E4" w14:textId="1745090D" w:rsidR="00CF1CFF" w:rsidRPr="001A4D3D" w:rsidRDefault="00B4311B" w:rsidP="0053189F">
            <w:pPr>
              <w:jc w:val="both"/>
              <w:rPr>
                <w:b/>
                <w:bCs/>
              </w:rPr>
            </w:pPr>
            <w:r w:rsidRPr="001A4D3D">
              <w:rPr>
                <w:b/>
                <w:bCs/>
              </w:rPr>
              <w:t>Seuils généraux</w:t>
            </w:r>
          </w:p>
        </w:tc>
        <w:tc>
          <w:tcPr>
            <w:tcW w:w="3020" w:type="dxa"/>
          </w:tcPr>
          <w:p w14:paraId="60C2DB00" w14:textId="52F520F0" w:rsidR="00CF1CFF" w:rsidRPr="001A4D3D" w:rsidRDefault="00B4311B" w:rsidP="0053189F">
            <w:pPr>
              <w:jc w:val="both"/>
              <w:rPr>
                <w:b/>
                <w:bCs/>
              </w:rPr>
            </w:pPr>
            <w:r w:rsidRPr="001A4D3D">
              <w:rPr>
                <w:b/>
                <w:bCs/>
              </w:rPr>
              <w:t>Seuils actuels</w:t>
            </w:r>
          </w:p>
        </w:tc>
        <w:tc>
          <w:tcPr>
            <w:tcW w:w="3021" w:type="dxa"/>
          </w:tcPr>
          <w:p w14:paraId="2E58767A" w14:textId="5457DDA6" w:rsidR="00CF1CFF" w:rsidRPr="001A4D3D" w:rsidRDefault="00B4311B" w:rsidP="0053189F">
            <w:pPr>
              <w:jc w:val="both"/>
              <w:rPr>
                <w:b/>
                <w:bCs/>
              </w:rPr>
            </w:pPr>
            <w:r w:rsidRPr="001A4D3D">
              <w:rPr>
                <w:b/>
                <w:bCs/>
              </w:rPr>
              <w:t>Seuils révisé</w:t>
            </w:r>
            <w:r w:rsidR="000D05EA" w:rsidRPr="001A4D3D">
              <w:rPr>
                <w:b/>
                <w:bCs/>
              </w:rPr>
              <w:t>s</w:t>
            </w:r>
          </w:p>
        </w:tc>
      </w:tr>
      <w:tr w:rsidR="00CF1CFF" w14:paraId="04087906" w14:textId="77777777" w:rsidTr="00CF1CFF">
        <w:tc>
          <w:tcPr>
            <w:tcW w:w="3020" w:type="dxa"/>
          </w:tcPr>
          <w:p w14:paraId="501DE0C8" w14:textId="3C98F3A9" w:rsidR="00CF1CFF" w:rsidRDefault="000D05EA" w:rsidP="0053189F">
            <w:pPr>
              <w:jc w:val="both"/>
            </w:pPr>
            <w:r>
              <w:t>Chiffre</w:t>
            </w:r>
            <w:r w:rsidR="00B4311B">
              <w:t xml:space="preserve"> d’affaires total mondial HT</w:t>
            </w:r>
          </w:p>
        </w:tc>
        <w:tc>
          <w:tcPr>
            <w:tcW w:w="3020" w:type="dxa"/>
          </w:tcPr>
          <w:p w14:paraId="254544B4" w14:textId="1E4B7B08" w:rsidR="00CF1CFF" w:rsidRDefault="000D05EA" w:rsidP="0053189F">
            <w:pPr>
              <w:jc w:val="both"/>
            </w:pPr>
            <w:r>
              <w:t xml:space="preserve">150 millions </w:t>
            </w:r>
            <w:r w:rsidRPr="00FD4061">
              <w:rPr>
                <w:color w:val="000000"/>
                <w:sz w:val="22"/>
                <w:szCs w:val="22"/>
                <w:lang w:eastAsia="fr-FR"/>
              </w:rPr>
              <w:t>€</w:t>
            </w:r>
          </w:p>
        </w:tc>
        <w:tc>
          <w:tcPr>
            <w:tcW w:w="3021" w:type="dxa"/>
          </w:tcPr>
          <w:p w14:paraId="6D698461" w14:textId="082A6E05" w:rsidR="00CF1CFF" w:rsidRDefault="000D05EA" w:rsidP="0053189F">
            <w:pPr>
              <w:jc w:val="both"/>
            </w:pPr>
            <w:r>
              <w:t>250 millions</w:t>
            </w:r>
          </w:p>
        </w:tc>
      </w:tr>
      <w:tr w:rsidR="00CF1CFF" w14:paraId="4D498C2E" w14:textId="77777777" w:rsidTr="00CF1CFF">
        <w:tc>
          <w:tcPr>
            <w:tcW w:w="3020" w:type="dxa"/>
          </w:tcPr>
          <w:p w14:paraId="341191E8" w14:textId="15001D91" w:rsidR="00CF1CFF" w:rsidRDefault="000D05EA" w:rsidP="0053189F">
            <w:pPr>
              <w:jc w:val="both"/>
            </w:pPr>
            <w:r>
              <w:t>Chiffre d’affaires en France</w:t>
            </w:r>
          </w:p>
          <w:p w14:paraId="5417915A" w14:textId="286A2295" w:rsidR="000D05EA" w:rsidRDefault="009E668D" w:rsidP="0053189F">
            <w:pPr>
              <w:jc w:val="both"/>
            </w:pPr>
            <w:r>
              <w:t>(</w:t>
            </w:r>
            <w:proofErr w:type="gramStart"/>
            <w:r>
              <w:t>pour</w:t>
            </w:r>
            <w:proofErr w:type="gramEnd"/>
            <w:r>
              <w:t xml:space="preserve"> au moins deux entreprises)</w:t>
            </w:r>
          </w:p>
        </w:tc>
        <w:tc>
          <w:tcPr>
            <w:tcW w:w="3020" w:type="dxa"/>
          </w:tcPr>
          <w:p w14:paraId="2730100D" w14:textId="0B7BB7C9" w:rsidR="00CF1CFF" w:rsidRDefault="009E668D" w:rsidP="0053189F">
            <w:pPr>
              <w:jc w:val="both"/>
            </w:pPr>
            <w:r>
              <w:t>50 millions</w:t>
            </w:r>
          </w:p>
        </w:tc>
        <w:tc>
          <w:tcPr>
            <w:tcW w:w="3021" w:type="dxa"/>
          </w:tcPr>
          <w:p w14:paraId="79E47AD7" w14:textId="2B1F58E2" w:rsidR="00CF1CFF" w:rsidRDefault="009E668D" w:rsidP="0053189F">
            <w:pPr>
              <w:jc w:val="both"/>
            </w:pPr>
            <w:r>
              <w:t>80 millions</w:t>
            </w:r>
          </w:p>
        </w:tc>
      </w:tr>
      <w:tr w:rsidR="00CF1CFF" w14:paraId="4F190A6B" w14:textId="77777777" w:rsidTr="00CF1CFF">
        <w:tc>
          <w:tcPr>
            <w:tcW w:w="3020" w:type="dxa"/>
          </w:tcPr>
          <w:p w14:paraId="1993A724" w14:textId="4C55E779" w:rsidR="00CF1CFF" w:rsidRPr="001A4D3D" w:rsidRDefault="000F55FC" w:rsidP="0053189F">
            <w:pPr>
              <w:jc w:val="both"/>
              <w:rPr>
                <w:b/>
                <w:bCs/>
              </w:rPr>
            </w:pPr>
            <w:r w:rsidRPr="001A4D3D">
              <w:rPr>
                <w:b/>
                <w:bCs/>
              </w:rPr>
              <w:t>Seuils spécifiques pour le commerce de détail</w:t>
            </w:r>
          </w:p>
        </w:tc>
        <w:tc>
          <w:tcPr>
            <w:tcW w:w="3020" w:type="dxa"/>
          </w:tcPr>
          <w:p w14:paraId="507FCF2B" w14:textId="77777777" w:rsidR="00CF1CFF" w:rsidRDefault="00CF1CFF" w:rsidP="0053189F">
            <w:pPr>
              <w:jc w:val="both"/>
            </w:pPr>
          </w:p>
        </w:tc>
        <w:tc>
          <w:tcPr>
            <w:tcW w:w="3021" w:type="dxa"/>
          </w:tcPr>
          <w:p w14:paraId="523B7C36" w14:textId="77777777" w:rsidR="00CF1CFF" w:rsidRDefault="00CF1CFF" w:rsidP="0053189F">
            <w:pPr>
              <w:jc w:val="both"/>
            </w:pPr>
          </w:p>
        </w:tc>
      </w:tr>
      <w:tr w:rsidR="00CF1CFF" w14:paraId="1D86D90E" w14:textId="77777777" w:rsidTr="00CF1CFF">
        <w:tc>
          <w:tcPr>
            <w:tcW w:w="3020" w:type="dxa"/>
          </w:tcPr>
          <w:p w14:paraId="0EB18CCE" w14:textId="1BCE137C" w:rsidR="00CF1CFF" w:rsidRDefault="00266D55" w:rsidP="0053189F">
            <w:pPr>
              <w:jc w:val="both"/>
            </w:pPr>
            <w:r>
              <w:t>Chiffre d’affaires total mondial HT</w:t>
            </w:r>
          </w:p>
        </w:tc>
        <w:tc>
          <w:tcPr>
            <w:tcW w:w="3020" w:type="dxa"/>
          </w:tcPr>
          <w:p w14:paraId="4C737DD2" w14:textId="68531769" w:rsidR="00CF1CFF" w:rsidRDefault="00266D55" w:rsidP="0053189F">
            <w:pPr>
              <w:jc w:val="both"/>
            </w:pPr>
            <w:r>
              <w:t>75 millions</w:t>
            </w:r>
          </w:p>
        </w:tc>
        <w:tc>
          <w:tcPr>
            <w:tcW w:w="3021" w:type="dxa"/>
          </w:tcPr>
          <w:p w14:paraId="05AEC9F8" w14:textId="636482BE" w:rsidR="00CF1CFF" w:rsidRDefault="00266D55" w:rsidP="0053189F">
            <w:pPr>
              <w:jc w:val="both"/>
            </w:pPr>
            <w:r>
              <w:t>100 millions</w:t>
            </w:r>
          </w:p>
        </w:tc>
      </w:tr>
      <w:tr w:rsidR="00CF1CFF" w14:paraId="02112E09" w14:textId="77777777" w:rsidTr="00CF1CFF">
        <w:tc>
          <w:tcPr>
            <w:tcW w:w="3020" w:type="dxa"/>
          </w:tcPr>
          <w:p w14:paraId="2160E140" w14:textId="77777777" w:rsidR="00CF1CFF" w:rsidRDefault="00266D55" w:rsidP="0053189F">
            <w:pPr>
              <w:jc w:val="both"/>
            </w:pPr>
            <w:r>
              <w:t xml:space="preserve">Chiffre d’affaires en </w:t>
            </w:r>
            <w:r w:rsidR="000A4004">
              <w:t xml:space="preserve">France </w:t>
            </w:r>
          </w:p>
          <w:p w14:paraId="5941BD22" w14:textId="0993C148" w:rsidR="000A4004" w:rsidRDefault="000A4004" w:rsidP="0053189F">
            <w:pPr>
              <w:jc w:val="both"/>
            </w:pPr>
            <w:r>
              <w:t>(</w:t>
            </w:r>
            <w:proofErr w:type="gramStart"/>
            <w:r>
              <w:t>pour</w:t>
            </w:r>
            <w:proofErr w:type="gramEnd"/>
            <w:r>
              <w:t xml:space="preserve"> au moins deux entreprises exploitant des magasins </w:t>
            </w:r>
            <w:r w:rsidR="001A4D3D">
              <w:t>de détail</w:t>
            </w:r>
          </w:p>
        </w:tc>
        <w:tc>
          <w:tcPr>
            <w:tcW w:w="3020" w:type="dxa"/>
          </w:tcPr>
          <w:p w14:paraId="4A01B364" w14:textId="40FD4CEA" w:rsidR="00CF1CFF" w:rsidRDefault="001A4D3D" w:rsidP="0053189F">
            <w:pPr>
              <w:jc w:val="both"/>
            </w:pPr>
            <w:r>
              <w:t>15 millions</w:t>
            </w:r>
          </w:p>
        </w:tc>
        <w:tc>
          <w:tcPr>
            <w:tcW w:w="3021" w:type="dxa"/>
          </w:tcPr>
          <w:p w14:paraId="3E4BEEB3" w14:textId="397C1AF2" w:rsidR="00CF1CFF" w:rsidRDefault="001A4D3D" w:rsidP="0053189F">
            <w:pPr>
              <w:jc w:val="both"/>
            </w:pPr>
            <w:r>
              <w:t xml:space="preserve">20 millions </w:t>
            </w:r>
          </w:p>
        </w:tc>
      </w:tr>
    </w:tbl>
    <w:p w14:paraId="1483995E" w14:textId="77777777" w:rsidR="00CF1CFF" w:rsidRDefault="00CF1CFF" w:rsidP="0053189F">
      <w:pPr>
        <w:jc w:val="both"/>
      </w:pPr>
    </w:p>
    <w:p w14:paraId="00387B0B" w14:textId="0F88F74A" w:rsidR="0053189F" w:rsidRDefault="0053189F" w:rsidP="0053189F">
      <w:pPr>
        <w:jc w:val="both"/>
      </w:pPr>
      <w:r>
        <w:t xml:space="preserve">Pour que les autorités françaises soient compétentes, l’opération ne doit pas entrer dans le champ d’application du contrôle des concentrations relevant de la Commission européenne. </w:t>
      </w:r>
    </w:p>
    <w:p w14:paraId="14882077" w14:textId="77777777" w:rsidR="0053189F" w:rsidRDefault="0053189F" w:rsidP="0053189F">
      <w:pPr>
        <w:jc w:val="both"/>
      </w:pPr>
    </w:p>
    <w:p w14:paraId="45524182" w14:textId="19190718" w:rsidR="0053189F" w:rsidRDefault="0053189F" w:rsidP="0053189F">
      <w:pPr>
        <w:jc w:val="both"/>
        <w:rPr>
          <w:i/>
          <w:iCs/>
        </w:rPr>
      </w:pPr>
    </w:p>
    <w:p w14:paraId="7FA7EE9E" w14:textId="77777777" w:rsidR="0053189F" w:rsidRDefault="0053189F" w:rsidP="0053189F">
      <w:pPr>
        <w:ind w:firstLine="708"/>
        <w:jc w:val="both"/>
        <w:rPr>
          <w:b/>
          <w:sz w:val="28"/>
          <w:szCs w:val="28"/>
          <w:u w:val="single"/>
        </w:rPr>
      </w:pPr>
      <w:r>
        <w:rPr>
          <w:b/>
          <w:sz w:val="28"/>
          <w:szCs w:val="28"/>
        </w:rPr>
        <w:t xml:space="preserve">§2 - </w:t>
      </w:r>
      <w:r>
        <w:rPr>
          <w:b/>
          <w:sz w:val="28"/>
          <w:szCs w:val="28"/>
          <w:u w:val="single"/>
        </w:rPr>
        <w:t>LES SEUILS EUROPÉENS</w:t>
      </w:r>
    </w:p>
    <w:p w14:paraId="2D702241" w14:textId="77777777" w:rsidR="0053189F" w:rsidRDefault="0053189F" w:rsidP="0053189F">
      <w:pPr>
        <w:jc w:val="both"/>
      </w:pPr>
    </w:p>
    <w:p w14:paraId="0F5F3602" w14:textId="77777777" w:rsidR="006B52C8" w:rsidRDefault="006B52C8" w:rsidP="0053189F">
      <w:pPr>
        <w:jc w:val="both"/>
      </w:pPr>
    </w:p>
    <w:p w14:paraId="41DED49B" w14:textId="77777777" w:rsidR="0053189F" w:rsidRDefault="0053189F" w:rsidP="0053189F">
      <w:pPr>
        <w:jc w:val="both"/>
      </w:pPr>
      <w:r w:rsidRPr="00D02BB6">
        <w:rPr>
          <w:u w:val="single"/>
        </w:rPr>
        <w:t>-Chiffre d’affaires, premiers seuils</w:t>
      </w:r>
      <w:r w:rsidRPr="00D02BB6">
        <w:t> :</w:t>
      </w:r>
      <w:r>
        <w:rPr>
          <w:sz w:val="28"/>
          <w:szCs w:val="28"/>
        </w:rPr>
        <w:t xml:space="preserve"> </w:t>
      </w:r>
      <w:r>
        <w:t>Une concentration est de dimension européenne lorsque :</w:t>
      </w:r>
    </w:p>
    <w:p w14:paraId="1C8F129B" w14:textId="77777777" w:rsidR="0053189F" w:rsidRDefault="0053189F" w:rsidP="0053189F">
      <w:pPr>
        <w:jc w:val="both"/>
      </w:pPr>
    </w:p>
    <w:p w14:paraId="37C9850C" w14:textId="77777777" w:rsidR="0053189F" w:rsidRDefault="0053189F" w:rsidP="0053189F">
      <w:pPr>
        <w:numPr>
          <w:ilvl w:val="0"/>
          <w:numId w:val="3"/>
        </w:numPr>
        <w:jc w:val="both"/>
        <w:rPr>
          <w:b/>
        </w:rPr>
      </w:pPr>
      <w:r>
        <w:rPr>
          <w:b/>
        </w:rPr>
        <w:t>les entreprises</w:t>
      </w:r>
      <w:r>
        <w:t xml:space="preserve"> parties à l’opération réalisent ensemble un </w:t>
      </w:r>
      <w:r>
        <w:rPr>
          <w:b/>
        </w:rPr>
        <w:t>chiffre d’affaires mondial global de plus de 5 milliards d’euros</w:t>
      </w:r>
    </w:p>
    <w:p w14:paraId="4901F4CD" w14:textId="77777777" w:rsidR="0053189F" w:rsidRDefault="0053189F" w:rsidP="0053189F">
      <w:pPr>
        <w:ind w:left="1140"/>
        <w:jc w:val="both"/>
        <w:rPr>
          <w:b/>
        </w:rPr>
      </w:pPr>
    </w:p>
    <w:p w14:paraId="6B193556" w14:textId="77777777" w:rsidR="0053189F" w:rsidRDefault="0053189F" w:rsidP="0053189F">
      <w:pPr>
        <w:numPr>
          <w:ilvl w:val="0"/>
          <w:numId w:val="3"/>
        </w:numPr>
        <w:jc w:val="both"/>
      </w:pPr>
      <w:r>
        <w:rPr>
          <w:b/>
        </w:rPr>
        <w:lastRenderedPageBreak/>
        <w:t>et deux des entreprises concernées</w:t>
      </w:r>
      <w:r>
        <w:t xml:space="preserve"> au moins réalisent individuellement un </w:t>
      </w:r>
      <w:r>
        <w:rPr>
          <w:b/>
        </w:rPr>
        <w:t>chiffre d’affaires de plus de 250 millions d’euros au sein de la Communauté.</w:t>
      </w:r>
    </w:p>
    <w:p w14:paraId="41200E6A" w14:textId="77777777" w:rsidR="0053189F" w:rsidRDefault="0053189F" w:rsidP="0053189F">
      <w:pPr>
        <w:ind w:left="1140"/>
        <w:jc w:val="both"/>
      </w:pPr>
    </w:p>
    <w:p w14:paraId="05D5E130" w14:textId="77777777" w:rsidR="0053189F" w:rsidRDefault="0053189F" w:rsidP="0053189F">
      <w:pPr>
        <w:jc w:val="both"/>
        <w:rPr>
          <w:u w:val="single"/>
        </w:rPr>
      </w:pPr>
      <w:r>
        <w:rPr>
          <w:b/>
        </w:rPr>
        <w:t xml:space="preserve">Si ces deux seuils sont atteints, la concentration n’est pas pour autant de dimension communautaire </w:t>
      </w:r>
      <w:r>
        <w:rPr>
          <w:u w:val="single"/>
        </w:rPr>
        <w:t>dès lors que</w:t>
      </w:r>
      <w:r>
        <w:t xml:space="preserve"> chacune des entreprises concernées réalise </w:t>
      </w:r>
      <w:r>
        <w:rPr>
          <w:b/>
        </w:rPr>
        <w:t xml:space="preserve">plus des deux tiers de son chiffre d’affaires total dans </w:t>
      </w:r>
      <w:smartTag w:uri="urn:schemas-microsoft-com:office:smarttags" w:element="PersonName">
        <w:smartTagPr>
          <w:attr w:name="ProductID" w:val="la Communaut￩"/>
        </w:smartTagPr>
        <w:r>
          <w:rPr>
            <w:b/>
          </w:rPr>
          <w:t>la Communauté</w:t>
        </w:r>
      </w:smartTag>
      <w:r>
        <w:rPr>
          <w:b/>
        </w:rPr>
        <w:t xml:space="preserve"> à l’intérieur </w:t>
      </w:r>
      <w:r>
        <w:rPr>
          <w:b/>
          <w:u w:val="single"/>
        </w:rPr>
        <w:t>d’un seul et même État</w:t>
      </w:r>
      <w:r>
        <w:rPr>
          <w:u w:val="single"/>
        </w:rPr>
        <w:t xml:space="preserve"> membre.</w:t>
      </w:r>
    </w:p>
    <w:p w14:paraId="792C9865" w14:textId="77777777" w:rsidR="0053189F" w:rsidRDefault="0053189F" w:rsidP="0053189F">
      <w:pPr>
        <w:jc w:val="both"/>
      </w:pPr>
    </w:p>
    <w:p w14:paraId="3EDF501B" w14:textId="77777777" w:rsidR="0053189F" w:rsidRDefault="0053189F" w:rsidP="0053189F">
      <w:pPr>
        <w:jc w:val="both"/>
      </w:pPr>
      <w:r w:rsidRPr="00D02BB6">
        <w:rPr>
          <w:bCs/>
          <w:u w:val="single"/>
        </w:rPr>
        <w:t>-Seuils subsidiaires </w:t>
      </w:r>
      <w:r w:rsidRPr="00D02BB6">
        <w:rPr>
          <w:bCs/>
        </w:rPr>
        <w:t>:</w:t>
      </w:r>
      <w:r>
        <w:rPr>
          <w:b/>
          <w:sz w:val="28"/>
          <w:szCs w:val="28"/>
        </w:rPr>
        <w:t xml:space="preserve"> </w:t>
      </w:r>
      <w:r>
        <w:rPr>
          <w:b/>
        </w:rPr>
        <w:t>Si les seuils ci-dessus ne sont pas atteints</w:t>
      </w:r>
      <w:r>
        <w:t xml:space="preserve">, la concentration est quand même de </w:t>
      </w:r>
      <w:r>
        <w:rPr>
          <w:b/>
        </w:rPr>
        <w:t>dimension européenne</w:t>
      </w:r>
      <w:r>
        <w:t xml:space="preserve"> lorsque les entreprises parties à l’opération réalisent ensemble :</w:t>
      </w:r>
    </w:p>
    <w:p w14:paraId="1810E790" w14:textId="77777777" w:rsidR="0053189F" w:rsidRDefault="0053189F" w:rsidP="0053189F">
      <w:pPr>
        <w:numPr>
          <w:ilvl w:val="0"/>
          <w:numId w:val="4"/>
        </w:numPr>
        <w:jc w:val="both"/>
      </w:pPr>
      <w:r>
        <w:t xml:space="preserve">un chiffre d’affaires total mondial de plus de </w:t>
      </w:r>
      <w:r>
        <w:rPr>
          <w:b/>
        </w:rPr>
        <w:t>2,5 milliards d’euros</w:t>
      </w:r>
      <w:r>
        <w:t>;</w:t>
      </w:r>
    </w:p>
    <w:p w14:paraId="5B904B4A" w14:textId="77777777" w:rsidR="0053189F" w:rsidRDefault="0053189F" w:rsidP="0053189F">
      <w:pPr>
        <w:numPr>
          <w:ilvl w:val="0"/>
          <w:numId w:val="4"/>
        </w:numPr>
        <w:jc w:val="both"/>
      </w:pPr>
      <w:r>
        <w:t xml:space="preserve">un </w:t>
      </w:r>
      <w:r>
        <w:rPr>
          <w:b/>
        </w:rPr>
        <w:t>chiffre d’affaires total supérieur à 100 millions d’euros</w:t>
      </w:r>
      <w:r>
        <w:t xml:space="preserve"> dans chacun d’au moins trois États membres;</w:t>
      </w:r>
    </w:p>
    <w:p w14:paraId="49A536C4" w14:textId="77777777" w:rsidR="0053189F" w:rsidRDefault="0053189F" w:rsidP="0053189F">
      <w:pPr>
        <w:numPr>
          <w:ilvl w:val="0"/>
          <w:numId w:val="4"/>
        </w:numPr>
        <w:jc w:val="both"/>
      </w:pPr>
      <w:r>
        <w:t xml:space="preserve">dans chacun de ces trois Etats membres, deux au moins des entreprises concernées réalisent individuellement un </w:t>
      </w:r>
      <w:r>
        <w:rPr>
          <w:b/>
        </w:rPr>
        <w:t>chiffre d’affaires supérieur à 25 millions d’euros</w:t>
      </w:r>
      <w:r>
        <w:t>;</w:t>
      </w:r>
    </w:p>
    <w:p w14:paraId="6232D1B8" w14:textId="77777777" w:rsidR="0053189F" w:rsidRDefault="0053189F" w:rsidP="0053189F">
      <w:pPr>
        <w:numPr>
          <w:ilvl w:val="0"/>
          <w:numId w:val="4"/>
        </w:numPr>
        <w:jc w:val="both"/>
      </w:pPr>
      <w:r>
        <w:t xml:space="preserve">deux au moins des entreprises concernées réalisent individuellement un </w:t>
      </w:r>
      <w:r>
        <w:rPr>
          <w:b/>
        </w:rPr>
        <w:t>chiffre d’affaires supérieur à 100 millions d’euros dans l’ensemble de l’Union européenne</w:t>
      </w:r>
      <w:r>
        <w:t>.</w:t>
      </w:r>
    </w:p>
    <w:p w14:paraId="52A47BD9" w14:textId="77777777" w:rsidR="0053189F" w:rsidRDefault="0053189F" w:rsidP="0053189F">
      <w:pPr>
        <w:ind w:left="780"/>
        <w:jc w:val="both"/>
      </w:pPr>
    </w:p>
    <w:p w14:paraId="0B302547" w14:textId="77777777" w:rsidR="0053189F" w:rsidRDefault="0053189F" w:rsidP="0053189F">
      <w:pPr>
        <w:jc w:val="both"/>
        <w:rPr>
          <w:u w:val="single"/>
        </w:rPr>
      </w:pPr>
      <w:r>
        <w:rPr>
          <w:b/>
        </w:rPr>
        <w:t>Si ces quatre seuils sont atteints, la concentration n’est pas pour autant de dimension communautaire</w:t>
      </w:r>
      <w:r>
        <w:t xml:space="preserve"> </w:t>
      </w:r>
      <w:r>
        <w:rPr>
          <w:b/>
        </w:rPr>
        <w:t xml:space="preserve">si chacune des entreprises concernées réalise plus des deux tiers de son chiffre d’affaires total dans </w:t>
      </w:r>
      <w:smartTag w:uri="urn:schemas-microsoft-com:office:smarttags" w:element="PersonName">
        <w:smartTagPr>
          <w:attr w:name="ProductID" w:val="la Communaut￩"/>
        </w:smartTagPr>
        <w:r>
          <w:rPr>
            <w:b/>
          </w:rPr>
          <w:t>la Communauté</w:t>
        </w:r>
      </w:smartTag>
      <w:r>
        <w:rPr>
          <w:b/>
        </w:rPr>
        <w:t xml:space="preserve"> à l’intérieur d’un seul et même </w:t>
      </w:r>
      <w:r>
        <w:rPr>
          <w:b/>
          <w:u w:val="single"/>
        </w:rPr>
        <w:t>État membre</w:t>
      </w:r>
      <w:r>
        <w:rPr>
          <w:u w:val="single"/>
        </w:rPr>
        <w:t>.</w:t>
      </w:r>
    </w:p>
    <w:p w14:paraId="5112C86B" w14:textId="1843050E" w:rsidR="0053189F" w:rsidRDefault="0053189F" w:rsidP="0053189F">
      <w:pPr>
        <w:jc w:val="both"/>
      </w:pPr>
    </w:p>
    <w:p w14:paraId="589F907A" w14:textId="77777777" w:rsidR="0053189F" w:rsidRDefault="0053189F" w:rsidP="0053189F">
      <w:pPr>
        <w:jc w:val="both"/>
        <w:rPr>
          <w:i/>
          <w:sz w:val="22"/>
          <w:szCs w:val="22"/>
        </w:rPr>
      </w:pPr>
      <w:r>
        <w:rPr>
          <w:i/>
          <w:sz w:val="22"/>
          <w:szCs w:val="22"/>
          <w:u w:val="single"/>
        </w:rPr>
        <w:t>Remarques </w:t>
      </w:r>
      <w:r>
        <w:rPr>
          <w:i/>
          <w:sz w:val="22"/>
          <w:szCs w:val="22"/>
        </w:rPr>
        <w:t>: le règlement communautaire de 2004 prévoit la méthode de calcul du chiffre d’affaires et doivent être déduits la taxe sur la valeur ajoutée et les autres impôts directement liés au chiffre d’affaires.</w:t>
      </w:r>
    </w:p>
    <w:p w14:paraId="6B78AD5A" w14:textId="2F6DDEF0" w:rsidR="0053189F" w:rsidRDefault="0053189F" w:rsidP="0053189F">
      <w:pPr>
        <w:jc w:val="both"/>
        <w:rPr>
          <w:b/>
          <w:i/>
          <w:sz w:val="22"/>
          <w:szCs w:val="22"/>
        </w:rPr>
      </w:pPr>
    </w:p>
    <w:p w14:paraId="250E6CEA" w14:textId="678447AB" w:rsidR="00B838D9" w:rsidRDefault="00B838D9" w:rsidP="0053189F">
      <w:pPr>
        <w:jc w:val="both"/>
        <w:rPr>
          <w:b/>
          <w:i/>
          <w:sz w:val="22"/>
          <w:szCs w:val="22"/>
        </w:rPr>
      </w:pPr>
    </w:p>
    <w:p w14:paraId="58BE51B2" w14:textId="77777777" w:rsidR="00B945B8" w:rsidRPr="00B838D9" w:rsidRDefault="00B945B8" w:rsidP="0053189F">
      <w:pPr>
        <w:jc w:val="both"/>
        <w:rPr>
          <w:b/>
          <w:i/>
          <w:sz w:val="22"/>
          <w:szCs w:val="22"/>
        </w:rPr>
      </w:pPr>
    </w:p>
    <w:p w14:paraId="0F9F40EC" w14:textId="77777777" w:rsidR="0053189F" w:rsidRDefault="0053189F" w:rsidP="0053189F">
      <w:pPr>
        <w:jc w:val="both"/>
        <w:rPr>
          <w:b/>
          <w:sz w:val="32"/>
          <w:szCs w:val="32"/>
          <w:u w:val="single"/>
        </w:rPr>
      </w:pPr>
      <w:r>
        <w:rPr>
          <w:b/>
          <w:sz w:val="32"/>
          <w:szCs w:val="32"/>
          <w:u w:val="single"/>
        </w:rPr>
        <w:t>III- LA PROCÉDURE DE CONTROLE DES OPÉRATIONS DE CONCENTRATIONS</w:t>
      </w:r>
    </w:p>
    <w:p w14:paraId="6B8A4E83" w14:textId="77777777" w:rsidR="0053189F" w:rsidRDefault="0053189F" w:rsidP="0053189F">
      <w:pPr>
        <w:jc w:val="both"/>
        <w:rPr>
          <w:b/>
          <w:sz w:val="32"/>
          <w:szCs w:val="32"/>
        </w:rPr>
      </w:pPr>
    </w:p>
    <w:p w14:paraId="33F2DAF2" w14:textId="77777777" w:rsidR="0053189F" w:rsidRPr="00D02BB6" w:rsidRDefault="0053189F" w:rsidP="0053189F">
      <w:pPr>
        <w:jc w:val="both"/>
        <w:rPr>
          <w:b/>
          <w:sz w:val="28"/>
          <w:szCs w:val="28"/>
          <w:u w:val="single"/>
        </w:rPr>
      </w:pPr>
      <w:r>
        <w:rPr>
          <w:b/>
          <w:sz w:val="32"/>
          <w:szCs w:val="32"/>
        </w:rPr>
        <w:tab/>
      </w:r>
      <w:r>
        <w:rPr>
          <w:b/>
          <w:sz w:val="32"/>
          <w:szCs w:val="32"/>
        </w:rPr>
        <w:tab/>
      </w:r>
      <w:r>
        <w:rPr>
          <w:b/>
          <w:sz w:val="28"/>
          <w:szCs w:val="28"/>
        </w:rPr>
        <w:t xml:space="preserve">§1 – </w:t>
      </w:r>
      <w:r w:rsidRPr="00D02BB6">
        <w:rPr>
          <w:b/>
          <w:sz w:val="28"/>
          <w:szCs w:val="28"/>
          <w:u w:val="single"/>
        </w:rPr>
        <w:t>LE SYSTEME DU GUICHET UNIQUE</w:t>
      </w:r>
      <w:r w:rsidRPr="00D02BB6">
        <w:rPr>
          <w:b/>
          <w:sz w:val="28"/>
          <w:szCs w:val="28"/>
        </w:rPr>
        <w:t xml:space="preserve">   </w:t>
      </w:r>
    </w:p>
    <w:p w14:paraId="06C64A5D" w14:textId="77777777" w:rsidR="0053189F" w:rsidRDefault="0053189F" w:rsidP="0053189F">
      <w:pPr>
        <w:jc w:val="both"/>
        <w:rPr>
          <w:b/>
          <w:sz w:val="28"/>
          <w:szCs w:val="28"/>
        </w:rPr>
      </w:pPr>
    </w:p>
    <w:p w14:paraId="001F7A1A" w14:textId="77777777" w:rsidR="0053189F" w:rsidRDefault="0053189F" w:rsidP="0053189F">
      <w:pPr>
        <w:ind w:firstLine="708"/>
        <w:jc w:val="both"/>
      </w:pPr>
      <w:r>
        <w:t xml:space="preserve">C’est un système qui répond à la question de </w:t>
      </w:r>
      <w:r>
        <w:rPr>
          <w:b/>
        </w:rPr>
        <w:t>l’articulation entre la procédure européenne et les procédures nationales</w:t>
      </w:r>
      <w:r>
        <w:t xml:space="preserve">. Il signifie que </w:t>
      </w:r>
      <w:r>
        <w:rPr>
          <w:b/>
        </w:rPr>
        <w:t xml:space="preserve">la dimension européenne d’une opération de concentration exclut la compétence des autorités </w:t>
      </w:r>
      <w:r>
        <w:t xml:space="preserve">nationales au profit de </w:t>
      </w:r>
      <w:smartTag w:uri="urn:schemas-microsoft-com:office:smarttags" w:element="PersonName">
        <w:smartTagPr>
          <w:attr w:name="ProductID" w:val="la Commission"/>
        </w:smartTagPr>
        <w:r>
          <w:t>la Commission</w:t>
        </w:r>
      </w:smartTag>
      <w:r>
        <w:t xml:space="preserve"> européenne.</w:t>
      </w:r>
    </w:p>
    <w:p w14:paraId="1EB19412" w14:textId="77777777" w:rsidR="00A32EC0" w:rsidRDefault="00A32EC0" w:rsidP="0053189F">
      <w:pPr>
        <w:jc w:val="both"/>
      </w:pPr>
    </w:p>
    <w:p w14:paraId="40F803C6" w14:textId="1C4CB5D9" w:rsidR="0053189F" w:rsidRDefault="0053189F" w:rsidP="0053189F">
      <w:pPr>
        <w:jc w:val="both"/>
      </w:pPr>
      <w:r>
        <w:rPr>
          <w:noProof/>
          <w:lang w:eastAsia="fr-FR"/>
        </w:rPr>
        <w:lastRenderedPageBreak/>
        <w:drawing>
          <wp:inline distT="0" distB="0" distL="0" distR="0" wp14:anchorId="5AAF4961" wp14:editId="119EFD96">
            <wp:extent cx="5149850" cy="39243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49850" cy="3924300"/>
                    </a:xfrm>
                    <a:prstGeom prst="rect">
                      <a:avLst/>
                    </a:prstGeom>
                    <a:noFill/>
                    <a:ln>
                      <a:noFill/>
                    </a:ln>
                  </pic:spPr>
                </pic:pic>
              </a:graphicData>
            </a:graphic>
          </wp:inline>
        </w:drawing>
      </w:r>
    </w:p>
    <w:p w14:paraId="2FE840AB" w14:textId="77777777" w:rsidR="0062484C" w:rsidRDefault="0062484C" w:rsidP="0053189F">
      <w:pPr>
        <w:ind w:firstLine="708"/>
        <w:jc w:val="both"/>
        <w:rPr>
          <w:b/>
          <w:sz w:val="28"/>
          <w:szCs w:val="28"/>
        </w:rPr>
      </w:pPr>
    </w:p>
    <w:p w14:paraId="21189C97" w14:textId="107D3F0B" w:rsidR="0053189F" w:rsidRDefault="0053189F" w:rsidP="0053189F">
      <w:pPr>
        <w:ind w:firstLine="708"/>
        <w:jc w:val="both"/>
        <w:rPr>
          <w:b/>
          <w:sz w:val="28"/>
          <w:szCs w:val="28"/>
          <w:u w:val="single"/>
        </w:rPr>
      </w:pPr>
      <w:r>
        <w:rPr>
          <w:b/>
          <w:sz w:val="28"/>
          <w:szCs w:val="28"/>
        </w:rPr>
        <w:t xml:space="preserve">§2 – </w:t>
      </w:r>
      <w:r>
        <w:rPr>
          <w:b/>
          <w:sz w:val="28"/>
          <w:szCs w:val="28"/>
          <w:u w:val="single"/>
        </w:rPr>
        <w:t xml:space="preserve">LA PROCÉDURE INTERNE </w:t>
      </w:r>
    </w:p>
    <w:p w14:paraId="483C01FB" w14:textId="77777777" w:rsidR="0053189F" w:rsidRDefault="0053189F" w:rsidP="0053189F">
      <w:pPr>
        <w:ind w:firstLine="708"/>
        <w:jc w:val="both"/>
        <w:rPr>
          <w:b/>
          <w:sz w:val="28"/>
          <w:szCs w:val="28"/>
        </w:rPr>
      </w:pPr>
    </w:p>
    <w:p w14:paraId="4124CBB5" w14:textId="77777777" w:rsidR="0053189F" w:rsidRDefault="0053189F" w:rsidP="0053189F">
      <w:pPr>
        <w:jc w:val="both"/>
      </w:pPr>
    </w:p>
    <w:p w14:paraId="3BA7AA35" w14:textId="77777777" w:rsidR="0053189F" w:rsidRDefault="0053189F" w:rsidP="0053189F">
      <w:pPr>
        <w:jc w:val="both"/>
      </w:pPr>
      <w:r>
        <w:tab/>
        <w:t xml:space="preserve">L’autorité de contrôle des opérations de concentration est, en France, l’Autorité de la concurrence. </w:t>
      </w:r>
    </w:p>
    <w:p w14:paraId="2A3989B9" w14:textId="77777777" w:rsidR="0053189F" w:rsidRDefault="0053189F" w:rsidP="0053189F">
      <w:pPr>
        <w:jc w:val="both"/>
      </w:pPr>
    </w:p>
    <w:p w14:paraId="7C654935" w14:textId="11482D7F" w:rsidR="0053189F" w:rsidRDefault="0053189F" w:rsidP="0053189F">
      <w:pPr>
        <w:jc w:val="both"/>
        <w:rPr>
          <w:i/>
          <w:sz w:val="22"/>
          <w:szCs w:val="22"/>
        </w:rPr>
      </w:pPr>
      <w:r>
        <w:rPr>
          <w:i/>
          <w:sz w:val="22"/>
          <w:szCs w:val="22"/>
        </w:rPr>
        <w:t xml:space="preserve">Précisons qu’à côté de la procédure « normale » de contrôle définie ci-dessous existe également une procédure dite simplifiée, appliquée pour les opérations qui, de prime abord, ne sont pas susceptibles de poser des problèmes de concurrence. </w:t>
      </w:r>
    </w:p>
    <w:p w14:paraId="54B66FA3" w14:textId="77777777" w:rsidR="0053189F" w:rsidRDefault="0053189F" w:rsidP="0053189F">
      <w:pPr>
        <w:jc w:val="both"/>
      </w:pPr>
    </w:p>
    <w:p w14:paraId="75E5A3F1" w14:textId="77777777" w:rsidR="0053189F" w:rsidRDefault="0053189F" w:rsidP="0053189F">
      <w:pPr>
        <w:jc w:val="both"/>
      </w:pPr>
      <w:r>
        <w:rPr>
          <w:noProof/>
          <w:lang w:eastAsia="fr-FR"/>
        </w:rPr>
        <w:lastRenderedPageBreak/>
        <w:drawing>
          <wp:inline distT="0" distB="0" distL="0" distR="0" wp14:anchorId="1B7313D3" wp14:editId="2F448732">
            <wp:extent cx="5562600" cy="6978650"/>
            <wp:effectExtent l="0" t="0" r="0" b="0"/>
            <wp:docPr id="1" name="Image 1" descr="27-05-2014%2021;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7-05-2014%2021;33;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0379" cy="6988409"/>
                    </a:xfrm>
                    <a:prstGeom prst="rect">
                      <a:avLst/>
                    </a:prstGeom>
                    <a:noFill/>
                    <a:ln>
                      <a:noFill/>
                    </a:ln>
                  </pic:spPr>
                </pic:pic>
              </a:graphicData>
            </a:graphic>
          </wp:inline>
        </w:drawing>
      </w:r>
    </w:p>
    <w:p w14:paraId="05CF4BB1" w14:textId="77777777" w:rsidR="0053189F" w:rsidRDefault="0053189F" w:rsidP="0053189F">
      <w:pPr>
        <w:jc w:val="both"/>
      </w:pPr>
    </w:p>
    <w:p w14:paraId="2045E203" w14:textId="77777777" w:rsidR="00D47470" w:rsidRDefault="00D47470" w:rsidP="0053189F">
      <w:pPr>
        <w:ind w:firstLine="708"/>
        <w:jc w:val="both"/>
        <w:rPr>
          <w:b/>
          <w:sz w:val="28"/>
          <w:szCs w:val="28"/>
        </w:rPr>
      </w:pPr>
    </w:p>
    <w:p w14:paraId="0DFC58EF" w14:textId="77777777" w:rsidR="006B52C8" w:rsidRDefault="006B52C8" w:rsidP="0053189F">
      <w:pPr>
        <w:ind w:firstLine="708"/>
        <w:jc w:val="both"/>
        <w:rPr>
          <w:b/>
          <w:sz w:val="28"/>
          <w:szCs w:val="28"/>
        </w:rPr>
      </w:pPr>
    </w:p>
    <w:p w14:paraId="58ED4861" w14:textId="4B89D3AC" w:rsidR="0053189F" w:rsidRDefault="0053189F" w:rsidP="0053189F">
      <w:pPr>
        <w:ind w:firstLine="708"/>
        <w:jc w:val="both"/>
        <w:rPr>
          <w:b/>
          <w:sz w:val="28"/>
          <w:szCs w:val="28"/>
          <w:u w:val="single"/>
        </w:rPr>
      </w:pPr>
      <w:r>
        <w:rPr>
          <w:b/>
          <w:sz w:val="28"/>
          <w:szCs w:val="28"/>
        </w:rPr>
        <w:t xml:space="preserve">§3 – </w:t>
      </w:r>
      <w:r>
        <w:rPr>
          <w:b/>
          <w:sz w:val="28"/>
          <w:szCs w:val="28"/>
          <w:u w:val="single"/>
        </w:rPr>
        <w:t xml:space="preserve">LA PROCÉDURE EUROPÉENNE </w:t>
      </w:r>
    </w:p>
    <w:p w14:paraId="3EAC585D" w14:textId="77777777" w:rsidR="00B945B8" w:rsidRDefault="00B945B8" w:rsidP="0053189F">
      <w:pPr>
        <w:ind w:firstLine="708"/>
        <w:jc w:val="both"/>
        <w:rPr>
          <w:b/>
          <w:sz w:val="28"/>
          <w:szCs w:val="28"/>
          <w:u w:val="single"/>
        </w:rPr>
      </w:pPr>
    </w:p>
    <w:p w14:paraId="3EEABBC3" w14:textId="1D38C441" w:rsidR="0053189F" w:rsidRDefault="0053189F" w:rsidP="0053189F">
      <w:pPr>
        <w:ind w:firstLine="708"/>
        <w:jc w:val="both"/>
      </w:pPr>
      <w:r>
        <w:t>Applicable à toute concentration contrôlable au sens du droit de l’UE, cette procédure est initiée par la notification de l’opération de concentration à l’autorité compétente.</w:t>
      </w:r>
    </w:p>
    <w:p w14:paraId="4E320A85" w14:textId="77777777" w:rsidR="0053189F" w:rsidRDefault="0053189F" w:rsidP="0053189F">
      <w:pPr>
        <w:ind w:firstLine="708"/>
        <w:jc w:val="both"/>
      </w:pPr>
    </w:p>
    <w:p w14:paraId="7E0E2BFF" w14:textId="77777777" w:rsidR="0053189F" w:rsidRDefault="0053189F" w:rsidP="0053189F">
      <w:pPr>
        <w:jc w:val="both"/>
      </w:pPr>
    </w:p>
    <w:p w14:paraId="3BAD679D" w14:textId="77777777" w:rsidR="006B52C8" w:rsidRDefault="006B52C8" w:rsidP="0053189F">
      <w:pPr>
        <w:jc w:val="both"/>
      </w:pPr>
    </w:p>
    <w:p w14:paraId="136689A0" w14:textId="77777777" w:rsidR="006B52C8" w:rsidRDefault="006B52C8" w:rsidP="0053189F">
      <w:pPr>
        <w:jc w:val="both"/>
      </w:pPr>
    </w:p>
    <w:p w14:paraId="00BAD52B" w14:textId="77777777" w:rsidR="0053189F" w:rsidRDefault="0053189F" w:rsidP="0053189F">
      <w:pPr>
        <w:numPr>
          <w:ilvl w:val="0"/>
          <w:numId w:val="5"/>
        </w:numPr>
        <w:jc w:val="both"/>
        <w:rPr>
          <w:b/>
        </w:rPr>
      </w:pPr>
      <w:r>
        <w:rPr>
          <w:b/>
        </w:rPr>
        <w:t>LA NOTIFICATION DE L’OPÉRATION :</w:t>
      </w:r>
    </w:p>
    <w:p w14:paraId="1A908C18" w14:textId="77777777" w:rsidR="0053189F" w:rsidRDefault="0053189F" w:rsidP="0053189F">
      <w:pPr>
        <w:ind w:left="1776"/>
        <w:jc w:val="both"/>
        <w:rPr>
          <w:b/>
        </w:rPr>
      </w:pPr>
    </w:p>
    <w:p w14:paraId="365B3469" w14:textId="77777777" w:rsidR="0053189F" w:rsidRDefault="0053189F" w:rsidP="0053189F">
      <w:pPr>
        <w:ind w:firstLine="708"/>
        <w:jc w:val="both"/>
        <w:rPr>
          <w:b/>
        </w:rPr>
      </w:pPr>
      <w:r>
        <w:rPr>
          <w:b/>
        </w:rPr>
        <w:t>La notification d’une opération de concentration contrôlable consiste</w:t>
      </w:r>
      <w:r>
        <w:t xml:space="preserve">, avant sa réalisation, </w:t>
      </w:r>
      <w:r>
        <w:rPr>
          <w:b/>
        </w:rPr>
        <w:t>à en présenter un projet suffisamment abouti</w:t>
      </w:r>
      <w:r>
        <w:t xml:space="preserve"> à l’autorité compétente, à savoir la Commission européenne. Cette notification préalable </w:t>
      </w:r>
      <w:r>
        <w:rPr>
          <w:b/>
        </w:rPr>
        <w:t>a un caractère obligatoire.</w:t>
      </w:r>
    </w:p>
    <w:p w14:paraId="63F66E41" w14:textId="77777777" w:rsidR="0053189F" w:rsidRDefault="0053189F" w:rsidP="0053189F">
      <w:pPr>
        <w:jc w:val="both"/>
      </w:pPr>
    </w:p>
    <w:p w14:paraId="7FF0AE7E" w14:textId="77777777" w:rsidR="0053189F" w:rsidRDefault="0053189F" w:rsidP="0053189F">
      <w:pPr>
        <w:jc w:val="both"/>
      </w:pPr>
      <w:r>
        <w:rPr>
          <w:b/>
        </w:rPr>
        <w:t>Une première décision</w:t>
      </w:r>
      <w:r>
        <w:t xml:space="preserve">, portant sur l’ouverture de la procédure, </w:t>
      </w:r>
      <w:r>
        <w:rPr>
          <w:b/>
        </w:rPr>
        <w:t>est rendue</w:t>
      </w:r>
      <w:r>
        <w:t xml:space="preserve"> par la Commission dans les 25 jours ouvrables à compter du lendemain de la réception de la notification. Elle jugera soit : </w:t>
      </w:r>
    </w:p>
    <w:p w14:paraId="4F6313C7" w14:textId="77777777" w:rsidR="0053189F" w:rsidRDefault="0053189F" w:rsidP="0053189F">
      <w:pPr>
        <w:numPr>
          <w:ilvl w:val="0"/>
          <w:numId w:val="6"/>
        </w:numPr>
        <w:jc w:val="both"/>
      </w:pPr>
      <w:r>
        <w:t>que l’opération ne relève pas du règlement,</w:t>
      </w:r>
    </w:p>
    <w:p w14:paraId="26FAAAD0" w14:textId="77777777" w:rsidR="0053189F" w:rsidRDefault="0053189F" w:rsidP="0053189F">
      <w:pPr>
        <w:numPr>
          <w:ilvl w:val="0"/>
          <w:numId w:val="6"/>
        </w:numPr>
        <w:jc w:val="both"/>
      </w:pPr>
      <w:r>
        <w:t xml:space="preserve">qu’elle relève du règlement mais ne soulève pas de doutes sérieux quant à sa compatibilité avec le marché commun (elle est déclarée compatible), </w:t>
      </w:r>
    </w:p>
    <w:p w14:paraId="7977A827" w14:textId="39A692ED" w:rsidR="0053189F" w:rsidRDefault="0053189F" w:rsidP="0053189F">
      <w:pPr>
        <w:numPr>
          <w:ilvl w:val="0"/>
          <w:numId w:val="6"/>
        </w:numPr>
        <w:jc w:val="both"/>
      </w:pPr>
      <w:proofErr w:type="gramStart"/>
      <w:r>
        <w:t>qu’il</w:t>
      </w:r>
      <w:proofErr w:type="gramEnd"/>
      <w:r>
        <w:t xml:space="preserve"> existe des doutes sérieux sur la compatibilité</w:t>
      </w:r>
      <w:r w:rsidR="009C01C4">
        <w:t xml:space="preserve"> : </w:t>
      </w:r>
      <w:r>
        <w:t>la Commission engage la procédure.</w:t>
      </w:r>
    </w:p>
    <w:p w14:paraId="7E7AE204" w14:textId="77777777" w:rsidR="0053189F" w:rsidRDefault="0053189F" w:rsidP="0053189F">
      <w:pPr>
        <w:jc w:val="both"/>
      </w:pPr>
    </w:p>
    <w:p w14:paraId="4B3DAB6A" w14:textId="77777777" w:rsidR="0053189F" w:rsidRDefault="0053189F" w:rsidP="0053189F">
      <w:pPr>
        <w:jc w:val="both"/>
      </w:pPr>
    </w:p>
    <w:p w14:paraId="17E5D402" w14:textId="77777777" w:rsidR="0053189F" w:rsidRDefault="0053189F" w:rsidP="0053189F">
      <w:pPr>
        <w:ind w:left="708" w:firstLine="708"/>
        <w:jc w:val="both"/>
        <w:rPr>
          <w:b/>
        </w:rPr>
      </w:pPr>
      <w:r>
        <w:rPr>
          <w:b/>
        </w:rPr>
        <w:t>B - LE CONTROLE :</w:t>
      </w:r>
    </w:p>
    <w:p w14:paraId="670303AD" w14:textId="77777777" w:rsidR="0053189F" w:rsidRDefault="0053189F" w:rsidP="0053189F">
      <w:pPr>
        <w:ind w:left="708" w:firstLine="708"/>
        <w:jc w:val="both"/>
      </w:pPr>
    </w:p>
    <w:p w14:paraId="79B0F177" w14:textId="77777777" w:rsidR="0053189F" w:rsidRDefault="0053189F" w:rsidP="0053189F">
      <w:pPr>
        <w:ind w:firstLine="708"/>
        <w:jc w:val="both"/>
      </w:pPr>
      <w:r>
        <w:t xml:space="preserve">Dans le dernier cas, après avoir ouvert la procédure, </w:t>
      </w:r>
      <w:smartTag w:uri="urn:schemas-microsoft-com:office:smarttags" w:element="PersonName">
        <w:smartTagPr>
          <w:attr w:name="ProductID" w:val="la Commission"/>
        </w:smartTagPr>
        <w:r>
          <w:rPr>
            <w:b/>
          </w:rPr>
          <w:t>la Commission</w:t>
        </w:r>
      </w:smartTag>
      <w:r>
        <w:rPr>
          <w:b/>
        </w:rPr>
        <w:t xml:space="preserve"> procède au contrôle de l’opération et se prononce sur sa compatibilité avec le marché commun. </w:t>
      </w:r>
      <w:r>
        <w:t xml:space="preserve">Elle doit </w:t>
      </w:r>
      <w:r>
        <w:rPr>
          <w:b/>
        </w:rPr>
        <w:t>se prononcer dans les 90 jours suivant l’engagement de la procédure</w:t>
      </w:r>
      <w:r>
        <w:t xml:space="preserve">. </w:t>
      </w:r>
    </w:p>
    <w:p w14:paraId="142C5878" w14:textId="77777777" w:rsidR="0053189F" w:rsidRDefault="0053189F" w:rsidP="0053189F">
      <w:pPr>
        <w:jc w:val="both"/>
      </w:pPr>
    </w:p>
    <w:p w14:paraId="044ABF5A" w14:textId="77777777" w:rsidR="0053189F" w:rsidRDefault="0053189F" w:rsidP="0053189F">
      <w:pPr>
        <w:jc w:val="both"/>
      </w:pPr>
      <w:r>
        <w:t>Elle jugera soit :</w:t>
      </w:r>
    </w:p>
    <w:p w14:paraId="429B854F" w14:textId="77777777" w:rsidR="0053189F" w:rsidRDefault="0053189F" w:rsidP="0053189F">
      <w:pPr>
        <w:numPr>
          <w:ilvl w:val="0"/>
          <w:numId w:val="7"/>
        </w:numPr>
        <w:jc w:val="both"/>
      </w:pPr>
      <w:r>
        <w:t xml:space="preserve">que l’opération est compatible avec le marché intérieur de l’UE, </w:t>
      </w:r>
    </w:p>
    <w:p w14:paraId="63560894" w14:textId="77777777" w:rsidR="0053189F" w:rsidRDefault="0053189F" w:rsidP="0053189F">
      <w:pPr>
        <w:numPr>
          <w:ilvl w:val="0"/>
          <w:numId w:val="7"/>
        </w:numPr>
        <w:jc w:val="both"/>
      </w:pPr>
      <w:r>
        <w:t xml:space="preserve"> que l’opération est compatible sous conditions,</w:t>
      </w:r>
    </w:p>
    <w:p w14:paraId="769410A5" w14:textId="77777777" w:rsidR="0053189F" w:rsidRDefault="0053189F" w:rsidP="0053189F">
      <w:pPr>
        <w:numPr>
          <w:ilvl w:val="0"/>
          <w:numId w:val="7"/>
        </w:numPr>
        <w:jc w:val="both"/>
      </w:pPr>
      <w:r>
        <w:t>que l’opération est incompatible avec le marché commun.</w:t>
      </w:r>
    </w:p>
    <w:p w14:paraId="294F85F3" w14:textId="77777777" w:rsidR="0053189F" w:rsidRDefault="0053189F" w:rsidP="0053189F">
      <w:pPr>
        <w:jc w:val="both"/>
      </w:pPr>
    </w:p>
    <w:p w14:paraId="6AD2866E" w14:textId="77777777" w:rsidR="0053189F" w:rsidRDefault="0053189F" w:rsidP="0053189F">
      <w:pPr>
        <w:jc w:val="both"/>
      </w:pPr>
      <w:r>
        <w:t xml:space="preserve">Toute concentration, même si elle atteint les seuils quantitatifs communautaires, n’est pas interdite de facto. C’est plus ici une </w:t>
      </w:r>
      <w:r>
        <w:rPr>
          <w:b/>
        </w:rPr>
        <w:t>question de fond</w:t>
      </w:r>
      <w:r>
        <w:t xml:space="preserve"> que de procédure.</w:t>
      </w:r>
    </w:p>
    <w:p w14:paraId="297C0AEB" w14:textId="77777777" w:rsidR="0053189F" w:rsidRDefault="0053189F" w:rsidP="0053189F">
      <w:pPr>
        <w:jc w:val="both"/>
        <w:rPr>
          <w:b/>
        </w:rPr>
      </w:pPr>
    </w:p>
    <w:p w14:paraId="16BBB503" w14:textId="77777777" w:rsidR="0053189F" w:rsidRDefault="0053189F" w:rsidP="0053189F">
      <w:pPr>
        <w:jc w:val="both"/>
      </w:pPr>
      <w:r>
        <w:rPr>
          <w:b/>
        </w:rPr>
        <w:t xml:space="preserve">Pour décider s’il faut ou non s’opposer à une opération de concentration, </w:t>
      </w:r>
      <w:smartTag w:uri="urn:schemas-microsoft-com:office:smarttags" w:element="PersonName">
        <w:smartTagPr>
          <w:attr w:name="ProductID" w:val="la Commission"/>
        </w:smartTagPr>
        <w:r>
          <w:rPr>
            <w:b/>
          </w:rPr>
          <w:t>la Commission</w:t>
        </w:r>
      </w:smartTag>
      <w:r>
        <w:rPr>
          <w:b/>
        </w:rPr>
        <w:t xml:space="preserve"> tient compte</w:t>
      </w:r>
      <w:r>
        <w:t xml:space="preserve"> :</w:t>
      </w:r>
    </w:p>
    <w:p w14:paraId="3A1BED30" w14:textId="77777777" w:rsidR="0053189F" w:rsidRDefault="0053189F" w:rsidP="0053189F">
      <w:pPr>
        <w:numPr>
          <w:ilvl w:val="0"/>
          <w:numId w:val="8"/>
        </w:numPr>
        <w:jc w:val="both"/>
      </w:pPr>
      <w:r>
        <w:t xml:space="preserve">de la nécessité de la </w:t>
      </w:r>
      <w:r>
        <w:rPr>
          <w:b/>
        </w:rPr>
        <w:t>concurrence effective</w:t>
      </w:r>
      <w:r>
        <w:t xml:space="preserve"> dans le marché commun;</w:t>
      </w:r>
    </w:p>
    <w:p w14:paraId="5C670DA6" w14:textId="77777777" w:rsidR="0053189F" w:rsidRDefault="0053189F" w:rsidP="0053189F">
      <w:pPr>
        <w:numPr>
          <w:ilvl w:val="0"/>
          <w:numId w:val="8"/>
        </w:numPr>
        <w:jc w:val="both"/>
      </w:pPr>
      <w:r>
        <w:t xml:space="preserve">de </w:t>
      </w:r>
      <w:r>
        <w:rPr>
          <w:b/>
        </w:rPr>
        <w:t>l’apport de la concentration au progrès technique et économique</w:t>
      </w:r>
      <w:r>
        <w:t xml:space="preserve"> pour autant que celle-ci soit à l’avantage des consommateurs et ne constitue pas un obstacle à la concurrence;</w:t>
      </w:r>
    </w:p>
    <w:p w14:paraId="78837085" w14:textId="77777777" w:rsidR="0053189F" w:rsidRDefault="0053189F" w:rsidP="0053189F">
      <w:pPr>
        <w:numPr>
          <w:ilvl w:val="0"/>
          <w:numId w:val="8"/>
        </w:numPr>
        <w:jc w:val="both"/>
      </w:pPr>
      <w:r>
        <w:t xml:space="preserve">de la </w:t>
      </w:r>
      <w:r>
        <w:rPr>
          <w:b/>
        </w:rPr>
        <w:t>réduction substantielle de la concurrence</w:t>
      </w:r>
      <w:r>
        <w:t>, notamment du fait de la création ou du renforcement d’une position dominante.</w:t>
      </w:r>
    </w:p>
    <w:p w14:paraId="658088A3" w14:textId="77777777" w:rsidR="0053189F" w:rsidRDefault="0053189F" w:rsidP="0053189F">
      <w:pPr>
        <w:jc w:val="both"/>
      </w:pPr>
    </w:p>
    <w:p w14:paraId="0F06CBD4" w14:textId="77777777" w:rsidR="0053189F" w:rsidRDefault="0053189F" w:rsidP="0053189F">
      <w:pPr>
        <w:jc w:val="both"/>
      </w:pPr>
      <w:r>
        <w:t xml:space="preserve">La Commission procède donc à un </w:t>
      </w:r>
      <w:r>
        <w:rPr>
          <w:b/>
        </w:rPr>
        <w:t>bilan des limitations de concurrence</w:t>
      </w:r>
      <w:r>
        <w:t xml:space="preserve"> d’un côté (</w:t>
      </w:r>
      <w:r>
        <w:rPr>
          <w:i/>
        </w:rPr>
        <w:t>réduction des choix des consommateurs, frein à l’innovation</w:t>
      </w:r>
      <w:r>
        <w:t xml:space="preserve">), </w:t>
      </w:r>
      <w:r>
        <w:rPr>
          <w:b/>
        </w:rPr>
        <w:t>et des progrès technique et économique</w:t>
      </w:r>
      <w:r>
        <w:t xml:space="preserve"> de l’autre (</w:t>
      </w:r>
      <w:r>
        <w:rPr>
          <w:i/>
        </w:rPr>
        <w:t>investissement dans la recherche, innovations</w:t>
      </w:r>
      <w:r>
        <w:t xml:space="preserve"> </w:t>
      </w:r>
      <w:r>
        <w:rPr>
          <w:i/>
        </w:rPr>
        <w:t>techniques</w:t>
      </w:r>
      <w:r>
        <w:t>).</w:t>
      </w:r>
    </w:p>
    <w:p w14:paraId="12C64C1A" w14:textId="77777777" w:rsidR="0053189F" w:rsidRDefault="0053189F" w:rsidP="0053189F">
      <w:pPr>
        <w:jc w:val="both"/>
      </w:pPr>
    </w:p>
    <w:p w14:paraId="5C622AE1" w14:textId="69B6DD6A" w:rsidR="0053189F" w:rsidRDefault="0053189F" w:rsidP="0053189F">
      <w:pPr>
        <w:ind w:firstLine="708"/>
        <w:jc w:val="both"/>
      </w:pPr>
      <w:r>
        <w:rPr>
          <w:b/>
        </w:rPr>
        <w:t>Les décisions</w:t>
      </w:r>
      <w:r>
        <w:t xml:space="preserve"> résultant du contrôle des concentrations, que ce soit </w:t>
      </w:r>
      <w:r>
        <w:rPr>
          <w:b/>
        </w:rPr>
        <w:t>en droit interne ou en droit communautaire, ne sanctionnent pas pécuniairement les parties concernées.</w:t>
      </w:r>
      <w:r>
        <w:t xml:space="preserve"> Néanmoins, </w:t>
      </w:r>
      <w:r>
        <w:rPr>
          <w:b/>
        </w:rPr>
        <w:t>en cas d’irrespect des procédures, des sanctions sont encourues</w:t>
      </w:r>
      <w:r>
        <w:t xml:space="preserve">. </w:t>
      </w:r>
    </w:p>
    <w:p w14:paraId="3D13E4BD" w14:textId="7C05B862" w:rsidR="0053189F" w:rsidRDefault="0053189F" w:rsidP="0053189F">
      <w:pPr>
        <w:jc w:val="both"/>
      </w:pPr>
    </w:p>
    <w:p w14:paraId="5202A90A" w14:textId="77777777" w:rsidR="0053189F" w:rsidRDefault="0053189F" w:rsidP="0053189F">
      <w:pPr>
        <w:jc w:val="both"/>
      </w:pPr>
    </w:p>
    <w:p w14:paraId="1DD13A03" w14:textId="77777777" w:rsidR="006B52C8" w:rsidRDefault="006B52C8" w:rsidP="0053189F">
      <w:pPr>
        <w:jc w:val="both"/>
      </w:pPr>
    </w:p>
    <w:p w14:paraId="0B0A5451" w14:textId="77777777" w:rsidR="006B52C8" w:rsidRDefault="006B52C8" w:rsidP="0053189F">
      <w:pPr>
        <w:jc w:val="both"/>
      </w:pPr>
    </w:p>
    <w:p w14:paraId="4B1BBBED" w14:textId="624BB260" w:rsidR="0053189F" w:rsidRDefault="0053189F" w:rsidP="0053189F">
      <w:pPr>
        <w:jc w:val="both"/>
        <w:rPr>
          <w:b/>
          <w:sz w:val="32"/>
          <w:szCs w:val="32"/>
          <w:u w:val="single"/>
        </w:rPr>
      </w:pPr>
      <w:r>
        <w:rPr>
          <w:b/>
          <w:sz w:val="32"/>
          <w:szCs w:val="32"/>
        </w:rPr>
        <w:lastRenderedPageBreak/>
        <w:t xml:space="preserve">   IV - </w:t>
      </w:r>
      <w:r w:rsidRPr="00D02BB6">
        <w:rPr>
          <w:b/>
          <w:sz w:val="32"/>
          <w:szCs w:val="32"/>
          <w:u w:val="single"/>
        </w:rPr>
        <w:t xml:space="preserve">LES SANCTIONS </w:t>
      </w:r>
    </w:p>
    <w:p w14:paraId="0D06F268" w14:textId="77777777" w:rsidR="00B945B8" w:rsidRPr="00D02BB6" w:rsidRDefault="00B945B8" w:rsidP="0053189F">
      <w:pPr>
        <w:jc w:val="both"/>
        <w:rPr>
          <w:b/>
          <w:sz w:val="32"/>
          <w:szCs w:val="32"/>
          <w:u w:val="single"/>
        </w:rPr>
      </w:pPr>
    </w:p>
    <w:p w14:paraId="1E295E99" w14:textId="77777777" w:rsidR="0053189F" w:rsidRDefault="0053189F" w:rsidP="0053189F">
      <w:pPr>
        <w:ind w:firstLine="708"/>
        <w:jc w:val="both"/>
      </w:pPr>
      <w:r>
        <w:t xml:space="preserve">Les parties concernées qui ne respectent pas la procédure du contrôle des concentrations encourent des sanctions prévues par le droit français et le droit européen. </w:t>
      </w:r>
    </w:p>
    <w:p w14:paraId="341ED513" w14:textId="77777777" w:rsidR="0053189F" w:rsidRDefault="0053189F" w:rsidP="0053189F">
      <w:pPr>
        <w:jc w:val="both"/>
      </w:pPr>
    </w:p>
    <w:p w14:paraId="1DE0FAF1" w14:textId="77777777" w:rsidR="0053189F" w:rsidRDefault="0053189F" w:rsidP="0053189F">
      <w:pPr>
        <w:jc w:val="both"/>
      </w:pPr>
    </w:p>
    <w:p w14:paraId="5B07BC80" w14:textId="77777777" w:rsidR="0053189F" w:rsidRDefault="0053189F" w:rsidP="0053189F">
      <w:pPr>
        <w:ind w:firstLine="708"/>
        <w:jc w:val="both"/>
        <w:rPr>
          <w:b/>
          <w:sz w:val="28"/>
          <w:szCs w:val="28"/>
          <w:u w:val="single"/>
        </w:rPr>
      </w:pPr>
      <w:r>
        <w:rPr>
          <w:b/>
          <w:sz w:val="28"/>
          <w:szCs w:val="28"/>
        </w:rPr>
        <w:t xml:space="preserve">§1 - </w:t>
      </w:r>
      <w:r>
        <w:rPr>
          <w:b/>
          <w:sz w:val="28"/>
          <w:szCs w:val="28"/>
          <w:u w:val="single"/>
        </w:rPr>
        <w:t>LES SANCTIONS DE DROIT INTERNE</w:t>
      </w:r>
    </w:p>
    <w:p w14:paraId="52D7693E" w14:textId="77777777" w:rsidR="0053189F" w:rsidRDefault="0053189F" w:rsidP="0053189F">
      <w:pPr>
        <w:jc w:val="both"/>
      </w:pPr>
    </w:p>
    <w:p w14:paraId="2CED5B32" w14:textId="77777777" w:rsidR="0053189F" w:rsidRDefault="0053189F" w:rsidP="0053189F">
      <w:pPr>
        <w:ind w:left="708" w:firstLine="708"/>
        <w:jc w:val="both"/>
        <w:rPr>
          <w:b/>
        </w:rPr>
      </w:pPr>
      <w:r>
        <w:rPr>
          <w:b/>
        </w:rPr>
        <w:t>A - OPÉRATION DE CONCENTRATION RÉALISÉE SANS ÊTRE NOTIFIÉE :</w:t>
      </w:r>
    </w:p>
    <w:p w14:paraId="28D067AE" w14:textId="77777777" w:rsidR="0053189F" w:rsidRDefault="0053189F" w:rsidP="0053189F">
      <w:pPr>
        <w:jc w:val="both"/>
        <w:rPr>
          <w:b/>
        </w:rPr>
      </w:pPr>
    </w:p>
    <w:p w14:paraId="5E2641DF" w14:textId="77777777" w:rsidR="0053189F" w:rsidRDefault="0053189F" w:rsidP="0053189F">
      <w:pPr>
        <w:jc w:val="both"/>
        <w:rPr>
          <w:b/>
        </w:rPr>
      </w:pPr>
      <w:r>
        <w:rPr>
          <w:b/>
        </w:rPr>
        <w:t>L’Autorité de la concurrence va alors enjoindre sous astreinte aux parties de notifier l’opération</w:t>
      </w:r>
      <w:r>
        <w:t xml:space="preserve">, à moins de revenir à l’état antérieur de la concentration. </w:t>
      </w:r>
    </w:p>
    <w:p w14:paraId="7CB9E2AC" w14:textId="77777777" w:rsidR="0053189F" w:rsidRDefault="0053189F" w:rsidP="0053189F">
      <w:pPr>
        <w:jc w:val="both"/>
      </w:pPr>
      <w:r>
        <w:rPr>
          <w:b/>
        </w:rPr>
        <w:t>Elle peut infliger</w:t>
      </w:r>
      <w:r>
        <w:t xml:space="preserve"> aux personnes auxquelles incombait la charge de la notification, </w:t>
      </w:r>
      <w:r>
        <w:rPr>
          <w:b/>
        </w:rPr>
        <w:t>une sanction pécuniaire</w:t>
      </w:r>
      <w:r>
        <w:t xml:space="preserve"> dont le montant maximum s’élève :</w:t>
      </w:r>
    </w:p>
    <w:p w14:paraId="0239D873" w14:textId="77777777" w:rsidR="0053189F" w:rsidRDefault="0053189F" w:rsidP="0053189F">
      <w:pPr>
        <w:numPr>
          <w:ilvl w:val="0"/>
          <w:numId w:val="9"/>
        </w:numPr>
        <w:jc w:val="both"/>
        <w:rPr>
          <w:b/>
        </w:rPr>
      </w:pPr>
      <w:r>
        <w:t xml:space="preserve">pour les </w:t>
      </w:r>
      <w:r>
        <w:rPr>
          <w:b/>
        </w:rPr>
        <w:t xml:space="preserve">personnes morales, à 5 % de leur chiffre d’affaires </w:t>
      </w:r>
      <w:r>
        <w:t xml:space="preserve">hors taxes réalisé en France lors du dernier exercice clos, augmenté, le cas échéant, de celui qu’a réalisé en France durant la même période, la partie </w:t>
      </w:r>
      <w:r>
        <w:rPr>
          <w:b/>
        </w:rPr>
        <w:t>acquise ;</w:t>
      </w:r>
    </w:p>
    <w:p w14:paraId="00315FEA" w14:textId="77777777" w:rsidR="0053189F" w:rsidRDefault="0053189F" w:rsidP="0053189F">
      <w:pPr>
        <w:numPr>
          <w:ilvl w:val="0"/>
          <w:numId w:val="9"/>
        </w:numPr>
        <w:jc w:val="both"/>
      </w:pPr>
      <w:r>
        <w:rPr>
          <w:b/>
        </w:rPr>
        <w:t>pour les personnes</w:t>
      </w:r>
      <w:r>
        <w:t xml:space="preserve"> physiques : à 1,5 million d’euros.</w:t>
      </w:r>
    </w:p>
    <w:p w14:paraId="013946F7" w14:textId="77777777" w:rsidR="0053189F" w:rsidRDefault="0053189F" w:rsidP="0053189F">
      <w:pPr>
        <w:jc w:val="both"/>
      </w:pPr>
    </w:p>
    <w:p w14:paraId="0D6429A0" w14:textId="77777777" w:rsidR="0053189F" w:rsidRDefault="0053189F" w:rsidP="0053189F">
      <w:pPr>
        <w:jc w:val="both"/>
      </w:pPr>
    </w:p>
    <w:p w14:paraId="569D95AE" w14:textId="77777777" w:rsidR="0053189F" w:rsidRDefault="0053189F" w:rsidP="0053189F">
      <w:pPr>
        <w:ind w:left="708" w:firstLine="708"/>
        <w:jc w:val="both"/>
        <w:rPr>
          <w:b/>
        </w:rPr>
      </w:pPr>
      <w:r>
        <w:rPr>
          <w:b/>
        </w:rPr>
        <w:t>B - OPÉRATION DE CONCENTRATION NOTIFIÉE ET RÉALISÉE AVANT LA DÉCISION D’AUTORISATION :</w:t>
      </w:r>
    </w:p>
    <w:p w14:paraId="76841ACE" w14:textId="77777777" w:rsidR="0053189F" w:rsidRDefault="0053189F" w:rsidP="0053189F">
      <w:pPr>
        <w:ind w:left="708" w:firstLine="708"/>
        <w:jc w:val="both"/>
        <w:rPr>
          <w:b/>
        </w:rPr>
      </w:pPr>
    </w:p>
    <w:p w14:paraId="45053C5C" w14:textId="77777777" w:rsidR="0053189F" w:rsidRDefault="0053189F" w:rsidP="0053189F">
      <w:pPr>
        <w:ind w:firstLine="708"/>
        <w:jc w:val="both"/>
      </w:pPr>
      <w:r>
        <w:t>L’Autorité peut alors infliger, aux personnes ayant procédé à la notification, une sanction pécuniaire dont le montant maximum est le même que précédemment.</w:t>
      </w:r>
    </w:p>
    <w:p w14:paraId="74E96212" w14:textId="77777777" w:rsidR="0053189F" w:rsidRDefault="0053189F" w:rsidP="0053189F">
      <w:pPr>
        <w:jc w:val="both"/>
      </w:pPr>
    </w:p>
    <w:p w14:paraId="386445C6" w14:textId="77777777" w:rsidR="0053189F" w:rsidRDefault="0053189F" w:rsidP="0053189F">
      <w:pPr>
        <w:jc w:val="both"/>
      </w:pPr>
    </w:p>
    <w:p w14:paraId="79D592DF" w14:textId="77777777" w:rsidR="0053189F" w:rsidRDefault="0053189F" w:rsidP="0053189F">
      <w:pPr>
        <w:ind w:left="708" w:firstLine="708"/>
        <w:jc w:val="both"/>
        <w:rPr>
          <w:b/>
        </w:rPr>
      </w:pPr>
      <w:r>
        <w:rPr>
          <w:b/>
        </w:rPr>
        <w:t>C - NOTIFICATION DE L’OPÉRATION INEXACTE :</w:t>
      </w:r>
    </w:p>
    <w:p w14:paraId="11705BF7" w14:textId="77777777" w:rsidR="0053189F" w:rsidRDefault="0053189F" w:rsidP="0053189F">
      <w:pPr>
        <w:ind w:left="708" w:firstLine="708"/>
        <w:jc w:val="both"/>
        <w:rPr>
          <w:b/>
        </w:rPr>
      </w:pPr>
    </w:p>
    <w:p w14:paraId="1E84DC63" w14:textId="77777777" w:rsidR="0053189F" w:rsidRDefault="0053189F" w:rsidP="0053189F">
      <w:pPr>
        <w:ind w:firstLine="708"/>
        <w:jc w:val="both"/>
      </w:pPr>
      <w:r>
        <w:rPr>
          <w:b/>
        </w:rPr>
        <w:t>L’Autorité de la concurrence peut infliger</w:t>
      </w:r>
      <w:r>
        <w:t>, aux personnes ayant procédé à la notification</w:t>
      </w:r>
      <w:r>
        <w:rPr>
          <w:b/>
        </w:rPr>
        <w:t xml:space="preserve">, une sanction pécuniaire </w:t>
      </w:r>
      <w:r>
        <w:t>dont le montant maximum est le même que précédemment.</w:t>
      </w:r>
    </w:p>
    <w:p w14:paraId="6A078AA5" w14:textId="12307315" w:rsidR="0053189F" w:rsidRDefault="0053189F" w:rsidP="0053189F">
      <w:pPr>
        <w:jc w:val="both"/>
      </w:pPr>
      <w:r>
        <w:t xml:space="preserve">De plus, </w:t>
      </w:r>
      <w:r>
        <w:rPr>
          <w:b/>
        </w:rPr>
        <w:t>l’Autorité peut retirer sa décision ayant autorisé l’opération de concentration</w:t>
      </w:r>
      <w:r>
        <w:t xml:space="preserve">. A moins de revenir à l’état antérieur de la concentration, </w:t>
      </w:r>
      <w:r>
        <w:rPr>
          <w:b/>
        </w:rPr>
        <w:t>les parties sont alors tenues de notifier de nouveau l’opération dans un délai d’un mois à compter du retrait de la décision</w:t>
      </w:r>
      <w:r>
        <w:t>.</w:t>
      </w:r>
    </w:p>
    <w:p w14:paraId="67BBA9C5" w14:textId="77777777" w:rsidR="00A32EC0" w:rsidRDefault="00A32EC0" w:rsidP="0053189F">
      <w:pPr>
        <w:jc w:val="both"/>
      </w:pPr>
    </w:p>
    <w:p w14:paraId="3E5EBD20" w14:textId="77777777" w:rsidR="0053189F" w:rsidRDefault="0053189F" w:rsidP="0053189F">
      <w:pPr>
        <w:jc w:val="both"/>
      </w:pPr>
    </w:p>
    <w:p w14:paraId="538A3EA7" w14:textId="77777777" w:rsidR="0053189F" w:rsidRDefault="0053189F" w:rsidP="0053189F">
      <w:pPr>
        <w:ind w:left="708" w:firstLine="708"/>
        <w:jc w:val="both"/>
        <w:rPr>
          <w:b/>
        </w:rPr>
      </w:pPr>
      <w:r>
        <w:rPr>
          <w:b/>
        </w:rPr>
        <w:t>D – NON EXÉCUTION, PAR LES PARTIES, D’UNE INJONCTION, UNE PRESCRIPTION OU UN ENGAGEMENT :</w:t>
      </w:r>
    </w:p>
    <w:p w14:paraId="79927830" w14:textId="77777777" w:rsidR="0053189F" w:rsidRDefault="0053189F" w:rsidP="0053189F">
      <w:pPr>
        <w:ind w:left="708" w:firstLine="708"/>
        <w:jc w:val="both"/>
        <w:rPr>
          <w:b/>
        </w:rPr>
      </w:pPr>
    </w:p>
    <w:p w14:paraId="0319BC62" w14:textId="77777777" w:rsidR="0053189F" w:rsidRDefault="0053189F" w:rsidP="0053189F">
      <w:pPr>
        <w:ind w:firstLine="420"/>
        <w:jc w:val="both"/>
      </w:pPr>
      <w:r>
        <w:rPr>
          <w:b/>
        </w:rPr>
        <w:t xml:space="preserve">Si l’avis de l’Autorité de la concurrence constate l’inexécution, </w:t>
      </w:r>
      <w:r>
        <w:t>elle peut :</w:t>
      </w:r>
    </w:p>
    <w:p w14:paraId="0D5CA14B" w14:textId="77777777" w:rsidR="0053189F" w:rsidRDefault="0053189F" w:rsidP="0053189F">
      <w:pPr>
        <w:ind w:firstLine="420"/>
        <w:jc w:val="both"/>
      </w:pPr>
    </w:p>
    <w:p w14:paraId="35A47BBD" w14:textId="77777777" w:rsidR="0053189F" w:rsidRDefault="0053189F" w:rsidP="0053189F">
      <w:pPr>
        <w:numPr>
          <w:ilvl w:val="0"/>
          <w:numId w:val="10"/>
        </w:numPr>
        <w:jc w:val="both"/>
      </w:pPr>
      <w:r>
        <w:rPr>
          <w:b/>
        </w:rPr>
        <w:t>retirer la décision ayant autorisé la réalisation de l’opération</w:t>
      </w:r>
      <w:r>
        <w:t>. À moins de revenir à l’état antérieur de la concentration, les parties sont tenues de notifier de nouveau l’opération dans un délai d’un mois à compter du retrait de la décision, sous peine d’encourir les sanctions pécuniaires énoncées précédemment.</w:t>
      </w:r>
    </w:p>
    <w:p w14:paraId="022BC2B4" w14:textId="77777777" w:rsidR="0053189F" w:rsidRDefault="0053189F" w:rsidP="0053189F">
      <w:pPr>
        <w:ind w:left="780"/>
        <w:jc w:val="both"/>
      </w:pPr>
    </w:p>
    <w:p w14:paraId="63D919FA" w14:textId="77777777" w:rsidR="0053189F" w:rsidRDefault="0053189F" w:rsidP="0053189F">
      <w:pPr>
        <w:numPr>
          <w:ilvl w:val="0"/>
          <w:numId w:val="10"/>
        </w:numPr>
        <w:jc w:val="both"/>
        <w:rPr>
          <w:b/>
        </w:rPr>
      </w:pPr>
      <w:r>
        <w:rPr>
          <w:b/>
        </w:rPr>
        <w:lastRenderedPageBreak/>
        <w:t xml:space="preserve">enjoindre sous astreinte, </w:t>
      </w:r>
      <w:r>
        <w:t>aux parties auxquelles incombait l’obligation non exécutée</w:t>
      </w:r>
      <w:r>
        <w:rPr>
          <w:b/>
        </w:rPr>
        <w:t>, d’exécuter dans un délai qu’ils fixent les injonctions</w:t>
      </w:r>
      <w:r>
        <w:t xml:space="preserve">, </w:t>
      </w:r>
      <w:r>
        <w:rPr>
          <w:b/>
        </w:rPr>
        <w:t>prescriptions ou engagements.</w:t>
      </w:r>
    </w:p>
    <w:p w14:paraId="1AC67A92" w14:textId="77777777" w:rsidR="0053189F" w:rsidRDefault="0053189F" w:rsidP="0053189F">
      <w:pPr>
        <w:jc w:val="both"/>
      </w:pPr>
    </w:p>
    <w:p w14:paraId="4B58E8FD" w14:textId="77777777" w:rsidR="0053189F" w:rsidRDefault="0053189F" w:rsidP="0053189F">
      <w:pPr>
        <w:jc w:val="both"/>
        <w:rPr>
          <w:b/>
        </w:rPr>
      </w:pPr>
      <w:r>
        <w:t>Enfin, l’</w:t>
      </w:r>
      <w:r>
        <w:rPr>
          <w:b/>
        </w:rPr>
        <w:t>Autorité peut infliger</w:t>
      </w:r>
      <w:r>
        <w:t xml:space="preserve"> aux personnes visées une </w:t>
      </w:r>
      <w:r>
        <w:rPr>
          <w:b/>
        </w:rPr>
        <w:t>sanction pécuniaire ne devant pas dépasser le montant vu précédemment.</w:t>
      </w:r>
    </w:p>
    <w:p w14:paraId="2CEF035C" w14:textId="77777777" w:rsidR="0053189F" w:rsidRDefault="0053189F" w:rsidP="0053189F">
      <w:pPr>
        <w:jc w:val="both"/>
      </w:pPr>
    </w:p>
    <w:p w14:paraId="6860A4E7" w14:textId="77777777" w:rsidR="0053189F" w:rsidRDefault="0053189F" w:rsidP="0053189F">
      <w:pPr>
        <w:ind w:firstLine="708"/>
        <w:jc w:val="both"/>
        <w:rPr>
          <w:b/>
          <w:sz w:val="28"/>
          <w:szCs w:val="28"/>
        </w:rPr>
      </w:pPr>
    </w:p>
    <w:p w14:paraId="5EA332DE" w14:textId="77777777" w:rsidR="0053189F" w:rsidRDefault="0053189F" w:rsidP="0053189F">
      <w:pPr>
        <w:ind w:firstLine="708"/>
        <w:jc w:val="both"/>
        <w:rPr>
          <w:b/>
          <w:sz w:val="28"/>
          <w:szCs w:val="28"/>
        </w:rPr>
      </w:pPr>
      <w:r>
        <w:rPr>
          <w:b/>
          <w:sz w:val="28"/>
          <w:szCs w:val="28"/>
        </w:rPr>
        <w:t xml:space="preserve">§2 - </w:t>
      </w:r>
      <w:r>
        <w:rPr>
          <w:b/>
          <w:sz w:val="28"/>
          <w:szCs w:val="28"/>
          <w:u w:val="single"/>
        </w:rPr>
        <w:t>LES SANCTIONS DE DROIT EUROPÉEN</w:t>
      </w:r>
    </w:p>
    <w:p w14:paraId="35E35FA4" w14:textId="77777777" w:rsidR="0053189F" w:rsidRDefault="0053189F" w:rsidP="0053189F">
      <w:pPr>
        <w:ind w:firstLine="708"/>
        <w:jc w:val="both"/>
        <w:rPr>
          <w:b/>
          <w:sz w:val="28"/>
          <w:szCs w:val="28"/>
        </w:rPr>
      </w:pPr>
    </w:p>
    <w:p w14:paraId="6ED8ED1E" w14:textId="77777777" w:rsidR="0053189F" w:rsidRDefault="0053189F" w:rsidP="0053189F">
      <w:pPr>
        <w:jc w:val="both"/>
      </w:pPr>
    </w:p>
    <w:p w14:paraId="130D903D" w14:textId="77777777" w:rsidR="0053189F" w:rsidRDefault="0053189F" w:rsidP="0053189F">
      <w:pPr>
        <w:ind w:left="708" w:firstLine="708"/>
        <w:jc w:val="both"/>
        <w:rPr>
          <w:b/>
        </w:rPr>
      </w:pPr>
      <w:r>
        <w:rPr>
          <w:b/>
        </w:rPr>
        <w:t>A - OPÉRATION DE CONCENTRATION REPOSANT SUR DES RENSEIGNEMENTS DÉFECTUEUX :</w:t>
      </w:r>
    </w:p>
    <w:p w14:paraId="0A631CDA" w14:textId="77777777" w:rsidR="0053189F" w:rsidRDefault="0053189F" w:rsidP="0053189F">
      <w:pPr>
        <w:ind w:left="708" w:firstLine="708"/>
        <w:jc w:val="both"/>
        <w:rPr>
          <w:b/>
        </w:rPr>
      </w:pPr>
    </w:p>
    <w:p w14:paraId="17567C83" w14:textId="77777777" w:rsidR="0053189F" w:rsidRDefault="0053189F" w:rsidP="0053189F">
      <w:pPr>
        <w:ind w:firstLine="708"/>
        <w:jc w:val="both"/>
        <w:rPr>
          <w:b/>
        </w:rPr>
      </w:pPr>
      <w:r>
        <w:t>Si, dans le cadre de la procédure de contrôle</w:t>
      </w:r>
      <w:r>
        <w:rPr>
          <w:b/>
        </w:rPr>
        <w:t>, les parties ont fourni délibérément ou par négligence un renseignement inexact ou incomplet</w:t>
      </w:r>
      <w:r>
        <w:t xml:space="preserve"> (notamment dans les livres ou autres documents professionnels), </w:t>
      </w:r>
      <w:smartTag w:uri="urn:schemas-microsoft-com:office:smarttags" w:element="PersonName">
        <w:smartTagPr>
          <w:attr w:name="ProductID" w:val="la Commission"/>
        </w:smartTagPr>
        <w:r>
          <w:rPr>
            <w:b/>
          </w:rPr>
          <w:t>la Commission</w:t>
        </w:r>
      </w:smartTag>
      <w:r>
        <w:rPr>
          <w:b/>
        </w:rPr>
        <w:t xml:space="preserve"> peut leur infliger une amende administrative pouvant aller jusqu’à 1 % du chiffre d’affaires total réalisé </w:t>
      </w:r>
      <w:r>
        <w:t>par l’entreprise ou, association d’entreprises concernée</w:t>
      </w:r>
      <w:r>
        <w:rPr>
          <w:b/>
        </w:rPr>
        <w:t>.</w:t>
      </w:r>
    </w:p>
    <w:p w14:paraId="6BF37299" w14:textId="77777777" w:rsidR="0053189F" w:rsidRDefault="0053189F" w:rsidP="0053189F">
      <w:pPr>
        <w:jc w:val="both"/>
      </w:pPr>
    </w:p>
    <w:p w14:paraId="75803C95" w14:textId="77777777" w:rsidR="0053189F" w:rsidRDefault="0053189F" w:rsidP="0053189F">
      <w:pPr>
        <w:jc w:val="both"/>
        <w:rPr>
          <w:i/>
        </w:rPr>
      </w:pPr>
      <w:r>
        <w:t xml:space="preserve">Pour contraindre les parties à fournir de façon correcte un renseignement, la Commission peut aussi leur infliger </w:t>
      </w:r>
      <w:r w:rsidRPr="00277B8A">
        <w:rPr>
          <w:b/>
          <w:bCs/>
        </w:rPr>
        <w:t>des astreintes</w:t>
      </w:r>
      <w:r>
        <w:t xml:space="preserve"> pouvant aller jusqu’à 5 % de leur chiffre d’affaires total journalier moyen, par jour ouvrable de retard à compter de la date qu’elle fixe.</w:t>
      </w:r>
    </w:p>
    <w:p w14:paraId="53A11AA3" w14:textId="77777777" w:rsidR="0053189F" w:rsidRDefault="0053189F" w:rsidP="0053189F">
      <w:pPr>
        <w:jc w:val="both"/>
      </w:pPr>
    </w:p>
    <w:p w14:paraId="6687B874" w14:textId="77777777" w:rsidR="0053189F" w:rsidRPr="00277B8A" w:rsidRDefault="0053189F" w:rsidP="0053189F">
      <w:pPr>
        <w:jc w:val="both"/>
        <w:rPr>
          <w:b/>
          <w:bCs/>
        </w:rPr>
      </w:pPr>
      <w:r>
        <w:t xml:space="preserve">La Commission peut enfin décider </w:t>
      </w:r>
      <w:r w:rsidRPr="00277B8A">
        <w:rPr>
          <w:b/>
          <w:bCs/>
        </w:rPr>
        <w:t>de retirer la décision qu’elle a prise autorisant la réalisation de la concentration.</w:t>
      </w:r>
    </w:p>
    <w:p w14:paraId="7FBC20CA" w14:textId="77777777" w:rsidR="0053189F" w:rsidRDefault="0053189F" w:rsidP="0053189F">
      <w:pPr>
        <w:jc w:val="both"/>
      </w:pPr>
    </w:p>
    <w:p w14:paraId="6F42DFBD" w14:textId="77777777" w:rsidR="0053189F" w:rsidRDefault="0053189F" w:rsidP="0053189F">
      <w:pPr>
        <w:jc w:val="both"/>
      </w:pPr>
    </w:p>
    <w:p w14:paraId="738E4753" w14:textId="77777777" w:rsidR="0053189F" w:rsidRDefault="0053189F" w:rsidP="0053189F">
      <w:pPr>
        <w:ind w:left="708" w:firstLine="708"/>
        <w:jc w:val="both"/>
        <w:rPr>
          <w:b/>
        </w:rPr>
      </w:pPr>
      <w:r>
        <w:rPr>
          <w:b/>
        </w:rPr>
        <w:t>B - OPÉRATION DE CONCENTRATION RÉALISÉE EN VIOLATION DES AUTRES EXIGENCES PROCÉDURALES :</w:t>
      </w:r>
    </w:p>
    <w:p w14:paraId="34532A1F" w14:textId="77777777" w:rsidR="0053189F" w:rsidRDefault="0053189F" w:rsidP="0053189F">
      <w:pPr>
        <w:ind w:left="708" w:firstLine="708"/>
        <w:jc w:val="both"/>
        <w:rPr>
          <w:b/>
        </w:rPr>
      </w:pPr>
    </w:p>
    <w:p w14:paraId="7583C18C" w14:textId="77777777" w:rsidR="0053189F" w:rsidRDefault="0053189F" w:rsidP="0053189F">
      <w:pPr>
        <w:ind w:firstLine="708"/>
        <w:jc w:val="both"/>
      </w:pPr>
      <w:r>
        <w:t xml:space="preserve">Si, de façon délibérée ou par négligence, </w:t>
      </w:r>
      <w:r>
        <w:rPr>
          <w:b/>
        </w:rPr>
        <w:t xml:space="preserve">l’opération de concentration a été réalisée sans notification ou autorisation préalables, ou en contravention d’une condition imposée par </w:t>
      </w:r>
      <w:smartTag w:uri="urn:schemas-microsoft-com:office:smarttags" w:element="PersonName">
        <w:smartTagPr>
          <w:attr w:name="ProductID" w:val="la Commission"/>
        </w:smartTagPr>
        <w:r>
          <w:rPr>
            <w:b/>
          </w:rPr>
          <w:t>la Commission</w:t>
        </w:r>
      </w:smartTag>
      <w:r>
        <w:rPr>
          <w:b/>
        </w:rPr>
        <w:t>, cette dernière peut infliger une amende administrative pouvant aller jusqu’à 10 % de leur chiffre d’affaires total</w:t>
      </w:r>
      <w:r>
        <w:t>.</w:t>
      </w:r>
    </w:p>
    <w:p w14:paraId="5AA51357" w14:textId="74C6B329" w:rsidR="0053189F" w:rsidRDefault="0053189F" w:rsidP="0053189F">
      <w:pPr>
        <w:jc w:val="both"/>
      </w:pPr>
    </w:p>
    <w:p w14:paraId="09E3D7A3" w14:textId="63615B6C" w:rsidR="0053189F" w:rsidRDefault="0053189F" w:rsidP="0053189F">
      <w:pPr>
        <w:jc w:val="both"/>
      </w:pPr>
      <w:r>
        <w:t>La Commission peut également :</w:t>
      </w:r>
    </w:p>
    <w:p w14:paraId="04D43254" w14:textId="77777777" w:rsidR="0053189F" w:rsidRDefault="0053189F" w:rsidP="0053189F">
      <w:pPr>
        <w:numPr>
          <w:ilvl w:val="0"/>
          <w:numId w:val="11"/>
        </w:numPr>
        <w:jc w:val="both"/>
      </w:pPr>
      <w:proofErr w:type="gramStart"/>
      <w:r>
        <w:t>ordonner</w:t>
      </w:r>
      <w:proofErr w:type="gramEnd"/>
      <w:r>
        <w:t xml:space="preserve"> la </w:t>
      </w:r>
      <w:r>
        <w:rPr>
          <w:b/>
        </w:rPr>
        <w:t>dissolution de la concentration</w:t>
      </w:r>
      <w:r>
        <w:t xml:space="preserve">  (concentration incompatible avec le marché commun),</w:t>
      </w:r>
    </w:p>
    <w:p w14:paraId="5B9B7723" w14:textId="77777777" w:rsidR="0053189F" w:rsidRDefault="0053189F" w:rsidP="0053189F">
      <w:pPr>
        <w:numPr>
          <w:ilvl w:val="0"/>
          <w:numId w:val="11"/>
        </w:numPr>
        <w:jc w:val="both"/>
      </w:pPr>
      <w:r>
        <w:rPr>
          <w:b/>
        </w:rPr>
        <w:t xml:space="preserve"> prendre des mesures provisoires</w:t>
      </w:r>
      <w:r>
        <w:t xml:space="preserve"> pour maintenir les conditions d’une concurrence effective (en attendant qu’une décision soit prise au regard de la compatibilité avec le marché commun) </w:t>
      </w:r>
    </w:p>
    <w:p w14:paraId="76366383" w14:textId="77777777" w:rsidR="0053189F" w:rsidRDefault="0053189F" w:rsidP="0053189F">
      <w:pPr>
        <w:numPr>
          <w:ilvl w:val="0"/>
          <w:numId w:val="11"/>
        </w:numPr>
        <w:jc w:val="both"/>
      </w:pPr>
      <w:r>
        <w:t xml:space="preserve"> </w:t>
      </w:r>
      <w:r>
        <w:rPr>
          <w:b/>
        </w:rPr>
        <w:t>révoquer la décision d’autorisation</w:t>
      </w:r>
      <w:r>
        <w:t xml:space="preserve"> qu’elle a prise (les entreprises concernées contreviennent aux engagements qu’elles ont pris).</w:t>
      </w:r>
    </w:p>
    <w:p w14:paraId="5D203CF2" w14:textId="77777777" w:rsidR="009C01C4" w:rsidRDefault="009C01C4" w:rsidP="0053189F">
      <w:pPr>
        <w:jc w:val="both"/>
      </w:pPr>
    </w:p>
    <w:p w14:paraId="1FB41828" w14:textId="05EC8112" w:rsidR="0053189F" w:rsidRDefault="0053189F" w:rsidP="0053189F">
      <w:pPr>
        <w:jc w:val="both"/>
      </w:pPr>
      <w:r>
        <w:t xml:space="preserve">Précisons pour finir que la Commission peut, afin de contraindre les parties concernées à respecter ces mesures, prononcer </w:t>
      </w:r>
      <w:r w:rsidRPr="00A32EC0">
        <w:rPr>
          <w:b/>
        </w:rPr>
        <w:t>des astreintes</w:t>
      </w:r>
      <w:r>
        <w:t xml:space="preserve"> pouvant aller jusqu’à 5 % de leur chiffre d’affaires total journalier moyen, par jour ouvrable de retard à compter de la date qu’elle fixe.</w:t>
      </w:r>
    </w:p>
    <w:p w14:paraId="122991DB" w14:textId="77777777" w:rsidR="005D03D2" w:rsidRDefault="005D03D2" w:rsidP="0053189F">
      <w:pPr>
        <w:jc w:val="both"/>
      </w:pPr>
    </w:p>
    <w:p w14:paraId="5DFF9533" w14:textId="77777777" w:rsidR="005D03D2" w:rsidRDefault="005D03D2" w:rsidP="0053189F">
      <w:pPr>
        <w:jc w:val="both"/>
      </w:pPr>
    </w:p>
    <w:p w14:paraId="00AE47C1" w14:textId="77777777" w:rsidR="005D03D2" w:rsidRDefault="005D03D2" w:rsidP="005D03D2">
      <w:pPr>
        <w:pStyle w:val="NormalWeb"/>
        <w:spacing w:before="0" w:beforeAutospacing="0" w:after="180" w:afterAutospacing="0"/>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La société </w:t>
      </w:r>
      <w:r>
        <w:rPr>
          <w:rFonts w:ascii="Times New Roman" w:hAnsi="Times New Roman" w:cs="Times New Roman"/>
          <w:b/>
          <w:bCs/>
          <w:sz w:val="24"/>
          <w:szCs w:val="24"/>
        </w:rPr>
        <w:t>Alpha</w:t>
      </w:r>
      <w:r>
        <w:rPr>
          <w:rFonts w:ascii="Times New Roman" w:hAnsi="Times New Roman" w:cs="Times New Roman"/>
          <w:sz w:val="24"/>
          <w:szCs w:val="24"/>
        </w:rPr>
        <w:t xml:space="preserve"> fabrique du mobilier de jardin et détient environ 40 % du marché français dans le domaine. Ses principaux concurrents sont les sociétés </w:t>
      </w:r>
      <w:r>
        <w:rPr>
          <w:rFonts w:ascii="Times New Roman" w:hAnsi="Times New Roman" w:cs="Times New Roman"/>
          <w:b/>
          <w:bCs/>
          <w:sz w:val="24"/>
          <w:szCs w:val="24"/>
        </w:rPr>
        <w:t>Bêta</w:t>
      </w:r>
      <w:r>
        <w:rPr>
          <w:rFonts w:ascii="Times New Roman" w:hAnsi="Times New Roman" w:cs="Times New Roman"/>
          <w:sz w:val="24"/>
          <w:szCs w:val="24"/>
        </w:rPr>
        <w:t xml:space="preserve"> (25 %) et </w:t>
      </w:r>
      <w:r>
        <w:rPr>
          <w:rFonts w:ascii="Times New Roman" w:hAnsi="Times New Roman" w:cs="Times New Roman"/>
          <w:b/>
          <w:bCs/>
          <w:sz w:val="24"/>
          <w:szCs w:val="24"/>
        </w:rPr>
        <w:t>Gamma</w:t>
      </w:r>
      <w:r>
        <w:rPr>
          <w:rFonts w:ascii="Times New Roman" w:hAnsi="Times New Roman" w:cs="Times New Roman"/>
          <w:sz w:val="24"/>
          <w:szCs w:val="24"/>
        </w:rPr>
        <w:t xml:space="preserve"> (15 %).</w:t>
      </w:r>
    </w:p>
    <w:p w14:paraId="39037694" w14:textId="77777777" w:rsidR="005D03D2" w:rsidRDefault="005D03D2" w:rsidP="005D03D2">
      <w:pPr>
        <w:pStyle w:val="NormalWeb"/>
        <w:spacing w:before="0" w:beforeAutospacing="0" w:after="180" w:afterAutospacing="0"/>
        <w:jc w:val="both"/>
        <w:rPr>
          <w:rFonts w:ascii="Times New Roman" w:hAnsi="Times New Roman" w:cs="Times New Roman"/>
          <w:sz w:val="24"/>
          <w:szCs w:val="24"/>
        </w:rPr>
      </w:pPr>
      <w:r>
        <w:rPr>
          <w:rFonts w:ascii="Times New Roman" w:hAnsi="Times New Roman" w:cs="Times New Roman"/>
          <w:sz w:val="24"/>
          <w:szCs w:val="24"/>
        </w:rPr>
        <w:t xml:space="preserve">Lors d’un grand salon professionnel en mai dernier, les dirigeants d’Alpha et de Bêta se rencontrent à plusieurs reprises. À l’issue de ces échanges, ils décident d’appliquer une augmentation de prix de </w:t>
      </w:r>
      <w:r>
        <w:rPr>
          <w:rFonts w:ascii="Times New Roman" w:hAnsi="Times New Roman" w:cs="Times New Roman"/>
          <w:b/>
          <w:bCs/>
          <w:sz w:val="24"/>
          <w:szCs w:val="24"/>
        </w:rPr>
        <w:t>10 %</w:t>
      </w:r>
      <w:r>
        <w:rPr>
          <w:rFonts w:ascii="Times New Roman" w:hAnsi="Times New Roman" w:cs="Times New Roman"/>
          <w:sz w:val="24"/>
          <w:szCs w:val="24"/>
        </w:rPr>
        <w:t xml:space="preserve"> à compter du 15 juillet. Ils conviennent également qu’Alpha répondra principalement aux appels d’offres des Pays de la Loire tandis que Bêta se concentrera sur ceux de Bretagne.</w:t>
      </w:r>
    </w:p>
    <w:p w14:paraId="54E8DFD6" w14:textId="77777777" w:rsidR="005D03D2" w:rsidRDefault="005D03D2" w:rsidP="005D03D2">
      <w:pPr>
        <w:pStyle w:val="NormalWeb"/>
        <w:spacing w:before="0" w:beforeAutospacing="0" w:after="180" w:afterAutospacing="0"/>
        <w:jc w:val="both"/>
        <w:rPr>
          <w:rFonts w:ascii="Times New Roman" w:hAnsi="Times New Roman" w:cs="Times New Roman"/>
          <w:sz w:val="24"/>
          <w:szCs w:val="24"/>
        </w:rPr>
      </w:pPr>
      <w:r>
        <w:rPr>
          <w:rFonts w:ascii="Times New Roman" w:hAnsi="Times New Roman" w:cs="Times New Roman"/>
          <w:sz w:val="24"/>
          <w:szCs w:val="24"/>
        </w:rPr>
        <w:t xml:space="preserve">Par ailleurs, Alpha adresse à tous ses distributeurs un courrier indiquant que le </w:t>
      </w:r>
      <w:r>
        <w:rPr>
          <w:rFonts w:ascii="Times New Roman" w:hAnsi="Times New Roman" w:cs="Times New Roman"/>
          <w:b/>
          <w:bCs/>
          <w:sz w:val="24"/>
          <w:szCs w:val="24"/>
        </w:rPr>
        <w:t>prix conseillé</w:t>
      </w:r>
      <w:r>
        <w:rPr>
          <w:rFonts w:ascii="Times New Roman" w:hAnsi="Times New Roman" w:cs="Times New Roman"/>
          <w:sz w:val="24"/>
          <w:szCs w:val="24"/>
        </w:rPr>
        <w:t xml:space="preserve"> de vente des ensembles 10 places (table et chaises) est fixé à 1500</w:t>
      </w:r>
      <w:r>
        <w:rPr>
          <w:rFonts w:ascii="Times New Roman" w:hAnsi="Times New Roman" w:cs="Times New Roman"/>
          <w:b/>
          <w:bCs/>
          <w:sz w:val="24"/>
          <w:szCs w:val="24"/>
        </w:rPr>
        <w:t xml:space="preserve"> </w:t>
      </w:r>
      <w:r>
        <w:rPr>
          <w:rFonts w:ascii="Times New Roman" w:hAnsi="Times New Roman" w:cs="Times New Roman"/>
          <w:sz w:val="24"/>
          <w:szCs w:val="24"/>
        </w:rPr>
        <w:t>€. Le courrier précise expressément que les distributeurs demeurent libres de pratiquer les prix qu’ils souhaitent.</w:t>
      </w:r>
    </w:p>
    <w:p w14:paraId="04DFF268" w14:textId="77777777" w:rsidR="005D03D2" w:rsidRDefault="005D03D2" w:rsidP="005D03D2">
      <w:pPr>
        <w:pStyle w:val="NormalWeb"/>
        <w:spacing w:before="0" w:beforeAutospacing="0" w:after="180" w:afterAutospacing="0"/>
        <w:jc w:val="both"/>
        <w:rPr>
          <w:rFonts w:ascii="Times New Roman" w:hAnsi="Times New Roman" w:cs="Times New Roman"/>
          <w:sz w:val="24"/>
          <w:szCs w:val="24"/>
        </w:rPr>
      </w:pPr>
      <w:r>
        <w:rPr>
          <w:rFonts w:ascii="Times New Roman" w:hAnsi="Times New Roman" w:cs="Times New Roman"/>
          <w:sz w:val="24"/>
          <w:szCs w:val="24"/>
        </w:rPr>
        <w:t>Quelques mois plus tard, Alpha annonce son intention d’acquérir l’intégralité des actions de Gamma. Les seuils de chiffre d’affaires prévus par le Code de commerce sont atteints.</w:t>
      </w:r>
    </w:p>
    <w:p w14:paraId="1E633535" w14:textId="77777777" w:rsidR="005D03D2" w:rsidRDefault="005D03D2" w:rsidP="005D03D2">
      <w:pPr>
        <w:pStyle w:val="NormalWeb"/>
        <w:spacing w:before="0" w:beforeAutospacing="0" w:after="180" w:afterAutospacing="0"/>
        <w:jc w:val="both"/>
        <w:rPr>
          <w:rFonts w:ascii="Times New Roman" w:hAnsi="Times New Roman" w:cs="Times New Roman"/>
          <w:sz w:val="24"/>
          <w:szCs w:val="24"/>
        </w:rPr>
      </w:pPr>
      <w:r>
        <w:rPr>
          <w:rFonts w:ascii="Times New Roman" w:hAnsi="Times New Roman" w:cs="Times New Roman"/>
          <w:sz w:val="24"/>
          <w:szCs w:val="24"/>
        </w:rPr>
        <w:t>L’un des concurrents d’Alpha s’interroge sur la conformité de ces pratiques.</w:t>
      </w:r>
    </w:p>
    <w:p w14:paraId="5EFCF949" w14:textId="77777777" w:rsidR="005D03D2" w:rsidRDefault="005D03D2" w:rsidP="005D03D2">
      <w:pPr>
        <w:pStyle w:val="NormalWeb"/>
        <w:spacing w:before="0" w:beforeAutospacing="0" w:after="180" w:afterAutospacing="0"/>
        <w:jc w:val="both"/>
        <w:rPr>
          <w:rFonts w:ascii="Times New Roman" w:hAnsi="Times New Roman" w:cs="Times New Roman"/>
          <w:sz w:val="24"/>
          <w:szCs w:val="24"/>
        </w:rPr>
      </w:pPr>
      <w:r>
        <w:rPr>
          <w:rFonts w:ascii="Times New Roman" w:hAnsi="Times New Roman" w:cs="Times New Roman"/>
          <w:b/>
          <w:bCs/>
          <w:sz w:val="24"/>
          <w:szCs w:val="24"/>
        </w:rPr>
        <w:t>1. Comment qualifier l’accord conclu entre Alpha et Bêta concernant l’augmentation des prix ?</w:t>
      </w:r>
    </w:p>
    <w:p w14:paraId="29F446DA" w14:textId="77777777" w:rsidR="005D03D2" w:rsidRDefault="005D03D2" w:rsidP="005D03D2">
      <w:pPr>
        <w:pStyle w:val="NormalWeb"/>
        <w:spacing w:before="0" w:beforeAutospacing="0" w:after="180" w:afterAutospacing="0"/>
        <w:jc w:val="both"/>
        <w:rPr>
          <w:rFonts w:ascii="Times New Roman" w:hAnsi="Times New Roman" w:cs="Times New Roman"/>
          <w:sz w:val="24"/>
          <w:szCs w:val="24"/>
        </w:rPr>
      </w:pPr>
      <w:r>
        <w:rPr>
          <w:rFonts w:ascii="Times New Roman" w:hAnsi="Times New Roman" w:cs="Times New Roman"/>
          <w:b/>
          <w:bCs/>
          <w:sz w:val="24"/>
          <w:szCs w:val="24"/>
        </w:rPr>
        <w:t>2. Qu’en est-il du contenu du courrier envoyé par Alpha à ses distributeurs ?</w:t>
      </w:r>
    </w:p>
    <w:p w14:paraId="1B4EF12A" w14:textId="77777777" w:rsidR="005D03D2" w:rsidRDefault="005D03D2" w:rsidP="005D03D2">
      <w:pPr>
        <w:pStyle w:val="NormalWeb"/>
        <w:spacing w:before="0" w:beforeAutospacing="0" w:after="180" w:afterAutospacing="0"/>
        <w:jc w:val="both"/>
        <w:rPr>
          <w:rFonts w:ascii="Times New Roman" w:hAnsi="Times New Roman" w:cs="Times New Roman"/>
          <w:sz w:val="24"/>
          <w:szCs w:val="24"/>
        </w:rPr>
      </w:pPr>
      <w:r>
        <w:rPr>
          <w:rFonts w:ascii="Times New Roman" w:hAnsi="Times New Roman" w:cs="Times New Roman"/>
          <w:b/>
          <w:bCs/>
          <w:sz w:val="24"/>
          <w:szCs w:val="24"/>
        </w:rPr>
        <w:t>3. Le projet de rachat de Gamma constitue-t-il une opération de concentration ?</w:t>
      </w:r>
    </w:p>
    <w:p w14:paraId="3E86952D" w14:textId="77777777" w:rsidR="005D03D2" w:rsidRDefault="005D03D2" w:rsidP="005D03D2">
      <w:pPr>
        <w:pStyle w:val="NormalWeb"/>
        <w:spacing w:before="0" w:beforeAutospacing="0" w:after="180" w:afterAutospacing="0"/>
        <w:jc w:val="both"/>
        <w:rPr>
          <w:rFonts w:ascii="Times New Roman" w:hAnsi="Times New Roman" w:cs="Times New Roman"/>
          <w:sz w:val="24"/>
          <w:szCs w:val="24"/>
        </w:rPr>
      </w:pPr>
      <w:r>
        <w:rPr>
          <w:rFonts w:ascii="Times New Roman" w:hAnsi="Times New Roman" w:cs="Times New Roman"/>
          <w:b/>
          <w:bCs/>
          <w:sz w:val="24"/>
          <w:szCs w:val="24"/>
        </w:rPr>
        <w:t>4. Le fait que les seuils légaux soient atteints signifie-t-il que l’opération est automatiquement interdite ?</w:t>
      </w:r>
    </w:p>
    <w:p w14:paraId="4C15ACAC" w14:textId="77777777" w:rsidR="005D03D2" w:rsidRDefault="005D03D2" w:rsidP="005D03D2">
      <w:pPr>
        <w:pStyle w:val="NormalWeb"/>
        <w:spacing w:before="0" w:beforeAutospacing="0" w:after="180" w:afterAutospacing="0"/>
        <w:jc w:val="both"/>
        <w:rPr>
          <w:rFonts w:ascii="Times New Roman" w:hAnsi="Times New Roman" w:cs="Times New Roman"/>
          <w:sz w:val="24"/>
          <w:szCs w:val="24"/>
        </w:rPr>
      </w:pPr>
      <w:r>
        <w:rPr>
          <w:rFonts w:ascii="Times New Roman" w:hAnsi="Times New Roman" w:cs="Times New Roman"/>
          <w:b/>
          <w:bCs/>
          <w:sz w:val="24"/>
          <w:szCs w:val="24"/>
        </w:rPr>
        <w:t>5. Quelle autorité est compétente pour contrôler cette opération de concentration et quelles décisions cette autorité peut-elle prendre à l’issue de son contrôle ?</w:t>
      </w:r>
    </w:p>
    <w:p w14:paraId="768E2DB4" w14:textId="77777777" w:rsidR="005D03D2" w:rsidRDefault="005D03D2" w:rsidP="005D03D2">
      <w:pPr>
        <w:pStyle w:val="NormalWeb"/>
        <w:spacing w:before="0" w:beforeAutospacing="0" w:after="0" w:afterAutospacing="0"/>
        <w:rPr>
          <w:rFonts w:ascii="Times New Roman" w:hAnsi="Times New Roman" w:cs="Times New Roman"/>
          <w:color w:val="808080"/>
          <w:sz w:val="24"/>
          <w:szCs w:val="24"/>
        </w:rPr>
      </w:pPr>
    </w:p>
    <w:p w14:paraId="477C4FD2" w14:textId="77777777" w:rsidR="005D03D2" w:rsidRDefault="005D03D2" w:rsidP="005D03D2">
      <w:pPr>
        <w:pStyle w:val="NormalWeb"/>
        <w:spacing w:before="0" w:beforeAutospacing="0" w:after="242" w:afterAutospacing="0"/>
        <w:rPr>
          <w:rFonts w:ascii="TimesNewRomanPS-BoldMT" w:hAnsi="TimesNewRomanPS-BoldMT" w:cs="Times New Roman"/>
          <w:b/>
          <w:bCs/>
          <w:sz w:val="24"/>
          <w:szCs w:val="24"/>
        </w:rPr>
      </w:pPr>
    </w:p>
    <w:p w14:paraId="070F07D4" w14:textId="77777777" w:rsidR="005D03D2" w:rsidRDefault="005D03D2" w:rsidP="005D03D2">
      <w:pPr>
        <w:pStyle w:val="NormalWeb"/>
        <w:spacing w:before="0" w:beforeAutospacing="0" w:after="242" w:afterAutospacing="0"/>
        <w:rPr>
          <w:rFonts w:ascii="TimesNewRomanPS-BoldMT" w:hAnsi="TimesNewRomanPS-BoldMT" w:cs="Times New Roman"/>
          <w:b/>
          <w:bCs/>
          <w:sz w:val="24"/>
          <w:szCs w:val="24"/>
        </w:rPr>
      </w:pPr>
    </w:p>
    <w:p w14:paraId="27189D5F" w14:textId="77777777" w:rsidR="005D03D2" w:rsidRDefault="005D03D2" w:rsidP="0053189F">
      <w:pPr>
        <w:jc w:val="both"/>
      </w:pPr>
    </w:p>
    <w:p w14:paraId="5B0F686F" w14:textId="77777777" w:rsidR="005800AF" w:rsidRDefault="005D03D2"/>
    <w:sectPr w:rsidR="005800AF" w:rsidSect="005B5A9D">
      <w:headerReference w:type="even" r:id="rId11"/>
      <w:footerReference w:type="even" r:id="rId12"/>
      <w:footerReference w:type="default" r:id="rId13"/>
      <w:footnotePr>
        <w:pos w:val="beneathText"/>
      </w:footnotePr>
      <w:pgSz w:w="11905" w:h="16837"/>
      <w:pgMar w:top="1276"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40C0C" w14:textId="77777777" w:rsidR="00D24A77" w:rsidRDefault="00D24A77">
      <w:r>
        <w:separator/>
      </w:r>
    </w:p>
  </w:endnote>
  <w:endnote w:type="continuationSeparator" w:id="0">
    <w:p w14:paraId="25BB1A5D" w14:textId="77777777" w:rsidR="00D24A77" w:rsidRDefault="00D24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47CAB" w14:textId="77777777" w:rsidR="00C400AD" w:rsidRDefault="0053189F" w:rsidP="0082564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108F7BB3" w14:textId="77777777" w:rsidR="00C400AD" w:rsidRDefault="005D03D2" w:rsidP="00641F8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AE01" w14:textId="6F636CEE" w:rsidR="00C400AD" w:rsidRDefault="0053189F">
    <w:pPr>
      <w:pStyle w:val="Pieddepage"/>
      <w:jc w:val="right"/>
    </w:pPr>
    <w:r>
      <w:fldChar w:fldCharType="begin"/>
    </w:r>
    <w:r>
      <w:instrText>PAGE   \* MERGEFORMAT</w:instrText>
    </w:r>
    <w:r>
      <w:fldChar w:fldCharType="separate"/>
    </w:r>
    <w:r w:rsidR="00FB1F18">
      <w:rPr>
        <w:noProof/>
      </w:rPr>
      <w:t>8</w:t>
    </w:r>
    <w:r>
      <w:fldChar w:fldCharType="end"/>
    </w:r>
  </w:p>
  <w:p w14:paraId="778E1D9F" w14:textId="77777777" w:rsidR="00C400AD" w:rsidRDefault="005D03D2">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C6FB6" w14:textId="77777777" w:rsidR="00D24A77" w:rsidRDefault="00D24A77">
      <w:r>
        <w:separator/>
      </w:r>
    </w:p>
  </w:footnote>
  <w:footnote w:type="continuationSeparator" w:id="0">
    <w:p w14:paraId="35F82DD2" w14:textId="77777777" w:rsidR="00D24A77" w:rsidRDefault="00D24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A90CB" w14:textId="77777777" w:rsidR="00C400AD" w:rsidRDefault="0053189F" w:rsidP="00825641">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BE18B64" w14:textId="77777777" w:rsidR="00C400AD" w:rsidRDefault="005D03D2" w:rsidP="00D5379F">
    <w:pPr>
      <w:pStyle w:val="En-tt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B12CF"/>
    <w:multiLevelType w:val="hybridMultilevel"/>
    <w:tmpl w:val="73063A5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15:restartNumberingAfterBreak="0">
    <w:nsid w:val="18B916D1"/>
    <w:multiLevelType w:val="hybridMultilevel"/>
    <w:tmpl w:val="60AC0C4E"/>
    <w:lvl w:ilvl="0" w:tplc="F24E65AE">
      <w:start w:val="1"/>
      <w:numFmt w:val="upp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 w15:restartNumberingAfterBreak="0">
    <w:nsid w:val="1DF0247D"/>
    <w:multiLevelType w:val="hybridMultilevel"/>
    <w:tmpl w:val="AB12825E"/>
    <w:lvl w:ilvl="0" w:tplc="E0E44A20">
      <w:start w:val="1"/>
      <w:numFmt w:val="decimal"/>
      <w:lvlText w:val="%1."/>
      <w:lvlJc w:val="left"/>
      <w:pPr>
        <w:tabs>
          <w:tab w:val="num" w:pos="1140"/>
        </w:tabs>
        <w:ind w:left="1140" w:hanging="360"/>
      </w:pPr>
      <w:rPr>
        <w:b/>
      </w:rPr>
    </w:lvl>
    <w:lvl w:ilvl="1" w:tplc="040C0019" w:tentative="1">
      <w:start w:val="1"/>
      <w:numFmt w:val="lowerLetter"/>
      <w:lvlText w:val="%2."/>
      <w:lvlJc w:val="left"/>
      <w:pPr>
        <w:tabs>
          <w:tab w:val="num" w:pos="1860"/>
        </w:tabs>
        <w:ind w:left="1860" w:hanging="360"/>
      </w:pPr>
    </w:lvl>
    <w:lvl w:ilvl="2" w:tplc="040C001B" w:tentative="1">
      <w:start w:val="1"/>
      <w:numFmt w:val="lowerRoman"/>
      <w:lvlText w:val="%3."/>
      <w:lvlJc w:val="right"/>
      <w:pPr>
        <w:tabs>
          <w:tab w:val="num" w:pos="2580"/>
        </w:tabs>
        <w:ind w:left="2580" w:hanging="180"/>
      </w:pPr>
    </w:lvl>
    <w:lvl w:ilvl="3" w:tplc="040C000F" w:tentative="1">
      <w:start w:val="1"/>
      <w:numFmt w:val="decimal"/>
      <w:lvlText w:val="%4."/>
      <w:lvlJc w:val="left"/>
      <w:pPr>
        <w:tabs>
          <w:tab w:val="num" w:pos="3300"/>
        </w:tabs>
        <w:ind w:left="3300" w:hanging="360"/>
      </w:pPr>
    </w:lvl>
    <w:lvl w:ilvl="4" w:tplc="040C0019" w:tentative="1">
      <w:start w:val="1"/>
      <w:numFmt w:val="lowerLetter"/>
      <w:lvlText w:val="%5."/>
      <w:lvlJc w:val="left"/>
      <w:pPr>
        <w:tabs>
          <w:tab w:val="num" w:pos="4020"/>
        </w:tabs>
        <w:ind w:left="4020" w:hanging="360"/>
      </w:pPr>
    </w:lvl>
    <w:lvl w:ilvl="5" w:tplc="040C001B" w:tentative="1">
      <w:start w:val="1"/>
      <w:numFmt w:val="lowerRoman"/>
      <w:lvlText w:val="%6."/>
      <w:lvlJc w:val="right"/>
      <w:pPr>
        <w:tabs>
          <w:tab w:val="num" w:pos="4740"/>
        </w:tabs>
        <w:ind w:left="4740" w:hanging="180"/>
      </w:pPr>
    </w:lvl>
    <w:lvl w:ilvl="6" w:tplc="040C000F" w:tentative="1">
      <w:start w:val="1"/>
      <w:numFmt w:val="decimal"/>
      <w:lvlText w:val="%7."/>
      <w:lvlJc w:val="left"/>
      <w:pPr>
        <w:tabs>
          <w:tab w:val="num" w:pos="5460"/>
        </w:tabs>
        <w:ind w:left="5460" w:hanging="360"/>
      </w:pPr>
    </w:lvl>
    <w:lvl w:ilvl="7" w:tplc="040C0019" w:tentative="1">
      <w:start w:val="1"/>
      <w:numFmt w:val="lowerLetter"/>
      <w:lvlText w:val="%8."/>
      <w:lvlJc w:val="left"/>
      <w:pPr>
        <w:tabs>
          <w:tab w:val="num" w:pos="6180"/>
        </w:tabs>
        <w:ind w:left="6180" w:hanging="360"/>
      </w:pPr>
    </w:lvl>
    <w:lvl w:ilvl="8" w:tplc="040C001B" w:tentative="1">
      <w:start w:val="1"/>
      <w:numFmt w:val="lowerRoman"/>
      <w:lvlText w:val="%9."/>
      <w:lvlJc w:val="right"/>
      <w:pPr>
        <w:tabs>
          <w:tab w:val="num" w:pos="6900"/>
        </w:tabs>
        <w:ind w:left="6900" w:hanging="180"/>
      </w:pPr>
    </w:lvl>
  </w:abstractNum>
  <w:abstractNum w:abstractNumId="3" w15:restartNumberingAfterBreak="0">
    <w:nsid w:val="1F874897"/>
    <w:multiLevelType w:val="hybridMultilevel"/>
    <w:tmpl w:val="2E1E7C8C"/>
    <w:lvl w:ilvl="0" w:tplc="040C0001">
      <w:start w:val="1"/>
      <w:numFmt w:val="bullet"/>
      <w:lvlText w:val=""/>
      <w:lvlJc w:val="left"/>
      <w:pPr>
        <w:tabs>
          <w:tab w:val="num" w:pos="780"/>
        </w:tabs>
        <w:ind w:left="780" w:hanging="360"/>
      </w:pPr>
      <w:rPr>
        <w:rFonts w:ascii="Symbol" w:hAnsi="Symbol"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4" w15:restartNumberingAfterBreak="0">
    <w:nsid w:val="3F4D1B4C"/>
    <w:multiLevelType w:val="hybridMultilevel"/>
    <w:tmpl w:val="95ECE346"/>
    <w:lvl w:ilvl="0" w:tplc="040C000F">
      <w:start w:val="1"/>
      <w:numFmt w:val="decimal"/>
      <w:lvlText w:val="%1."/>
      <w:lvlJc w:val="left"/>
      <w:pPr>
        <w:tabs>
          <w:tab w:val="num" w:pos="780"/>
        </w:tabs>
        <w:ind w:left="780" w:hanging="360"/>
      </w:p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5" w15:restartNumberingAfterBreak="0">
    <w:nsid w:val="41B0519B"/>
    <w:multiLevelType w:val="hybridMultilevel"/>
    <w:tmpl w:val="D6F03E5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5175579"/>
    <w:multiLevelType w:val="hybridMultilevel"/>
    <w:tmpl w:val="444A2F62"/>
    <w:lvl w:ilvl="0" w:tplc="040C000F">
      <w:start w:val="1"/>
      <w:numFmt w:val="decimal"/>
      <w:lvlText w:val="%1."/>
      <w:lvlJc w:val="left"/>
      <w:pPr>
        <w:tabs>
          <w:tab w:val="num" w:pos="1080"/>
        </w:tabs>
        <w:ind w:left="1080" w:hanging="360"/>
      </w:pPr>
    </w:lvl>
    <w:lvl w:ilvl="1" w:tplc="040C0019" w:tentative="1">
      <w:start w:val="1"/>
      <w:numFmt w:val="lowerLetter"/>
      <w:lvlText w:val="%2."/>
      <w:lvlJc w:val="left"/>
      <w:pPr>
        <w:tabs>
          <w:tab w:val="num" w:pos="1800"/>
        </w:tabs>
        <w:ind w:left="180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7" w15:restartNumberingAfterBreak="0">
    <w:nsid w:val="506F773B"/>
    <w:multiLevelType w:val="hybridMultilevel"/>
    <w:tmpl w:val="F46EE324"/>
    <w:lvl w:ilvl="0" w:tplc="040C0001">
      <w:start w:val="1"/>
      <w:numFmt w:val="bullet"/>
      <w:lvlText w:val=""/>
      <w:lvlJc w:val="left"/>
      <w:pPr>
        <w:tabs>
          <w:tab w:val="num" w:pos="780"/>
        </w:tabs>
        <w:ind w:left="780" w:hanging="360"/>
      </w:pPr>
      <w:rPr>
        <w:rFonts w:ascii="Symbol" w:hAnsi="Symbol"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5686162B"/>
    <w:multiLevelType w:val="hybridMultilevel"/>
    <w:tmpl w:val="675E0EA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6CF71094"/>
    <w:multiLevelType w:val="hybridMultilevel"/>
    <w:tmpl w:val="710C684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78367F25"/>
    <w:multiLevelType w:val="hybridMultilevel"/>
    <w:tmpl w:val="0C4E4BC8"/>
    <w:lvl w:ilvl="0" w:tplc="C0D4343A">
      <w:start w:val="1"/>
      <w:numFmt w:val="decimal"/>
      <w:lvlText w:val="%1."/>
      <w:lvlJc w:val="left"/>
      <w:pPr>
        <w:tabs>
          <w:tab w:val="num" w:pos="780"/>
        </w:tabs>
        <w:ind w:left="780" w:hanging="360"/>
      </w:pPr>
      <w:rPr>
        <w:b/>
      </w:r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0A0"/>
    <w:rsid w:val="00077184"/>
    <w:rsid w:val="000A4004"/>
    <w:rsid w:val="000D05EA"/>
    <w:rsid w:val="000F55FC"/>
    <w:rsid w:val="001718CF"/>
    <w:rsid w:val="001A1727"/>
    <w:rsid w:val="001A4D3D"/>
    <w:rsid w:val="001B224F"/>
    <w:rsid w:val="00266D55"/>
    <w:rsid w:val="00277B8A"/>
    <w:rsid w:val="00457F57"/>
    <w:rsid w:val="00463CC0"/>
    <w:rsid w:val="004D1FAF"/>
    <w:rsid w:val="0053189F"/>
    <w:rsid w:val="0054654A"/>
    <w:rsid w:val="005577DF"/>
    <w:rsid w:val="005B0C98"/>
    <w:rsid w:val="005D03D2"/>
    <w:rsid w:val="0062484C"/>
    <w:rsid w:val="006A6E9E"/>
    <w:rsid w:val="006B52C8"/>
    <w:rsid w:val="0073500D"/>
    <w:rsid w:val="007C739C"/>
    <w:rsid w:val="008A1843"/>
    <w:rsid w:val="008B0138"/>
    <w:rsid w:val="008E40A0"/>
    <w:rsid w:val="00942A78"/>
    <w:rsid w:val="009C01C4"/>
    <w:rsid w:val="009E668D"/>
    <w:rsid w:val="00A32EC0"/>
    <w:rsid w:val="00A403E8"/>
    <w:rsid w:val="00A931FF"/>
    <w:rsid w:val="00AD3286"/>
    <w:rsid w:val="00B4311B"/>
    <w:rsid w:val="00B838D9"/>
    <w:rsid w:val="00B945B8"/>
    <w:rsid w:val="00C77A17"/>
    <w:rsid w:val="00CF1CFF"/>
    <w:rsid w:val="00D24A77"/>
    <w:rsid w:val="00D47470"/>
    <w:rsid w:val="00ED37FD"/>
    <w:rsid w:val="00FB1F18"/>
    <w:rsid w:val="00FD40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2365DE8"/>
  <w15:chartTrackingRefBased/>
  <w15:docId w15:val="{3330A840-092B-42A8-8C7A-518F7183B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89F"/>
    <w:pPr>
      <w:suppressAutoHyphens/>
      <w:spacing w:after="0" w:line="240" w:lineRule="auto"/>
    </w:pPr>
    <w:rPr>
      <w:rFonts w:ascii="Times New Roman" w:eastAsia="Times New Roman" w:hAnsi="Times New Roman" w:cs="Times New Roman"/>
      <w:sz w:val="24"/>
      <w:szCs w:val="24"/>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rsid w:val="0053189F"/>
  </w:style>
  <w:style w:type="paragraph" w:styleId="Pieddepage">
    <w:name w:val="footer"/>
    <w:basedOn w:val="Normal"/>
    <w:link w:val="PieddepageCar"/>
    <w:uiPriority w:val="99"/>
    <w:rsid w:val="0053189F"/>
    <w:pPr>
      <w:tabs>
        <w:tab w:val="center" w:pos="4536"/>
        <w:tab w:val="right" w:pos="9072"/>
      </w:tabs>
    </w:pPr>
  </w:style>
  <w:style w:type="character" w:customStyle="1" w:styleId="PieddepageCar">
    <w:name w:val="Pied de page Car"/>
    <w:basedOn w:val="Policepardfaut"/>
    <w:link w:val="Pieddepage"/>
    <w:uiPriority w:val="99"/>
    <w:rsid w:val="0053189F"/>
    <w:rPr>
      <w:rFonts w:ascii="Times New Roman" w:eastAsia="Times New Roman" w:hAnsi="Times New Roman" w:cs="Times New Roman"/>
      <w:sz w:val="24"/>
      <w:szCs w:val="24"/>
      <w:lang w:eastAsia="ar-SA"/>
    </w:rPr>
  </w:style>
  <w:style w:type="paragraph" w:styleId="En-tte">
    <w:name w:val="header"/>
    <w:basedOn w:val="Normal"/>
    <w:link w:val="En-tteCar"/>
    <w:rsid w:val="0053189F"/>
    <w:pPr>
      <w:tabs>
        <w:tab w:val="center" w:pos="4536"/>
        <w:tab w:val="right" w:pos="9072"/>
      </w:tabs>
    </w:pPr>
  </w:style>
  <w:style w:type="character" w:customStyle="1" w:styleId="En-tteCar">
    <w:name w:val="En-tête Car"/>
    <w:basedOn w:val="Policepardfaut"/>
    <w:link w:val="En-tte"/>
    <w:rsid w:val="0053189F"/>
    <w:rPr>
      <w:rFonts w:ascii="Times New Roman" w:eastAsia="Times New Roman" w:hAnsi="Times New Roman" w:cs="Times New Roman"/>
      <w:sz w:val="24"/>
      <w:szCs w:val="24"/>
      <w:lang w:eastAsia="ar-SA"/>
    </w:rPr>
  </w:style>
  <w:style w:type="character" w:styleId="lev">
    <w:name w:val="Strong"/>
    <w:basedOn w:val="Policepardfaut"/>
    <w:uiPriority w:val="22"/>
    <w:qFormat/>
    <w:rsid w:val="00FD4061"/>
    <w:rPr>
      <w:b/>
      <w:bCs/>
    </w:rPr>
  </w:style>
  <w:style w:type="paragraph" w:styleId="Paragraphedeliste">
    <w:name w:val="List Paragraph"/>
    <w:basedOn w:val="Normal"/>
    <w:uiPriority w:val="34"/>
    <w:qFormat/>
    <w:rsid w:val="0054654A"/>
    <w:pPr>
      <w:ind w:left="720"/>
      <w:contextualSpacing/>
    </w:pPr>
  </w:style>
  <w:style w:type="table" w:styleId="Grilledutableau">
    <w:name w:val="Table Grid"/>
    <w:basedOn w:val="TableauNormal"/>
    <w:uiPriority w:val="39"/>
    <w:rsid w:val="00CF1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D03D2"/>
    <w:pPr>
      <w:suppressAutoHyphens w:val="0"/>
      <w:spacing w:before="100" w:beforeAutospacing="1" w:after="100" w:afterAutospacing="1"/>
    </w:pPr>
    <w:rPr>
      <w:rFonts w:ascii="Calibri" w:eastAsiaTheme="minorHAnsi" w:hAnsi="Calibri" w:cs="Calibri"/>
      <w:sz w:val="22"/>
      <w:szCs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842156">
      <w:bodyDiv w:val="1"/>
      <w:marLeft w:val="0"/>
      <w:marRight w:val="0"/>
      <w:marTop w:val="0"/>
      <w:marBottom w:val="0"/>
      <w:divBdr>
        <w:top w:val="none" w:sz="0" w:space="0" w:color="auto"/>
        <w:left w:val="none" w:sz="0" w:space="0" w:color="auto"/>
        <w:bottom w:val="none" w:sz="0" w:space="0" w:color="auto"/>
        <w:right w:val="none" w:sz="0" w:space="0" w:color="auto"/>
      </w:divBdr>
    </w:div>
    <w:div w:id="465051578">
      <w:bodyDiv w:val="1"/>
      <w:marLeft w:val="0"/>
      <w:marRight w:val="0"/>
      <w:marTop w:val="0"/>
      <w:marBottom w:val="0"/>
      <w:divBdr>
        <w:top w:val="none" w:sz="0" w:space="0" w:color="auto"/>
        <w:left w:val="none" w:sz="0" w:space="0" w:color="auto"/>
        <w:bottom w:val="none" w:sz="0" w:space="0" w:color="auto"/>
        <w:right w:val="none" w:sz="0" w:space="0" w:color="auto"/>
      </w:divBdr>
    </w:div>
    <w:div w:id="2100633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6F0A0C-14B2-4F82-9D6D-F5B2BB88BC8D}">
  <ds:schemaRefs>
    <ds:schemaRef ds:uri="http://schemas.openxmlformats.org/officeDocument/2006/bibliography"/>
  </ds:schemaRefs>
</ds:datastoreItem>
</file>

<file path=customXml/itemProps2.xml><?xml version="1.0" encoding="utf-8"?>
<ds:datastoreItem xmlns:ds="http://schemas.openxmlformats.org/officeDocument/2006/customXml" ds:itemID="{72BB9103-8010-42F2-BFB0-AFE8BEE0DCCF}"/>
</file>

<file path=customXml/itemProps3.xml><?xml version="1.0" encoding="utf-8"?>
<ds:datastoreItem xmlns:ds="http://schemas.openxmlformats.org/officeDocument/2006/customXml" ds:itemID="{51DB94C8-69A4-4FE5-8EA9-C2A3CE0395F2}"/>
</file>

<file path=customXml/itemProps4.xml><?xml version="1.0" encoding="utf-8"?>
<ds:datastoreItem xmlns:ds="http://schemas.openxmlformats.org/officeDocument/2006/customXml" ds:itemID="{410678A1-4A92-4FE5-8F8E-80A87D4BE254}"/>
</file>

<file path=docProps/app.xml><?xml version="1.0" encoding="utf-8"?>
<Properties xmlns="http://schemas.openxmlformats.org/officeDocument/2006/extended-properties" xmlns:vt="http://schemas.openxmlformats.org/officeDocument/2006/docPropsVTypes">
  <Template>Normal</Template>
  <TotalTime>154</TotalTime>
  <Pages>10</Pages>
  <Words>2461</Words>
  <Characters>13538</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36</cp:revision>
  <dcterms:created xsi:type="dcterms:W3CDTF">2024-06-24T13:01:00Z</dcterms:created>
  <dcterms:modified xsi:type="dcterms:W3CDTF">2026-07-09T07:18:00Z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