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970B05" w14:textId="77777777" w:rsidR="00725BB2" w:rsidRDefault="00725BB2" w:rsidP="00725BB2">
      <w:pPr>
        <w:jc w:val="center"/>
      </w:pPr>
      <w:r>
        <w:t xml:space="preserve">CORRECTION CAS PRATIQUE </w:t>
      </w:r>
    </w:p>
    <w:p w14:paraId="628EB43A" w14:textId="77777777" w:rsidR="00725BB2" w:rsidRDefault="00725BB2" w:rsidP="00725BB2">
      <w:pPr>
        <w:jc w:val="center"/>
      </w:pPr>
      <w:r>
        <w:t>SUR L’ALERTE</w:t>
      </w:r>
    </w:p>
    <w:p w14:paraId="17A5071D" w14:textId="77777777" w:rsidR="00725BB2" w:rsidRDefault="00725BB2" w:rsidP="00725BB2">
      <w:pPr>
        <w:jc w:val="center"/>
      </w:pPr>
    </w:p>
    <w:p w14:paraId="310EA88C" w14:textId="77777777" w:rsidR="00725BB2" w:rsidRDefault="00725BB2" w:rsidP="00725BB2">
      <w:pPr>
        <w:pStyle w:val="Paragraphedeliste"/>
        <w:numPr>
          <w:ilvl w:val="0"/>
          <w:numId w:val="1"/>
        </w:numPr>
        <w:spacing w:after="160" w:line="254" w:lineRule="auto"/>
        <w:contextualSpacing/>
        <w:jc w:val="both"/>
        <w:rPr>
          <w:b/>
        </w:rPr>
      </w:pPr>
      <w:r>
        <w:rPr>
          <w:b/>
        </w:rPr>
        <w:t>Quelles sont les raisons qui peuvent conduire le CAC à déclencher une procédure d’alerte ?</w:t>
      </w:r>
    </w:p>
    <w:p w14:paraId="1A64C181" w14:textId="77777777" w:rsidR="00725BB2" w:rsidRDefault="00725BB2" w:rsidP="00725BB2">
      <w:pPr>
        <w:jc w:val="both"/>
        <w:rPr>
          <w:b/>
        </w:rPr>
      </w:pPr>
      <w:r>
        <w:rPr>
          <w:b/>
        </w:rPr>
        <w:t>-Pas de reformulation du problème de droit : quelles sont les raisons qui peuvent conduire UN CAC à déclencher une procédure d’alerte ?</w:t>
      </w:r>
    </w:p>
    <w:p w14:paraId="26601FA5" w14:textId="77777777" w:rsidR="00725BB2" w:rsidRDefault="00725BB2" w:rsidP="00725BB2">
      <w:pPr>
        <w:jc w:val="both"/>
        <w:rPr>
          <w:b/>
        </w:rPr>
      </w:pPr>
    </w:p>
    <w:p w14:paraId="50AAD61B" w14:textId="4D42D3D7" w:rsidR="00725BB2" w:rsidRDefault="00725BB2" w:rsidP="00725BB2">
      <w:pPr>
        <w:jc w:val="both"/>
      </w:pPr>
      <w:r>
        <w:t>-Lorsque le Commissaire aux comptes d’une S</w:t>
      </w:r>
      <w:r w:rsidR="00B1480D">
        <w:t>A</w:t>
      </w:r>
      <w:r>
        <w:t xml:space="preserve"> relève, à l’occasion de l’exercice de sa mission, </w:t>
      </w:r>
      <w:r>
        <w:rPr>
          <w:u w:val="single"/>
        </w:rPr>
        <w:t>des faits de nature à compromettre la continuité de l’exploitation, il déclenche la procédure d’alerte</w:t>
      </w:r>
      <w:r>
        <w:t xml:space="preserve">. Selon les textes, il en informe alors le Président du Conseil d’administration ou du Directoire, ce qui constitue le point de départ de la procédure d’alerte. Il s’agit d’une obligation dans les sociétés commerciales. </w:t>
      </w:r>
    </w:p>
    <w:p w14:paraId="44E4A97E" w14:textId="77777777" w:rsidR="00725BB2" w:rsidRDefault="00725BB2" w:rsidP="00725BB2">
      <w:pPr>
        <w:jc w:val="both"/>
      </w:pPr>
      <w:r>
        <w:t xml:space="preserve">Tout fait susceptible de remettre en cause la pérennité ou l’avenir de la société peut être à l’origine du déclenchement de la procédure d’alerte. L’incertitude pesant sur la continuité d’exploitation peut résulter d’éléments divers à caractère financier, juridique (situation de </w:t>
      </w:r>
      <w:proofErr w:type="gramStart"/>
      <w:r>
        <w:t>trésorerie</w:t>
      </w:r>
      <w:proofErr w:type="gramEnd"/>
      <w:r>
        <w:t xml:space="preserve"> négative, rupture d’approvisionnement en matière première, conflits sociaux graves et répétés, éléments « négatifs » ou préoccupants qui ne peuvent être contrebalancés par des faits rassurants…)</w:t>
      </w:r>
    </w:p>
    <w:p w14:paraId="13471EE4" w14:textId="77777777" w:rsidR="00725BB2" w:rsidRDefault="00725BB2" w:rsidP="00725BB2">
      <w:pPr>
        <w:ind w:left="360"/>
        <w:jc w:val="both"/>
      </w:pPr>
    </w:p>
    <w:p w14:paraId="2A78DBAF" w14:textId="77777777" w:rsidR="00725BB2" w:rsidRDefault="00725BB2" w:rsidP="00725BB2">
      <w:pPr>
        <w:jc w:val="both"/>
      </w:pPr>
      <w:r>
        <w:t xml:space="preserve">-En l’espèce, la SA XTREME PARK, qui exploite différents parcs d’attractions est dans une situation difficile : en raison d’une baisse d’activité due à de nombreuses fermetures administratives elles-mêmes liées à un non-respect des normes de sécurité, les comptes audités de la société font apparaître une perte de l’ordre de 115 OOO Euros et les capitaux propres sont négatifs à hauteur de 80 000 Euros. </w:t>
      </w:r>
    </w:p>
    <w:p w14:paraId="79908DA8" w14:textId="77777777" w:rsidR="00725BB2" w:rsidRDefault="00725BB2" w:rsidP="00725BB2">
      <w:pPr>
        <w:jc w:val="both"/>
        <w:rPr>
          <w:b/>
        </w:rPr>
      </w:pPr>
      <w:r>
        <w:t xml:space="preserve">En outre, il se trouve que des installations n’ont pas encore pu être mises aux normes et ne peuvent donc toujours pas être accessibles au public, ce qui signifie que le parc ne pourra pas fonctionner correctement sur la période de forte activité qui va débuter prochainement. </w:t>
      </w:r>
      <w:r>
        <w:rPr>
          <w:b/>
        </w:rPr>
        <w:t xml:space="preserve">Il s’agit d’un ensemble de faits qui sont bien de nature à compromettre la continuité de l’exploitation : capitaux propres négatifs, sous-activité notable, continue et nettement prévisible pour l’avenir (pas de mise en conformité des installations des parcs), dépenses importantes dans les mois à venir (en vue de ces mises en conformité).   </w:t>
      </w:r>
    </w:p>
    <w:p w14:paraId="39975201" w14:textId="77777777" w:rsidR="00725BB2" w:rsidRDefault="00725BB2" w:rsidP="00725BB2">
      <w:pPr>
        <w:jc w:val="both"/>
      </w:pPr>
      <w:r>
        <w:t xml:space="preserve">Au regard de la situation préoccupante, le CAC de la SA XTREME PARK doit donc déclencher la procédure d’alerte et en informer le président du Conseil d’Administration. </w:t>
      </w:r>
    </w:p>
    <w:p w14:paraId="7D31C075" w14:textId="77777777" w:rsidR="00725BB2" w:rsidRDefault="00725BB2" w:rsidP="00725BB2">
      <w:pPr>
        <w:ind w:left="360"/>
        <w:jc w:val="both"/>
      </w:pPr>
    </w:p>
    <w:p w14:paraId="78B14F5F" w14:textId="77777777" w:rsidR="00725BB2" w:rsidRDefault="00725BB2" w:rsidP="00725BB2">
      <w:pPr>
        <w:pStyle w:val="Paragraphedeliste"/>
        <w:numPr>
          <w:ilvl w:val="0"/>
          <w:numId w:val="1"/>
        </w:numPr>
        <w:spacing w:after="160" w:line="254" w:lineRule="auto"/>
        <w:contextualSpacing/>
        <w:jc w:val="both"/>
        <w:rPr>
          <w:b/>
        </w:rPr>
      </w:pPr>
      <w:r>
        <w:rPr>
          <w:b/>
        </w:rPr>
        <w:t xml:space="preserve">Exposez les différentes phases de la procédure d’alerte qui pourrait être déclenchée par le CAC de la SA XTREME PARK ? </w:t>
      </w:r>
    </w:p>
    <w:p w14:paraId="453EEDEA" w14:textId="77777777" w:rsidR="00725BB2" w:rsidRDefault="00725BB2" w:rsidP="00725BB2">
      <w:pPr>
        <w:jc w:val="both"/>
        <w:rPr>
          <w:b/>
        </w:rPr>
      </w:pPr>
      <w:r>
        <w:t>-</w:t>
      </w:r>
      <w:r>
        <w:rPr>
          <w:b/>
        </w:rPr>
        <w:t>Quelles sont les différentes phases de la procédure d’alerte déclenchée par le CAC d’une SA ?</w:t>
      </w:r>
    </w:p>
    <w:p w14:paraId="1A3A1455" w14:textId="6D431327" w:rsidR="00725BB2" w:rsidRDefault="00725BB2" w:rsidP="00725BB2">
      <w:pPr>
        <w:ind w:left="360"/>
        <w:jc w:val="both"/>
        <w:rPr>
          <w:i/>
        </w:rPr>
      </w:pPr>
      <w:proofErr w:type="gramStart"/>
      <w:r w:rsidRPr="00B1480D">
        <w:rPr>
          <w:i/>
        </w:rPr>
        <w:t>-(</w:t>
      </w:r>
      <w:proofErr w:type="gramEnd"/>
      <w:r w:rsidRPr="00B1480D">
        <w:rPr>
          <w:i/>
        </w:rPr>
        <w:t>voir le cours pour l’énoncé de la règle de droit)</w:t>
      </w:r>
    </w:p>
    <w:p w14:paraId="4142AF30" w14:textId="77777777" w:rsidR="008F2DF6" w:rsidRPr="00B1480D" w:rsidRDefault="008F2DF6" w:rsidP="00725BB2">
      <w:pPr>
        <w:ind w:left="360"/>
        <w:jc w:val="both"/>
        <w:rPr>
          <w:i/>
        </w:rPr>
      </w:pPr>
    </w:p>
    <w:p w14:paraId="412AD10D" w14:textId="77777777" w:rsidR="00725BB2" w:rsidRDefault="00725BB2" w:rsidP="00725BB2">
      <w:pPr>
        <w:ind w:left="360"/>
        <w:jc w:val="both"/>
      </w:pPr>
      <w:r>
        <w:t xml:space="preserve">-En l’espèce, le CAC de la SA XTREME PARK devra respecter les différentes phases de la procédure d’alerte exposées précédemment. </w:t>
      </w:r>
    </w:p>
    <w:p w14:paraId="22A2C733" w14:textId="36478D32" w:rsidR="00725BB2" w:rsidRDefault="00725BB2" w:rsidP="00725BB2">
      <w:pPr>
        <w:ind w:left="360"/>
        <w:jc w:val="both"/>
      </w:pPr>
    </w:p>
    <w:p w14:paraId="720078F3" w14:textId="172CEE8D" w:rsidR="008F2DF6" w:rsidRDefault="008F2DF6" w:rsidP="00725BB2">
      <w:pPr>
        <w:ind w:left="360"/>
        <w:jc w:val="both"/>
      </w:pPr>
    </w:p>
    <w:p w14:paraId="31C85CD5" w14:textId="6E9E2766" w:rsidR="008F2DF6" w:rsidRDefault="008F2DF6" w:rsidP="00725BB2">
      <w:pPr>
        <w:ind w:left="360"/>
        <w:jc w:val="both"/>
      </w:pPr>
    </w:p>
    <w:p w14:paraId="445A73F5" w14:textId="5D1F5A3D" w:rsidR="008F2DF6" w:rsidRDefault="008F2DF6" w:rsidP="00725BB2">
      <w:pPr>
        <w:ind w:left="360"/>
        <w:jc w:val="both"/>
      </w:pPr>
    </w:p>
    <w:p w14:paraId="16D5C701" w14:textId="77777777" w:rsidR="008F2DF6" w:rsidRDefault="008F2DF6" w:rsidP="00725BB2">
      <w:pPr>
        <w:ind w:left="360"/>
        <w:jc w:val="both"/>
      </w:pPr>
    </w:p>
    <w:p w14:paraId="59C0C372" w14:textId="14FCB94F" w:rsidR="00725BB2" w:rsidRDefault="00725BB2" w:rsidP="00725BB2">
      <w:pPr>
        <w:pStyle w:val="Paragraphedeliste"/>
        <w:numPr>
          <w:ilvl w:val="0"/>
          <w:numId w:val="1"/>
        </w:numPr>
        <w:spacing w:after="160" w:line="254" w:lineRule="auto"/>
        <w:contextualSpacing/>
        <w:jc w:val="both"/>
        <w:rPr>
          <w:b/>
        </w:rPr>
      </w:pPr>
      <w:bookmarkStart w:id="0" w:name="_GoBack"/>
      <w:r>
        <w:rPr>
          <w:b/>
        </w:rPr>
        <w:lastRenderedPageBreak/>
        <w:t xml:space="preserve">Le CAC aurait-il pu déclencher la procédure d’alerte au cours de l’exercice social </w:t>
      </w:r>
      <w:bookmarkEnd w:id="0"/>
      <w:r>
        <w:rPr>
          <w:b/>
        </w:rPr>
        <w:t>202</w:t>
      </w:r>
      <w:r w:rsidR="008F2DF6">
        <w:rPr>
          <w:b/>
        </w:rPr>
        <w:t>4</w:t>
      </w:r>
      <w:r>
        <w:rPr>
          <w:b/>
        </w:rPr>
        <w:t> ?</w:t>
      </w:r>
    </w:p>
    <w:p w14:paraId="5316D709" w14:textId="77777777" w:rsidR="00725BB2" w:rsidRDefault="00725BB2" w:rsidP="00725BB2">
      <w:pPr>
        <w:jc w:val="both"/>
        <w:rPr>
          <w:b/>
        </w:rPr>
      </w:pPr>
      <w:r>
        <w:t xml:space="preserve">-Cette question revient à se demander </w:t>
      </w:r>
      <w:r>
        <w:rPr>
          <w:b/>
        </w:rPr>
        <w:t xml:space="preserve">quand le CAC doit-il déclencher la procédure d’alerte, à quel moment ? </w:t>
      </w:r>
    </w:p>
    <w:p w14:paraId="2E446051" w14:textId="77777777" w:rsidR="00725BB2" w:rsidRDefault="00725BB2" w:rsidP="00725BB2">
      <w:pPr>
        <w:ind w:left="360"/>
        <w:jc w:val="both"/>
        <w:rPr>
          <w:b/>
        </w:rPr>
      </w:pPr>
    </w:p>
    <w:p w14:paraId="102FDA6C" w14:textId="77777777" w:rsidR="00725BB2" w:rsidRDefault="00725BB2" w:rsidP="00725BB2">
      <w:pPr>
        <w:jc w:val="both"/>
      </w:pPr>
      <w:r>
        <w:t xml:space="preserve">-L’information prévue à la première phase de la procédure d’alerte porte sur tout fait que le CAC relève lors de l’examen de documents qui lui sont communiqués ou sur tout fait dont il a connaissance à l’occasion de l’exercice de sa mission. </w:t>
      </w:r>
      <w:r>
        <w:rPr>
          <w:b/>
        </w:rPr>
        <w:t>Or la mission du CAC est dite permanente.</w:t>
      </w:r>
      <w:r>
        <w:t xml:space="preserve"> Cela signifie que le CAC doit déclencher la procédure d’alerte dès lors qu’il est informé, à toute époque de l’année, de faits de nature à mettre en cause la continuité de l’exploitation. </w:t>
      </w:r>
      <w:r w:rsidR="007E7436">
        <w:t xml:space="preserve">Sa responsabilité pourrait être engagée. </w:t>
      </w:r>
    </w:p>
    <w:p w14:paraId="16DB104B" w14:textId="77777777" w:rsidR="00725BB2" w:rsidRDefault="00725BB2" w:rsidP="00725BB2">
      <w:pPr>
        <w:ind w:left="360"/>
        <w:jc w:val="both"/>
      </w:pPr>
    </w:p>
    <w:p w14:paraId="6D0CC36B" w14:textId="317B44FB" w:rsidR="005800AF" w:rsidRDefault="00725BB2" w:rsidP="005E6303">
      <w:pPr>
        <w:jc w:val="both"/>
      </w:pPr>
      <w:r>
        <w:t>-Dans le cas d’espèce, on ignore si le CAC a eu connaissance, au cours de l’année 202</w:t>
      </w:r>
      <w:r w:rsidR="008F2DF6">
        <w:t>4</w:t>
      </w:r>
      <w:r>
        <w:t xml:space="preserve">, des fermetures administratives intervenues et leur impact sur la capacité d’exploitation de la société et sur ses résultats. Dans l’affirmative, le CAC de la SA XTREME PARK pouvait analyser ces faits comme étant de nature à compromettre la continuité de l’exploitation de la société et il devait alors déclencher </w:t>
      </w:r>
      <w:r w:rsidRPr="00603EAC">
        <w:rPr>
          <w:u w:val="single"/>
        </w:rPr>
        <w:t>sans attendre la procédure d’alerte</w:t>
      </w:r>
      <w:r>
        <w:t>.</w:t>
      </w:r>
    </w:p>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2F24BC"/>
    <w:multiLevelType w:val="hybridMultilevel"/>
    <w:tmpl w:val="1510872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8FC"/>
    <w:rsid w:val="00077184"/>
    <w:rsid w:val="005B0C98"/>
    <w:rsid w:val="005E6303"/>
    <w:rsid w:val="00603EAC"/>
    <w:rsid w:val="006808FC"/>
    <w:rsid w:val="00725BB2"/>
    <w:rsid w:val="007C739C"/>
    <w:rsid w:val="007E7436"/>
    <w:rsid w:val="008F2DF6"/>
    <w:rsid w:val="00B148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6B1D"/>
  <w15:chartTrackingRefBased/>
  <w15:docId w15:val="{4C79E7D1-C2D7-4A3D-A326-DCA6E2C8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5BB2"/>
    <w:pPr>
      <w:spacing w:after="0" w:line="240" w:lineRule="auto"/>
    </w:pPr>
    <w:rPr>
      <w:rFonts w:ascii="Times New Roman" w:eastAsia="Times New Roman" w:hAnsi="Times New Roman" w:cs="Times New Roman"/>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25BB2"/>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FC23B9-003E-48F6-9A7F-864C1D30E3C6}"/>
</file>

<file path=customXml/itemProps2.xml><?xml version="1.0" encoding="utf-8"?>
<ds:datastoreItem xmlns:ds="http://schemas.openxmlformats.org/officeDocument/2006/customXml" ds:itemID="{92F5262D-D7B7-4BDB-84D2-E3666592F106}">
  <ds:schemaRefs>
    <ds:schemaRef ds:uri="http://schemas.microsoft.com/sharepoint/v3/contenttype/forms"/>
  </ds:schemaRefs>
</ds:datastoreItem>
</file>

<file path=customXml/itemProps3.xml><?xml version="1.0" encoding="utf-8"?>
<ds:datastoreItem xmlns:ds="http://schemas.openxmlformats.org/officeDocument/2006/customXml" ds:itemID="{B086F504-C47F-46C4-8809-F22CC6E46711}">
  <ds:schemaRefs>
    <ds:schemaRef ds:uri="http://purl.org/dc/terms/"/>
    <ds:schemaRef ds:uri="http://www.w3.org/XML/1998/namespace"/>
    <ds:schemaRef ds:uri="http://schemas.microsoft.com/office/infopath/2007/PartnerControls"/>
    <ds:schemaRef ds:uri="http://schemas.openxmlformats.org/package/2006/metadata/core-properties"/>
    <ds:schemaRef ds:uri="4ca705b3-2299-42ac-aeb0-2c1e0bf00f6f"/>
    <ds:schemaRef ds:uri="e46e3dd5-47f3-4609-8eda-e8d042d3e7e4"/>
    <ds:schemaRef ds:uri="http://schemas.microsoft.com/office/2006/documentManagement/types"/>
    <ds:schemaRef ds:uri="http://schemas.microsoft.com/office/2006/metadata/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603</Words>
  <Characters>3322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7</cp:revision>
  <dcterms:created xsi:type="dcterms:W3CDTF">2021-06-16T08:34:00Z</dcterms:created>
  <dcterms:modified xsi:type="dcterms:W3CDTF">2025-06-19T13:10:00Z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