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86F4B" w14:textId="32D2B6FF" w:rsidR="00B75738" w:rsidRDefault="00B75738" w:rsidP="00B75738">
      <w:pPr>
        <w:jc w:val="both"/>
        <w:rPr>
          <w:u w:val="single"/>
        </w:rPr>
      </w:pPr>
      <w:r>
        <w:rPr>
          <w:u w:val="single"/>
        </w:rPr>
        <w:t>Proposition de correction : CAS JAOU :</w:t>
      </w:r>
      <w:r>
        <w:rPr>
          <w:u w:val="single"/>
        </w:rPr>
        <w:t xml:space="preserve"> DROIT PÉNAL DES AFFAIRES</w:t>
      </w:r>
    </w:p>
    <w:p w14:paraId="7BD26A4E" w14:textId="77777777" w:rsidR="00B75738" w:rsidRDefault="00B75738" w:rsidP="00B75738">
      <w:pPr>
        <w:jc w:val="both"/>
        <w:rPr>
          <w:u w:val="single"/>
        </w:rPr>
      </w:pPr>
    </w:p>
    <w:p w14:paraId="52453F46" w14:textId="77777777" w:rsidR="00B75738" w:rsidRDefault="00B75738" w:rsidP="00B75738">
      <w:pPr>
        <w:ind w:firstLine="708"/>
        <w:jc w:val="both"/>
      </w:pPr>
      <w:r>
        <w:t xml:space="preserve">En droit pénal, </w:t>
      </w:r>
      <w:r>
        <w:rPr>
          <w:b/>
        </w:rPr>
        <w:t>l’auteur d’une infraction</w:t>
      </w:r>
      <w:r>
        <w:t xml:space="preserve"> est celui qui la commet matériellement ou qui tente de la commettre. Si les auteurs sont plusieurs, on parle de </w:t>
      </w:r>
      <w:r>
        <w:rPr>
          <w:b/>
        </w:rPr>
        <w:t>coaction</w:t>
      </w:r>
      <w:r>
        <w:t xml:space="preserve">. Quant </w:t>
      </w:r>
      <w:r>
        <w:rPr>
          <w:b/>
        </w:rPr>
        <w:t>au complice</w:t>
      </w:r>
      <w:r>
        <w:t xml:space="preserve">, il est celui qui sciemment, par aide ou assistance en a facilité la préparation ou la consommation. C’est aussi la personne qui, par don, promesse, ordre, abus d’autorité aura provoqué une infraction ou donné des instructions pour la commettre.  </w:t>
      </w:r>
    </w:p>
    <w:p w14:paraId="459953E5" w14:textId="77777777" w:rsidR="00B75738" w:rsidRDefault="00B75738" w:rsidP="00B75738">
      <w:pPr>
        <w:ind w:firstLine="708"/>
        <w:jc w:val="both"/>
      </w:pPr>
    </w:p>
    <w:p w14:paraId="26344E83" w14:textId="77777777" w:rsidR="00B75738" w:rsidRDefault="00B75738" w:rsidP="00B75738">
      <w:pPr>
        <w:jc w:val="both"/>
      </w:pPr>
      <w:r>
        <w:t>-</w:t>
      </w:r>
      <w:r>
        <w:rPr>
          <w:b/>
        </w:rPr>
        <w:t>L’abus de confiance</w:t>
      </w:r>
      <w:r>
        <w:t xml:space="preserve"> est un délit qui consiste à détourner, au préjudice d’autrui, des fonds, des valeurs ou un bien qui a été remis en toute confiance à cette personne qui devait en faire un usage déterminé. La personne doit avoir agi intentionnellement et avoir conscience de commettre un délit (l’intention suppose la connaissance par l’intéressé, de la précarité de sa possession et de la possibilité de causer un dommage au véritable propriétaire du bien).</w:t>
      </w:r>
    </w:p>
    <w:p w14:paraId="3FB4B4A8" w14:textId="77777777" w:rsidR="00B75738" w:rsidRDefault="00B75738" w:rsidP="00B75738">
      <w:pPr>
        <w:jc w:val="both"/>
      </w:pPr>
    </w:p>
    <w:p w14:paraId="12836C4C" w14:textId="77777777" w:rsidR="00B75738" w:rsidRDefault="00B75738" w:rsidP="00B75738">
      <w:pPr>
        <w:jc w:val="both"/>
      </w:pPr>
      <w:r>
        <w:rPr>
          <w:sz w:val="20"/>
          <w:szCs w:val="20"/>
        </w:rPr>
        <w:t>-</w:t>
      </w:r>
      <w:r>
        <w:rPr>
          <w:b/>
        </w:rPr>
        <w:t>Le faux et l’usage de faux</w:t>
      </w:r>
      <w:r>
        <w:t xml:space="preserve"> sont deux délits différents. Pour le premier, il s’agit de l’altération volontaire de la vérité sur un document valant titre, de nature à causer un préjudice à autrui </w:t>
      </w:r>
      <w:r>
        <w:rPr>
          <w:bCs/>
        </w:rPr>
        <w:t>et, pour le second, l’utilisation de ce document. L’a</w:t>
      </w:r>
      <w:r>
        <w:t xml:space="preserve">uteur de ces infractions est animé d’une intention coupable puisqu’il est conscient de produire un écrit qui n’est pas valable, que cette altération de la vérité (et dans le cadre de l’usage de faux, son utilisation) est susceptible de nuire à autrui. </w:t>
      </w:r>
    </w:p>
    <w:p w14:paraId="56DE5C3A" w14:textId="77777777" w:rsidR="00B75738" w:rsidRDefault="00B75738" w:rsidP="00B75738">
      <w:pPr>
        <w:jc w:val="both"/>
      </w:pPr>
    </w:p>
    <w:p w14:paraId="2B84F4E3" w14:textId="77777777" w:rsidR="00B75738" w:rsidRDefault="00B75738" w:rsidP="00B75738">
      <w:pPr>
        <w:jc w:val="both"/>
        <w:rPr>
          <w:bCs/>
        </w:rPr>
      </w:pPr>
      <w:r>
        <w:t>-</w:t>
      </w:r>
      <w:r>
        <w:rPr>
          <w:b/>
        </w:rPr>
        <w:t xml:space="preserve">Le délit de recel, </w:t>
      </w:r>
      <w:r>
        <w:rPr>
          <w:bCs/>
        </w:rPr>
        <w:t>et plus exactement, le recel</w:t>
      </w:r>
      <w:r>
        <w:t xml:space="preserve"> détention est le fait de détenir une chose en sachant que cette chose provient d’un crime ou d’un délit, </w:t>
      </w:r>
      <w:r>
        <w:rPr>
          <w:bCs/>
        </w:rPr>
        <w:t xml:space="preserve">peu importe la durée de la détention et peu importe de quelle manière il a été acquis (à titre onéreux, gratuit ou à titre de dépôt). </w:t>
      </w:r>
    </w:p>
    <w:p w14:paraId="26B37DCF" w14:textId="77777777" w:rsidR="00B75738" w:rsidRDefault="00B75738" w:rsidP="00B75738">
      <w:pPr>
        <w:pStyle w:val="Corpsdetexte"/>
        <w:jc w:val="both"/>
        <w:rPr>
          <w:b w:val="0"/>
          <w:i w:val="0"/>
          <w:szCs w:val="24"/>
        </w:rPr>
      </w:pPr>
    </w:p>
    <w:p w14:paraId="4EEE43C4" w14:textId="77777777" w:rsidR="00B75738" w:rsidRDefault="00B75738" w:rsidP="00B75738">
      <w:pPr>
        <w:jc w:val="both"/>
      </w:pPr>
      <w:r>
        <w:t xml:space="preserve">En l’espèce, l’employé du magasin de matériaux de construction a remis gratuitement à Monsieur JAOU, qui construit un hangar, des matériaux destinés à la vente. Il ne lui a pas fait payer des marchandises appartenant au magasin pour lequel il travaille, marchandises qui lui avaient été confiées pour être vendues aux clients du magasin. Ces dernières ont donc été détournées par l’employé au préjudice du magasin. </w:t>
      </w:r>
    </w:p>
    <w:p w14:paraId="25AAA0AE" w14:textId="77777777" w:rsidR="00B75738" w:rsidRDefault="00B75738" w:rsidP="00B75738">
      <w:pPr>
        <w:jc w:val="both"/>
      </w:pPr>
      <w:r>
        <w:t xml:space="preserve">L’employé ne pouvait ignorer que les matériaux étaient destinés à être vendus dans la mesure où vendre les marchandises du magasin dans lequel il est employé est précisément la fonction qui lui est assignée. </w:t>
      </w:r>
    </w:p>
    <w:p w14:paraId="1DE2EAF6" w14:textId="77777777" w:rsidR="00B75738" w:rsidRDefault="00B75738" w:rsidP="00B75738">
      <w:pPr>
        <w:jc w:val="both"/>
      </w:pPr>
      <w:r>
        <w:rPr>
          <w:b/>
        </w:rPr>
        <w:t>Il est donc bien l’auteur d’un abus de confiance</w:t>
      </w:r>
      <w:r>
        <w:t xml:space="preserve"> puisqu’il a commis matériellement et en toute conscience cette infraction. </w:t>
      </w:r>
      <w:r>
        <w:rPr>
          <w:b/>
        </w:rPr>
        <w:t>Monsieur JAOU</w:t>
      </w:r>
      <w:r>
        <w:t xml:space="preserve">, quant à lui, peut être considéré comme </w:t>
      </w:r>
      <w:r>
        <w:rPr>
          <w:b/>
        </w:rPr>
        <w:t>complice</w:t>
      </w:r>
      <w:r>
        <w:t xml:space="preserve"> du délit puisqu’il a promis à l’auteur de l’abus de confiance, l’employé du magasin, un paiement en espèces en échange de la commission de cette infraction.  </w:t>
      </w:r>
    </w:p>
    <w:p w14:paraId="255C983D" w14:textId="77777777" w:rsidR="00B75738" w:rsidRDefault="00B75738" w:rsidP="00B75738">
      <w:pPr>
        <w:jc w:val="both"/>
      </w:pPr>
    </w:p>
    <w:p w14:paraId="6C4930D4" w14:textId="77777777" w:rsidR="00B75738" w:rsidRDefault="00B75738" w:rsidP="00B75738">
      <w:pPr>
        <w:jc w:val="both"/>
      </w:pPr>
      <w:r>
        <w:t xml:space="preserve">Dans cette affaire, l’employé du magasin a également établi une fausse facture qu’il a utilisé (adressé à une fausse adresse). Cette fausse facture constitue bien un titre ayant des conséquences juridiques et financières. C’est un document dont l’utilisation crée un préjudice à l’employeur. Le faux est ici un faux intellectuel puisque le document est vrai mais comporte des informations inexactes (faux client, fausse adresse). L’intention coupable de l’employé du magasin est évidente : il a non seulement connaissance du caractère factice de la facture qu’il produit et utilise mais aussi du préjudice qu’il fait subir à son employeur (non-paiement des fournitures). </w:t>
      </w:r>
      <w:r>
        <w:rPr>
          <w:b/>
        </w:rPr>
        <w:t>L’employé a donc commis les délits de faux et usage de faux</w:t>
      </w:r>
      <w:r>
        <w:t xml:space="preserve">. Quant à </w:t>
      </w:r>
      <w:r>
        <w:rPr>
          <w:b/>
        </w:rPr>
        <w:t>Monsieur JAOU</w:t>
      </w:r>
      <w:r>
        <w:t xml:space="preserve">, il ne peut être poursuivi en qualité de co-auteur puisque les faits indiquent que c’est bien l’employé qui a établi la fausse facture, facture qu’il a probablement fournie lui-même à son employeur. En revanche, il peut être considéré comme </w:t>
      </w:r>
      <w:r>
        <w:rPr>
          <w:b/>
        </w:rPr>
        <w:t>complice</w:t>
      </w:r>
      <w:r>
        <w:t xml:space="preserve"> dans la mesure où il a </w:t>
      </w:r>
      <w:proofErr w:type="gramStart"/>
      <w:r>
        <w:lastRenderedPageBreak/>
        <w:t>demandé</w:t>
      </w:r>
      <w:proofErr w:type="gramEnd"/>
      <w:r>
        <w:t xml:space="preserve"> à l’employé de réaliser ce faux afin de pouvoir échapper à la découverte de l’infraction et qu’il a récompensé financièrement celui-ci pour le « service rendu ».  </w:t>
      </w:r>
    </w:p>
    <w:p w14:paraId="4EE31898" w14:textId="77777777" w:rsidR="00B75738" w:rsidRDefault="00B75738" w:rsidP="00B75738">
      <w:pPr>
        <w:jc w:val="both"/>
      </w:pPr>
    </w:p>
    <w:p w14:paraId="7933687D" w14:textId="590EAFD5" w:rsidR="00B75738" w:rsidRPr="00B75738" w:rsidRDefault="00B75738" w:rsidP="00B75738">
      <w:pPr>
        <w:jc w:val="both"/>
        <w:rPr>
          <w:bCs/>
        </w:rPr>
      </w:pPr>
      <w:r>
        <w:t>Pour finir, Monsieur JAOU détient des matériaux qu’il sait provenir d’un délit dans la mesure où ceux-ci ont été détourné</w:t>
      </w:r>
      <w:r>
        <w:t>s</w:t>
      </w:r>
      <w:r>
        <w:t xml:space="preserve"> par l’employé du magasin et qu’ils proviennent de la commission d’un abus de confiance. Monsieur JAOU ne peut ignorer l’origine frauduleuse des matériaux en question puisque c’est lui qui a demandé à l’employé d’établir une fausse facture pour échapper à la découverte de l’infraction. </w:t>
      </w:r>
      <w:r>
        <w:rPr>
          <w:b/>
        </w:rPr>
        <w:t>Monsieur JAOU est donc l’auteur d’un recel détention.</w:t>
      </w:r>
      <w:r>
        <w:rPr>
          <w:b/>
        </w:rPr>
        <w:t xml:space="preserve"> </w:t>
      </w:r>
      <w:r>
        <w:rPr>
          <w:bCs/>
        </w:rPr>
        <w:t xml:space="preserve">Notons que ce dernier profite de ces matériaux détournés : il s’agit donc également </w:t>
      </w:r>
      <w:r w:rsidRPr="00AE5DB2">
        <w:rPr>
          <w:b/>
        </w:rPr>
        <w:t>d’un recel profit</w:t>
      </w:r>
      <w:r>
        <w:rPr>
          <w:bCs/>
        </w:rPr>
        <w:t xml:space="preserve"> (deux modalités d’un même délit</w:t>
      </w:r>
      <w:r w:rsidR="00AE5DB2">
        <w:rPr>
          <w:bCs/>
        </w:rPr>
        <w:t>, une seule infraction sanctionnée)</w:t>
      </w:r>
    </w:p>
    <w:p w14:paraId="443C8B7B" w14:textId="77777777" w:rsidR="00B75738" w:rsidRDefault="00B75738" w:rsidP="00B75738">
      <w:pPr>
        <w:jc w:val="both"/>
      </w:pPr>
    </w:p>
    <w:p w14:paraId="61BFC220" w14:textId="77777777" w:rsidR="00B75738" w:rsidRDefault="00B75738" w:rsidP="00B75738">
      <w:pPr>
        <w:rPr>
          <w:b/>
          <w:bCs/>
        </w:rPr>
      </w:pPr>
    </w:p>
    <w:p w14:paraId="14873AAA" w14:textId="77777777" w:rsidR="00B75738" w:rsidRDefault="00B75738" w:rsidP="00B75738"/>
    <w:p w14:paraId="2170888F" w14:textId="77777777" w:rsidR="00BC41C9" w:rsidRDefault="00BC41C9"/>
    <w:sectPr w:rsidR="00BC41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927"/>
    <w:rsid w:val="00325927"/>
    <w:rsid w:val="00AE5DB2"/>
    <w:rsid w:val="00B75738"/>
    <w:rsid w:val="00BC41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D92"/>
  <w15:chartTrackingRefBased/>
  <w15:docId w15:val="{76A82EA6-C2C9-488D-8AC5-FD8885547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738"/>
    <w:pPr>
      <w:suppressAutoHyphens/>
      <w:spacing w:after="0" w:line="240" w:lineRule="auto"/>
    </w:pPr>
    <w:rPr>
      <w:rFonts w:ascii="Times New Roman" w:eastAsia="Times New Roman" w:hAnsi="Times New Roman" w:cs="Times New Roman"/>
      <w:sz w:val="24"/>
      <w:szCs w:val="24"/>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semiHidden/>
    <w:unhideWhenUsed/>
    <w:rsid w:val="00B75738"/>
    <w:pPr>
      <w:suppressAutoHyphens w:val="0"/>
    </w:pPr>
    <w:rPr>
      <w:b/>
      <w:bCs/>
      <w:i/>
      <w:iCs/>
      <w:szCs w:val="28"/>
      <w:lang w:eastAsia="fr-FR"/>
    </w:rPr>
  </w:style>
  <w:style w:type="character" w:customStyle="1" w:styleId="CorpsdetexteCar">
    <w:name w:val="Corps de texte Car"/>
    <w:basedOn w:val="Policepardfaut"/>
    <w:link w:val="Corpsdetexte"/>
    <w:semiHidden/>
    <w:rsid w:val="00B75738"/>
    <w:rPr>
      <w:rFonts w:ascii="Times New Roman" w:eastAsia="Times New Roman" w:hAnsi="Times New Roman" w:cs="Times New Roman"/>
      <w:b/>
      <w:bCs/>
      <w:i/>
      <w:iCs/>
      <w:sz w:val="24"/>
      <w:szCs w:val="2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13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19D527-342F-471C-B428-EDE978B93D08}"/>
</file>

<file path=customXml/itemProps2.xml><?xml version="1.0" encoding="utf-8"?>
<ds:datastoreItem xmlns:ds="http://schemas.openxmlformats.org/officeDocument/2006/customXml" ds:itemID="{5F9A095B-10A1-4C5F-A117-FA73D003C53C}"/>
</file>

<file path=customXml/itemProps3.xml><?xml version="1.0" encoding="utf-8"?>
<ds:datastoreItem xmlns:ds="http://schemas.openxmlformats.org/officeDocument/2006/customXml" ds:itemID="{1A6BC54A-0795-402B-B4E7-E6C149CD4534}"/>
</file>

<file path=docProps/app.xml><?xml version="1.0" encoding="utf-8"?>
<Properties xmlns="http://schemas.openxmlformats.org/officeDocument/2006/extended-properties" xmlns:vt="http://schemas.openxmlformats.org/officeDocument/2006/docPropsVTypes">
  <Template>Normal</Template>
  <TotalTime>3</TotalTime>
  <Pages>2</Pages>
  <Words>701</Words>
  <Characters>3858</Characters>
  <Application>Microsoft Office Word</Application>
  <DocSecurity>0</DocSecurity>
  <Lines>32</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3</cp:revision>
  <dcterms:created xsi:type="dcterms:W3CDTF">2026-06-23T12:58:00Z</dcterms:created>
  <dcterms:modified xsi:type="dcterms:W3CDTF">2026-06-23T13:01:00Z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