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033" w:rsidRPr="000C75B5" w:rsidRDefault="000C75B5">
      <w:pPr>
        <w:rPr>
          <w:b/>
          <w:u w:val="single"/>
        </w:rPr>
      </w:pPr>
      <w:r w:rsidRPr="000C75B5">
        <w:rPr>
          <w:b/>
          <w:u w:val="single"/>
        </w:rPr>
        <w:t>DOSSIER SAGEM</w:t>
      </w:r>
    </w:p>
    <w:p w:rsidR="000C75B5" w:rsidRDefault="000C75B5" w:rsidP="000C75B5">
      <w:pPr>
        <w:jc w:val="both"/>
      </w:pPr>
      <w:r>
        <w:t xml:space="preserve">La Société d'applications générales d'électricité et de mécanique (SAGEM) était une entreprise française créée en 1925 et dissoute en 2005. </w:t>
      </w:r>
    </w:p>
    <w:p w:rsidR="000C75B5" w:rsidRDefault="000C75B5" w:rsidP="000C75B5">
      <w:pPr>
        <w:jc w:val="both"/>
      </w:pPr>
      <w:r>
        <w:t xml:space="preserve">Elle travaillait initialement dans la mécanique avec la fabrication d'outillage et de machines-outils. </w:t>
      </w:r>
    </w:p>
    <w:p w:rsidR="000C75B5" w:rsidRDefault="000C75B5" w:rsidP="000C75B5">
      <w:pPr>
        <w:jc w:val="both"/>
      </w:pPr>
      <w:r>
        <w:t>Avec l'évolution de la technologie, l'entreprise se lance dans l'électronique et ses deux produits phares, les téléscripteurs, puis les télécopieurs, et les centrales inertielles lui permett</w:t>
      </w:r>
      <w:r>
        <w:t>ent de devenir une grande entre</w:t>
      </w:r>
      <w:r>
        <w:t xml:space="preserve">prise internationale dans les années 1970. Elle développe également des applications militaires et aéronautiques. </w:t>
      </w:r>
    </w:p>
    <w:p w:rsidR="000C75B5" w:rsidRDefault="000C75B5" w:rsidP="000C75B5">
      <w:pPr>
        <w:jc w:val="both"/>
      </w:pPr>
      <w:r>
        <w:t xml:space="preserve">En 2005, elle fusionne avec Snecma pour donner naissance au groupe Safran. </w:t>
      </w:r>
    </w:p>
    <w:p w:rsidR="000C75B5" w:rsidRDefault="000C75B5" w:rsidP="000C75B5">
      <w:pPr>
        <w:jc w:val="both"/>
      </w:pPr>
      <w:r>
        <w:t>En 2003, Sagem avait obtenu un pacte entre ses actionnaires</w:t>
      </w:r>
      <w:r>
        <w:t xml:space="preserve"> </w:t>
      </w:r>
      <w:r>
        <w:t>: La Cogema, le CIC et BNP Paribas afin de sécuriser l</w:t>
      </w:r>
      <w:r>
        <w:t>a propriété de l'électronicien.</w:t>
      </w:r>
    </w:p>
    <w:p w:rsidR="000C75B5" w:rsidRDefault="000C75B5" w:rsidP="000C75B5">
      <w:r w:rsidRPr="000C75B5">
        <w:drawing>
          <wp:inline distT="0" distB="0" distL="0" distR="0" wp14:anchorId="46E7A342" wp14:editId="41FE808C">
            <wp:extent cx="5760720" cy="34105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B5" w:rsidRPr="000C75B5" w:rsidRDefault="000C75B5" w:rsidP="000C75B5">
      <w:pPr>
        <w:rPr>
          <w:b/>
        </w:rPr>
      </w:pPr>
      <w:r w:rsidRPr="000C75B5">
        <w:rPr>
          <w:b/>
        </w:rPr>
        <w:t>Travail à faire</w:t>
      </w:r>
    </w:p>
    <w:p w:rsidR="000C75B5" w:rsidRPr="000C75B5" w:rsidRDefault="000C75B5" w:rsidP="000C75B5">
      <w:pPr>
        <w:pStyle w:val="Paragraphedeliste"/>
        <w:numPr>
          <w:ilvl w:val="0"/>
          <w:numId w:val="2"/>
        </w:numPr>
        <w:rPr>
          <w:b/>
          <w:i/>
        </w:rPr>
      </w:pPr>
      <w:r w:rsidRPr="000C75B5">
        <w:rPr>
          <w:b/>
          <w:i/>
        </w:rPr>
        <w:t xml:space="preserve">Vous devez identifier juridiquement la société concernée par le pacte (objet social, nationalité, forme juridique, organisation). </w:t>
      </w:r>
    </w:p>
    <w:p w:rsidR="000C75B5" w:rsidRPr="000C75B5" w:rsidRDefault="000C75B5" w:rsidP="000C75B5">
      <w:pPr>
        <w:pStyle w:val="Paragraphedeliste"/>
        <w:numPr>
          <w:ilvl w:val="0"/>
          <w:numId w:val="2"/>
        </w:numPr>
        <w:rPr>
          <w:b/>
          <w:i/>
        </w:rPr>
      </w:pPr>
      <w:r w:rsidRPr="000C75B5">
        <w:rPr>
          <w:b/>
          <w:i/>
        </w:rPr>
        <w:t>Qu'est-ce qu'un pacte d'actionnaires</w:t>
      </w:r>
      <w:r w:rsidRPr="000C75B5">
        <w:rPr>
          <w:b/>
          <w:i/>
        </w:rPr>
        <w:t xml:space="preserve"> </w:t>
      </w:r>
      <w:r w:rsidRPr="000C75B5">
        <w:rPr>
          <w:b/>
          <w:i/>
        </w:rPr>
        <w:t xml:space="preserve">? Énoncez les conditions de sa légalité </w:t>
      </w:r>
    </w:p>
    <w:p w:rsidR="000C75B5" w:rsidRPr="000C75B5" w:rsidRDefault="000C75B5" w:rsidP="000C75B5">
      <w:pPr>
        <w:pStyle w:val="Paragraphedeliste"/>
        <w:numPr>
          <w:ilvl w:val="0"/>
          <w:numId w:val="2"/>
        </w:numPr>
        <w:rPr>
          <w:b/>
          <w:i/>
        </w:rPr>
      </w:pPr>
      <w:r w:rsidRPr="000C75B5">
        <w:rPr>
          <w:b/>
          <w:i/>
        </w:rPr>
        <w:t>Quelles sont les obligations des signataires de ce pacte</w:t>
      </w:r>
      <w:r w:rsidRPr="000C75B5">
        <w:rPr>
          <w:b/>
          <w:i/>
        </w:rPr>
        <w:t xml:space="preserve"> </w:t>
      </w:r>
      <w:r w:rsidRPr="000C75B5">
        <w:rPr>
          <w:b/>
          <w:i/>
        </w:rPr>
        <w:t xml:space="preserve">? </w:t>
      </w:r>
    </w:p>
    <w:p w:rsidR="000C75B5" w:rsidRPr="000C75B5" w:rsidRDefault="000C75B5" w:rsidP="000C75B5">
      <w:pPr>
        <w:pStyle w:val="Paragraphedeliste"/>
        <w:numPr>
          <w:ilvl w:val="0"/>
          <w:numId w:val="2"/>
        </w:numPr>
        <w:rPr>
          <w:b/>
          <w:i/>
        </w:rPr>
      </w:pPr>
      <w:r w:rsidRPr="000C75B5">
        <w:rPr>
          <w:b/>
          <w:i/>
        </w:rPr>
        <w:t>Quelle est la portée de I' article 1217 du Code civil au regard des pactes d'associés</w:t>
      </w:r>
      <w:r w:rsidRPr="000C75B5">
        <w:rPr>
          <w:b/>
          <w:i/>
        </w:rPr>
        <w:t xml:space="preserve"> ? </w:t>
      </w:r>
    </w:p>
    <w:p w:rsidR="000C75B5" w:rsidRPr="000C75B5" w:rsidRDefault="000C75B5" w:rsidP="000C75B5">
      <w:pPr>
        <w:pStyle w:val="Paragraphedeliste"/>
        <w:numPr>
          <w:ilvl w:val="0"/>
          <w:numId w:val="2"/>
        </w:numPr>
        <w:rPr>
          <w:b/>
          <w:i/>
        </w:rPr>
      </w:pPr>
      <w:r w:rsidRPr="000C75B5">
        <w:rPr>
          <w:b/>
          <w:i/>
        </w:rPr>
        <w:t>Si un des signataires vend ses titres avant le délai convenu dans le pacte, les dirigeants de la société peuvent-ils s'y opposer</w:t>
      </w:r>
      <w:r w:rsidRPr="000C75B5">
        <w:rPr>
          <w:b/>
          <w:i/>
        </w:rPr>
        <w:t xml:space="preserve"> </w:t>
      </w:r>
      <w:r w:rsidRPr="000C75B5">
        <w:rPr>
          <w:b/>
          <w:i/>
        </w:rPr>
        <w:t xml:space="preserve">? </w:t>
      </w:r>
    </w:p>
    <w:p w:rsidR="000C75B5" w:rsidRPr="000C75B5" w:rsidRDefault="000C75B5" w:rsidP="000C75B5">
      <w:pPr>
        <w:pStyle w:val="Paragraphedeliste"/>
        <w:numPr>
          <w:ilvl w:val="0"/>
          <w:numId w:val="2"/>
        </w:numPr>
        <w:rPr>
          <w:b/>
          <w:i/>
        </w:rPr>
      </w:pPr>
      <w:r w:rsidRPr="000C75B5">
        <w:rPr>
          <w:b/>
          <w:i/>
        </w:rPr>
        <w:t>À quelle sanction s'expose un signataire qui ne respecte pas le pacte d'actionnaires</w:t>
      </w:r>
      <w:r w:rsidRPr="000C75B5">
        <w:rPr>
          <w:b/>
          <w:i/>
        </w:rPr>
        <w:t xml:space="preserve"> </w:t>
      </w:r>
      <w:r w:rsidRPr="000C75B5">
        <w:rPr>
          <w:b/>
          <w:i/>
        </w:rPr>
        <w:t xml:space="preserve">? </w:t>
      </w:r>
    </w:p>
    <w:p w:rsidR="000C75B5" w:rsidRDefault="000C75B5" w:rsidP="000C75B5"/>
    <w:p w:rsidR="000C75B5" w:rsidRDefault="000C75B5" w:rsidP="000C75B5"/>
    <w:p w:rsidR="000C75B5" w:rsidRDefault="000C75B5" w:rsidP="000C75B5"/>
    <w:p w:rsidR="000C75B5" w:rsidRPr="000C75B5" w:rsidRDefault="000C75B5" w:rsidP="000C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</w:rPr>
      </w:pPr>
      <w:r w:rsidRPr="000C75B5">
        <w:rPr>
          <w:b/>
        </w:rPr>
        <w:lastRenderedPageBreak/>
        <w:t>Annexe 1</w:t>
      </w:r>
    </w:p>
    <w:p w:rsidR="000C75B5" w:rsidRPr="000C75B5" w:rsidRDefault="000C75B5" w:rsidP="000C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20" w:line="240" w:lineRule="auto"/>
        <w:outlineLvl w:val="1"/>
        <w:rPr>
          <w:rFonts w:ascii="Arial" w:eastAsia="Times New Roman" w:hAnsi="Arial" w:cs="Arial"/>
          <w:b/>
          <w:bCs/>
          <w:color w:val="4A5E81"/>
          <w:sz w:val="21"/>
          <w:szCs w:val="21"/>
          <w:lang w:eastAsia="fr-FR"/>
        </w:rPr>
      </w:pPr>
      <w:r w:rsidRPr="000C75B5">
        <w:rPr>
          <w:rFonts w:ascii="Arial" w:eastAsia="Times New Roman" w:hAnsi="Arial" w:cs="Arial"/>
          <w:b/>
          <w:bCs/>
          <w:color w:val="4A5E81"/>
          <w:sz w:val="21"/>
          <w:szCs w:val="21"/>
          <w:lang w:eastAsia="fr-FR"/>
        </w:rPr>
        <w:t>Article 1217</w:t>
      </w:r>
      <w:r>
        <w:rPr>
          <w:rFonts w:ascii="Arial" w:eastAsia="Times New Roman" w:hAnsi="Arial" w:cs="Arial"/>
          <w:b/>
          <w:bCs/>
          <w:color w:val="4A5E81"/>
          <w:sz w:val="21"/>
          <w:szCs w:val="21"/>
          <w:lang w:eastAsia="fr-FR"/>
        </w:rPr>
        <w:t xml:space="preserve"> du code civil</w:t>
      </w:r>
    </w:p>
    <w:p w:rsidR="000C75B5" w:rsidRPr="000C75B5" w:rsidRDefault="000C75B5" w:rsidP="000C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  <w:sz w:val="21"/>
          <w:szCs w:val="21"/>
          <w:lang w:eastAsia="fr-FR"/>
        </w:rPr>
      </w:pPr>
      <w:r w:rsidRPr="000C75B5">
        <w:rPr>
          <w:rFonts w:ascii="Arial" w:eastAsia="Times New Roman" w:hAnsi="Arial" w:cs="Arial"/>
          <w:color w:val="000000"/>
          <w:sz w:val="21"/>
          <w:szCs w:val="21"/>
          <w:lang w:eastAsia="fr-FR"/>
        </w:rPr>
        <w:t>La partie envers laquelle l'engagement n'a pas été exécuté, ou l'a été imparfaitement, peut :</w:t>
      </w:r>
    </w:p>
    <w:p w:rsidR="000C75B5" w:rsidRPr="000C75B5" w:rsidRDefault="000C75B5" w:rsidP="000C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  <w:sz w:val="21"/>
          <w:szCs w:val="21"/>
          <w:lang w:eastAsia="fr-FR"/>
        </w:rPr>
      </w:pPr>
      <w:r w:rsidRPr="000C75B5">
        <w:rPr>
          <w:rFonts w:ascii="Arial" w:eastAsia="Times New Roman" w:hAnsi="Arial" w:cs="Arial"/>
          <w:color w:val="000000"/>
          <w:sz w:val="21"/>
          <w:szCs w:val="21"/>
          <w:lang w:eastAsia="fr-FR"/>
        </w:rPr>
        <w:t>- refuser d'exécuter ou suspendre l'exécution de sa propre obligation ;</w:t>
      </w:r>
    </w:p>
    <w:p w:rsidR="000C75B5" w:rsidRPr="000C75B5" w:rsidRDefault="000C75B5" w:rsidP="000C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  <w:sz w:val="21"/>
          <w:szCs w:val="21"/>
          <w:lang w:eastAsia="fr-FR"/>
        </w:rPr>
      </w:pPr>
      <w:r w:rsidRPr="000C75B5">
        <w:rPr>
          <w:rFonts w:ascii="Arial" w:eastAsia="Times New Roman" w:hAnsi="Arial" w:cs="Arial"/>
          <w:color w:val="000000"/>
          <w:sz w:val="21"/>
          <w:szCs w:val="21"/>
          <w:lang w:eastAsia="fr-FR"/>
        </w:rPr>
        <w:t>- poursuivre l'exécution forcée en nature de l'obligation ;</w:t>
      </w:r>
    </w:p>
    <w:p w:rsidR="000C75B5" w:rsidRPr="000C75B5" w:rsidRDefault="000C75B5" w:rsidP="000C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  <w:sz w:val="21"/>
          <w:szCs w:val="21"/>
          <w:lang w:eastAsia="fr-FR"/>
        </w:rPr>
      </w:pPr>
      <w:r w:rsidRPr="000C75B5">
        <w:rPr>
          <w:rFonts w:ascii="Arial" w:eastAsia="Times New Roman" w:hAnsi="Arial" w:cs="Arial"/>
          <w:color w:val="000000"/>
          <w:sz w:val="21"/>
          <w:szCs w:val="21"/>
          <w:lang w:eastAsia="fr-FR"/>
        </w:rPr>
        <w:t>- obtenir une réduction du prix ;</w:t>
      </w:r>
    </w:p>
    <w:p w:rsidR="000C75B5" w:rsidRPr="000C75B5" w:rsidRDefault="000C75B5" w:rsidP="000C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  <w:sz w:val="21"/>
          <w:szCs w:val="21"/>
          <w:lang w:eastAsia="fr-FR"/>
        </w:rPr>
      </w:pPr>
      <w:r w:rsidRPr="000C75B5">
        <w:rPr>
          <w:rFonts w:ascii="Arial" w:eastAsia="Times New Roman" w:hAnsi="Arial" w:cs="Arial"/>
          <w:color w:val="000000"/>
          <w:sz w:val="21"/>
          <w:szCs w:val="21"/>
          <w:lang w:eastAsia="fr-FR"/>
        </w:rPr>
        <w:t>- provoquer la résolution du contrat ;</w:t>
      </w:r>
    </w:p>
    <w:p w:rsidR="000C75B5" w:rsidRPr="000C75B5" w:rsidRDefault="000C75B5" w:rsidP="000C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  <w:sz w:val="21"/>
          <w:szCs w:val="21"/>
          <w:lang w:eastAsia="fr-FR"/>
        </w:rPr>
      </w:pPr>
      <w:r w:rsidRPr="000C75B5">
        <w:rPr>
          <w:rFonts w:ascii="Arial" w:eastAsia="Times New Roman" w:hAnsi="Arial" w:cs="Arial"/>
          <w:color w:val="000000"/>
          <w:sz w:val="21"/>
          <w:szCs w:val="21"/>
          <w:lang w:eastAsia="fr-FR"/>
        </w:rPr>
        <w:t>- demander réparation des conséquences de l'inexécution.</w:t>
      </w:r>
    </w:p>
    <w:p w:rsidR="000C75B5" w:rsidRPr="000C75B5" w:rsidRDefault="000C75B5" w:rsidP="000C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  <w:sz w:val="21"/>
          <w:szCs w:val="21"/>
          <w:lang w:eastAsia="fr-FR"/>
        </w:rPr>
      </w:pPr>
      <w:r w:rsidRPr="000C75B5">
        <w:rPr>
          <w:rFonts w:ascii="Arial" w:eastAsia="Times New Roman" w:hAnsi="Arial" w:cs="Arial"/>
          <w:color w:val="000000"/>
          <w:sz w:val="21"/>
          <w:szCs w:val="21"/>
          <w:lang w:eastAsia="fr-FR"/>
        </w:rPr>
        <w:t>Les sanctions qui ne sont pas incompatibles peuvent être cumulées ; des dommages et intérêts peuvent toujours s'y ajouter.</w:t>
      </w:r>
    </w:p>
    <w:p w:rsidR="000C75B5" w:rsidRDefault="000C75B5"/>
    <w:p w:rsidR="000C75B5" w:rsidRPr="000C75B5" w:rsidRDefault="000C75B5">
      <w:pPr>
        <w:rPr>
          <w:b/>
          <w:u w:val="single"/>
        </w:rPr>
      </w:pPr>
      <w:r w:rsidRPr="000C75B5">
        <w:rPr>
          <w:b/>
          <w:u w:val="single"/>
        </w:rPr>
        <w:t>Dossier SYLIS</w:t>
      </w:r>
    </w:p>
    <w:p w:rsidR="000C75B5" w:rsidRPr="000C75B5" w:rsidRDefault="000C75B5" w:rsidP="000C75B5">
      <w:pPr>
        <w:pStyle w:val="Paragraphedeliste"/>
        <w:numPr>
          <w:ilvl w:val="0"/>
          <w:numId w:val="4"/>
        </w:numPr>
        <w:rPr>
          <w:b/>
          <w:i/>
        </w:rPr>
      </w:pPr>
      <w:r w:rsidRPr="000C75B5">
        <w:rPr>
          <w:b/>
          <w:i/>
        </w:rPr>
        <w:t xml:space="preserve">À partir du document figurant en Annexe 2, vous devez reconstituer les faits qui ont conduit à la publication de ce document. </w:t>
      </w:r>
    </w:p>
    <w:p w:rsidR="000C75B5" w:rsidRPr="000C75B5" w:rsidRDefault="000C75B5" w:rsidP="000C75B5">
      <w:pPr>
        <w:pStyle w:val="Paragraphedeliste"/>
        <w:numPr>
          <w:ilvl w:val="0"/>
          <w:numId w:val="4"/>
        </w:numPr>
        <w:rPr>
          <w:b/>
          <w:i/>
        </w:rPr>
      </w:pPr>
      <w:r w:rsidRPr="000C75B5">
        <w:rPr>
          <w:b/>
          <w:i/>
        </w:rPr>
        <w:t>Q</w:t>
      </w:r>
      <w:r w:rsidRPr="000C75B5">
        <w:rPr>
          <w:b/>
          <w:i/>
        </w:rPr>
        <w:t>uelle est la source légale à l'</w:t>
      </w:r>
      <w:r w:rsidRPr="000C75B5">
        <w:rPr>
          <w:b/>
          <w:i/>
        </w:rPr>
        <w:t>origine de cette information</w:t>
      </w:r>
      <w:r w:rsidRPr="000C75B5">
        <w:rPr>
          <w:b/>
          <w:i/>
        </w:rPr>
        <w:t xml:space="preserve"> </w:t>
      </w:r>
      <w:r w:rsidRPr="000C75B5">
        <w:rPr>
          <w:b/>
          <w:i/>
        </w:rPr>
        <w:t xml:space="preserve">? </w:t>
      </w:r>
    </w:p>
    <w:p w:rsidR="000C75B5" w:rsidRPr="000C75B5" w:rsidRDefault="000C75B5" w:rsidP="000C75B5">
      <w:pPr>
        <w:pStyle w:val="Paragraphedeliste"/>
        <w:numPr>
          <w:ilvl w:val="0"/>
          <w:numId w:val="4"/>
        </w:numPr>
        <w:rPr>
          <w:b/>
          <w:i/>
        </w:rPr>
      </w:pPr>
      <w:r w:rsidRPr="000C75B5">
        <w:rPr>
          <w:b/>
          <w:i/>
        </w:rPr>
        <w:t>Quelles sont les raisons de cette information</w:t>
      </w:r>
      <w:r w:rsidRPr="000C75B5">
        <w:rPr>
          <w:b/>
          <w:i/>
        </w:rPr>
        <w:t xml:space="preserve"> </w:t>
      </w:r>
      <w:r w:rsidRPr="000C75B5">
        <w:rPr>
          <w:b/>
          <w:i/>
        </w:rPr>
        <w:t xml:space="preserve">? </w:t>
      </w:r>
    </w:p>
    <w:p w:rsidR="000C75B5" w:rsidRPr="000C75B5" w:rsidRDefault="000C75B5" w:rsidP="000C75B5">
      <w:pPr>
        <w:pStyle w:val="Paragraphedeliste"/>
        <w:numPr>
          <w:ilvl w:val="0"/>
          <w:numId w:val="4"/>
        </w:numPr>
        <w:rPr>
          <w:b/>
          <w:i/>
        </w:rPr>
      </w:pPr>
      <w:r w:rsidRPr="000C75B5">
        <w:rPr>
          <w:b/>
          <w:i/>
        </w:rPr>
        <w:t xml:space="preserve">Après avoir défini l'action de concert, vous devrez dire si la société à l'origine de l'opération a agi seule ou de concert. </w:t>
      </w:r>
    </w:p>
    <w:p w:rsidR="000C75B5" w:rsidRDefault="000C75B5" w:rsidP="000C75B5"/>
    <w:p w:rsidR="000C75B5" w:rsidRPr="000C75B5" w:rsidRDefault="000C75B5" w:rsidP="00CA5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</w:rPr>
      </w:pPr>
      <w:r w:rsidRPr="000C75B5">
        <w:rPr>
          <w:b/>
        </w:rPr>
        <w:t>Annexe 2</w:t>
      </w:r>
    </w:p>
    <w:p w:rsidR="000C75B5" w:rsidRPr="000C75B5" w:rsidRDefault="000C75B5" w:rsidP="00CA5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</w:rPr>
      </w:pPr>
      <w:r w:rsidRPr="000C75B5">
        <w:rPr>
          <w:b/>
        </w:rPr>
        <w:t>Déclaration de franchissement de seuils (article L233-7 du code de commerce)</w:t>
      </w:r>
    </w:p>
    <w:p w:rsidR="000C75B5" w:rsidRPr="000C75B5" w:rsidRDefault="000C75B5" w:rsidP="00CA5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</w:rPr>
      </w:pPr>
      <w:r w:rsidRPr="000C75B5">
        <w:rPr>
          <w:b/>
        </w:rPr>
        <w:t>SYLIS</w:t>
      </w:r>
    </w:p>
    <w:p w:rsidR="000C75B5" w:rsidRDefault="000C75B5" w:rsidP="00CA5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(EURONEXT Paris)</w:t>
      </w:r>
    </w:p>
    <w:p w:rsidR="000C75B5" w:rsidRDefault="000C75B5" w:rsidP="00CA5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Par courrier du 3 octobre 2008, la société anonyme Groupe Open (97, boulevard Pereire, 75017 Paris) a déclaré avoir franchi individuellement en hausse, le 2 octobre 2008, le seuil de 15% du capital de la société SYLIS et détenir individuellement 1 542 505 actions SYLIS représentant autant de droits de vote, soit 15,92% du capital et 12,61% des droits de</w:t>
      </w:r>
      <w:r>
        <w:t xml:space="preserve"> </w:t>
      </w:r>
      <w:r>
        <w:t xml:space="preserve">vote de cette société (1). </w:t>
      </w:r>
    </w:p>
    <w:p w:rsidR="000C75B5" w:rsidRDefault="000C75B5" w:rsidP="00CA5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 xml:space="preserve">Ce franchissement de seuils </w:t>
      </w:r>
      <w:r>
        <w:t>résulte de l'acquisition d'actio</w:t>
      </w:r>
      <w:r>
        <w:t>ns SYLIS dans le cadre de l'offre publique d'a</w:t>
      </w:r>
      <w:r>
        <w:t>chat initiée par Groupe O</w:t>
      </w:r>
      <w:bookmarkStart w:id="0" w:name="_GoBack"/>
      <w:bookmarkEnd w:id="0"/>
      <w:r>
        <w:t>pen</w:t>
      </w:r>
      <w:r>
        <w:t xml:space="preserve">. </w:t>
      </w:r>
    </w:p>
    <w:p w:rsidR="000C75B5" w:rsidRPr="00A85365" w:rsidRDefault="000C75B5" w:rsidP="00CA5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A85365">
        <w:rPr>
          <w:i/>
        </w:rPr>
        <w:t>(1) Sur la base d'un capital composé de 9</w:t>
      </w:r>
      <w:r w:rsidRPr="00A85365">
        <w:rPr>
          <w:i/>
        </w:rPr>
        <w:t> </w:t>
      </w:r>
      <w:r w:rsidRPr="00A85365">
        <w:rPr>
          <w:i/>
        </w:rPr>
        <w:t>686</w:t>
      </w:r>
      <w:r w:rsidRPr="00A85365">
        <w:rPr>
          <w:i/>
        </w:rPr>
        <w:t xml:space="preserve"> </w:t>
      </w:r>
      <w:r w:rsidRPr="00A85365">
        <w:rPr>
          <w:i/>
        </w:rPr>
        <w:t>567 actions représentant 12</w:t>
      </w:r>
      <w:r w:rsidRPr="00A85365">
        <w:rPr>
          <w:i/>
        </w:rPr>
        <w:t xml:space="preserve"> </w:t>
      </w:r>
      <w:r w:rsidRPr="00A85365">
        <w:rPr>
          <w:i/>
        </w:rPr>
        <w:t>231 780 droit</w:t>
      </w:r>
      <w:r w:rsidRPr="00A85365">
        <w:rPr>
          <w:i/>
        </w:rPr>
        <w:t>s de vote, en application du 2</w:t>
      </w:r>
      <w:r w:rsidRPr="00A85365">
        <w:rPr>
          <w:i/>
          <w:vertAlign w:val="superscript"/>
        </w:rPr>
        <w:t>ème</w:t>
      </w:r>
      <w:r w:rsidRPr="00A85365">
        <w:rPr>
          <w:i/>
        </w:rPr>
        <w:t xml:space="preserve"> </w:t>
      </w:r>
      <w:r w:rsidRPr="00A85365">
        <w:rPr>
          <w:i/>
        </w:rPr>
        <w:t xml:space="preserve">alinéa de l'article 223-11 du règlement général. </w:t>
      </w:r>
    </w:p>
    <w:p w:rsidR="000C75B5" w:rsidRDefault="000C75B5" w:rsidP="00CA5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>
        <w:t>Source</w:t>
      </w:r>
      <w:r>
        <w:t xml:space="preserve"> </w:t>
      </w:r>
      <w:r>
        <w:t xml:space="preserve">: AMF </w:t>
      </w:r>
    </w:p>
    <w:p w:rsidR="000C75B5" w:rsidRDefault="000C75B5" w:rsidP="000C75B5"/>
    <w:p w:rsidR="000C75B5" w:rsidRDefault="000C75B5" w:rsidP="000C75B5"/>
    <w:sectPr w:rsidR="000C75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43DE2"/>
    <w:multiLevelType w:val="hybridMultilevel"/>
    <w:tmpl w:val="6ABE58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E07DF"/>
    <w:multiLevelType w:val="hybridMultilevel"/>
    <w:tmpl w:val="C6C89F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758F2"/>
    <w:multiLevelType w:val="hybridMultilevel"/>
    <w:tmpl w:val="9E84BE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51999"/>
    <w:multiLevelType w:val="hybridMultilevel"/>
    <w:tmpl w:val="4CE440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5B5"/>
    <w:rsid w:val="000C75B5"/>
    <w:rsid w:val="00A85365"/>
    <w:rsid w:val="00CA53A7"/>
    <w:rsid w:val="00E9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D07BF"/>
  <w15:chartTrackingRefBased/>
  <w15:docId w15:val="{55B58AC2-E204-4CC9-BCA4-CB72F934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0C75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6">
    <w:name w:val="heading 6"/>
    <w:basedOn w:val="Normal"/>
    <w:link w:val="Titre6Car"/>
    <w:uiPriority w:val="9"/>
    <w:qFormat/>
    <w:rsid w:val="000C75B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C75B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C75B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6Car">
    <w:name w:val="Titre 6 Car"/>
    <w:basedOn w:val="Policepardfaut"/>
    <w:link w:val="Titre6"/>
    <w:uiPriority w:val="9"/>
    <w:rsid w:val="000C75B5"/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paragraph" w:customStyle="1" w:styleId="date">
    <w:name w:val="date"/>
    <w:basedOn w:val="Normal"/>
    <w:rsid w:val="000C7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0C75B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C7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853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53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98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3302F2-6BF6-4CE8-ACF7-4110C9A2EF73}"/>
</file>

<file path=customXml/itemProps2.xml><?xml version="1.0" encoding="utf-8"?>
<ds:datastoreItem xmlns:ds="http://schemas.openxmlformats.org/officeDocument/2006/customXml" ds:itemID="{C7B0A414-F7BC-462F-96F6-E6B521FBB040}"/>
</file>

<file path=customXml/itemProps3.xml><?xml version="1.0" encoding="utf-8"?>
<ds:datastoreItem xmlns:ds="http://schemas.openxmlformats.org/officeDocument/2006/customXml" ds:itemID="{E57DCCA1-150C-45F8-9D22-8850AD1AB2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Ogec La Joliverie</Company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CHAUVEAU Corinne</dc:creator>
  <cp:keywords/>
  <dc:description/>
  <cp:lastModifiedBy>CHAUVEAU Corinne</cp:lastModifiedBy>
  <cp:revision>2</cp:revision>
  <cp:lastPrinted>2023-03-13T17:17:00Z</cp:lastPrinted>
  <dcterms:created xsi:type="dcterms:W3CDTF">2023-03-13T17:20:00Z</dcterms:created>
  <dcterms:modified xsi:type="dcterms:W3CDTF">2023-03-13T17:20:00Z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