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ED7402" w:rsidR="00F96855" w:rsidRDefault="00F96855" w14:paraId="285CC05E" wp14:textId="77777777">
      <w:pPr>
        <w:rPr>
          <w:b/>
          <w:u w:val="single"/>
        </w:rPr>
      </w:pPr>
      <w:bookmarkStart w:name="_GoBack" w:id="0"/>
      <w:bookmarkEnd w:id="0"/>
      <w:r w:rsidRPr="00ED7402">
        <w:rPr>
          <w:b/>
          <w:u w:val="single"/>
        </w:rPr>
        <w:t>LE CAUTIONNEMENT</w:t>
      </w:r>
    </w:p>
    <w:p xmlns:wp14="http://schemas.microsoft.com/office/word/2010/wordml" w:rsidR="00FC3919" w:rsidP="00ED7402" w:rsidRDefault="00677F2D" w14:paraId="3A59ABBC" wp14:textId="77777777">
      <w:pPr>
        <w:jc w:val="both"/>
      </w:pPr>
      <w:r>
        <w:t>Jonah est heureux : après de longues recherches, il a enfin trouvé l’appartement de ses rêves, un magnifique 120 mètres carré à 620 000 euros.</w:t>
      </w:r>
      <w:r w:rsidR="0013138A">
        <w:t xml:space="preserve"> Il est allé voir la banque Cloud-9 qui a accepté de lui fournir un crédit pour la totalité, remboursable avec 80 000 euros d’intérêt, à condition qu’il fournisse une caution. Jonah a donc sollicité sa collègue et amie Amy, qui a accepté de lui fournir garantie.</w:t>
      </w:r>
    </w:p>
    <w:p xmlns:wp14="http://schemas.microsoft.com/office/word/2010/wordml" w:rsidR="00677F2D" w:rsidP="00ED7402" w:rsidRDefault="0013138A" w14:paraId="7179279E" wp14:textId="77777777">
      <w:pPr>
        <w:jc w:val="both"/>
      </w:pPr>
      <w:r>
        <w:t xml:space="preserve">Amy est très surprise d’apprendre que la banque Cloud-9 lui propose de conclure le contrat de cautionnement à distance, via une nouvelle plateforme sécurisée. Elle s’est donc connectée sur le site </w:t>
      </w:r>
      <w:hyperlink w:history="1" r:id="rId4">
        <w:r w:rsidRPr="00FB7C95">
          <w:rPr>
            <w:rStyle w:val="Lienhypertexte"/>
          </w:rPr>
          <w:t>www.cloud9.fr/cautionnement/souscrire</w:t>
        </w:r>
      </w:hyperlink>
      <w:r>
        <w:t xml:space="preserve"> et a accédé à un serveur lui demandant de rentrer diverses informations relatives à son identité, à son patrimoine (elle y déclare son appartement valant 400 000 euros), à son salaire ( de 3 000 euros par mois) ainsi qu’une case dans laquelle elle doit taper la formule suivante : Moi, [votre nom], m’engage à payer à Cloud-9 ce qui lui doit Jonah Simms, en cas de défaillance de ce dernier dans son obligation de rembourser son crédit, dans la limite de 700 000 euros ». Amy remplit la case (en veillant à mettre son propre nom et non pas « [Votre nom] et valide la page le 20 janvier 2022.</w:t>
      </w:r>
    </w:p>
    <w:p xmlns:wp14="http://schemas.microsoft.com/office/word/2010/wordml" w:rsidR="0013138A" w:rsidP="00ED7402" w:rsidRDefault="0013138A" w14:paraId="2B8EFC0C" wp14:textId="77777777">
      <w:pPr>
        <w:jc w:val="both"/>
      </w:pPr>
      <w:r>
        <w:t>Malheureusement</w:t>
      </w:r>
      <w:r w:rsidR="00ED7402">
        <w:t>, quelques jours après avoir signé la vente, Jonah a été licencié et s’est retrouvé avec une chute de revenus brutale. Il est allé voir le dirigeant de la banque Cloud-9, un certain Glenn. Emu par sa situation, Glenn a accepté, de consentir une remise de dette à hauteur de 200 000 euros. Cela n’a pas suffi et Jonah vient d’être placé en situation de surendettement, alors qu’il n’a remboursé que 50 000 euros. La banque Cloud-9 vient donc d’assigner Amy à hauteur de 650 000 euros.</w:t>
      </w:r>
    </w:p>
    <w:p xmlns:wp14="http://schemas.microsoft.com/office/word/2010/wordml" w:rsidRPr="00ED7402" w:rsidR="00ED7402" w:rsidP="00ED7402" w:rsidRDefault="00ED7402" w14:paraId="01A00D97" wp14:textId="77777777">
      <w:pPr>
        <w:jc w:val="both"/>
        <w:rPr>
          <w:b/>
        </w:rPr>
      </w:pPr>
      <w:r w:rsidRPr="00ED7402">
        <w:rPr>
          <w:b/>
        </w:rPr>
        <w:t>Amy vous consulte pour savoir si elle peut échapper à son engagement et sur quels fondements.</w:t>
      </w:r>
    </w:p>
    <w:p xmlns:wp14="http://schemas.microsoft.com/office/word/2010/wordml" w:rsidRPr="00ED7402" w:rsidR="00677F2D" w:rsidRDefault="00677F2D" w14:paraId="0D88B6C4" wp14:textId="77777777">
      <w:pPr>
        <w:rPr>
          <w:u w:val="single"/>
        </w:rPr>
      </w:pPr>
      <w:r w:rsidRPr="00ED7402">
        <w:rPr>
          <w:u w:val="single"/>
        </w:rPr>
        <w:t>Article 2297 civ.</w:t>
      </w:r>
    </w:p>
    <w:p xmlns:wp14="http://schemas.microsoft.com/office/word/2010/wordml" w:rsidR="00677F2D" w:rsidP="00ED7402" w:rsidRDefault="00677F2D" w14:paraId="6D60E789" wp14:textId="77777777">
      <w:pPr>
        <w:jc w:val="both"/>
        <w:rPr>
          <w:rFonts w:ascii="Arial" w:hAnsi="Arial" w:cs="Arial"/>
          <w:color w:val="000000"/>
          <w:sz w:val="21"/>
          <w:szCs w:val="21"/>
          <w:shd w:val="clear" w:color="auto" w:fill="FFFFFF"/>
        </w:rPr>
      </w:pPr>
      <w:r>
        <w:rPr>
          <w:rFonts w:ascii="Arial" w:hAnsi="Arial" w:cs="Arial"/>
          <w:color w:val="000000"/>
          <w:sz w:val="21"/>
          <w:szCs w:val="21"/>
          <w:shd w:val="clear" w:color="auto" w:fill="FFFFFF"/>
        </w:rPr>
        <w:t>A peine de nullité de son engagement, la caution personne physique appose elle-même la mention qu'elle s'engage en qualité de caution à payer au créancier ce que lui doit le débiteur en cas de défaillance de celui-ci, dans la limite d'un montant en principal et accessoires exprimé en toutes lettres et en chiffres. En cas de différence, le cautionnement vaut pour la somme écrite en toutes lettres.</w:t>
      </w:r>
      <w:r>
        <w:rPr>
          <w:rFonts w:ascii="Arial" w:hAnsi="Arial" w:cs="Arial"/>
          <w:color w:val="000000"/>
          <w:sz w:val="21"/>
          <w:szCs w:val="21"/>
        </w:rPr>
        <w:br/>
      </w:r>
      <w:r>
        <w:rPr>
          <w:rFonts w:ascii="Arial" w:hAnsi="Arial" w:cs="Arial"/>
          <w:color w:val="000000"/>
          <w:sz w:val="21"/>
          <w:szCs w:val="21"/>
        </w:rPr>
        <w:br/>
      </w:r>
      <w:r>
        <w:rPr>
          <w:rFonts w:ascii="Arial" w:hAnsi="Arial" w:cs="Arial"/>
          <w:color w:val="000000"/>
          <w:sz w:val="21"/>
          <w:szCs w:val="21"/>
          <w:shd w:val="clear" w:color="auto" w:fill="FFFFFF"/>
        </w:rPr>
        <w:t>Si la caution est privée des bénéfices de discussion ou de division, elle reconnaît dans cette mention ne pouvoir exiger du créancier qu'il poursuive d'abord le débiteur ou qu'il divise ses poursuites entre les cautions. A défaut, elle conserve le droit de se prévaloir de ces bénéfices.</w:t>
      </w:r>
      <w:r>
        <w:rPr>
          <w:rFonts w:ascii="Arial" w:hAnsi="Arial" w:cs="Arial"/>
          <w:color w:val="000000"/>
          <w:sz w:val="21"/>
          <w:szCs w:val="21"/>
        </w:rPr>
        <w:br/>
      </w:r>
      <w:r>
        <w:rPr>
          <w:rFonts w:ascii="Arial" w:hAnsi="Arial" w:cs="Arial"/>
          <w:color w:val="000000"/>
          <w:sz w:val="21"/>
          <w:szCs w:val="21"/>
        </w:rPr>
        <w:br/>
      </w:r>
      <w:r>
        <w:rPr>
          <w:rFonts w:ascii="Arial" w:hAnsi="Arial" w:cs="Arial"/>
          <w:color w:val="000000"/>
          <w:sz w:val="21"/>
          <w:szCs w:val="21"/>
          <w:shd w:val="clear" w:color="auto" w:fill="FFFFFF"/>
        </w:rPr>
        <w:t>La personne physique qui donne mandat à autrui de se porter caution doit respecter les dispositions du présent article.</w:t>
      </w:r>
    </w:p>
    <w:p xmlns:wp14="http://schemas.microsoft.com/office/word/2010/wordml" w:rsidRPr="00ED7402" w:rsidR="00677F2D" w:rsidRDefault="00677F2D" w14:paraId="6A0E2AF4" wp14:textId="77777777">
      <w:pPr>
        <w:rPr>
          <w:rFonts w:ascii="Arial" w:hAnsi="Arial" w:cs="Arial"/>
          <w:color w:val="000000"/>
          <w:sz w:val="21"/>
          <w:szCs w:val="21"/>
          <w:u w:val="single"/>
          <w:shd w:val="clear" w:color="auto" w:fill="FFFFFF"/>
        </w:rPr>
      </w:pPr>
      <w:r w:rsidRPr="00ED7402">
        <w:rPr>
          <w:rFonts w:ascii="Arial" w:hAnsi="Arial" w:cs="Arial"/>
          <w:color w:val="000000"/>
          <w:sz w:val="21"/>
          <w:szCs w:val="21"/>
          <w:u w:val="single"/>
          <w:shd w:val="clear" w:color="auto" w:fill="FFFFFF"/>
        </w:rPr>
        <w:t>Article 2300 civ.</w:t>
      </w:r>
    </w:p>
    <w:p xmlns:wp14="http://schemas.microsoft.com/office/word/2010/wordml" w:rsidR="00677F2D" w:rsidP="00ED7402" w:rsidRDefault="00677F2D" w14:paraId="0A363D67" wp14:textId="77777777">
      <w:pPr>
        <w:jc w:val="both"/>
        <w:rPr>
          <w:rFonts w:ascii="Arial" w:hAnsi="Arial" w:cs="Arial"/>
          <w:color w:val="000000"/>
          <w:sz w:val="21"/>
          <w:szCs w:val="21"/>
          <w:shd w:val="clear" w:color="auto" w:fill="FFFFFF"/>
        </w:rPr>
      </w:pPr>
      <w:r>
        <w:rPr>
          <w:rFonts w:ascii="Arial" w:hAnsi="Arial" w:cs="Arial"/>
          <w:color w:val="000000"/>
          <w:sz w:val="21"/>
          <w:szCs w:val="21"/>
          <w:shd w:val="clear" w:color="auto" w:fill="FFFFFF"/>
        </w:rPr>
        <w:t>Si le cautionnement souscrit par une personne physique envers un créancier professionnel était, lors de sa conclusion, manifestement disproportionné aux revenus et au patrimoine de la caution, il est réduit au montant à hauteur duquel elle pouvait s'engager à cette date.</w:t>
      </w:r>
    </w:p>
    <w:p xmlns:wp14="http://schemas.microsoft.com/office/word/2010/wordml" w:rsidR="00F96855" w:rsidRDefault="00F96855" w14:paraId="672A6659" wp14:textId="77777777">
      <w:pPr>
        <w:rPr>
          <w:rFonts w:ascii="Arial" w:hAnsi="Arial" w:cs="Arial"/>
          <w:color w:val="000000"/>
          <w:sz w:val="21"/>
          <w:szCs w:val="21"/>
          <w:shd w:val="clear" w:color="auto" w:fill="FFFFFF"/>
        </w:rPr>
      </w:pPr>
    </w:p>
    <w:p xmlns:wp14="http://schemas.microsoft.com/office/word/2010/wordml" w:rsidRPr="00ED7402" w:rsidR="00F96855" w:rsidRDefault="00F96855" w14:paraId="1ABCB85D" wp14:textId="77777777">
      <w:pPr>
        <w:rPr>
          <w:rFonts w:ascii="Arial" w:hAnsi="Arial" w:cs="Arial"/>
          <w:b/>
          <w:color w:val="000000"/>
          <w:sz w:val="21"/>
          <w:szCs w:val="21"/>
          <w:u w:val="single"/>
          <w:shd w:val="clear" w:color="auto" w:fill="FFFFFF"/>
        </w:rPr>
      </w:pPr>
      <w:r w:rsidRPr="00ED7402">
        <w:rPr>
          <w:rFonts w:ascii="Arial" w:hAnsi="Arial" w:cs="Arial"/>
          <w:b/>
          <w:color w:val="000000"/>
          <w:sz w:val="21"/>
          <w:szCs w:val="21"/>
          <w:u w:val="single"/>
          <w:shd w:val="clear" w:color="auto" w:fill="FFFFFF"/>
        </w:rPr>
        <w:t>LE GAGE</w:t>
      </w:r>
    </w:p>
    <w:p xmlns:wp14="http://schemas.microsoft.com/office/word/2010/wordml" w:rsidRPr="00834CEA" w:rsidR="00834CEA" w:rsidP="00834CEA" w:rsidRDefault="00834CEA" w14:paraId="20D6D771" wp14:textId="77777777">
      <w:pPr>
        <w:jc w:val="both"/>
        <w:rPr>
          <w:rFonts w:ascii="Arial" w:hAnsi="Arial" w:cs="Arial"/>
          <w:color w:val="000000"/>
          <w:sz w:val="21"/>
          <w:szCs w:val="21"/>
          <w:shd w:val="clear" w:color="auto" w:fill="FFFFFF"/>
        </w:rPr>
      </w:pPr>
      <w:proofErr w:type="spellStart"/>
      <w:r>
        <w:rPr>
          <w:rFonts w:ascii="Arial" w:hAnsi="Arial" w:cs="Arial"/>
          <w:color w:val="000000"/>
          <w:sz w:val="21"/>
          <w:szCs w:val="21"/>
          <w:shd w:val="clear" w:color="auto" w:fill="FFFFFF"/>
        </w:rPr>
        <w:t>Ordrafabétix</w:t>
      </w:r>
      <w:proofErr w:type="spellEnd"/>
      <w:r>
        <w:rPr>
          <w:rFonts w:ascii="Arial" w:hAnsi="Arial" w:cs="Arial"/>
          <w:color w:val="000000"/>
          <w:sz w:val="21"/>
          <w:szCs w:val="21"/>
          <w:shd w:val="clear" w:color="auto" w:fill="FFFFFF"/>
        </w:rPr>
        <w:t xml:space="preserve">, ne supportant plus les critiques qui sont portées à la fraîcheur de ses poissons, a décidé de diversifier son activité en créant une filiale dont l’objet social est </w:t>
      </w:r>
      <w:r w:rsidRPr="00834CEA">
        <w:rPr>
          <w:rFonts w:ascii="Arial" w:hAnsi="Arial" w:cs="Arial"/>
          <w:color w:val="000000"/>
          <w:sz w:val="21"/>
          <w:szCs w:val="21"/>
          <w:shd w:val="clear" w:color="auto" w:fill="FFFFFF"/>
        </w:rPr>
        <w:t xml:space="preserve">la chasse aux sangliers (pour laquelle il a embauché Astérix, dont le talent de chasseur n'est plus à démontrer) ainsi que leur transformation en jambons et noix de jambon. Pour financer son activité, il a fait appel à un Helvète, </w:t>
      </w:r>
      <w:proofErr w:type="spellStart"/>
      <w:r w:rsidRPr="00834CEA">
        <w:rPr>
          <w:rFonts w:ascii="Arial" w:hAnsi="Arial" w:cs="Arial"/>
          <w:color w:val="000000"/>
          <w:sz w:val="21"/>
          <w:szCs w:val="21"/>
          <w:shd w:val="clear" w:color="auto" w:fill="FFFFFF"/>
        </w:rPr>
        <w:t>Zurix</w:t>
      </w:r>
      <w:proofErr w:type="spellEnd"/>
      <w:r w:rsidRPr="00834CEA">
        <w:rPr>
          <w:rFonts w:ascii="Arial" w:hAnsi="Arial" w:cs="Arial"/>
          <w:color w:val="000000"/>
          <w:sz w:val="21"/>
          <w:szCs w:val="21"/>
          <w:shd w:val="clear" w:color="auto" w:fill="FFFFFF"/>
        </w:rPr>
        <w:t>, qui a installé son activité de banque dans le village d'</w:t>
      </w:r>
      <w:proofErr w:type="spellStart"/>
      <w:r w:rsidRPr="00834CEA">
        <w:rPr>
          <w:rFonts w:ascii="Arial" w:hAnsi="Arial" w:cs="Arial"/>
          <w:color w:val="000000"/>
          <w:sz w:val="21"/>
          <w:szCs w:val="21"/>
          <w:shd w:val="clear" w:color="auto" w:fill="FFFFFF"/>
        </w:rPr>
        <w:t>Ordralfabétix</w:t>
      </w:r>
      <w:proofErr w:type="spellEnd"/>
      <w:r w:rsidRPr="00834CEA">
        <w:rPr>
          <w:rFonts w:ascii="Arial" w:hAnsi="Arial" w:cs="Arial"/>
          <w:color w:val="000000"/>
          <w:sz w:val="21"/>
          <w:szCs w:val="21"/>
          <w:shd w:val="clear" w:color="auto" w:fill="FFFFFF"/>
        </w:rPr>
        <w:t xml:space="preserve">. </w:t>
      </w:r>
      <w:proofErr w:type="spellStart"/>
      <w:r w:rsidRPr="00834CEA">
        <w:rPr>
          <w:rFonts w:ascii="Arial" w:hAnsi="Arial" w:cs="Arial"/>
          <w:color w:val="000000"/>
          <w:sz w:val="21"/>
          <w:szCs w:val="21"/>
          <w:shd w:val="clear" w:color="auto" w:fill="FFFFFF"/>
        </w:rPr>
        <w:t>Zurix</w:t>
      </w:r>
      <w:proofErr w:type="spellEnd"/>
      <w:r w:rsidRPr="00834CEA">
        <w:rPr>
          <w:rFonts w:ascii="Arial" w:hAnsi="Arial" w:cs="Arial"/>
          <w:color w:val="000000"/>
          <w:sz w:val="21"/>
          <w:szCs w:val="21"/>
          <w:shd w:val="clear" w:color="auto" w:fill="FFFFFF"/>
        </w:rPr>
        <w:t xml:space="preserve"> a accepté </w:t>
      </w:r>
      <w:r w:rsidRPr="00834CEA">
        <w:rPr>
          <w:rFonts w:ascii="Arial" w:hAnsi="Arial" w:cs="Arial"/>
          <w:color w:val="000000"/>
          <w:sz w:val="21"/>
          <w:szCs w:val="21"/>
          <w:shd w:val="clear" w:color="auto" w:fill="FFFFFF"/>
        </w:rPr>
        <w:t xml:space="preserve">de lui prêter 3 millions d'euros, moyennant la constitution d'un gage sans dépossession sur la totalité des stocks de noix de jambon de sanglier. </w:t>
      </w:r>
    </w:p>
    <w:p xmlns:wp14="http://schemas.microsoft.com/office/word/2010/wordml" w:rsidRPr="00834CEA" w:rsidR="00834CEA" w:rsidP="00834CEA" w:rsidRDefault="00834CEA" w14:paraId="0D0DAB7D" wp14:textId="77777777">
      <w:pPr>
        <w:jc w:val="both"/>
        <w:rPr>
          <w:rFonts w:ascii="Arial" w:hAnsi="Arial" w:cs="Arial"/>
          <w:color w:val="000000"/>
          <w:sz w:val="21"/>
          <w:szCs w:val="21"/>
          <w:shd w:val="clear" w:color="auto" w:fill="FFFFFF"/>
        </w:rPr>
      </w:pPr>
      <w:r w:rsidRPr="00834CEA">
        <w:rPr>
          <w:rFonts w:ascii="Arial" w:hAnsi="Arial" w:cs="Arial"/>
          <w:color w:val="000000"/>
          <w:sz w:val="21"/>
          <w:szCs w:val="21"/>
          <w:shd w:val="clear" w:color="auto" w:fill="FFFFFF"/>
        </w:rPr>
        <w:t xml:space="preserve">Si les affaires se sont plutôt bien déroulées, </w:t>
      </w:r>
      <w:proofErr w:type="spellStart"/>
      <w:r w:rsidRPr="00834CEA">
        <w:rPr>
          <w:rFonts w:ascii="Arial" w:hAnsi="Arial" w:cs="Arial"/>
          <w:color w:val="000000"/>
          <w:sz w:val="21"/>
          <w:szCs w:val="21"/>
          <w:shd w:val="clear" w:color="auto" w:fill="FFFFFF"/>
        </w:rPr>
        <w:t>Ordralfabétix</w:t>
      </w:r>
      <w:proofErr w:type="spellEnd"/>
      <w:r w:rsidRPr="00834CEA">
        <w:rPr>
          <w:rFonts w:ascii="Arial" w:hAnsi="Arial" w:cs="Arial"/>
          <w:color w:val="000000"/>
          <w:sz w:val="21"/>
          <w:szCs w:val="21"/>
          <w:shd w:val="clear" w:color="auto" w:fill="FFFFFF"/>
        </w:rPr>
        <w:t xml:space="preserve"> a tout de même du mal à rentrer dans ses frais, notamment en raison des critiques fréquemment adressées par </w:t>
      </w:r>
      <w:proofErr w:type="spellStart"/>
      <w:r w:rsidRPr="00834CEA">
        <w:rPr>
          <w:rFonts w:ascii="Arial" w:hAnsi="Arial" w:cs="Arial"/>
          <w:color w:val="000000"/>
          <w:sz w:val="21"/>
          <w:szCs w:val="21"/>
          <w:shd w:val="clear" w:color="auto" w:fill="FFFFFF"/>
        </w:rPr>
        <w:t>Cétautomatix</w:t>
      </w:r>
      <w:proofErr w:type="spellEnd"/>
      <w:r w:rsidRPr="00834CEA">
        <w:rPr>
          <w:rFonts w:ascii="Arial" w:hAnsi="Arial" w:cs="Arial"/>
          <w:color w:val="000000"/>
          <w:sz w:val="21"/>
          <w:szCs w:val="21"/>
          <w:shd w:val="clear" w:color="auto" w:fill="FFFFFF"/>
        </w:rPr>
        <w:t>, qui affirme que le jambon d'</w:t>
      </w:r>
      <w:proofErr w:type="spellStart"/>
      <w:r w:rsidRPr="00834CEA">
        <w:rPr>
          <w:rFonts w:ascii="Arial" w:hAnsi="Arial" w:cs="Arial"/>
          <w:color w:val="000000"/>
          <w:sz w:val="21"/>
          <w:szCs w:val="21"/>
          <w:shd w:val="clear" w:color="auto" w:fill="FFFFFF"/>
        </w:rPr>
        <w:t>Ordralfabétix</w:t>
      </w:r>
      <w:proofErr w:type="spellEnd"/>
      <w:r w:rsidRPr="00834CEA">
        <w:rPr>
          <w:rFonts w:ascii="Arial" w:hAnsi="Arial" w:cs="Arial"/>
          <w:color w:val="000000"/>
          <w:sz w:val="21"/>
          <w:szCs w:val="21"/>
          <w:shd w:val="clear" w:color="auto" w:fill="FFFFFF"/>
        </w:rPr>
        <w:t xml:space="preserve"> est tout aussi peu frais que ses poissons ... II a donc sollicité un nouveau crédit de son ami Obélix, qui a accepté de lui prêter un million, sous réserve de lui confier e</w:t>
      </w:r>
      <w:r>
        <w:rPr>
          <w:rFonts w:ascii="Arial" w:hAnsi="Arial" w:cs="Arial"/>
          <w:color w:val="000000"/>
          <w:sz w:val="21"/>
          <w:szCs w:val="21"/>
          <w:shd w:val="clear" w:color="auto" w:fill="FFFFFF"/>
        </w:rPr>
        <w:t>n gage avec dépossession la moi</w:t>
      </w:r>
      <w:r w:rsidRPr="00834CEA">
        <w:rPr>
          <w:rFonts w:ascii="Arial" w:hAnsi="Arial" w:cs="Arial"/>
          <w:color w:val="000000"/>
          <w:sz w:val="21"/>
          <w:szCs w:val="21"/>
          <w:shd w:val="clear" w:color="auto" w:fill="FFFFFF"/>
        </w:rPr>
        <w:t xml:space="preserve">tié de ses stocks de noix de jambon. </w:t>
      </w:r>
    </w:p>
    <w:p xmlns:wp14="http://schemas.microsoft.com/office/word/2010/wordml" w:rsidRPr="00834CEA" w:rsidR="00834CEA" w:rsidP="00834CEA" w:rsidRDefault="00834CEA" w14:paraId="540ECDCC" wp14:textId="77777777">
      <w:pPr>
        <w:jc w:val="both"/>
        <w:rPr>
          <w:rFonts w:ascii="Arial" w:hAnsi="Arial" w:cs="Arial"/>
          <w:color w:val="000000"/>
          <w:sz w:val="21"/>
          <w:szCs w:val="21"/>
          <w:shd w:val="clear" w:color="auto" w:fill="FFFFFF"/>
        </w:rPr>
      </w:pPr>
      <w:r w:rsidRPr="00834CEA">
        <w:rPr>
          <w:rFonts w:ascii="Arial" w:hAnsi="Arial" w:cs="Arial"/>
          <w:color w:val="000000"/>
          <w:sz w:val="21"/>
          <w:szCs w:val="21"/>
          <w:shd w:val="clear" w:color="auto" w:fill="FFFFFF"/>
        </w:rPr>
        <w:t xml:space="preserve">La semaine dernière, </w:t>
      </w:r>
      <w:proofErr w:type="spellStart"/>
      <w:r w:rsidRPr="00834CEA">
        <w:rPr>
          <w:rFonts w:ascii="Arial" w:hAnsi="Arial" w:cs="Arial"/>
          <w:color w:val="000000"/>
          <w:sz w:val="21"/>
          <w:szCs w:val="21"/>
          <w:shd w:val="clear" w:color="auto" w:fill="FFFFFF"/>
        </w:rPr>
        <w:t>Ordralfabétix</w:t>
      </w:r>
      <w:proofErr w:type="spellEnd"/>
      <w:r w:rsidRPr="00834CEA">
        <w:rPr>
          <w:rFonts w:ascii="Arial" w:hAnsi="Arial" w:cs="Arial"/>
          <w:color w:val="000000"/>
          <w:sz w:val="21"/>
          <w:szCs w:val="21"/>
          <w:shd w:val="clear" w:color="auto" w:fill="FFFFFF"/>
        </w:rPr>
        <w:t xml:space="preserve"> s'est retrouvé en défaut de paiement. </w:t>
      </w:r>
      <w:proofErr w:type="spellStart"/>
      <w:r w:rsidRPr="00834CEA">
        <w:rPr>
          <w:rFonts w:ascii="Arial" w:hAnsi="Arial" w:cs="Arial"/>
          <w:color w:val="000000"/>
          <w:sz w:val="21"/>
          <w:szCs w:val="21"/>
          <w:shd w:val="clear" w:color="auto" w:fill="FFFFFF"/>
        </w:rPr>
        <w:t>Zurix</w:t>
      </w:r>
      <w:proofErr w:type="spellEnd"/>
      <w:r w:rsidRPr="00834CEA">
        <w:rPr>
          <w:rFonts w:ascii="Arial" w:hAnsi="Arial" w:cs="Arial"/>
          <w:color w:val="000000"/>
          <w:sz w:val="21"/>
          <w:szCs w:val="21"/>
          <w:shd w:val="clear" w:color="auto" w:fill="FFFFFF"/>
        </w:rPr>
        <w:t xml:space="preserve"> a donc exercé son droit de rétention fictif, mais Obélix lui a opposé son droit de rétention matériel. En outre, </w:t>
      </w:r>
      <w:proofErr w:type="spellStart"/>
      <w:r w:rsidRPr="00834CEA">
        <w:rPr>
          <w:rFonts w:ascii="Arial" w:hAnsi="Arial" w:cs="Arial"/>
          <w:color w:val="000000"/>
          <w:sz w:val="21"/>
          <w:szCs w:val="21"/>
          <w:shd w:val="clear" w:color="auto" w:fill="FFFFFF"/>
        </w:rPr>
        <w:t>Ordralfabétix</w:t>
      </w:r>
      <w:proofErr w:type="spellEnd"/>
      <w:r w:rsidRPr="00834CEA">
        <w:rPr>
          <w:rFonts w:ascii="Arial" w:hAnsi="Arial" w:cs="Arial"/>
          <w:color w:val="000000"/>
          <w:sz w:val="21"/>
          <w:szCs w:val="21"/>
          <w:shd w:val="clear" w:color="auto" w:fill="FFFFFF"/>
        </w:rPr>
        <w:t xml:space="preserve"> s'est rendu compte que certaines noix de jambon étaient manquantes, Obélix ayant admis qu'il en avait mangé certaines ... </w:t>
      </w:r>
    </w:p>
    <w:p xmlns:wp14="http://schemas.microsoft.com/office/word/2010/wordml" w:rsidRPr="001C42CB" w:rsidR="00834CEA" w:rsidP="00834CEA" w:rsidRDefault="00834CEA" w14:paraId="236331CA" wp14:textId="77777777">
      <w:pPr>
        <w:jc w:val="both"/>
        <w:rPr>
          <w:rFonts w:ascii="Arial" w:hAnsi="Arial" w:cs="Arial"/>
          <w:b/>
          <w:color w:val="000000"/>
          <w:sz w:val="21"/>
          <w:szCs w:val="21"/>
          <w:shd w:val="clear" w:color="auto" w:fill="FFFFFF"/>
        </w:rPr>
      </w:pPr>
      <w:r w:rsidRPr="001C42CB">
        <w:rPr>
          <w:rFonts w:ascii="Arial" w:hAnsi="Arial" w:cs="Arial"/>
          <w:b/>
          <w:color w:val="000000"/>
          <w:sz w:val="21"/>
          <w:szCs w:val="21"/>
          <w:shd w:val="clear" w:color="auto" w:fill="FFFFFF"/>
        </w:rPr>
        <w:t>Qu'en pensez-</w:t>
      </w:r>
      <w:r w:rsidRPr="001C42CB" w:rsidR="001C42CB">
        <w:rPr>
          <w:rFonts w:ascii="Arial" w:hAnsi="Arial" w:cs="Arial"/>
          <w:b/>
          <w:color w:val="000000"/>
          <w:sz w:val="21"/>
          <w:szCs w:val="21"/>
          <w:shd w:val="clear" w:color="auto" w:fill="FFFFFF"/>
        </w:rPr>
        <w:t>vous ?</w:t>
      </w:r>
      <w:r w:rsidRPr="001C42CB">
        <w:rPr>
          <w:rFonts w:ascii="Arial" w:hAnsi="Arial" w:cs="Arial"/>
          <w:b/>
          <w:color w:val="000000"/>
          <w:sz w:val="21"/>
          <w:szCs w:val="21"/>
          <w:shd w:val="clear" w:color="auto" w:fill="FFFFFF"/>
        </w:rPr>
        <w:t xml:space="preserve"> </w:t>
      </w:r>
    </w:p>
    <w:p xmlns:wp14="http://schemas.microsoft.com/office/word/2010/wordml" w:rsidR="00834CEA" w:rsidRDefault="00834CEA" w14:paraId="0A37501D" wp14:textId="77777777">
      <w:pPr>
        <w:rPr>
          <w:rFonts w:ascii="Arial" w:hAnsi="Arial" w:cs="Arial"/>
          <w:color w:val="000000"/>
          <w:sz w:val="21"/>
          <w:szCs w:val="21"/>
          <w:shd w:val="clear" w:color="auto" w:fill="FFFFFF"/>
        </w:rPr>
      </w:pPr>
    </w:p>
    <w:p xmlns:wp14="http://schemas.microsoft.com/office/word/2010/wordml" w:rsidRPr="00834CEA" w:rsidR="00F96855" w:rsidRDefault="00F96855" w14:paraId="7C03B150" wp14:textId="77777777">
      <w:pPr>
        <w:rPr>
          <w:rFonts w:ascii="Arial" w:hAnsi="Arial" w:cs="Arial"/>
          <w:color w:val="000000"/>
          <w:sz w:val="21"/>
          <w:szCs w:val="21"/>
          <w:u w:val="single"/>
          <w:shd w:val="clear" w:color="auto" w:fill="FFFFFF"/>
        </w:rPr>
      </w:pPr>
      <w:r w:rsidRPr="00834CEA">
        <w:rPr>
          <w:rFonts w:ascii="Arial" w:hAnsi="Arial" w:cs="Arial"/>
          <w:color w:val="000000"/>
          <w:sz w:val="21"/>
          <w:szCs w:val="21"/>
          <w:u w:val="single"/>
          <w:shd w:val="clear" w:color="auto" w:fill="FFFFFF"/>
        </w:rPr>
        <w:t>Article 2286 civ</w:t>
      </w:r>
    </w:p>
    <w:p xmlns:wp14="http://schemas.microsoft.com/office/word/2010/wordml" w:rsidR="00F96855" w:rsidP="00F96855" w:rsidRDefault="00F96855" w14:paraId="0E31A019" wp14:textId="7777777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Peut se prévaloir d'un droit de rétention sur la chose :</w:t>
      </w:r>
    </w:p>
    <w:p xmlns:wp14="http://schemas.microsoft.com/office/word/2010/wordml" w:rsidR="00F96855" w:rsidP="00F96855" w:rsidRDefault="00F96855" w14:paraId="6AC1148A" wp14:textId="7777777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1° Celui à qui la chose a été remise jusqu'au paiement de sa créance ;</w:t>
      </w:r>
    </w:p>
    <w:p xmlns:wp14="http://schemas.microsoft.com/office/word/2010/wordml" w:rsidR="00F96855" w:rsidP="00F96855" w:rsidRDefault="00F96855" w14:paraId="38F17F8D" wp14:textId="7777777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2° Celui dont la créance impayée résulte du contrat qui l'oblige à la livrer ;</w:t>
      </w:r>
    </w:p>
    <w:p xmlns:wp14="http://schemas.microsoft.com/office/word/2010/wordml" w:rsidR="00F96855" w:rsidP="00F96855" w:rsidRDefault="00F96855" w14:paraId="4393CDA9" wp14:textId="7777777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3° Celui dont la créance impayée est née à l'occasion de la détention de la chose ;</w:t>
      </w:r>
    </w:p>
    <w:p xmlns:wp14="http://schemas.microsoft.com/office/word/2010/wordml" w:rsidR="00F96855" w:rsidP="00F96855" w:rsidRDefault="00F96855" w14:paraId="0FD53A37" wp14:textId="7777777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4° Celui qui bénéficie d'un gage sans dépossession.</w:t>
      </w:r>
    </w:p>
    <w:p xmlns:wp14="http://schemas.microsoft.com/office/word/2010/wordml" w:rsidR="00F96855" w:rsidP="00F96855" w:rsidRDefault="00F96855" w14:paraId="7E214B0D" wp14:textId="7777777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Le droit de rétention se perd par le dessaisissement volontaire.</w:t>
      </w:r>
    </w:p>
    <w:p xmlns:wp14="http://schemas.microsoft.com/office/word/2010/wordml" w:rsidRPr="00834CEA" w:rsidR="00F96855" w:rsidRDefault="00F96855" w14:paraId="553EA9C4" wp14:textId="77777777">
      <w:pPr>
        <w:rPr>
          <w:u w:val="single"/>
        </w:rPr>
      </w:pPr>
      <w:r w:rsidRPr="00834CEA">
        <w:rPr>
          <w:u w:val="single"/>
        </w:rPr>
        <w:t>Article 2340 civ</w:t>
      </w:r>
    </w:p>
    <w:p xmlns:wp14="http://schemas.microsoft.com/office/word/2010/wordml" w:rsidR="00F96855" w:rsidP="00834CEA" w:rsidRDefault="00F96855" w14:paraId="5399AB79" wp14:textId="77777777">
      <w:pPr>
        <w:pStyle w:val="NormalWeb"/>
        <w:shd w:val="clear" w:color="auto" w:fill="FFFFFF"/>
        <w:spacing w:before="0" w:beforeAutospacing="0" w:after="240" w:afterAutospacing="0"/>
        <w:jc w:val="both"/>
        <w:rPr>
          <w:rFonts w:ascii="Arial" w:hAnsi="Arial" w:cs="Arial"/>
          <w:color w:val="000000"/>
          <w:sz w:val="21"/>
          <w:szCs w:val="21"/>
        </w:rPr>
      </w:pPr>
      <w:r>
        <w:rPr>
          <w:rFonts w:ascii="Arial" w:hAnsi="Arial" w:cs="Arial"/>
          <w:color w:val="000000"/>
          <w:sz w:val="21"/>
          <w:szCs w:val="21"/>
        </w:rPr>
        <w:t>Lorsqu'un même bien fait l'objet de plusieurs gages successifs sans dépossession, le rang des créanciers est réglé par l'ordre de leur inscription.</w:t>
      </w:r>
    </w:p>
    <w:p xmlns:wp14="http://schemas.microsoft.com/office/word/2010/wordml" w:rsidR="00F96855" w:rsidP="00834CEA" w:rsidRDefault="00F96855" w14:paraId="46E6BAFE" wp14:textId="77777777">
      <w:pPr>
        <w:pStyle w:val="NormalWeb"/>
        <w:shd w:val="clear" w:color="auto" w:fill="FFFFFF"/>
        <w:spacing w:before="0" w:beforeAutospacing="0" w:after="240" w:afterAutospacing="0"/>
        <w:jc w:val="both"/>
        <w:rPr>
          <w:rFonts w:ascii="Arial" w:hAnsi="Arial" w:cs="Arial"/>
          <w:color w:val="000000"/>
          <w:sz w:val="21"/>
          <w:szCs w:val="21"/>
        </w:rPr>
      </w:pPr>
      <w:r>
        <w:rPr>
          <w:rFonts w:ascii="Arial" w:hAnsi="Arial" w:cs="Arial"/>
          <w:color w:val="000000"/>
          <w:sz w:val="21"/>
          <w:szCs w:val="21"/>
        </w:rPr>
        <w:t>Lorsqu'un bien donné en gage sans dépossession fait ultérieurement l'objet d'un gage avec dépossession, le droit de préférence du créancier gagiste antérieur est opposable au créancier gagiste postérieur lorsqu'il est régulièrement publié nonobstant le droit de rétention de ce dernier.</w:t>
      </w:r>
    </w:p>
    <w:p xmlns:wp14="http://schemas.microsoft.com/office/word/2010/wordml" w:rsidRPr="00834CEA" w:rsidR="00F96855" w:rsidP="00834CEA" w:rsidRDefault="00CA54F7" w14:paraId="1541A8B2" wp14:textId="77777777">
      <w:pPr>
        <w:jc w:val="both"/>
        <w:rPr>
          <w:u w:val="single"/>
        </w:rPr>
      </w:pPr>
      <w:r w:rsidRPr="00834CEA">
        <w:rPr>
          <w:u w:val="single"/>
        </w:rPr>
        <w:t>Article 2344 civ</w:t>
      </w:r>
    </w:p>
    <w:p xmlns:wp14="http://schemas.microsoft.com/office/word/2010/wordml" w:rsidR="00CA54F7" w:rsidP="00834CEA" w:rsidRDefault="00CA54F7" w14:paraId="4F9DF66D" wp14:textId="77777777">
      <w:pPr>
        <w:pStyle w:val="NormalWeb"/>
        <w:shd w:val="clear" w:color="auto" w:fill="FFFFFF"/>
        <w:spacing w:before="0" w:beforeAutospacing="0" w:after="240" w:afterAutospacing="0"/>
        <w:jc w:val="both"/>
        <w:rPr>
          <w:rFonts w:ascii="Arial" w:hAnsi="Arial" w:cs="Arial"/>
          <w:color w:val="000000"/>
          <w:sz w:val="21"/>
          <w:szCs w:val="21"/>
        </w:rPr>
      </w:pPr>
      <w:r>
        <w:rPr>
          <w:rFonts w:ascii="Arial" w:hAnsi="Arial" w:cs="Arial"/>
          <w:color w:val="000000"/>
          <w:sz w:val="21"/>
          <w:szCs w:val="21"/>
        </w:rPr>
        <w:t>Lorsque le gage est constitué avec dépossession, le constituant peut réclamer la restitution du bien gagé, sans préjudice de dommages-intérêts, si le créancier ou le tiers convenu ne satisfait pas à son obligation de conservation du gage.</w:t>
      </w:r>
    </w:p>
    <w:p xmlns:wp14="http://schemas.microsoft.com/office/word/2010/wordml" w:rsidR="00CA54F7" w:rsidP="00834CEA" w:rsidRDefault="00CA54F7" w14:paraId="29A2D882" wp14:textId="77777777">
      <w:pPr>
        <w:pStyle w:val="NormalWeb"/>
        <w:shd w:val="clear" w:color="auto" w:fill="FFFFFF"/>
        <w:spacing w:before="0" w:beforeAutospacing="0" w:after="240" w:afterAutospacing="0"/>
        <w:jc w:val="both"/>
        <w:rPr>
          <w:rFonts w:ascii="Arial" w:hAnsi="Arial" w:cs="Arial"/>
          <w:color w:val="000000"/>
          <w:sz w:val="21"/>
          <w:szCs w:val="21"/>
        </w:rPr>
      </w:pPr>
      <w:r>
        <w:rPr>
          <w:rFonts w:ascii="Arial" w:hAnsi="Arial" w:cs="Arial"/>
          <w:color w:val="000000"/>
          <w:sz w:val="21"/>
          <w:szCs w:val="21"/>
        </w:rPr>
        <w:t>Lorsque le gage est constitué sans dépossession, le créancier peut se prévaloir de la déchéance du terme de la dette garantie ou solliciter un complément de gage si le constituant ne satisfait pas à son obligation de conservation du gage.</w:t>
      </w:r>
    </w:p>
    <w:p xmlns:wp14="http://schemas.microsoft.com/office/word/2010/wordml" w:rsidR="00CA54F7" w:rsidRDefault="00CA54F7" w14:paraId="5DAB6C7B" wp14:textId="77777777"/>
    <w:sectPr w:rsidR="00CA54F7">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doNotDisplayPageBoundaries/>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F2D"/>
    <w:rsid w:val="0013138A"/>
    <w:rsid w:val="001B4DAD"/>
    <w:rsid w:val="001C42CB"/>
    <w:rsid w:val="00677F2D"/>
    <w:rsid w:val="00695168"/>
    <w:rsid w:val="00834CEA"/>
    <w:rsid w:val="00CA54F7"/>
    <w:rsid w:val="00ED7402"/>
    <w:rsid w:val="00F96855"/>
    <w:rsid w:val="00FC3919"/>
    <w:rsid w:val="7AE669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3644"/>
  <w15:chartTrackingRefBased/>
  <w15:docId w15:val="{544358A8-7A93-4DE6-B9BA-DFD12E5D10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rmalWeb">
    <w:name w:val="Normal (Web)"/>
    <w:basedOn w:val="Normal"/>
    <w:uiPriority w:val="99"/>
    <w:semiHidden/>
    <w:unhideWhenUsed/>
    <w:rsid w:val="00F96855"/>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ienhypertexte">
    <w:name w:val="Hyperlink"/>
    <w:basedOn w:val="Policepardfaut"/>
    <w:uiPriority w:val="99"/>
    <w:unhideWhenUsed/>
    <w:rsid w:val="001313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737086">
      <w:bodyDiv w:val="1"/>
      <w:marLeft w:val="0"/>
      <w:marRight w:val="0"/>
      <w:marTop w:val="0"/>
      <w:marBottom w:val="0"/>
      <w:divBdr>
        <w:top w:val="none" w:sz="0" w:space="0" w:color="auto"/>
        <w:left w:val="none" w:sz="0" w:space="0" w:color="auto"/>
        <w:bottom w:val="none" w:sz="0" w:space="0" w:color="auto"/>
        <w:right w:val="none" w:sz="0" w:space="0" w:color="auto"/>
      </w:divBdr>
    </w:div>
    <w:div w:id="915868012">
      <w:bodyDiv w:val="1"/>
      <w:marLeft w:val="0"/>
      <w:marRight w:val="0"/>
      <w:marTop w:val="0"/>
      <w:marBottom w:val="0"/>
      <w:divBdr>
        <w:top w:val="none" w:sz="0" w:space="0" w:color="auto"/>
        <w:left w:val="none" w:sz="0" w:space="0" w:color="auto"/>
        <w:bottom w:val="none" w:sz="0" w:space="0" w:color="auto"/>
        <w:right w:val="none" w:sz="0" w:space="0" w:color="auto"/>
      </w:divBdr>
    </w:div>
    <w:div w:id="119519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webSettings" Target="webSettings.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www.cloud9.fr/cautionnement/souscrire" TargetMode="Externa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094389-A900-4D92-A1FD-F2B2452DE5F4}"/>
</file>

<file path=customXml/itemProps2.xml><?xml version="1.0" encoding="utf-8"?>
<ds:datastoreItem xmlns:ds="http://schemas.openxmlformats.org/officeDocument/2006/customXml" ds:itemID="{E8CF90E3-4616-45CC-B4BD-4FEDF07352AB}"/>
</file>

<file path=customXml/itemProps3.xml><?xml version="1.0" encoding="utf-8"?>
<ds:datastoreItem xmlns:ds="http://schemas.openxmlformats.org/officeDocument/2006/customXml" ds:itemID="{1B0B01B2-6FE5-4E0A-AB5D-163A247789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CHAUVEAU Corinne</dc:creator>
  <keywords/>
  <dc:description/>
  <lastModifiedBy>BLANDIN Manon</lastModifiedBy>
  <revision>3</revision>
  <dcterms:created xsi:type="dcterms:W3CDTF">2026-04-30T07:42:00.0000000Z</dcterms:created>
  <dcterms:modified xsi:type="dcterms:W3CDTF">2026-06-23T13:32:46.4033298Z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