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5B3" w:rsidRPr="006A5D5E" w:rsidRDefault="005E4216" w:rsidP="006A5D5E">
      <w:pPr>
        <w:jc w:val="center"/>
        <w:rPr>
          <w:b/>
        </w:rPr>
      </w:pPr>
      <w:r w:rsidRPr="006A5D5E">
        <w:rPr>
          <w:b/>
        </w:rPr>
        <w:t>LES FONDATIONS</w:t>
      </w:r>
    </w:p>
    <w:p w:rsidR="005E4216" w:rsidRPr="006A5D5E" w:rsidRDefault="005E4216" w:rsidP="006A5D5E">
      <w:pPr>
        <w:pStyle w:val="Paragraphedeliste"/>
        <w:numPr>
          <w:ilvl w:val="0"/>
          <w:numId w:val="1"/>
        </w:numPr>
        <w:jc w:val="both"/>
        <w:rPr>
          <w:b/>
          <w:u w:val="single"/>
        </w:rPr>
      </w:pPr>
      <w:r w:rsidRPr="006A5D5E">
        <w:rPr>
          <w:b/>
          <w:u w:val="single"/>
        </w:rPr>
        <w:t xml:space="preserve">LA NOTION DE FONDATION </w:t>
      </w:r>
    </w:p>
    <w:p w:rsidR="005E4216" w:rsidRDefault="005E4216" w:rsidP="006A5D5E">
      <w:pPr>
        <w:jc w:val="both"/>
      </w:pPr>
      <w:r>
        <w:t>Article 18, al. 1</w:t>
      </w:r>
      <w:r w:rsidRPr="005E4216">
        <w:rPr>
          <w:vertAlign w:val="superscript"/>
        </w:rPr>
        <w:t>er</w:t>
      </w:r>
      <w:r>
        <w:t xml:space="preserve"> de la loi du 23 juillet 1987. La fondation est l'acte par lequel une ou plusieurs personnes physiques ou morales décident l'affectation irrévocable de biens, droits ou ressources à la réalisation d'une œuvre d'intérêt général et à but non lucratif. </w:t>
      </w:r>
    </w:p>
    <w:p w:rsidR="005E4216" w:rsidRDefault="005E4216" w:rsidP="006A5D5E">
      <w:pPr>
        <w:jc w:val="both"/>
      </w:pPr>
      <w:r>
        <w:t xml:space="preserve">Si dès 1805, le Conseil d'État a déterminé le régime juridique des fondations, c'est la loi du 23 juillet 1987, portant développement du mécénat, qui en a défini </w:t>
      </w:r>
      <w:bookmarkStart w:id="0" w:name="_GoBack"/>
      <w:bookmarkEnd w:id="0"/>
      <w:r>
        <w:t xml:space="preserve">la notion. Pour autant, cette loi n'est pas propre aux fondations et il n'existe pas aujourd'hui de statut légal d'ensemble de la fondation. </w:t>
      </w:r>
    </w:p>
    <w:p w:rsidR="005E4216" w:rsidRDefault="005E4216" w:rsidP="006A5D5E">
      <w:pPr>
        <w:jc w:val="both"/>
      </w:pPr>
      <w:r>
        <w:t xml:space="preserve">Il ressort de l'article 18 de la loi précitée de 1987 qu'une fondation est un acte juridique d'affectation irrévocable de biens, droits ou ressources à la réalisation d'une œuvre d'intérêt général et à but non lucratif. Le mot fondation désigne aussi l'institution, lorsqu'elle a la personnalité morale, qui va gérer les affectations de biens à la réalisation d'une œuvre d'intérêt général. </w:t>
      </w:r>
    </w:p>
    <w:p w:rsidR="005E4216" w:rsidRDefault="005E4216" w:rsidP="006A5D5E">
      <w:pPr>
        <w:jc w:val="both"/>
      </w:pPr>
      <w:r>
        <w:t xml:space="preserve">L'activité de la fondation consiste à affecter des biens ; aussi pareille affectation est-elle un trait essentiel de la notion de fondation. Celle-ci ne peut être reconnue d'utilité publique que si elle a constitué une masse initiale de biens à affecter, que l'on appelle dotation. </w:t>
      </w:r>
    </w:p>
    <w:p w:rsidR="005E4216" w:rsidRDefault="005E4216" w:rsidP="006A5D5E">
      <w:pPr>
        <w:jc w:val="both"/>
      </w:pPr>
      <w:r>
        <w:t xml:space="preserve">L'affectation doit être portée sur une œuvre d'intérêt général et à but non lucratif. Cet intérêt général ne permet pas la création d'une fondation pour la seule satisfaction de ses membres (à la différence d'une association par exemple). Il doit dépasser les intérêts particuliers. L'intérêt général peut être d'ordre philanthropique, humanitaire, culturel, artistique, scientifique ou pédagogique. Il ne saurait être économique, par exemple l'affectation d'une dotation pour l'organisation de foires commerciales tendant à promouvoir le rayonnement économique d'une ville. Pour autant, une fondation peut réaliser des bénéfices, mais ce ne doit pas être son but, dans le sens où illui est interdit de les partager. </w:t>
      </w:r>
    </w:p>
    <w:p w:rsidR="005E4216" w:rsidRDefault="005E4216" w:rsidP="006A5D5E">
      <w:pPr>
        <w:jc w:val="both"/>
      </w:pPr>
      <w:r>
        <w:t xml:space="preserve">Exemples : quelques exemples de fondations françaises existantes : la fondation Cartier pour l'art contemporain ; la fondation Nicolas Hulot pour la nature et l'homme ; la fondation Brigitte Bardot pour la protection de l'animal sauvage et domestique ; la fondation Claude Monet à Giverny ; la fondation abbé Pierre pour le logement des défavorisés ; la fondation du Patrimoine qui a pour mission de contribuer à la sauvegarde des bâtiments et sites non protégés et en péril. </w:t>
      </w:r>
    </w:p>
    <w:p w:rsidR="005E4216" w:rsidRDefault="005E4216" w:rsidP="006A5D5E">
      <w:pPr>
        <w:jc w:val="both"/>
      </w:pPr>
      <w:r>
        <w:t xml:space="preserve">Une fondation peut ne pas être dotée de la personnalité morale. En ce cas, le fondateur transmet des biens à une personne, généralement morale, afin que celle-ci les affecte à une œuvre d'intérêt général désignée. On parle en pratique de fondation abritée. </w:t>
      </w:r>
    </w:p>
    <w:p w:rsidR="005E4216" w:rsidRDefault="005E4216" w:rsidP="006A5D5E">
      <w:pPr>
        <w:jc w:val="both"/>
      </w:pPr>
      <w:r>
        <w:t xml:space="preserve">Une fondation peut avoir la personnalité morale ; son objet statutaire correspond alors à l'œuvre d'intérêt général à réaliser. Il en existe deux types : </w:t>
      </w:r>
    </w:p>
    <w:p w:rsidR="005E4216" w:rsidRDefault="005E4216" w:rsidP="006A5D5E">
      <w:pPr>
        <w:pStyle w:val="Paragraphedeliste"/>
        <w:numPr>
          <w:ilvl w:val="0"/>
          <w:numId w:val="2"/>
        </w:numPr>
        <w:jc w:val="both"/>
      </w:pPr>
      <w:r>
        <w:t xml:space="preserve">Les fondations reconnues d’utilité publique ; </w:t>
      </w:r>
    </w:p>
    <w:p w:rsidR="005E4216" w:rsidRDefault="005E4216" w:rsidP="006A5D5E">
      <w:pPr>
        <w:pStyle w:val="Paragraphedeliste"/>
        <w:numPr>
          <w:ilvl w:val="0"/>
          <w:numId w:val="2"/>
        </w:numPr>
        <w:jc w:val="both"/>
      </w:pPr>
      <w:r>
        <w:t xml:space="preserve">Les fondations d’entreprise. </w:t>
      </w:r>
    </w:p>
    <w:p w:rsidR="005E4216" w:rsidRDefault="005E4216" w:rsidP="006A5D5E">
      <w:pPr>
        <w:jc w:val="both"/>
      </w:pPr>
      <w:r>
        <w:t xml:space="preserve">La loi prévoit à leur propos des dispositions spécifiques relatives à la fusion, la scission de fondation et à l'apport partiel d'actif entre fondations. Elles furent édictées par la loi du 31 juillet 2014 relative à l'économie sociale et solidaire, et sont identiques à celles prévues pour les associations, qu'il s'agisse des conditions, des modalités et des effets. </w:t>
      </w:r>
    </w:p>
    <w:p w:rsidR="005E4216" w:rsidRPr="006A5D5E" w:rsidRDefault="005E4216" w:rsidP="006A5D5E">
      <w:pPr>
        <w:pStyle w:val="Paragraphedeliste"/>
        <w:numPr>
          <w:ilvl w:val="0"/>
          <w:numId w:val="1"/>
        </w:numPr>
        <w:jc w:val="both"/>
        <w:rPr>
          <w:b/>
          <w:u w:val="single"/>
        </w:rPr>
      </w:pPr>
      <w:r w:rsidRPr="006A5D5E">
        <w:rPr>
          <w:b/>
          <w:u w:val="single"/>
        </w:rPr>
        <w:t xml:space="preserve">LES FONDATIONS ABRITÉES </w:t>
      </w:r>
    </w:p>
    <w:p w:rsidR="005E4216" w:rsidRDefault="005E4216" w:rsidP="006A5D5E">
      <w:pPr>
        <w:jc w:val="both"/>
      </w:pPr>
      <w:r>
        <w:lastRenderedPageBreak/>
        <w:t xml:space="preserve">Une fondation qui n'a pas la personnalité morale n'est pas une personne mais un acte d'affectation. Plus exactement, l'acte de fondation consiste en une libéralité avec charge consentie à une personne, le plus souvent morale, dans l'intérêt de celle-ci. Le gratifié abrite alors la fondation. </w:t>
      </w:r>
    </w:p>
    <w:p w:rsidR="005E4216" w:rsidRDefault="005E4216" w:rsidP="006A5D5E">
      <w:pPr>
        <w:jc w:val="both"/>
      </w:pPr>
      <w:r>
        <w:t xml:space="preserve">Dit autrement, la libéralité (donation ou legs) se constitue en fondation, laquelle est abritée sous l'égide d'une personne : </w:t>
      </w:r>
    </w:p>
    <w:p w:rsidR="005E4216" w:rsidRDefault="005E4216" w:rsidP="006A5D5E">
      <w:pPr>
        <w:pStyle w:val="Paragraphedeliste"/>
        <w:numPr>
          <w:ilvl w:val="0"/>
          <w:numId w:val="2"/>
        </w:numPr>
        <w:jc w:val="both"/>
      </w:pPr>
      <w:r>
        <w:t xml:space="preserve">Le fondateur est celui qui consent la libéralité. Il peut s'agir d'une personne physique ou morale. Cette personne doit bien sûr avoir la capacité juridique de disposer à titre gratuit ; </w:t>
      </w:r>
    </w:p>
    <w:p w:rsidR="005E4216" w:rsidRDefault="005E4216" w:rsidP="006A5D5E">
      <w:pPr>
        <w:pStyle w:val="Paragraphedeliste"/>
        <w:numPr>
          <w:ilvl w:val="0"/>
          <w:numId w:val="2"/>
        </w:numPr>
        <w:jc w:val="both"/>
      </w:pPr>
      <w:r>
        <w:t xml:space="preserve">Le gratifié, destinataire de l'acte de fondation, doit être une personne morale capable de recevoir à titre gratuit. Par exemple une fondation reconnue d'utilité publique peut recevoir des libéralités, c'est-à-dire abriter une fondation n'ayant pas la personnalité morale. </w:t>
      </w:r>
    </w:p>
    <w:p w:rsidR="005E4216" w:rsidRDefault="005E4216" w:rsidP="006A5D5E">
      <w:pPr>
        <w:pStyle w:val="Paragraphedeliste"/>
        <w:jc w:val="both"/>
      </w:pPr>
      <w:r>
        <w:t xml:space="preserve">L'objet de la fondation abritée doit correspondre à celui du destinataire de la libéralité. </w:t>
      </w:r>
    </w:p>
    <w:p w:rsidR="005E4216" w:rsidRDefault="005E4216" w:rsidP="006A5D5E">
      <w:pPr>
        <w:jc w:val="both"/>
      </w:pPr>
      <w:r>
        <w:t xml:space="preserve">Exemples : </w:t>
      </w:r>
    </w:p>
    <w:p w:rsidR="005E4216" w:rsidRDefault="005E4216" w:rsidP="006A5D5E">
      <w:pPr>
        <w:pStyle w:val="Paragraphedeliste"/>
        <w:numPr>
          <w:ilvl w:val="0"/>
          <w:numId w:val="4"/>
        </w:numPr>
        <w:jc w:val="both"/>
      </w:pPr>
      <w:r>
        <w:t xml:space="preserve">Libéralité consentie par une personne physique à une commune à charge pour celle-ci de créer un hôpital. </w:t>
      </w:r>
    </w:p>
    <w:p w:rsidR="00DA6AE6" w:rsidRDefault="005E4216" w:rsidP="006A5D5E">
      <w:pPr>
        <w:pStyle w:val="Paragraphedeliste"/>
        <w:numPr>
          <w:ilvl w:val="0"/>
          <w:numId w:val="4"/>
        </w:numPr>
        <w:jc w:val="both"/>
      </w:pPr>
      <w:r>
        <w:t xml:space="preserve">Libéralité consentie par une société commerciale à une université à charge pour cette dernière de créer un prix, se traduisant par une récompense pécuniaire, à attribuer aux meilleurs étudiants. </w:t>
      </w:r>
    </w:p>
    <w:p w:rsidR="00DA6AE6" w:rsidRDefault="005E4216" w:rsidP="006A5D5E">
      <w:pPr>
        <w:pStyle w:val="Paragraphedeliste"/>
        <w:numPr>
          <w:ilvl w:val="0"/>
          <w:numId w:val="4"/>
        </w:numPr>
        <w:jc w:val="both"/>
      </w:pPr>
      <w:r>
        <w:t xml:space="preserve">Libéralité consentie à une fondation reconnue d'utilité publique (par exemple la Fondation de France ou l'Institut de France) à charge pour celle-ci d'affecter les fonds à une œuvre d'intérêt général inscrite dans son objet social. </w:t>
      </w:r>
    </w:p>
    <w:p w:rsidR="005E4216" w:rsidRDefault="005E4216" w:rsidP="006A5D5E">
      <w:pPr>
        <w:jc w:val="both"/>
      </w:pPr>
      <w:r>
        <w:t xml:space="preserve">La gestion de la dotation est effectuée par le destinataire de l'acte de fondation. Celui-ci est tenu de respecter l'affectation voulue par le fondateur. En cas d'inexécution de la charge grevant la libéralité, le fondateur peut agir en exécution forcée ou en révocation. La révocation a pour conséquence la restitution des biens affectés. </w:t>
      </w:r>
    </w:p>
    <w:p w:rsidR="005E4216" w:rsidRDefault="005E4216" w:rsidP="006A5D5E">
      <w:pPr>
        <w:jc w:val="both"/>
      </w:pPr>
      <w:r>
        <w:t>La loi prévoit toutefois que le gratifié peut obtenir la révision de la charge «</w:t>
      </w:r>
      <w:r w:rsidR="00DA6AE6">
        <w:t xml:space="preserve"> </w:t>
      </w:r>
      <w:r w:rsidRPr="00DA6AE6">
        <w:rPr>
          <w:i/>
        </w:rPr>
        <w:t>lorsque, par suite d'un changement de circonstances, l'exécution en est devenue pour lui soit extrêmement difficile, soit sérieusement dommageable</w:t>
      </w:r>
      <w:r w:rsidR="00DA6AE6">
        <w:rPr>
          <w:i/>
        </w:rPr>
        <w:t xml:space="preserve"> </w:t>
      </w:r>
      <w:r>
        <w:t>» (c. civ., art. 900-2). La demande doit être faite en justice et c'est le gratifié qui supporte le fardeau de la preuve. Mais la révision ne peut être demandée que dix ans après la mort de l'auteur de la libéralité ou une précédente révision</w:t>
      </w:r>
      <w:r w:rsidR="00DA6AE6">
        <w:t>.</w:t>
      </w:r>
      <w:r>
        <w:t xml:space="preserve"> </w:t>
      </w:r>
    </w:p>
    <w:p w:rsidR="005E4216" w:rsidRDefault="00DA6AE6" w:rsidP="006A5D5E">
      <w:pPr>
        <w:jc w:val="both"/>
      </w:pPr>
      <w:r>
        <w:t xml:space="preserve">Exemple : </w:t>
      </w:r>
      <w:r w:rsidR="005E4216">
        <w:t>Une veuve lègue un immeuble à un hospice, à charge pour ce dernier d'établir à perpétuité dans cet immeu</w:t>
      </w:r>
      <w:r>
        <w:t>bl</w:t>
      </w:r>
      <w:r w:rsidR="005E4216">
        <w:t xml:space="preserve">e </w:t>
      </w:r>
      <w:r>
        <w:t>une maison</w:t>
      </w:r>
      <w:r w:rsidR="005E4216">
        <w:t xml:space="preserve"> de retraite. Dix ans après le décès de la légataire, l'hospice demande en justice la révision de la charge, plus exactement la possibilité d'aliéner l'objet du legs. Elle obtient gain de cause dès lors qu'elle démontre que la mise en conformité de l'immeuble avec de nouvelles normes de sécurité et de confort, exigées en matière d'établissement recevant du public et des personnes âgées, rend financièrement extrêmement difficile, voire impossible, la réalisation des travaux</w:t>
      </w:r>
      <w:r>
        <w:t>.</w:t>
      </w:r>
    </w:p>
    <w:p w:rsidR="005E4216" w:rsidRPr="006A5D5E" w:rsidRDefault="005E4216" w:rsidP="006A5D5E">
      <w:pPr>
        <w:pStyle w:val="Paragraphedeliste"/>
        <w:numPr>
          <w:ilvl w:val="0"/>
          <w:numId w:val="1"/>
        </w:numPr>
        <w:jc w:val="both"/>
        <w:rPr>
          <w:b/>
          <w:u w:val="single"/>
        </w:rPr>
      </w:pPr>
      <w:r w:rsidRPr="006A5D5E">
        <w:rPr>
          <w:b/>
          <w:u w:val="single"/>
        </w:rPr>
        <w:t xml:space="preserve">LES FONDATIONS RECONNUES D'UTILITÉ PUBLIQUE </w:t>
      </w:r>
    </w:p>
    <w:p w:rsidR="005E4216" w:rsidRDefault="005E4216" w:rsidP="006A5D5E">
      <w:pPr>
        <w:jc w:val="both"/>
      </w:pPr>
      <w:r>
        <w:t xml:space="preserve">Article 18, al. 2, de la loi du 23 juillet 1987. Lorsque l'acte de fondation a pour but la création d'une personne morale, la fondation ne jouit de la capacité juridique qu'à compter de la date d'entrée en vigueur du décret en Conseil d'État accordant la reconnaissance d'utilité publique. Elle acquiert alors le statut de fondation reconnue d'utilité publique. </w:t>
      </w:r>
    </w:p>
    <w:p w:rsidR="005E4216" w:rsidRPr="00024C52" w:rsidRDefault="005E4216" w:rsidP="006A5D5E">
      <w:pPr>
        <w:pStyle w:val="Paragraphedeliste"/>
        <w:numPr>
          <w:ilvl w:val="0"/>
          <w:numId w:val="5"/>
        </w:numPr>
        <w:jc w:val="both"/>
        <w:rPr>
          <w:b/>
        </w:rPr>
      </w:pPr>
      <w:r w:rsidRPr="00024C52">
        <w:rPr>
          <w:b/>
        </w:rPr>
        <w:t xml:space="preserve">Création </w:t>
      </w:r>
    </w:p>
    <w:p w:rsidR="005E4216" w:rsidRDefault="005E4216" w:rsidP="006A5D5E">
      <w:pPr>
        <w:jc w:val="both"/>
      </w:pPr>
      <w:r>
        <w:t xml:space="preserve">La fondation reconnue d'utilité publique est une personne morale créée spécialement pour recevoir et gérer une dotation afin d'accomplir une œuvre d'intérêt général. </w:t>
      </w:r>
    </w:p>
    <w:p w:rsidR="005E4216" w:rsidRDefault="005E4216" w:rsidP="006A5D5E">
      <w:pPr>
        <w:jc w:val="both"/>
      </w:pPr>
      <w:r>
        <w:t>A la différence des associations, la volonté ne suffit pas à créer une fondation</w:t>
      </w:r>
      <w:r w:rsidR="00DA6AE6">
        <w:t xml:space="preserve"> </w:t>
      </w:r>
      <w:r>
        <w:t xml:space="preserve">; la personnalité juridique est subordonnée à une autorisation administrative que l'on appelle reconnaissance d'utilité publique. </w:t>
      </w:r>
    </w:p>
    <w:p w:rsidR="005E4216" w:rsidRDefault="005E4216" w:rsidP="006A5D5E">
      <w:pPr>
        <w:jc w:val="both"/>
      </w:pPr>
      <w:r>
        <w:t xml:space="preserve">Parce que l'affectation de biens, quels qu'ils soient, est de la nature de la fondation, la création de celle-ci nécessite une dotation initiale. Pareille dotation peut être réalisée par une offre de donation consentie à la personne morale à créer, laquelle accepte l'offre une fois reconnue d'utilité publique. La dotation peut être également réalisée par testament. </w:t>
      </w:r>
    </w:p>
    <w:p w:rsidR="005E4216" w:rsidRDefault="005E4216" w:rsidP="006A5D5E">
      <w:pPr>
        <w:jc w:val="both"/>
      </w:pPr>
      <w:r>
        <w:t>Un legs peut en effet «</w:t>
      </w:r>
      <w:r w:rsidR="00DA6AE6">
        <w:t xml:space="preserve"> </w:t>
      </w:r>
      <w:r w:rsidRPr="00DA6AE6">
        <w:rPr>
          <w:i/>
        </w:rPr>
        <w:t>être fait au profit d'une fondation qui n'existe pas au jour de l'ouverture de la succession sous la condition qu'elle obtienne, après les formalités de constitution, la reconnaissance d'utilité publique</w:t>
      </w:r>
      <w:r w:rsidR="00DA6AE6">
        <w:t xml:space="preserve"> </w:t>
      </w:r>
      <w:r>
        <w:t>». «</w:t>
      </w:r>
      <w:r w:rsidR="00DA6AE6">
        <w:t xml:space="preserve"> </w:t>
      </w:r>
      <w:r>
        <w:t xml:space="preserve">La demande de reconnaissance d'utilité publique doit, à peine de nullité du legs, être déposée auprès de l'autorité administrative compétente dans l'année suivant l'ouverture de la succession ». </w:t>
      </w:r>
    </w:p>
    <w:p w:rsidR="005E4216" w:rsidRDefault="005E4216" w:rsidP="006A5D5E">
      <w:pPr>
        <w:jc w:val="both"/>
      </w:pPr>
      <w:r>
        <w:t>La loi ne prévoit pas les conditions de fond de la reconnaissance d'utilité publique. Il ressort de la pratique administrative que la dotation initiale doit être suffisamment importante. En outre, les statuts de la fondation doivent être</w:t>
      </w:r>
      <w:r w:rsidR="00DA6AE6">
        <w:t xml:space="preserve"> </w:t>
      </w:r>
      <w:r>
        <w:t xml:space="preserve">conformes aux statuts types élaborés par le Conseil d'État. </w:t>
      </w:r>
    </w:p>
    <w:p w:rsidR="005E4216" w:rsidRDefault="005E4216" w:rsidP="006A5D5E">
      <w:pPr>
        <w:jc w:val="both"/>
      </w:pPr>
      <w:r>
        <w:t xml:space="preserve">La procédure de reconnaissance n'est pas davantage édictée par la loi. La demande doit être adressée au ministre de l'Intérieur, accompagnée de certains documents, dont un exposé indiquant le but de l'œuvre. Le ministre consulte le Conseil d'État pour avis, sans être lié par cet avis. L'utilité publique est reconnue par décret en Conseil d'État. </w:t>
      </w:r>
    </w:p>
    <w:p w:rsidR="005E4216" w:rsidRPr="00024C52" w:rsidRDefault="005E4216" w:rsidP="006A5D5E">
      <w:pPr>
        <w:pStyle w:val="Paragraphedeliste"/>
        <w:numPr>
          <w:ilvl w:val="0"/>
          <w:numId w:val="5"/>
        </w:numPr>
        <w:jc w:val="both"/>
        <w:rPr>
          <w:b/>
        </w:rPr>
      </w:pPr>
      <w:r w:rsidRPr="00024C52">
        <w:rPr>
          <w:b/>
        </w:rPr>
        <w:t xml:space="preserve">Fonctionnement </w:t>
      </w:r>
    </w:p>
    <w:p w:rsidR="005E4216" w:rsidRDefault="005E4216" w:rsidP="006A5D5E">
      <w:pPr>
        <w:jc w:val="both"/>
      </w:pPr>
      <w:r>
        <w:t xml:space="preserve">Les modalités d'organisation interne des fondations reconnues d'utilité publique sont prévues par les statuts types élaborés par le Conseil d'État. Or, la reconnaissance d'utilité publique est subordonnée à la conformité des statuts de la fondation aux statuts types ... Ceux-ci prévoient la possibilité de confier l'administration de la fondation soit à un conseil d'administration, soit à un directoire et un conseil de surveillance. </w:t>
      </w:r>
    </w:p>
    <w:p w:rsidR="005E4216" w:rsidRPr="00DA6AE6" w:rsidRDefault="005E4216" w:rsidP="006A5D5E">
      <w:pPr>
        <w:ind w:left="851" w:right="850"/>
        <w:jc w:val="both"/>
        <w:rPr>
          <w:sz w:val="18"/>
          <w:szCs w:val="18"/>
        </w:rPr>
      </w:pPr>
      <w:r w:rsidRPr="00DA6AE6">
        <w:rPr>
          <w:sz w:val="18"/>
          <w:szCs w:val="18"/>
        </w:rPr>
        <w:t xml:space="preserve">Remarque </w:t>
      </w:r>
    </w:p>
    <w:p w:rsidR="005E4216" w:rsidRPr="00DA6AE6" w:rsidRDefault="005E4216" w:rsidP="006A5D5E">
      <w:pPr>
        <w:ind w:left="851" w:right="850"/>
        <w:jc w:val="both"/>
        <w:rPr>
          <w:sz w:val="18"/>
          <w:szCs w:val="18"/>
        </w:rPr>
      </w:pPr>
      <w:r w:rsidRPr="00DA6AE6">
        <w:rPr>
          <w:sz w:val="18"/>
          <w:szCs w:val="18"/>
        </w:rPr>
        <w:t xml:space="preserve">On notera que la fondation ne comporte pas d'assemblée générale puisqu'il ne s'agit pas, à la différence d'une association, d'un groupement de personnes. </w:t>
      </w:r>
    </w:p>
    <w:p w:rsidR="005E4216" w:rsidRDefault="005E4216" w:rsidP="006A5D5E">
      <w:pPr>
        <w:jc w:val="both"/>
      </w:pPr>
      <w:r>
        <w:t xml:space="preserve">Si l'objet poursuivi est d'une durée illimitée, alors la dotation initiale, pour être pérenne, peut se présenter comme un capital dont seuls les revenus font l'objet de l'affectation. Si l'objet est d'une moindre envergure et est réalisable dans une durée déterminée, c'est la dotation elle-même qui sera consommée et constitue donc les ressources de la fondation. </w:t>
      </w:r>
    </w:p>
    <w:p w:rsidR="005E4216" w:rsidRDefault="005E4216" w:rsidP="006A5D5E">
      <w:pPr>
        <w:jc w:val="both"/>
      </w:pPr>
      <w:r>
        <w:t xml:space="preserve">Par ailleurs, la fondation reconnue d'utilité publique a la capacité juridique de recevoir des donations et legs. Depuis le I" janvier 2006, elle n'est plus tenue de solliciter l'autorisation administrative de recevoir lesdites libéralités. </w:t>
      </w:r>
    </w:p>
    <w:p w:rsidR="005E4216" w:rsidRDefault="005E4216" w:rsidP="006A5D5E">
      <w:pPr>
        <w:jc w:val="both"/>
      </w:pPr>
      <w:r>
        <w:t xml:space="preserve">Les fondations reconnues d'utilité publique sont soumises à une tutelle administrative dont le régime est édicté par le décret du 13 juin 1966 (plusieurs fois modifiés). </w:t>
      </w:r>
    </w:p>
    <w:p w:rsidR="005E4216" w:rsidRDefault="005E4216" w:rsidP="006A5D5E">
      <w:pPr>
        <w:jc w:val="both"/>
      </w:pPr>
      <w:r>
        <w:t xml:space="preserve">La tutelle sur les libéralités consenties à la fondation a été largement atténuée puisque l'autorisation préalable de l'administration n'est plus nécessaire (voir supra). Il en est de même de la tutelle sur les actes de disposition des biens mobiliers et immobiliers dépendant de la dotation. En effet, depuis un décret de 2002, l'acte de disposition est implicitement autorisé en l'absence d'opposition du préfet. La tutelle sur le fonctionnement de la fondation se manifeste notamment par le contrôle effectué par l'administration lors de la demande de reconnaissance publique, ainsi que par la présence de représentants de l'État au sein du conseil d'administration (ou de surveillance) de la fondation. Notons également que la fondation a l'obligation d'adresser ses comptes annuels, son budget prévisionnel et le rapport du commissaire aux comptes au ministre de l'Intérieur notamment. </w:t>
      </w:r>
    </w:p>
    <w:p w:rsidR="005E4216" w:rsidRDefault="005E4216" w:rsidP="006A5D5E">
      <w:pPr>
        <w:jc w:val="both"/>
      </w:pPr>
      <w:r>
        <w:t xml:space="preserve">Une fondation a la possibilité d'employer des salariés. Les statuts peuvent par ailleurs prévoir leur participation au conseil d'administration ou conseil de surveillance. </w:t>
      </w:r>
    </w:p>
    <w:p w:rsidR="005E4216" w:rsidRPr="00024C52" w:rsidRDefault="005E4216" w:rsidP="006A5D5E">
      <w:pPr>
        <w:pStyle w:val="Paragraphedeliste"/>
        <w:numPr>
          <w:ilvl w:val="0"/>
          <w:numId w:val="5"/>
        </w:numPr>
        <w:jc w:val="both"/>
        <w:rPr>
          <w:b/>
        </w:rPr>
      </w:pPr>
      <w:r w:rsidRPr="00024C52">
        <w:rPr>
          <w:b/>
        </w:rPr>
        <w:t xml:space="preserve">Dissolution </w:t>
      </w:r>
    </w:p>
    <w:p w:rsidR="005E4216" w:rsidRDefault="005E4216" w:rsidP="006A5D5E">
      <w:pPr>
        <w:jc w:val="both"/>
      </w:pPr>
      <w:r>
        <w:t xml:space="preserve">La dissolution d'une fondation peut être volontaire, résultant alors d'une décision de l'organe d'administration. Mais cette décision doit être approuvée par le gouvernement, lequel contrôle la cause de pareille volonté. </w:t>
      </w:r>
    </w:p>
    <w:p w:rsidR="005E4216" w:rsidRDefault="005E4216" w:rsidP="006A5D5E">
      <w:pPr>
        <w:jc w:val="both"/>
      </w:pPr>
      <w:r>
        <w:t xml:space="preserve">La dissolution peut être par ailleurs la conséquence d'un retrait de la reconnaissance de l'utilité publique (par décret en Conseil d'État), par exemple pour insuffisance de ressources nécessaires pour la poursuite de l'activité. </w:t>
      </w:r>
    </w:p>
    <w:p w:rsidR="005E4216" w:rsidRDefault="005E4216" w:rsidP="006A5D5E">
      <w:pPr>
        <w:jc w:val="both"/>
      </w:pPr>
      <w:r>
        <w:t xml:space="preserve">Les statuts types prévoient que la dissolution de la fondation entraîne la dévolution des biens, après apurement du passif, à un ou plusieurs établissements publics ou reconnus d'utilité publique, ou associations déclarées ayant pour but l'assistance, la bienfaisance, la recherche scientifique ou médicale. </w:t>
      </w:r>
    </w:p>
    <w:p w:rsidR="005E4216" w:rsidRPr="00024C52" w:rsidRDefault="005E4216" w:rsidP="006A5D5E">
      <w:pPr>
        <w:pStyle w:val="Paragraphedeliste"/>
        <w:numPr>
          <w:ilvl w:val="0"/>
          <w:numId w:val="1"/>
        </w:numPr>
        <w:jc w:val="both"/>
        <w:rPr>
          <w:b/>
          <w:u w:val="single"/>
        </w:rPr>
      </w:pPr>
      <w:r w:rsidRPr="00024C52">
        <w:rPr>
          <w:b/>
          <w:u w:val="single"/>
        </w:rPr>
        <w:t xml:space="preserve">LES FONDATIONS D'ENTREPRISE </w:t>
      </w:r>
    </w:p>
    <w:p w:rsidR="005E4216" w:rsidRDefault="005E4216" w:rsidP="006A5D5E">
      <w:pPr>
        <w:jc w:val="both"/>
      </w:pPr>
      <w:r>
        <w:t xml:space="preserve">La fondation d'entreprise est une personne morale dont le législateur (depuis une loi de 1990) permet la création et le fonctionnement de façon plus souple qu'une fondation reconnue d'utilité publique. Elle répond à la demande des entreprises d'utiliser plus aisément le mécénat comme forme de communication et d'amélioration de leur image de marque. </w:t>
      </w:r>
    </w:p>
    <w:p w:rsidR="005E4216" w:rsidRDefault="005E4216" w:rsidP="006A5D5E">
      <w:pPr>
        <w:jc w:val="both"/>
      </w:pPr>
      <w:r>
        <w:t>Sont en droit de créer une fondation d'entreprise les sociétés civiles ou commerciales, les établissements publics à caractère industriel et commercial, les coopératives, les institutions de prévoyance ou les mutuelles</w:t>
      </w:r>
      <w:r w:rsidR="006A5D5E">
        <w:t>.</w:t>
      </w:r>
    </w:p>
    <w:p w:rsidR="005E4216" w:rsidRDefault="005E4216" w:rsidP="006A5D5E">
      <w:pPr>
        <w:jc w:val="both"/>
      </w:pPr>
      <w:r>
        <w:t xml:space="preserve">Une dotation initiale n'est pas obligatoire, le financement initial de la fondation pouvant être réalisé par de simples engagements de versement pris par les fondateurs. La fondation d'entreprise jouit de la capacité juridique à compter de la publication au Journal officiel de l'autorisation administrative (par le préfet) qui lui </w:t>
      </w:r>
      <w:r w:rsidR="006A5D5E">
        <w:t>confère</w:t>
      </w:r>
      <w:r>
        <w:t xml:space="preserve"> ce statut. </w:t>
      </w:r>
    </w:p>
    <w:p w:rsidR="005E4216" w:rsidRDefault="005E4216" w:rsidP="006A5D5E">
      <w:pPr>
        <w:jc w:val="both"/>
      </w:pPr>
      <w:r>
        <w:t xml:space="preserve">Enfin, la fondation d'entreprise est créée pour une durée déterminée qui ne peut être inférieure à cinq ans. </w:t>
      </w:r>
    </w:p>
    <w:p w:rsidR="005E4216" w:rsidRDefault="005E4216" w:rsidP="006A5D5E">
      <w:pPr>
        <w:jc w:val="both"/>
      </w:pPr>
      <w:r>
        <w:t>L'administration est assurée par un conseil d'administration. Quant à sa capacité juridique, la fondation d'entreprise n'est pas en droit de faire appel à la générosité publique, ni de recevoir des dons ou des legs, à l'exception des dons effectués par les salariés de l'entreprise fondatrice, et, depuis la loi du 31 juillet 2014 précitée, par les mandataires</w:t>
      </w:r>
      <w:r w:rsidR="006A5D5E">
        <w:t xml:space="preserve"> </w:t>
      </w:r>
      <w:r>
        <w:t xml:space="preserve">sociaux, sociétaires, adhérents ou actionnaires de l'entreprise fondatrice ou des entreprises du groupe auquel appartient l'entreprise fondatrice. Elle est également en droit de recevoir des versements des fondateurs dans le cadre du programme d'action pluriannuel. Ces versements doivent être analysés comme des libéralités. </w:t>
      </w:r>
    </w:p>
    <w:p w:rsidR="005E4216" w:rsidRDefault="005E4216" w:rsidP="006A5D5E">
      <w:pPr>
        <w:jc w:val="both"/>
      </w:pPr>
      <w:r>
        <w:t xml:space="preserve">Comme les fondations reconnues d'utilité publique, les fondations d'entreprise sont soumises à une tutelle administrative (par le préfet) mais bien moins contraignante. </w:t>
      </w:r>
    </w:p>
    <w:p w:rsidR="005E4216" w:rsidRDefault="005E4216" w:rsidP="006A5D5E">
      <w:pPr>
        <w:jc w:val="both"/>
      </w:pPr>
      <w:r>
        <w:t xml:space="preserve">Enfin, elles sont tenues d'établir chaque année un bilan, un compte de résultats et une annexe, ainsi que de nommer au moins un commissaire aux comptes et un suppléant. </w:t>
      </w:r>
    </w:p>
    <w:p w:rsidR="005E4216" w:rsidRDefault="005E4216" w:rsidP="006A5D5E">
      <w:pPr>
        <w:jc w:val="both"/>
      </w:pPr>
      <w:r>
        <w:t>La dissolution d'une fondation d'entreprise est causée soit par l'arrivée du terme, puisque sa durée de vie est limitée, soit par une décision des fondateurs, soit par le retrait de l'autorisation administrative. Les ressources non employées et la dotation si celle-ci a été constituée et n'a pas fait l'objet de l'affectation prévue, sont attribuées par le liquidateur à un ou plusieurs établissements publics ou reconnus d'utilité publique dont l'activité est analogue à celle de la fondation d'entreprise dissout</w:t>
      </w:r>
      <w:r w:rsidR="006A5D5E">
        <w:t>e</w:t>
      </w:r>
      <w:r>
        <w:t xml:space="preserve">. </w:t>
      </w:r>
    </w:p>
    <w:sectPr w:rsidR="005E4216" w:rsidSect="006A5D5E">
      <w:footerReference w:type="default" r:id="rId7"/>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378D" w:rsidRDefault="00D1378D" w:rsidP="006A5D5E">
      <w:pPr>
        <w:spacing w:after="0" w:line="240" w:lineRule="auto"/>
      </w:pPr>
      <w:r>
        <w:separator/>
      </w:r>
    </w:p>
  </w:endnote>
  <w:endnote w:type="continuationSeparator" w:id="0">
    <w:p w:rsidR="00D1378D" w:rsidRDefault="00D1378D" w:rsidP="006A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8588805"/>
      <w:docPartObj>
        <w:docPartGallery w:val="Page Numbers (Bottom of Page)"/>
        <w:docPartUnique/>
      </w:docPartObj>
    </w:sdtPr>
    <w:sdtEndPr/>
    <w:sdtContent>
      <w:p w:rsidR="006A5D5E" w:rsidRDefault="006A5D5E">
        <w:pPr>
          <w:pStyle w:val="Pieddepage"/>
          <w:jc w:val="right"/>
        </w:pPr>
        <w:r>
          <w:fldChar w:fldCharType="begin"/>
        </w:r>
        <w:r>
          <w:instrText>PAGE   \* MERGEFORMAT</w:instrText>
        </w:r>
        <w:r>
          <w:fldChar w:fldCharType="separate"/>
        </w:r>
        <w:r w:rsidR="00EE1FC0">
          <w:rPr>
            <w:noProof/>
          </w:rPr>
          <w:t>1</w:t>
        </w:r>
        <w:r>
          <w:fldChar w:fldCharType="end"/>
        </w:r>
      </w:p>
    </w:sdtContent>
  </w:sdt>
  <w:p w:rsidR="006A5D5E" w:rsidRDefault="006A5D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378D" w:rsidRDefault="00D1378D" w:rsidP="006A5D5E">
      <w:pPr>
        <w:spacing w:after="0" w:line="240" w:lineRule="auto"/>
      </w:pPr>
      <w:r>
        <w:separator/>
      </w:r>
    </w:p>
  </w:footnote>
  <w:footnote w:type="continuationSeparator" w:id="0">
    <w:p w:rsidR="00D1378D" w:rsidRDefault="00D1378D" w:rsidP="006A5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34A46"/>
    <w:multiLevelType w:val="hybridMultilevel"/>
    <w:tmpl w:val="2396A1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9672B9"/>
    <w:multiLevelType w:val="hybridMultilevel"/>
    <w:tmpl w:val="EA0EC9D0"/>
    <w:lvl w:ilvl="0" w:tplc="63C63FA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CB13AF8"/>
    <w:multiLevelType w:val="hybridMultilevel"/>
    <w:tmpl w:val="BE565C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ED52CAF"/>
    <w:multiLevelType w:val="hybridMultilevel"/>
    <w:tmpl w:val="7542F19E"/>
    <w:lvl w:ilvl="0" w:tplc="BDB423B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BBA164C"/>
    <w:multiLevelType w:val="hybridMultilevel"/>
    <w:tmpl w:val="4C9EC104"/>
    <w:lvl w:ilvl="0" w:tplc="63C63FA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216"/>
    <w:rsid w:val="00024C52"/>
    <w:rsid w:val="000A0B12"/>
    <w:rsid w:val="000B226D"/>
    <w:rsid w:val="003757FB"/>
    <w:rsid w:val="005E4216"/>
    <w:rsid w:val="006A5D5E"/>
    <w:rsid w:val="007B3DB7"/>
    <w:rsid w:val="00847BC0"/>
    <w:rsid w:val="00CD7C45"/>
    <w:rsid w:val="00D1378D"/>
    <w:rsid w:val="00DA6AE6"/>
    <w:rsid w:val="00DC2BAB"/>
    <w:rsid w:val="00EE1FC0"/>
    <w:rsid w:val="00F65F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4A252-B867-4400-8308-8256FD2EB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E4216"/>
    <w:pPr>
      <w:ind w:left="720"/>
      <w:contextualSpacing/>
    </w:pPr>
  </w:style>
  <w:style w:type="paragraph" w:styleId="En-tte">
    <w:name w:val="header"/>
    <w:basedOn w:val="Normal"/>
    <w:link w:val="En-tteCar"/>
    <w:uiPriority w:val="99"/>
    <w:unhideWhenUsed/>
    <w:rsid w:val="006A5D5E"/>
    <w:pPr>
      <w:tabs>
        <w:tab w:val="center" w:pos="4536"/>
        <w:tab w:val="right" w:pos="9072"/>
      </w:tabs>
      <w:spacing w:after="0" w:line="240" w:lineRule="auto"/>
    </w:pPr>
  </w:style>
  <w:style w:type="character" w:customStyle="1" w:styleId="En-tteCar">
    <w:name w:val="En-tête Car"/>
    <w:basedOn w:val="Policepardfaut"/>
    <w:link w:val="En-tte"/>
    <w:uiPriority w:val="99"/>
    <w:rsid w:val="006A5D5E"/>
  </w:style>
  <w:style w:type="paragraph" w:styleId="Pieddepage">
    <w:name w:val="footer"/>
    <w:basedOn w:val="Normal"/>
    <w:link w:val="PieddepageCar"/>
    <w:uiPriority w:val="99"/>
    <w:unhideWhenUsed/>
    <w:rsid w:val="006A5D5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5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B94571-90F3-4198-BC40-F5958C00160E}"/>
</file>

<file path=customXml/itemProps2.xml><?xml version="1.0" encoding="utf-8"?>
<ds:datastoreItem xmlns:ds="http://schemas.openxmlformats.org/officeDocument/2006/customXml" ds:itemID="{84E076C4-82A4-464A-B357-6A696664C525}"/>
</file>

<file path=customXml/itemProps3.xml><?xml version="1.0" encoding="utf-8"?>
<ds:datastoreItem xmlns:ds="http://schemas.openxmlformats.org/officeDocument/2006/customXml" ds:itemID="{7D167F23-2142-40D1-A12F-CB94C179080C}"/>
</file>

<file path=docProps/app.xml><?xml version="1.0" encoding="utf-8"?>
<Properties xmlns="http://schemas.openxmlformats.org/officeDocument/2006/extended-properties" xmlns:vt="http://schemas.openxmlformats.org/officeDocument/2006/docPropsVTypes">
  <Template>Normal</Template>
  <TotalTime>0</TotalTime>
  <Pages>4</Pages>
  <Words>2215</Words>
  <Characters>12187</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CHAUVEAU Corinne</cp:lastModifiedBy>
  <cp:revision>2</cp:revision>
  <dcterms:created xsi:type="dcterms:W3CDTF">2023-10-09T07:12:00Z</dcterms:created>
  <dcterms:modified xsi:type="dcterms:W3CDTF">2023-10-09T07:12:00Z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