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3BC700" w14:textId="77777777" w:rsidR="006415FA" w:rsidRPr="00C75811" w:rsidRDefault="006415FA" w:rsidP="006415FA">
      <w:pPr>
        <w:pBdr>
          <w:top w:val="single" w:sz="4" w:space="1" w:color="auto"/>
          <w:left w:val="single" w:sz="4" w:space="4" w:color="auto"/>
          <w:bottom w:val="single" w:sz="4" w:space="1" w:color="auto"/>
          <w:right w:val="single" w:sz="4" w:space="4" w:color="auto"/>
        </w:pBdr>
        <w:spacing w:line="240" w:lineRule="auto"/>
        <w:jc w:val="center"/>
        <w:rPr>
          <w:rFonts w:ascii="Calibri" w:eastAsia="Calibri" w:hAnsi="Calibri" w:cs="Calibri"/>
          <w:b/>
          <w:sz w:val="32"/>
          <w:szCs w:val="32"/>
        </w:rPr>
      </w:pPr>
      <w:r w:rsidRPr="00C75811">
        <w:rPr>
          <w:rFonts w:ascii="Calibri" w:eastAsia="Calibri" w:hAnsi="Calibri" w:cs="Calibri"/>
          <w:b/>
          <w:sz w:val="32"/>
          <w:szCs w:val="32"/>
        </w:rPr>
        <w:t>La pérennité de l’entreprise</w:t>
      </w:r>
    </w:p>
    <w:p w14:paraId="5E4E1195" w14:textId="77777777" w:rsidR="006415FA" w:rsidRDefault="006415FA" w:rsidP="006415FA">
      <w:pPr>
        <w:jc w:val="center"/>
        <w:rPr>
          <w:rFonts w:ascii="Calibri" w:eastAsia="Calibri" w:hAnsi="Calibri" w:cs="Calibri"/>
          <w:b/>
          <w:bCs/>
          <w:sz w:val="32"/>
          <w:szCs w:val="32"/>
          <w:u w:val="single"/>
        </w:rPr>
      </w:pPr>
    </w:p>
    <w:p w14:paraId="74055F03" w14:textId="77777777" w:rsidR="00904A4B" w:rsidRPr="006415FA" w:rsidRDefault="00904A4B" w:rsidP="00101687">
      <w:pPr>
        <w:jc w:val="center"/>
        <w:rPr>
          <w:rFonts w:ascii="Calibri" w:eastAsia="Calibri" w:hAnsi="Calibri" w:cs="Calibri"/>
          <w:b/>
          <w:bCs/>
          <w:sz w:val="32"/>
          <w:szCs w:val="32"/>
          <w:u w:val="single"/>
        </w:rPr>
      </w:pPr>
      <w:r w:rsidRPr="006415FA">
        <w:rPr>
          <w:rFonts w:ascii="Calibri" w:eastAsia="Calibri" w:hAnsi="Calibri" w:cs="Calibri"/>
          <w:b/>
          <w:bCs/>
          <w:sz w:val="32"/>
          <w:szCs w:val="32"/>
          <w:u w:val="single"/>
        </w:rPr>
        <w:t>LES AUTRES MODES DE TRANSMISSION DE L’ENTREPRISE</w:t>
      </w:r>
    </w:p>
    <w:p w14:paraId="0D1AE6C9" w14:textId="77777777" w:rsidR="006415FA" w:rsidRPr="00160841" w:rsidRDefault="006415FA" w:rsidP="00160841">
      <w:pPr>
        <w:jc w:val="both"/>
        <w:rPr>
          <w:b/>
          <w:bCs/>
          <w:caps/>
          <w:u w:val="single"/>
        </w:rPr>
      </w:pPr>
    </w:p>
    <w:p w14:paraId="5C1467B0" w14:textId="77777777" w:rsidR="006415FA" w:rsidRDefault="006415FA" w:rsidP="00904A4B">
      <w:pPr>
        <w:pStyle w:val="Paragraphedeliste"/>
        <w:ind w:left="644"/>
        <w:jc w:val="both"/>
        <w:rPr>
          <w:b/>
          <w:bCs/>
          <w:caps/>
          <w:u w:val="single"/>
        </w:rPr>
      </w:pPr>
    </w:p>
    <w:p w14:paraId="15DAAD65" w14:textId="77777777" w:rsidR="00904A4B" w:rsidRDefault="00101687" w:rsidP="00101687">
      <w:pPr>
        <w:pStyle w:val="Paragraphedeliste"/>
        <w:numPr>
          <w:ilvl w:val="0"/>
          <w:numId w:val="3"/>
        </w:numPr>
        <w:jc w:val="both"/>
        <w:rPr>
          <w:rFonts w:ascii="Calibri" w:eastAsia="Calibri" w:hAnsi="Calibri" w:cs="Calibri"/>
          <w:b/>
          <w:bCs/>
          <w:caps/>
          <w:sz w:val="28"/>
          <w:szCs w:val="28"/>
          <w:u w:val="single"/>
        </w:rPr>
      </w:pPr>
      <w:r>
        <w:rPr>
          <w:rFonts w:ascii="Calibri" w:eastAsia="Calibri" w:hAnsi="Calibri" w:cs="Calibri"/>
          <w:b/>
          <w:bCs/>
          <w:caps/>
          <w:sz w:val="28"/>
          <w:szCs w:val="28"/>
          <w:u w:val="single"/>
        </w:rPr>
        <w:t xml:space="preserve">LA </w:t>
      </w:r>
      <w:r w:rsidRPr="00101687">
        <w:rPr>
          <w:rFonts w:ascii="Calibri" w:eastAsia="Calibri" w:hAnsi="Calibri" w:cs="Calibri"/>
          <w:b/>
          <w:bCs/>
          <w:caps/>
          <w:sz w:val="28"/>
          <w:szCs w:val="28"/>
          <w:u w:val="single"/>
        </w:rPr>
        <w:t>Constitution d</w:t>
      </w:r>
      <w:r>
        <w:rPr>
          <w:rFonts w:ascii="Calibri" w:eastAsia="Calibri" w:hAnsi="Calibri" w:cs="Calibri"/>
          <w:b/>
          <w:bCs/>
          <w:caps/>
          <w:sz w:val="28"/>
          <w:szCs w:val="28"/>
          <w:u w:val="single"/>
        </w:rPr>
        <w:t>’UNE</w:t>
      </w:r>
      <w:r w:rsidRPr="00101687">
        <w:rPr>
          <w:rFonts w:ascii="Calibri" w:eastAsia="Calibri" w:hAnsi="Calibri" w:cs="Calibri"/>
          <w:b/>
          <w:bCs/>
          <w:caps/>
          <w:sz w:val="28"/>
          <w:szCs w:val="28"/>
          <w:u w:val="single"/>
        </w:rPr>
        <w:t xml:space="preserve"> société holding : </w:t>
      </w:r>
      <w:r>
        <w:rPr>
          <w:rFonts w:ascii="Calibri" w:eastAsia="Calibri" w:hAnsi="Calibri" w:cs="Calibri"/>
          <w:b/>
          <w:bCs/>
          <w:caps/>
          <w:sz w:val="28"/>
          <w:szCs w:val="28"/>
          <w:u w:val="single"/>
        </w:rPr>
        <w:t>mecanisme de L’apport-cession</w:t>
      </w:r>
    </w:p>
    <w:p w14:paraId="013AC919" w14:textId="77777777" w:rsidR="00101687" w:rsidRPr="00101687" w:rsidRDefault="00101687" w:rsidP="00101687">
      <w:pPr>
        <w:pStyle w:val="Paragraphedeliste"/>
        <w:jc w:val="both"/>
        <w:rPr>
          <w:rFonts w:ascii="Calibri" w:eastAsia="Calibri" w:hAnsi="Calibri" w:cs="Calibri"/>
          <w:b/>
          <w:bCs/>
          <w:caps/>
          <w:sz w:val="28"/>
          <w:szCs w:val="28"/>
          <w:u w:val="single"/>
        </w:rPr>
      </w:pPr>
    </w:p>
    <w:p w14:paraId="4741698C" w14:textId="77777777" w:rsidR="001E4CF9" w:rsidRDefault="001E4CF9" w:rsidP="00904A4B">
      <w:pPr>
        <w:jc w:val="both"/>
        <w:rPr>
          <w:rFonts w:eastAsiaTheme="minorEastAsia"/>
          <w:b/>
          <w:sz w:val="24"/>
          <w:szCs w:val="24"/>
        </w:rPr>
      </w:pPr>
      <w:r w:rsidRPr="001E4CF9">
        <w:rPr>
          <w:rFonts w:eastAsiaTheme="minorEastAsia"/>
          <w:bCs/>
          <w:sz w:val="24"/>
          <w:szCs w:val="24"/>
        </w:rPr>
        <w:t>Lorsqu’un chef d’entreprise</w:t>
      </w:r>
      <w:r>
        <w:rPr>
          <w:rFonts w:eastAsiaTheme="minorEastAsia"/>
          <w:bCs/>
          <w:sz w:val="24"/>
          <w:szCs w:val="24"/>
        </w:rPr>
        <w:t>,</w:t>
      </w:r>
      <w:r w:rsidRPr="001E4CF9">
        <w:rPr>
          <w:rFonts w:eastAsiaTheme="minorEastAsia"/>
          <w:bCs/>
          <w:sz w:val="24"/>
          <w:szCs w:val="24"/>
        </w:rPr>
        <w:t xml:space="preserve"> détenant les parts ou actions de sa société en direct</w:t>
      </w:r>
      <w:r>
        <w:rPr>
          <w:rFonts w:eastAsiaTheme="minorEastAsia"/>
          <w:bCs/>
          <w:sz w:val="24"/>
          <w:szCs w:val="24"/>
        </w:rPr>
        <w:t>,</w:t>
      </w:r>
      <w:r w:rsidRPr="001E4CF9">
        <w:rPr>
          <w:rFonts w:eastAsiaTheme="minorEastAsia"/>
          <w:bCs/>
          <w:sz w:val="24"/>
          <w:szCs w:val="24"/>
        </w:rPr>
        <w:t xml:space="preserve"> envisage de vendre sa société, il lui est souvent conseillé pour éviter de subir une charge fiscale trop importante de procéder à un </w:t>
      </w:r>
      <w:r w:rsidRPr="001E4CF9">
        <w:rPr>
          <w:rFonts w:eastAsiaTheme="minorEastAsia"/>
          <w:b/>
          <w:sz w:val="24"/>
          <w:szCs w:val="24"/>
        </w:rPr>
        <w:t>apport de ses titres</w:t>
      </w:r>
      <w:r w:rsidRPr="001E4CF9">
        <w:rPr>
          <w:rFonts w:eastAsiaTheme="minorEastAsia"/>
          <w:bCs/>
          <w:sz w:val="24"/>
          <w:szCs w:val="24"/>
        </w:rPr>
        <w:t> à une </w:t>
      </w:r>
      <w:r w:rsidRPr="001E4CF9">
        <w:rPr>
          <w:rFonts w:eastAsiaTheme="minorEastAsia"/>
          <w:b/>
          <w:sz w:val="24"/>
          <w:szCs w:val="24"/>
        </w:rPr>
        <w:t>holding</w:t>
      </w:r>
      <w:r>
        <w:rPr>
          <w:rFonts w:eastAsiaTheme="minorEastAsia"/>
          <w:b/>
          <w:sz w:val="24"/>
          <w:szCs w:val="24"/>
        </w:rPr>
        <w:t xml:space="preserve"> qui revend les titres</w:t>
      </w:r>
      <w:r w:rsidRPr="001E4CF9">
        <w:rPr>
          <w:rFonts w:eastAsiaTheme="minorEastAsia"/>
          <w:bCs/>
          <w:sz w:val="24"/>
          <w:szCs w:val="24"/>
        </w:rPr>
        <w:t xml:space="preserve"> </w:t>
      </w:r>
      <w:r w:rsidRPr="00496C27">
        <w:rPr>
          <w:rFonts w:eastAsiaTheme="minorEastAsia"/>
          <w:bCs/>
          <w:sz w:val="24"/>
          <w:szCs w:val="24"/>
        </w:rPr>
        <w:t>pour leur valeur d’apport.</w:t>
      </w:r>
      <w:r w:rsidRPr="001E4CF9">
        <w:rPr>
          <w:rFonts w:eastAsiaTheme="minorEastAsia"/>
          <w:b/>
          <w:sz w:val="24"/>
          <w:szCs w:val="24"/>
        </w:rPr>
        <w:t> </w:t>
      </w:r>
    </w:p>
    <w:p w14:paraId="337AF2CF" w14:textId="4628B2D1" w:rsidR="00904A4B" w:rsidRPr="00B02F4F" w:rsidRDefault="00904A4B" w:rsidP="00904A4B">
      <w:pPr>
        <w:jc w:val="both"/>
        <w:rPr>
          <w:rFonts w:eastAsiaTheme="minorEastAsia"/>
          <w:b/>
          <w:bCs/>
          <w:sz w:val="24"/>
          <w:szCs w:val="24"/>
        </w:rPr>
      </w:pPr>
      <w:r w:rsidRPr="00496C27">
        <w:rPr>
          <w:rFonts w:eastAsiaTheme="minorEastAsia"/>
          <w:bCs/>
          <w:sz w:val="24"/>
          <w:szCs w:val="24"/>
        </w:rPr>
        <w:t xml:space="preserve">Si </w:t>
      </w:r>
      <w:r w:rsidRPr="00B02F4F">
        <w:rPr>
          <w:rFonts w:eastAsiaTheme="minorEastAsia"/>
          <w:b/>
          <w:bCs/>
          <w:sz w:val="24"/>
          <w:szCs w:val="24"/>
        </w:rPr>
        <w:t>l’apporteur contrôle la société bénéficiaire de l’apport</w:t>
      </w:r>
      <w:r w:rsidRPr="00496C27">
        <w:rPr>
          <w:rFonts w:eastAsiaTheme="minorEastAsia"/>
          <w:bCs/>
          <w:sz w:val="24"/>
          <w:szCs w:val="24"/>
        </w:rPr>
        <w:t xml:space="preserve">, la </w:t>
      </w:r>
      <w:r w:rsidRPr="00B02F4F">
        <w:rPr>
          <w:rFonts w:eastAsiaTheme="minorEastAsia"/>
          <w:b/>
          <w:bCs/>
          <w:sz w:val="24"/>
          <w:szCs w:val="24"/>
        </w:rPr>
        <w:t>PV d’apport bénéficie d’un report d’imposition</w:t>
      </w:r>
      <w:r w:rsidR="008103CC">
        <w:rPr>
          <w:rFonts w:eastAsiaTheme="minorEastAsia"/>
          <w:b/>
          <w:bCs/>
          <w:sz w:val="24"/>
          <w:szCs w:val="24"/>
        </w:rPr>
        <w:t xml:space="preserve"> </w:t>
      </w:r>
      <w:r w:rsidR="008103CC" w:rsidRPr="008103CC">
        <w:rPr>
          <w:rFonts w:eastAsiaTheme="minorEastAsia"/>
          <w:bCs/>
          <w:sz w:val="24"/>
          <w:szCs w:val="24"/>
        </w:rPr>
        <w:t>(Art</w:t>
      </w:r>
      <w:r w:rsidR="008103CC">
        <w:rPr>
          <w:rFonts w:eastAsiaTheme="minorEastAsia"/>
          <w:bCs/>
          <w:sz w:val="24"/>
          <w:szCs w:val="24"/>
        </w:rPr>
        <w:t xml:space="preserve">. </w:t>
      </w:r>
      <w:r w:rsidR="008103CC" w:rsidRPr="008103CC">
        <w:rPr>
          <w:rFonts w:eastAsiaTheme="minorEastAsia"/>
          <w:bCs/>
          <w:sz w:val="24"/>
          <w:szCs w:val="24"/>
        </w:rPr>
        <w:t>150 0B Ter du CGI)</w:t>
      </w:r>
      <w:r w:rsidRPr="008103CC">
        <w:rPr>
          <w:rFonts w:eastAsiaTheme="minorEastAsia"/>
          <w:bCs/>
          <w:sz w:val="24"/>
          <w:szCs w:val="24"/>
        </w:rPr>
        <w:t>.</w:t>
      </w:r>
    </w:p>
    <w:p w14:paraId="0EC1B111" w14:textId="77777777" w:rsidR="00904A4B" w:rsidRDefault="00904A4B" w:rsidP="00904A4B">
      <w:pPr>
        <w:jc w:val="both"/>
        <w:rPr>
          <w:rFonts w:eastAsiaTheme="minorEastAsia"/>
          <w:bCs/>
          <w:i/>
          <w:sz w:val="24"/>
          <w:szCs w:val="24"/>
        </w:rPr>
      </w:pPr>
      <w:r w:rsidRPr="001E4CF9">
        <w:rPr>
          <w:rFonts w:eastAsiaTheme="minorEastAsia"/>
          <w:bCs/>
          <w:i/>
          <w:sz w:val="24"/>
          <w:szCs w:val="24"/>
        </w:rPr>
        <w:t>Le contribuable est considéré contrôler une société lorsqu’il détient ou dispose seul de la majorité des droits de vote ou des droits ou lorsqu’il exerce le pouvoir de décision.</w:t>
      </w:r>
    </w:p>
    <w:p w14:paraId="4CA880B1" w14:textId="77777777" w:rsidR="004749D6" w:rsidRDefault="00E2091F" w:rsidP="00E2091F">
      <w:pPr>
        <w:jc w:val="both"/>
        <w:rPr>
          <w:rFonts w:eastAsiaTheme="minorEastAsia"/>
          <w:bCs/>
          <w:iCs/>
          <w:sz w:val="24"/>
          <w:szCs w:val="24"/>
        </w:rPr>
      </w:pPr>
      <w:r w:rsidRPr="00E2091F">
        <w:rPr>
          <w:rFonts w:eastAsiaTheme="minorEastAsia"/>
          <w:bCs/>
          <w:iCs/>
          <w:sz w:val="24"/>
          <w:szCs w:val="24"/>
        </w:rPr>
        <w:t>Pour maintenir le différé de taxation deux hypothèses existent :</w:t>
      </w:r>
    </w:p>
    <w:p w14:paraId="75D4EFA6" w14:textId="4DB01D6C" w:rsidR="00962283" w:rsidRDefault="00962283" w:rsidP="00045FD0">
      <w:pPr>
        <w:pStyle w:val="Paragraphedeliste"/>
        <w:numPr>
          <w:ilvl w:val="0"/>
          <w:numId w:val="9"/>
        </w:numPr>
        <w:ind w:left="284" w:hanging="284"/>
        <w:jc w:val="both"/>
        <w:rPr>
          <w:rFonts w:eastAsiaTheme="minorEastAsia"/>
          <w:bCs/>
          <w:iCs/>
          <w:sz w:val="24"/>
          <w:szCs w:val="24"/>
        </w:rPr>
      </w:pPr>
      <w:r w:rsidRPr="004749D6">
        <w:rPr>
          <w:rFonts w:eastAsiaTheme="minorEastAsia"/>
          <w:bCs/>
          <w:iCs/>
          <w:sz w:val="24"/>
          <w:szCs w:val="24"/>
        </w:rPr>
        <w:t xml:space="preserve">Soit la société holding conserve les titres apportés </w:t>
      </w:r>
      <w:r w:rsidRPr="00363263">
        <w:rPr>
          <w:rFonts w:eastAsiaTheme="minorEastAsia"/>
          <w:b/>
          <w:iCs/>
          <w:sz w:val="24"/>
          <w:szCs w:val="24"/>
        </w:rPr>
        <w:t>plus de trois ans</w:t>
      </w:r>
      <w:r w:rsidR="004749D6">
        <w:rPr>
          <w:rFonts w:eastAsiaTheme="minorEastAsia"/>
          <w:bCs/>
          <w:iCs/>
          <w:sz w:val="24"/>
          <w:szCs w:val="24"/>
        </w:rPr>
        <w:t> ;</w:t>
      </w:r>
    </w:p>
    <w:p w14:paraId="024DD61C" w14:textId="77777777" w:rsidR="00045FD0" w:rsidRPr="004749D6" w:rsidRDefault="00045FD0" w:rsidP="00045FD0">
      <w:pPr>
        <w:pStyle w:val="Paragraphedeliste"/>
        <w:jc w:val="both"/>
        <w:rPr>
          <w:rFonts w:eastAsiaTheme="minorEastAsia"/>
          <w:bCs/>
          <w:iCs/>
          <w:sz w:val="24"/>
          <w:szCs w:val="24"/>
        </w:rPr>
      </w:pPr>
    </w:p>
    <w:p w14:paraId="04FABB87" w14:textId="16E836FB" w:rsidR="00962283" w:rsidRDefault="00962283" w:rsidP="00045FD0">
      <w:pPr>
        <w:pStyle w:val="Paragraphedeliste"/>
        <w:numPr>
          <w:ilvl w:val="0"/>
          <w:numId w:val="9"/>
        </w:numPr>
        <w:ind w:left="284" w:hanging="284"/>
        <w:jc w:val="both"/>
        <w:rPr>
          <w:rFonts w:eastAsiaTheme="minorEastAsia"/>
          <w:bCs/>
          <w:iCs/>
          <w:sz w:val="24"/>
          <w:szCs w:val="24"/>
        </w:rPr>
      </w:pPr>
      <w:r w:rsidRPr="007E2A34">
        <w:rPr>
          <w:rFonts w:eastAsiaTheme="minorEastAsia"/>
          <w:bCs/>
          <w:iCs/>
          <w:sz w:val="24"/>
          <w:szCs w:val="24"/>
        </w:rPr>
        <w:t xml:space="preserve">Soit la société holding cède les titres apportés </w:t>
      </w:r>
      <w:r w:rsidRPr="00A22F9F">
        <w:rPr>
          <w:rFonts w:eastAsiaTheme="minorEastAsia"/>
          <w:b/>
          <w:iCs/>
          <w:sz w:val="24"/>
          <w:szCs w:val="24"/>
        </w:rPr>
        <w:t>avant l’expiration de cette période</w:t>
      </w:r>
      <w:r w:rsidRPr="007E2A34">
        <w:rPr>
          <w:rFonts w:eastAsiaTheme="minorEastAsia"/>
          <w:bCs/>
          <w:iCs/>
          <w:sz w:val="24"/>
          <w:szCs w:val="24"/>
        </w:rPr>
        <w:t xml:space="preserve">. Dans ce cas, le report d’imposition est maintenu si la société holding s’engage à </w:t>
      </w:r>
      <w:r w:rsidRPr="00045FD0">
        <w:rPr>
          <w:rFonts w:eastAsiaTheme="minorEastAsia"/>
          <w:b/>
          <w:iCs/>
          <w:sz w:val="24"/>
          <w:szCs w:val="24"/>
        </w:rPr>
        <w:t>réinvestir une partie des fruits de la cession dans une activité éligible</w:t>
      </w:r>
      <w:r w:rsidRPr="007E2A34">
        <w:rPr>
          <w:rFonts w:eastAsiaTheme="minorEastAsia"/>
          <w:bCs/>
          <w:iCs/>
          <w:sz w:val="24"/>
          <w:szCs w:val="24"/>
        </w:rPr>
        <w:t>.</w:t>
      </w:r>
    </w:p>
    <w:p w14:paraId="39443026" w14:textId="12BD4592" w:rsidR="008D6FD2" w:rsidRPr="009C24E2" w:rsidRDefault="008D6FD2" w:rsidP="009C24E2">
      <w:pPr>
        <w:jc w:val="both"/>
        <w:rPr>
          <w:rFonts w:eastAsiaTheme="minorEastAsia"/>
          <w:bCs/>
          <w:iCs/>
          <w:sz w:val="24"/>
          <w:szCs w:val="24"/>
        </w:rPr>
      </w:pPr>
      <w:r w:rsidRPr="009C24E2">
        <w:rPr>
          <w:rFonts w:eastAsiaTheme="minorEastAsia"/>
          <w:bCs/>
          <w:iCs/>
          <w:sz w:val="24"/>
          <w:szCs w:val="24"/>
        </w:rPr>
        <w:t xml:space="preserve">La loi de finance 2026 a </w:t>
      </w:r>
      <w:r w:rsidR="005412C0">
        <w:rPr>
          <w:rFonts w:eastAsiaTheme="minorEastAsia"/>
          <w:bCs/>
          <w:iCs/>
          <w:sz w:val="24"/>
          <w:szCs w:val="24"/>
        </w:rPr>
        <w:t>renforcé les conditions :</w:t>
      </w:r>
    </w:p>
    <w:p w14:paraId="64A479FC" w14:textId="76B6694C" w:rsidR="00962283" w:rsidRPr="00962283" w:rsidRDefault="00045FD0" w:rsidP="005412C0">
      <w:pPr>
        <w:jc w:val="both"/>
        <w:rPr>
          <w:rFonts w:eastAsiaTheme="minorEastAsia"/>
          <w:bCs/>
          <w:iCs/>
          <w:sz w:val="24"/>
          <w:szCs w:val="24"/>
        </w:rPr>
      </w:pPr>
      <w:r>
        <w:rPr>
          <w:rFonts w:eastAsiaTheme="minorEastAsia"/>
          <w:bCs/>
          <w:iCs/>
          <w:sz w:val="24"/>
          <w:szCs w:val="24"/>
        </w:rPr>
        <w:t>C</w:t>
      </w:r>
      <w:r w:rsidR="00962283" w:rsidRPr="00962283">
        <w:rPr>
          <w:rFonts w:eastAsiaTheme="minorEastAsia"/>
          <w:bCs/>
          <w:iCs/>
          <w:sz w:val="24"/>
          <w:szCs w:val="24"/>
        </w:rPr>
        <w:t xml:space="preserve">e réinvestissement </w:t>
      </w:r>
      <w:r>
        <w:rPr>
          <w:rFonts w:eastAsiaTheme="minorEastAsia"/>
          <w:bCs/>
          <w:iCs/>
          <w:sz w:val="24"/>
          <w:szCs w:val="24"/>
        </w:rPr>
        <w:t>doit être de</w:t>
      </w:r>
      <w:r w:rsidRPr="00962283">
        <w:rPr>
          <w:rFonts w:eastAsiaTheme="minorEastAsia"/>
          <w:bCs/>
          <w:iCs/>
          <w:sz w:val="24"/>
          <w:szCs w:val="24"/>
        </w:rPr>
        <w:t xml:space="preserve"> </w:t>
      </w:r>
      <w:r w:rsidRPr="0097085F">
        <w:rPr>
          <w:rFonts w:eastAsiaTheme="minorEastAsia"/>
          <w:b/>
          <w:iCs/>
          <w:sz w:val="24"/>
          <w:szCs w:val="24"/>
        </w:rPr>
        <w:t>70% du produit de cession des titres</w:t>
      </w:r>
      <w:r w:rsidRPr="00962283">
        <w:rPr>
          <w:rFonts w:eastAsiaTheme="minorEastAsia"/>
          <w:bCs/>
          <w:iCs/>
          <w:sz w:val="24"/>
          <w:szCs w:val="24"/>
        </w:rPr>
        <w:t xml:space="preserve"> apportés </w:t>
      </w:r>
      <w:r>
        <w:rPr>
          <w:rFonts w:eastAsiaTheme="minorEastAsia"/>
          <w:bCs/>
          <w:iCs/>
          <w:sz w:val="24"/>
          <w:szCs w:val="24"/>
        </w:rPr>
        <w:t>(</w:t>
      </w:r>
      <w:r w:rsidR="00962283" w:rsidRPr="00962283">
        <w:rPr>
          <w:rFonts w:eastAsiaTheme="minorEastAsia"/>
          <w:bCs/>
          <w:iCs/>
          <w:sz w:val="24"/>
          <w:szCs w:val="24"/>
        </w:rPr>
        <w:t>loi de finances 2026</w:t>
      </w:r>
      <w:r>
        <w:rPr>
          <w:rFonts w:eastAsiaTheme="minorEastAsia"/>
          <w:bCs/>
          <w:iCs/>
          <w:sz w:val="24"/>
          <w:szCs w:val="24"/>
        </w:rPr>
        <w:t>)</w:t>
      </w:r>
      <w:r w:rsidR="00962283" w:rsidRPr="00962283">
        <w:rPr>
          <w:rFonts w:eastAsiaTheme="minorEastAsia"/>
          <w:bCs/>
          <w:iCs/>
          <w:sz w:val="24"/>
          <w:szCs w:val="24"/>
        </w:rPr>
        <w:t xml:space="preserve">. </w:t>
      </w:r>
    </w:p>
    <w:p w14:paraId="7DA3306F" w14:textId="140FE850" w:rsidR="008D0204" w:rsidRPr="008D0204" w:rsidRDefault="008D0204" w:rsidP="008D0204">
      <w:pPr>
        <w:jc w:val="both"/>
        <w:rPr>
          <w:rFonts w:eastAsiaTheme="minorEastAsia"/>
          <w:bCs/>
          <w:sz w:val="24"/>
          <w:szCs w:val="24"/>
        </w:rPr>
      </w:pPr>
      <w:r w:rsidRPr="008D0204">
        <w:rPr>
          <w:rFonts w:eastAsiaTheme="minorEastAsia"/>
          <w:bCs/>
          <w:sz w:val="24"/>
          <w:szCs w:val="24"/>
        </w:rPr>
        <w:t xml:space="preserve">Certains investissements </w:t>
      </w:r>
      <w:r w:rsidR="00783456">
        <w:rPr>
          <w:rFonts w:eastAsiaTheme="minorEastAsia"/>
          <w:bCs/>
          <w:sz w:val="24"/>
          <w:szCs w:val="24"/>
        </w:rPr>
        <w:t>ne sont pas</w:t>
      </w:r>
      <w:r w:rsidRPr="008D0204">
        <w:rPr>
          <w:rFonts w:eastAsiaTheme="minorEastAsia"/>
          <w:bCs/>
          <w:sz w:val="24"/>
          <w:szCs w:val="24"/>
        </w:rPr>
        <w:t xml:space="preserve"> éligibles au remploi :</w:t>
      </w:r>
    </w:p>
    <w:p w14:paraId="77F3CBEF" w14:textId="77777777" w:rsidR="00783456" w:rsidRDefault="00783456" w:rsidP="00783456">
      <w:pPr>
        <w:pStyle w:val="Paragraphedeliste"/>
        <w:numPr>
          <w:ilvl w:val="0"/>
          <w:numId w:val="9"/>
        </w:numPr>
        <w:jc w:val="both"/>
        <w:rPr>
          <w:rFonts w:eastAsiaTheme="minorEastAsia"/>
          <w:bCs/>
          <w:sz w:val="24"/>
          <w:szCs w:val="24"/>
        </w:rPr>
      </w:pPr>
      <w:proofErr w:type="gramStart"/>
      <w:r w:rsidRPr="00783456">
        <w:rPr>
          <w:rFonts w:eastAsiaTheme="minorEastAsia"/>
          <w:bCs/>
          <w:sz w:val="24"/>
          <w:szCs w:val="24"/>
        </w:rPr>
        <w:t>la</w:t>
      </w:r>
      <w:proofErr w:type="gramEnd"/>
      <w:r w:rsidRPr="00783456">
        <w:rPr>
          <w:rFonts w:eastAsiaTheme="minorEastAsia"/>
          <w:bCs/>
          <w:sz w:val="24"/>
          <w:szCs w:val="24"/>
        </w:rPr>
        <w:t xml:space="preserve"> gestion par la société de son propre patrimoine immobilier ou financier</w:t>
      </w:r>
      <w:r>
        <w:rPr>
          <w:rFonts w:eastAsiaTheme="minorEastAsia"/>
          <w:bCs/>
          <w:sz w:val="24"/>
          <w:szCs w:val="24"/>
        </w:rPr>
        <w:t>,</w:t>
      </w:r>
    </w:p>
    <w:p w14:paraId="788607A9" w14:textId="74E8C1CE" w:rsidR="008D0204" w:rsidRPr="00783456" w:rsidRDefault="008D0204" w:rsidP="00783456">
      <w:pPr>
        <w:pStyle w:val="Paragraphedeliste"/>
        <w:numPr>
          <w:ilvl w:val="0"/>
          <w:numId w:val="9"/>
        </w:numPr>
        <w:jc w:val="both"/>
        <w:rPr>
          <w:rFonts w:eastAsiaTheme="minorEastAsia"/>
          <w:bCs/>
          <w:sz w:val="24"/>
          <w:szCs w:val="24"/>
        </w:rPr>
      </w:pPr>
      <w:proofErr w:type="gramStart"/>
      <w:r w:rsidRPr="00783456">
        <w:rPr>
          <w:rFonts w:eastAsiaTheme="minorEastAsia"/>
          <w:bCs/>
          <w:sz w:val="24"/>
          <w:szCs w:val="24"/>
        </w:rPr>
        <w:t>les</w:t>
      </w:r>
      <w:proofErr w:type="gramEnd"/>
      <w:r w:rsidRPr="00783456">
        <w:rPr>
          <w:rFonts w:eastAsiaTheme="minorEastAsia"/>
          <w:bCs/>
          <w:sz w:val="24"/>
          <w:szCs w:val="24"/>
        </w:rPr>
        <w:t xml:space="preserve"> activités de marchand de biens, de promotion immobilière, d’intermédiaire ou de gestionnaire (syndic, agent immobilier) </w:t>
      </w:r>
      <w:r w:rsidR="00AE4285">
        <w:rPr>
          <w:rFonts w:eastAsiaTheme="minorEastAsia"/>
          <w:bCs/>
          <w:sz w:val="24"/>
          <w:szCs w:val="24"/>
        </w:rPr>
        <w:t>,</w:t>
      </w:r>
    </w:p>
    <w:p w14:paraId="48E0C99E" w14:textId="372073C0" w:rsidR="008D0204" w:rsidRPr="00AE4285" w:rsidRDefault="00AE4285" w:rsidP="00AE4285">
      <w:pPr>
        <w:pStyle w:val="Paragraphedeliste"/>
        <w:numPr>
          <w:ilvl w:val="0"/>
          <w:numId w:val="9"/>
        </w:numPr>
        <w:jc w:val="both"/>
        <w:rPr>
          <w:rFonts w:eastAsiaTheme="minorEastAsia"/>
          <w:bCs/>
          <w:sz w:val="24"/>
          <w:szCs w:val="24"/>
        </w:rPr>
      </w:pPr>
      <w:proofErr w:type="gramStart"/>
      <w:r>
        <w:rPr>
          <w:rFonts w:eastAsiaTheme="minorEastAsia"/>
          <w:bCs/>
          <w:sz w:val="24"/>
          <w:szCs w:val="24"/>
        </w:rPr>
        <w:t>l</w:t>
      </w:r>
      <w:r w:rsidR="008D0204" w:rsidRPr="00AE4285">
        <w:rPr>
          <w:rFonts w:eastAsiaTheme="minorEastAsia"/>
          <w:bCs/>
          <w:sz w:val="24"/>
          <w:szCs w:val="24"/>
        </w:rPr>
        <w:t>es</w:t>
      </w:r>
      <w:proofErr w:type="gramEnd"/>
      <w:r w:rsidR="008D0204" w:rsidRPr="00AE4285">
        <w:rPr>
          <w:rFonts w:eastAsiaTheme="minorEastAsia"/>
          <w:bCs/>
          <w:sz w:val="24"/>
          <w:szCs w:val="24"/>
        </w:rPr>
        <w:t xml:space="preserve"> activités financières : banques, assurances, activités de courtage …</w:t>
      </w:r>
    </w:p>
    <w:p w14:paraId="72A3898A" w14:textId="14CBFC70" w:rsidR="008D0204" w:rsidRDefault="008D0204" w:rsidP="0097085F">
      <w:pPr>
        <w:pStyle w:val="Paragraphedeliste"/>
        <w:numPr>
          <w:ilvl w:val="0"/>
          <w:numId w:val="9"/>
        </w:numPr>
        <w:jc w:val="both"/>
        <w:rPr>
          <w:rFonts w:eastAsiaTheme="minorEastAsia"/>
          <w:bCs/>
          <w:sz w:val="24"/>
          <w:szCs w:val="24"/>
        </w:rPr>
      </w:pPr>
      <w:r w:rsidRPr="0097085F">
        <w:rPr>
          <w:rFonts w:eastAsiaTheme="minorEastAsia"/>
          <w:bCs/>
          <w:sz w:val="24"/>
          <w:szCs w:val="24"/>
        </w:rPr>
        <w:t>Les activités énergétiques dont les revenus sont garantis en raison d’une tarification de rachat de la production réglementée, par exemple les centrales solaires</w:t>
      </w:r>
      <w:r w:rsidR="000966D0">
        <w:rPr>
          <w:rFonts w:eastAsiaTheme="minorEastAsia"/>
          <w:bCs/>
          <w:sz w:val="24"/>
          <w:szCs w:val="24"/>
        </w:rPr>
        <w:t>.</w:t>
      </w:r>
    </w:p>
    <w:p w14:paraId="1004074E" w14:textId="15C0E573" w:rsidR="0075055D" w:rsidRPr="0075055D" w:rsidRDefault="0075055D" w:rsidP="0075055D">
      <w:pPr>
        <w:jc w:val="both"/>
        <w:rPr>
          <w:rFonts w:eastAsiaTheme="minorEastAsia"/>
          <w:bCs/>
          <w:sz w:val="24"/>
          <w:szCs w:val="24"/>
        </w:rPr>
      </w:pPr>
      <w:r w:rsidRPr="00D42000">
        <w:rPr>
          <w:rFonts w:eastAsiaTheme="minorEastAsia"/>
          <w:b/>
          <w:sz w:val="24"/>
          <w:szCs w:val="24"/>
        </w:rPr>
        <w:t>Le délai pour réaliser</w:t>
      </w:r>
      <w:r w:rsidRPr="0075055D">
        <w:rPr>
          <w:rFonts w:eastAsiaTheme="minorEastAsia"/>
          <w:bCs/>
          <w:sz w:val="24"/>
          <w:szCs w:val="24"/>
        </w:rPr>
        <w:t xml:space="preserve"> les investissements (70% du produit de cession) </w:t>
      </w:r>
      <w:r>
        <w:rPr>
          <w:rFonts w:eastAsiaTheme="minorEastAsia"/>
          <w:bCs/>
          <w:sz w:val="24"/>
          <w:szCs w:val="24"/>
        </w:rPr>
        <w:t xml:space="preserve">est de </w:t>
      </w:r>
      <w:r w:rsidRPr="00D42000">
        <w:rPr>
          <w:rFonts w:eastAsiaTheme="minorEastAsia"/>
          <w:b/>
          <w:sz w:val="24"/>
          <w:szCs w:val="24"/>
        </w:rPr>
        <w:t>3 ans</w:t>
      </w:r>
      <w:r w:rsidRPr="0075055D">
        <w:rPr>
          <w:rFonts w:eastAsiaTheme="minorEastAsia"/>
          <w:bCs/>
          <w:sz w:val="24"/>
          <w:szCs w:val="24"/>
        </w:rPr>
        <w:t xml:space="preserve">.  </w:t>
      </w:r>
    </w:p>
    <w:p w14:paraId="4765D96B" w14:textId="7AE6C136" w:rsidR="000966D0" w:rsidRPr="000966D0" w:rsidRDefault="00D42000" w:rsidP="0075055D">
      <w:pPr>
        <w:jc w:val="both"/>
        <w:rPr>
          <w:rFonts w:eastAsiaTheme="minorEastAsia"/>
          <w:bCs/>
          <w:sz w:val="24"/>
          <w:szCs w:val="24"/>
        </w:rPr>
      </w:pPr>
      <w:r>
        <w:rPr>
          <w:rFonts w:eastAsiaTheme="minorEastAsia"/>
          <w:bCs/>
          <w:sz w:val="24"/>
          <w:szCs w:val="24"/>
        </w:rPr>
        <w:t xml:space="preserve">Le </w:t>
      </w:r>
      <w:r w:rsidRPr="00086B14">
        <w:rPr>
          <w:rFonts w:eastAsiaTheme="minorEastAsia"/>
          <w:b/>
          <w:sz w:val="24"/>
          <w:szCs w:val="24"/>
        </w:rPr>
        <w:t>d</w:t>
      </w:r>
      <w:r w:rsidR="0075055D" w:rsidRPr="00086B14">
        <w:rPr>
          <w:rFonts w:eastAsiaTheme="minorEastAsia"/>
          <w:b/>
          <w:sz w:val="24"/>
          <w:szCs w:val="24"/>
        </w:rPr>
        <w:t>élai de conservation des investissements par la holding passe à cinq ans</w:t>
      </w:r>
      <w:r w:rsidR="0075055D" w:rsidRPr="0075055D">
        <w:rPr>
          <w:rFonts w:eastAsiaTheme="minorEastAsia"/>
          <w:bCs/>
          <w:sz w:val="24"/>
          <w:szCs w:val="24"/>
        </w:rPr>
        <w:t xml:space="preserve"> pour tous les types d’investissements.</w:t>
      </w:r>
    </w:p>
    <w:p w14:paraId="1BE262E1" w14:textId="33A91BEB" w:rsidR="00680D7A" w:rsidRDefault="00715291" w:rsidP="00680D7A">
      <w:pPr>
        <w:jc w:val="both"/>
        <w:rPr>
          <w:rFonts w:eastAsiaTheme="minorEastAsia"/>
          <w:bCs/>
          <w:sz w:val="24"/>
          <w:szCs w:val="24"/>
        </w:rPr>
      </w:pPr>
      <w:r>
        <w:rPr>
          <w:rFonts w:eastAsiaTheme="minorEastAsia"/>
          <w:bCs/>
          <w:sz w:val="24"/>
          <w:szCs w:val="24"/>
        </w:rPr>
        <w:lastRenderedPageBreak/>
        <w:t>La</w:t>
      </w:r>
      <w:r w:rsidR="00904A4B" w:rsidRPr="00496C27">
        <w:rPr>
          <w:rFonts w:eastAsiaTheme="minorEastAsia"/>
          <w:bCs/>
          <w:sz w:val="24"/>
          <w:szCs w:val="24"/>
        </w:rPr>
        <w:t xml:space="preserve"> cession </w:t>
      </w:r>
      <w:r w:rsidR="00680D7A">
        <w:rPr>
          <w:rFonts w:eastAsiaTheme="minorEastAsia"/>
          <w:bCs/>
          <w:sz w:val="24"/>
          <w:szCs w:val="24"/>
        </w:rPr>
        <w:t xml:space="preserve">ultérieure des titres, après 3 ans </w:t>
      </w:r>
      <w:r w:rsidR="00A22F9F">
        <w:rPr>
          <w:rFonts w:eastAsiaTheme="minorEastAsia"/>
          <w:bCs/>
          <w:sz w:val="24"/>
          <w:szCs w:val="24"/>
        </w:rPr>
        <w:t xml:space="preserve">ou en cad de </w:t>
      </w:r>
      <w:r w:rsidR="00680D7A">
        <w:rPr>
          <w:rFonts w:eastAsiaTheme="minorEastAsia"/>
          <w:bCs/>
          <w:sz w:val="24"/>
          <w:szCs w:val="24"/>
        </w:rPr>
        <w:t xml:space="preserve">réinvestissement par la holding, </w:t>
      </w:r>
      <w:r w:rsidR="00904A4B" w:rsidRPr="00496C27">
        <w:rPr>
          <w:rFonts w:eastAsiaTheme="minorEastAsia"/>
          <w:bCs/>
          <w:sz w:val="24"/>
          <w:szCs w:val="24"/>
        </w:rPr>
        <w:t>entraîne une taxation à 0% sous réserve de la réintégration d’une QP de 12% mais ne remet pas en cause le report d’imposition.</w:t>
      </w:r>
    </w:p>
    <w:p w14:paraId="5D32E6F4" w14:textId="1F14CF8B" w:rsidR="00B64EA9" w:rsidRDefault="00680D7A" w:rsidP="00680D7A">
      <w:pPr>
        <w:jc w:val="both"/>
        <w:rPr>
          <w:rFonts w:eastAsiaTheme="minorEastAsia"/>
          <w:bCs/>
          <w:sz w:val="24"/>
          <w:szCs w:val="24"/>
        </w:rPr>
      </w:pPr>
      <w:r>
        <w:rPr>
          <w:rFonts w:eastAsiaTheme="minorEastAsia"/>
          <w:bCs/>
          <w:sz w:val="24"/>
          <w:szCs w:val="24"/>
        </w:rPr>
        <w:t>Attention toutefois, i</w:t>
      </w:r>
      <w:r w:rsidRPr="00680D7A">
        <w:rPr>
          <w:rFonts w:eastAsiaTheme="minorEastAsia"/>
          <w:bCs/>
          <w:sz w:val="24"/>
          <w:szCs w:val="24"/>
        </w:rPr>
        <w:t xml:space="preserve">l ne s’agit pas d’un mécanisme d’exonération définitif de la plus-value d’apport </w:t>
      </w:r>
      <w:r>
        <w:rPr>
          <w:rFonts w:eastAsiaTheme="minorEastAsia"/>
          <w:bCs/>
          <w:sz w:val="24"/>
          <w:szCs w:val="24"/>
        </w:rPr>
        <w:t>(</w:t>
      </w:r>
      <w:r w:rsidRPr="00680D7A">
        <w:rPr>
          <w:rFonts w:eastAsiaTheme="minorEastAsia"/>
          <w:bCs/>
          <w:sz w:val="24"/>
          <w:szCs w:val="24"/>
        </w:rPr>
        <w:t xml:space="preserve">sauf en cas de donation </w:t>
      </w:r>
      <w:r w:rsidR="008103CC">
        <w:rPr>
          <w:rFonts w:eastAsiaTheme="minorEastAsia"/>
          <w:bCs/>
          <w:sz w:val="24"/>
          <w:szCs w:val="24"/>
        </w:rPr>
        <w:t>sous condition</w:t>
      </w:r>
      <w:r>
        <w:rPr>
          <w:rFonts w:eastAsiaTheme="minorEastAsia"/>
          <w:bCs/>
          <w:sz w:val="24"/>
          <w:szCs w:val="24"/>
        </w:rPr>
        <w:t xml:space="preserve">). </w:t>
      </w:r>
      <w:r w:rsidR="00EB5D2C">
        <w:rPr>
          <w:rFonts w:eastAsiaTheme="minorEastAsia"/>
          <w:bCs/>
          <w:sz w:val="24"/>
          <w:szCs w:val="24"/>
        </w:rPr>
        <w:t>La fin de report intervient en cas de vente de la société Holding ou de transfert de domicile fiscal hors de France.</w:t>
      </w:r>
    </w:p>
    <w:p w14:paraId="205998F3" w14:textId="69610D3A" w:rsidR="00904A4B" w:rsidRPr="008103CC" w:rsidRDefault="00904A4B" w:rsidP="00904A4B">
      <w:pPr>
        <w:jc w:val="both"/>
        <w:rPr>
          <w:rFonts w:eastAsiaTheme="minorEastAsia"/>
          <w:b/>
          <w:bCs/>
          <w:sz w:val="24"/>
          <w:szCs w:val="24"/>
        </w:rPr>
      </w:pPr>
      <w:r w:rsidRPr="00496C27">
        <w:rPr>
          <w:rFonts w:eastAsiaTheme="minorEastAsia"/>
          <w:b/>
          <w:bCs/>
          <w:sz w:val="24"/>
          <w:szCs w:val="24"/>
          <w:u w:val="single"/>
        </w:rPr>
        <w:t>Exemple :</w:t>
      </w:r>
      <w:r w:rsidRPr="00496C27">
        <w:rPr>
          <w:rFonts w:eastAsiaTheme="minorEastAsia"/>
          <w:b/>
          <w:bCs/>
          <w:sz w:val="24"/>
          <w:szCs w:val="24"/>
        </w:rPr>
        <w:t xml:space="preserve"> un dirigeant apporte ses titres A acquis en 201</w:t>
      </w:r>
      <w:r w:rsidR="00CF6933">
        <w:rPr>
          <w:rFonts w:eastAsiaTheme="minorEastAsia"/>
          <w:b/>
          <w:bCs/>
          <w:sz w:val="24"/>
          <w:szCs w:val="24"/>
        </w:rPr>
        <w:t>2</w:t>
      </w:r>
      <w:r w:rsidRPr="00496C27">
        <w:rPr>
          <w:rFonts w:eastAsiaTheme="minorEastAsia"/>
          <w:b/>
          <w:bCs/>
          <w:sz w:val="24"/>
          <w:szCs w:val="24"/>
        </w:rPr>
        <w:t xml:space="preserve"> pour 80€ à la holding B qu’il contrôle.</w:t>
      </w:r>
      <w:r w:rsidR="008103CC">
        <w:rPr>
          <w:rFonts w:eastAsiaTheme="minorEastAsia"/>
          <w:b/>
          <w:bCs/>
          <w:sz w:val="24"/>
          <w:szCs w:val="24"/>
        </w:rPr>
        <w:br/>
      </w:r>
      <w:r w:rsidRPr="00496C27">
        <w:rPr>
          <w:rFonts w:eastAsiaTheme="minorEastAsia"/>
          <w:bCs/>
          <w:sz w:val="24"/>
          <w:szCs w:val="24"/>
        </w:rPr>
        <w:t>A la date de l’apport en 20</w:t>
      </w:r>
      <w:r w:rsidR="007C2DC9">
        <w:rPr>
          <w:rFonts w:eastAsiaTheme="minorEastAsia"/>
          <w:bCs/>
          <w:sz w:val="24"/>
          <w:szCs w:val="24"/>
        </w:rPr>
        <w:t>20</w:t>
      </w:r>
      <w:r w:rsidRPr="00496C27">
        <w:rPr>
          <w:rFonts w:eastAsiaTheme="minorEastAsia"/>
          <w:bCs/>
          <w:sz w:val="24"/>
          <w:szCs w:val="24"/>
        </w:rPr>
        <w:t xml:space="preserve">, les titres A sont évalués à 150€ soit </w:t>
      </w:r>
      <w:proofErr w:type="gramStart"/>
      <w:r w:rsidRPr="00496C27">
        <w:rPr>
          <w:rFonts w:eastAsiaTheme="minorEastAsia"/>
          <w:bCs/>
          <w:sz w:val="24"/>
          <w:szCs w:val="24"/>
        </w:rPr>
        <w:t>une PV</w:t>
      </w:r>
      <w:proofErr w:type="gramEnd"/>
      <w:r w:rsidRPr="00496C27">
        <w:rPr>
          <w:rFonts w:eastAsiaTheme="minorEastAsia"/>
          <w:bCs/>
          <w:sz w:val="24"/>
          <w:szCs w:val="24"/>
        </w:rPr>
        <w:t xml:space="preserve"> d’apport de (150-80) = 70€ placée en report d’imposition.</w:t>
      </w:r>
    </w:p>
    <w:p w14:paraId="5004BB0D" w14:textId="77777777" w:rsidR="002751E7" w:rsidRDefault="00904A4B" w:rsidP="008103CC">
      <w:pPr>
        <w:spacing w:after="0"/>
        <w:jc w:val="both"/>
        <w:rPr>
          <w:rFonts w:eastAsiaTheme="minorEastAsia"/>
          <w:bCs/>
          <w:sz w:val="24"/>
          <w:szCs w:val="24"/>
        </w:rPr>
      </w:pPr>
      <w:r w:rsidRPr="00496C27">
        <w:rPr>
          <w:rFonts w:eastAsiaTheme="minorEastAsia"/>
          <w:bCs/>
          <w:sz w:val="24"/>
          <w:szCs w:val="24"/>
        </w:rPr>
        <w:t>En 202</w:t>
      </w:r>
      <w:r w:rsidR="007C2DC9">
        <w:rPr>
          <w:rFonts w:eastAsiaTheme="minorEastAsia"/>
          <w:bCs/>
          <w:sz w:val="24"/>
          <w:szCs w:val="24"/>
        </w:rPr>
        <w:t>2</w:t>
      </w:r>
      <w:r w:rsidRPr="00496C27">
        <w:rPr>
          <w:rFonts w:eastAsiaTheme="minorEastAsia"/>
          <w:bCs/>
          <w:sz w:val="24"/>
          <w:szCs w:val="24"/>
        </w:rPr>
        <w:t xml:space="preserve">, la société holding cède 160€ les titres réalisant </w:t>
      </w:r>
      <w:proofErr w:type="gramStart"/>
      <w:r w:rsidRPr="00496C27">
        <w:rPr>
          <w:rFonts w:eastAsiaTheme="minorEastAsia"/>
          <w:bCs/>
          <w:sz w:val="24"/>
          <w:szCs w:val="24"/>
        </w:rPr>
        <w:t>une PV</w:t>
      </w:r>
      <w:proofErr w:type="gramEnd"/>
      <w:r w:rsidRPr="00496C27">
        <w:rPr>
          <w:rFonts w:eastAsiaTheme="minorEastAsia"/>
          <w:bCs/>
          <w:sz w:val="24"/>
          <w:szCs w:val="24"/>
        </w:rPr>
        <w:t xml:space="preserve"> de cession de (160-150) = 10€ exonéré sauf QP 12% : </w:t>
      </w:r>
      <w:r w:rsidR="008103CC">
        <w:rPr>
          <w:rFonts w:eastAsiaTheme="minorEastAsia"/>
          <w:bCs/>
          <w:sz w:val="24"/>
          <w:szCs w:val="24"/>
        </w:rPr>
        <w:t>1,</w:t>
      </w:r>
      <w:r w:rsidRPr="00496C27">
        <w:rPr>
          <w:rFonts w:eastAsiaTheme="minorEastAsia"/>
          <w:bCs/>
          <w:sz w:val="24"/>
          <w:szCs w:val="24"/>
        </w:rPr>
        <w:t>2€</w:t>
      </w:r>
      <w:r w:rsidR="002751E7">
        <w:rPr>
          <w:rFonts w:eastAsiaTheme="minorEastAsia"/>
          <w:bCs/>
          <w:sz w:val="24"/>
          <w:szCs w:val="24"/>
        </w:rPr>
        <w:t xml:space="preserve"> soumis à l’IS</w:t>
      </w:r>
      <w:r w:rsidRPr="00496C27">
        <w:rPr>
          <w:rFonts w:eastAsiaTheme="minorEastAsia"/>
          <w:bCs/>
          <w:sz w:val="24"/>
          <w:szCs w:val="24"/>
        </w:rPr>
        <w:t>.</w:t>
      </w:r>
      <w:r w:rsidR="008103CC">
        <w:rPr>
          <w:rFonts w:eastAsiaTheme="minorEastAsia"/>
          <w:bCs/>
          <w:sz w:val="24"/>
          <w:szCs w:val="24"/>
        </w:rPr>
        <w:t xml:space="preserve"> </w:t>
      </w:r>
    </w:p>
    <w:p w14:paraId="7E310402" w14:textId="77777777" w:rsidR="00B37C2A" w:rsidRDefault="00B37C2A" w:rsidP="008103CC">
      <w:pPr>
        <w:spacing w:after="0"/>
        <w:jc w:val="both"/>
        <w:rPr>
          <w:rFonts w:eastAsiaTheme="minorEastAsia"/>
          <w:bCs/>
          <w:sz w:val="24"/>
          <w:szCs w:val="24"/>
        </w:rPr>
      </w:pPr>
    </w:p>
    <w:p w14:paraId="05F2F3E4" w14:textId="1DBC291D" w:rsidR="008103CC" w:rsidRDefault="00904A4B" w:rsidP="008103CC">
      <w:pPr>
        <w:spacing w:after="0"/>
        <w:jc w:val="both"/>
        <w:rPr>
          <w:rFonts w:eastAsiaTheme="minorEastAsia"/>
          <w:bCs/>
          <w:sz w:val="24"/>
          <w:szCs w:val="24"/>
        </w:rPr>
      </w:pPr>
      <w:r w:rsidRPr="00496C27">
        <w:rPr>
          <w:rFonts w:eastAsiaTheme="minorEastAsia"/>
          <w:bCs/>
          <w:sz w:val="24"/>
          <w:szCs w:val="24"/>
        </w:rPr>
        <w:t xml:space="preserve">Le réinvestissement dans des activités économiques dans les </w:t>
      </w:r>
      <w:r w:rsidR="00FA25B0">
        <w:rPr>
          <w:rFonts w:eastAsiaTheme="minorEastAsia"/>
          <w:bCs/>
          <w:sz w:val="24"/>
          <w:szCs w:val="24"/>
        </w:rPr>
        <w:t>3</w:t>
      </w:r>
      <w:r w:rsidRPr="00496C27">
        <w:rPr>
          <w:rFonts w:eastAsiaTheme="minorEastAsia"/>
          <w:bCs/>
          <w:sz w:val="24"/>
          <w:szCs w:val="24"/>
        </w:rPr>
        <w:t xml:space="preserve"> ans doit être effectué pour </w:t>
      </w:r>
      <w:r w:rsidR="00FA25B0">
        <w:rPr>
          <w:rFonts w:eastAsiaTheme="minorEastAsia"/>
          <w:bCs/>
          <w:sz w:val="24"/>
          <w:szCs w:val="24"/>
        </w:rPr>
        <w:t>7</w:t>
      </w:r>
      <w:r w:rsidRPr="00496C27">
        <w:rPr>
          <w:rFonts w:eastAsiaTheme="minorEastAsia"/>
          <w:bCs/>
          <w:sz w:val="24"/>
          <w:szCs w:val="24"/>
        </w:rPr>
        <w:t xml:space="preserve">0% x 160€ = </w:t>
      </w:r>
      <w:r w:rsidR="0045273D">
        <w:rPr>
          <w:rFonts w:eastAsiaTheme="minorEastAsia"/>
          <w:bCs/>
          <w:sz w:val="24"/>
          <w:szCs w:val="24"/>
        </w:rPr>
        <w:t>112</w:t>
      </w:r>
      <w:r w:rsidR="00B37C2A">
        <w:rPr>
          <w:rFonts w:eastAsiaTheme="minorEastAsia"/>
          <w:bCs/>
          <w:sz w:val="24"/>
          <w:szCs w:val="24"/>
        </w:rPr>
        <w:t>€</w:t>
      </w:r>
      <w:r w:rsidR="00E3623D">
        <w:rPr>
          <w:rFonts w:eastAsiaTheme="minorEastAsia"/>
          <w:bCs/>
          <w:sz w:val="24"/>
          <w:szCs w:val="24"/>
        </w:rPr>
        <w:t xml:space="preserve"> pour éviter le paiement d’impôt sur le report de PV. </w:t>
      </w:r>
    </w:p>
    <w:p w14:paraId="4AE276D5" w14:textId="226277F3" w:rsidR="00904A4B" w:rsidRDefault="00E3623D" w:rsidP="008103CC">
      <w:pPr>
        <w:spacing w:after="0"/>
        <w:jc w:val="both"/>
        <w:rPr>
          <w:rFonts w:eastAsiaTheme="minorEastAsia"/>
          <w:bCs/>
          <w:sz w:val="24"/>
          <w:szCs w:val="24"/>
        </w:rPr>
      </w:pPr>
      <w:r>
        <w:rPr>
          <w:rFonts w:eastAsiaTheme="minorEastAsia"/>
          <w:bCs/>
          <w:sz w:val="24"/>
          <w:szCs w:val="24"/>
        </w:rPr>
        <w:t>T</w:t>
      </w:r>
      <w:r w:rsidR="00904A4B" w:rsidRPr="00496C27">
        <w:rPr>
          <w:rFonts w:eastAsiaTheme="minorEastAsia"/>
          <w:bCs/>
          <w:sz w:val="24"/>
          <w:szCs w:val="24"/>
        </w:rPr>
        <w:t xml:space="preserve">résorerie disponible pour (160 – </w:t>
      </w:r>
      <w:r w:rsidR="00B37C2A">
        <w:rPr>
          <w:rFonts w:eastAsiaTheme="minorEastAsia"/>
          <w:bCs/>
          <w:sz w:val="24"/>
          <w:szCs w:val="24"/>
        </w:rPr>
        <w:t>112</w:t>
      </w:r>
      <w:r w:rsidR="00904A4B" w:rsidRPr="00496C27">
        <w:rPr>
          <w:rFonts w:eastAsiaTheme="minorEastAsia"/>
          <w:bCs/>
          <w:sz w:val="24"/>
          <w:szCs w:val="24"/>
        </w:rPr>
        <w:t>) = 4</w:t>
      </w:r>
      <w:r w:rsidR="00630ED4">
        <w:rPr>
          <w:rFonts w:eastAsiaTheme="minorEastAsia"/>
          <w:bCs/>
          <w:sz w:val="24"/>
          <w:szCs w:val="24"/>
        </w:rPr>
        <w:t>8</w:t>
      </w:r>
      <w:r w:rsidR="00904A4B" w:rsidRPr="00496C27">
        <w:rPr>
          <w:rFonts w:eastAsiaTheme="minorEastAsia"/>
          <w:bCs/>
          <w:sz w:val="24"/>
          <w:szCs w:val="24"/>
        </w:rPr>
        <w:t>€ et un maintien de report d’imposition de 70€.</w:t>
      </w:r>
    </w:p>
    <w:p w14:paraId="0F753F9B" w14:textId="77777777" w:rsidR="008103CC" w:rsidRDefault="008103CC" w:rsidP="008103CC">
      <w:pPr>
        <w:spacing w:after="0"/>
        <w:jc w:val="both"/>
        <w:rPr>
          <w:rFonts w:eastAsiaTheme="minorEastAsia"/>
          <w:bCs/>
          <w:sz w:val="24"/>
          <w:szCs w:val="24"/>
        </w:rPr>
      </w:pPr>
    </w:p>
    <w:p w14:paraId="25C1B210" w14:textId="77777777" w:rsidR="00075866" w:rsidRPr="00496C27" w:rsidRDefault="00075866" w:rsidP="008103CC">
      <w:pPr>
        <w:spacing w:after="0"/>
        <w:jc w:val="both"/>
        <w:rPr>
          <w:rFonts w:eastAsiaTheme="minorEastAsia"/>
          <w:bCs/>
          <w:sz w:val="24"/>
          <w:szCs w:val="24"/>
        </w:rPr>
      </w:pPr>
    </w:p>
    <w:p w14:paraId="6CF5AAB5" w14:textId="77777777" w:rsidR="00101687" w:rsidRPr="00496C27" w:rsidRDefault="00101687" w:rsidP="00496C27">
      <w:pPr>
        <w:pStyle w:val="Paragraphedeliste"/>
        <w:numPr>
          <w:ilvl w:val="0"/>
          <w:numId w:val="3"/>
        </w:numPr>
        <w:jc w:val="both"/>
        <w:rPr>
          <w:rFonts w:ascii="Calibri" w:eastAsia="Calibri" w:hAnsi="Calibri" w:cs="Calibri"/>
          <w:b/>
          <w:bCs/>
          <w:caps/>
          <w:sz w:val="28"/>
          <w:szCs w:val="28"/>
          <w:u w:val="single"/>
        </w:rPr>
      </w:pPr>
      <w:r w:rsidRPr="00496C27">
        <w:rPr>
          <w:rFonts w:ascii="Calibri" w:eastAsia="Calibri" w:hAnsi="Calibri" w:cs="Calibri"/>
          <w:b/>
          <w:bCs/>
          <w:caps/>
          <w:sz w:val="28"/>
          <w:szCs w:val="28"/>
          <w:u w:val="single"/>
        </w:rPr>
        <w:t>La location gerance</w:t>
      </w:r>
    </w:p>
    <w:p w14:paraId="27A2E016" w14:textId="77777777" w:rsidR="00101687" w:rsidRPr="00496C27" w:rsidRDefault="00101687" w:rsidP="00496C27">
      <w:pPr>
        <w:jc w:val="both"/>
        <w:rPr>
          <w:rFonts w:eastAsiaTheme="minorEastAsia"/>
          <w:bCs/>
          <w:sz w:val="24"/>
          <w:szCs w:val="24"/>
        </w:rPr>
      </w:pPr>
    </w:p>
    <w:p w14:paraId="2E7B690F" w14:textId="77777777" w:rsidR="00101687" w:rsidRPr="00496C27" w:rsidRDefault="00101687" w:rsidP="00496C27">
      <w:pPr>
        <w:jc w:val="both"/>
        <w:rPr>
          <w:rFonts w:eastAsiaTheme="minorEastAsia"/>
          <w:bCs/>
          <w:sz w:val="24"/>
          <w:szCs w:val="24"/>
        </w:rPr>
      </w:pPr>
      <w:r w:rsidRPr="00496C27">
        <w:rPr>
          <w:rFonts w:eastAsiaTheme="minorEastAsia"/>
          <w:bCs/>
          <w:sz w:val="24"/>
          <w:szCs w:val="24"/>
        </w:rPr>
        <w:t>La location gérance d’un fonds de commerce est une convention par laquelle le propriétaire du fonds le loue à un gérant qui l’exploite. Ce type de contrat est souvent utilisé avant la cession du fonds, pour tester le potentiel de l’entreprise par le repreneur.</w:t>
      </w:r>
    </w:p>
    <w:p w14:paraId="4F7A3FB6" w14:textId="77777777" w:rsidR="00101687" w:rsidRPr="00496C27" w:rsidRDefault="00101687" w:rsidP="00496C27">
      <w:pPr>
        <w:jc w:val="both"/>
        <w:rPr>
          <w:rFonts w:eastAsiaTheme="minorEastAsia"/>
          <w:bCs/>
          <w:sz w:val="24"/>
          <w:szCs w:val="24"/>
        </w:rPr>
      </w:pPr>
      <w:r w:rsidRPr="00496C27">
        <w:rPr>
          <w:rFonts w:eastAsiaTheme="minorEastAsia"/>
          <w:bCs/>
          <w:sz w:val="24"/>
          <w:szCs w:val="24"/>
        </w:rPr>
        <w:t>Cela constitue aussi une solution financière intéressante pour la transmission d’une entreprise individuelle permettant d’associer immédiatement le repreneur, moyennant le paiement d’une redevance.</w:t>
      </w:r>
    </w:p>
    <w:p w14:paraId="1FEB0C1A" w14:textId="77777777" w:rsidR="00101687" w:rsidRPr="00496C27" w:rsidRDefault="00101687" w:rsidP="00496C27">
      <w:pPr>
        <w:jc w:val="both"/>
        <w:rPr>
          <w:rFonts w:eastAsiaTheme="minorEastAsia"/>
          <w:bCs/>
          <w:sz w:val="24"/>
          <w:szCs w:val="24"/>
        </w:rPr>
      </w:pPr>
    </w:p>
    <w:p w14:paraId="173BF2E7" w14:textId="77777777" w:rsidR="00101687" w:rsidRPr="00496C27" w:rsidRDefault="00101687" w:rsidP="00496C27">
      <w:pPr>
        <w:jc w:val="both"/>
        <w:rPr>
          <w:rFonts w:eastAsiaTheme="minorEastAsia"/>
          <w:b/>
          <w:bCs/>
          <w:sz w:val="24"/>
          <w:szCs w:val="24"/>
          <w:u w:val="single"/>
        </w:rPr>
      </w:pPr>
      <w:r w:rsidRPr="00496C27">
        <w:rPr>
          <w:rFonts w:eastAsiaTheme="minorEastAsia"/>
          <w:b/>
          <w:bCs/>
          <w:sz w:val="24"/>
          <w:szCs w:val="24"/>
          <w:u w:val="single"/>
        </w:rPr>
        <w:t>Conséquences fiscales pour le bailleur :</w:t>
      </w:r>
    </w:p>
    <w:p w14:paraId="71E236E5" w14:textId="77777777" w:rsidR="00101687" w:rsidRDefault="00101687" w:rsidP="00101687">
      <w:pPr>
        <w:jc w:val="both"/>
        <w:rPr>
          <w:rFonts w:eastAsiaTheme="minorEastAsia"/>
          <w:bCs/>
          <w:sz w:val="24"/>
          <w:szCs w:val="24"/>
        </w:rPr>
      </w:pPr>
      <w:r w:rsidRPr="00B178C0">
        <w:rPr>
          <w:rFonts w:eastAsiaTheme="minorEastAsia"/>
          <w:b/>
          <w:bCs/>
          <w:sz w:val="24"/>
          <w:szCs w:val="24"/>
          <w:u w:val="single"/>
        </w:rPr>
        <w:t>Imposition des redevances</w:t>
      </w:r>
      <w:r>
        <w:rPr>
          <w:rFonts w:eastAsiaTheme="minorEastAsia"/>
          <w:bCs/>
          <w:sz w:val="24"/>
          <w:szCs w:val="24"/>
        </w:rPr>
        <w:t xml:space="preserve"> : La location gérance n’est pas considérée comme une cessation ou cession d’entreprise mais un </w:t>
      </w:r>
      <w:r w:rsidRPr="00496C27">
        <w:rPr>
          <w:rFonts w:eastAsiaTheme="minorEastAsia"/>
          <w:bCs/>
          <w:sz w:val="24"/>
          <w:szCs w:val="24"/>
        </w:rPr>
        <w:t>simple changement dans le mode d’exploitation</w:t>
      </w:r>
      <w:r>
        <w:rPr>
          <w:rFonts w:eastAsiaTheme="minorEastAsia"/>
          <w:bCs/>
          <w:sz w:val="24"/>
          <w:szCs w:val="24"/>
        </w:rPr>
        <w:t xml:space="preserve"> (donc pas d’imposition immédiate des résultats à la mise en gérance, pas de PV). Le loueur continue d’amortir le matériel et enregistre les loyers.</w:t>
      </w:r>
    </w:p>
    <w:p w14:paraId="0E60EB20" w14:textId="77777777" w:rsidR="00101687" w:rsidRDefault="00101687" w:rsidP="00101687">
      <w:pPr>
        <w:jc w:val="both"/>
        <w:rPr>
          <w:rFonts w:eastAsiaTheme="minorEastAsia"/>
          <w:bCs/>
          <w:sz w:val="24"/>
          <w:szCs w:val="24"/>
        </w:rPr>
      </w:pPr>
      <w:r>
        <w:rPr>
          <w:rFonts w:eastAsiaTheme="minorEastAsia"/>
          <w:bCs/>
          <w:sz w:val="24"/>
          <w:szCs w:val="24"/>
        </w:rPr>
        <w:t xml:space="preserve">Si le bailleur est une personne physique, les loyers (redevances) payés par le locataire-gérant </w:t>
      </w:r>
      <w:proofErr w:type="gramStart"/>
      <w:r>
        <w:rPr>
          <w:rFonts w:eastAsiaTheme="minorEastAsia"/>
          <w:bCs/>
          <w:sz w:val="24"/>
          <w:szCs w:val="24"/>
        </w:rPr>
        <w:t>sont</w:t>
      </w:r>
      <w:proofErr w:type="gramEnd"/>
      <w:r>
        <w:rPr>
          <w:rFonts w:eastAsiaTheme="minorEastAsia"/>
          <w:bCs/>
          <w:sz w:val="24"/>
          <w:szCs w:val="24"/>
        </w:rPr>
        <w:t xml:space="preserve"> un </w:t>
      </w:r>
      <w:r w:rsidRPr="00496C27">
        <w:rPr>
          <w:rFonts w:eastAsiaTheme="minorEastAsia"/>
          <w:bCs/>
          <w:sz w:val="24"/>
          <w:szCs w:val="24"/>
        </w:rPr>
        <w:t>bénéfice d’exploitation imposé en catégorie BIC</w:t>
      </w:r>
      <w:r>
        <w:rPr>
          <w:rFonts w:eastAsiaTheme="minorEastAsia"/>
          <w:bCs/>
          <w:sz w:val="24"/>
          <w:szCs w:val="24"/>
        </w:rPr>
        <w:t xml:space="preserve"> mais le propriétaire perd sa qualité de commerçant et le </w:t>
      </w:r>
      <w:r w:rsidRPr="0035661D">
        <w:rPr>
          <w:rFonts w:eastAsiaTheme="minorEastAsia"/>
          <w:b/>
          <w:bCs/>
          <w:sz w:val="24"/>
          <w:szCs w:val="24"/>
        </w:rPr>
        <w:t>BIC est considéré comme non professionnel</w:t>
      </w:r>
      <w:r>
        <w:rPr>
          <w:rFonts w:eastAsiaTheme="minorEastAsia"/>
          <w:bCs/>
          <w:sz w:val="24"/>
          <w:szCs w:val="24"/>
        </w:rPr>
        <w:t xml:space="preserve"> (ce qui entraîne l’impossibilité d’imputer un déficit sur les autres revenus du foyer).</w:t>
      </w:r>
    </w:p>
    <w:p w14:paraId="3728EEE3" w14:textId="45110E53" w:rsidR="00101687" w:rsidRDefault="00101687" w:rsidP="00101687">
      <w:pPr>
        <w:jc w:val="both"/>
        <w:rPr>
          <w:rFonts w:eastAsiaTheme="minorEastAsia"/>
          <w:bCs/>
          <w:sz w:val="24"/>
          <w:szCs w:val="24"/>
        </w:rPr>
      </w:pPr>
      <w:r w:rsidRPr="00B178C0">
        <w:rPr>
          <w:rFonts w:eastAsiaTheme="minorEastAsia"/>
          <w:b/>
          <w:bCs/>
          <w:sz w:val="24"/>
          <w:szCs w:val="24"/>
          <w:u w:val="single"/>
        </w:rPr>
        <w:t>TVA</w:t>
      </w:r>
      <w:r w:rsidRPr="00B178C0">
        <w:rPr>
          <w:rFonts w:eastAsiaTheme="minorEastAsia"/>
          <w:b/>
          <w:bCs/>
          <w:sz w:val="24"/>
          <w:szCs w:val="24"/>
        </w:rPr>
        <w:t> </w:t>
      </w:r>
      <w:r>
        <w:rPr>
          <w:rFonts w:eastAsiaTheme="minorEastAsia"/>
          <w:bCs/>
          <w:sz w:val="24"/>
          <w:szCs w:val="24"/>
        </w:rPr>
        <w:t xml:space="preserve">: Le loyer entre dans le </w:t>
      </w:r>
      <w:r w:rsidRPr="00496C27">
        <w:rPr>
          <w:rFonts w:eastAsiaTheme="minorEastAsia"/>
          <w:bCs/>
          <w:sz w:val="24"/>
          <w:szCs w:val="24"/>
        </w:rPr>
        <w:t>champ d’application de la TVA au taux normal</w:t>
      </w:r>
      <w:r>
        <w:rPr>
          <w:rFonts w:eastAsiaTheme="minorEastAsia"/>
          <w:bCs/>
          <w:sz w:val="24"/>
          <w:szCs w:val="24"/>
        </w:rPr>
        <w:t xml:space="preserve"> sauf applicatio</w:t>
      </w:r>
      <w:r w:rsidR="00750F5B">
        <w:rPr>
          <w:rFonts w:eastAsiaTheme="minorEastAsia"/>
          <w:bCs/>
          <w:sz w:val="24"/>
          <w:szCs w:val="24"/>
        </w:rPr>
        <w:t>n de la franchise de base (&lt; 3</w:t>
      </w:r>
      <w:r w:rsidR="00792E1F">
        <w:rPr>
          <w:rFonts w:eastAsiaTheme="minorEastAsia"/>
          <w:bCs/>
          <w:sz w:val="24"/>
          <w:szCs w:val="24"/>
        </w:rPr>
        <w:t>7 5</w:t>
      </w:r>
      <w:r>
        <w:rPr>
          <w:rFonts w:eastAsiaTheme="minorEastAsia"/>
          <w:bCs/>
          <w:sz w:val="24"/>
          <w:szCs w:val="24"/>
        </w:rPr>
        <w:t>00 €).</w:t>
      </w:r>
    </w:p>
    <w:p w14:paraId="38614026" w14:textId="77777777" w:rsidR="00101687" w:rsidRDefault="00101687" w:rsidP="00101687">
      <w:pPr>
        <w:jc w:val="both"/>
        <w:rPr>
          <w:rFonts w:eastAsiaTheme="minorEastAsia"/>
          <w:bCs/>
          <w:sz w:val="24"/>
          <w:szCs w:val="24"/>
        </w:rPr>
      </w:pPr>
      <w:r w:rsidRPr="00B178C0">
        <w:rPr>
          <w:rFonts w:eastAsiaTheme="minorEastAsia"/>
          <w:b/>
          <w:bCs/>
          <w:sz w:val="24"/>
          <w:szCs w:val="24"/>
          <w:u w:val="single"/>
        </w:rPr>
        <w:lastRenderedPageBreak/>
        <w:t>CET</w:t>
      </w:r>
      <w:r w:rsidRPr="00B178C0">
        <w:rPr>
          <w:rFonts w:eastAsiaTheme="minorEastAsia"/>
          <w:b/>
          <w:bCs/>
          <w:sz w:val="24"/>
          <w:szCs w:val="24"/>
        </w:rPr>
        <w:t> </w:t>
      </w:r>
      <w:r w:rsidRPr="00496C27">
        <w:rPr>
          <w:rFonts w:eastAsiaTheme="minorEastAsia"/>
          <w:bCs/>
          <w:sz w:val="24"/>
          <w:szCs w:val="24"/>
        </w:rPr>
        <w:t>:</w:t>
      </w:r>
      <w:r>
        <w:rPr>
          <w:rFonts w:eastAsiaTheme="minorEastAsia"/>
          <w:bCs/>
          <w:sz w:val="24"/>
          <w:szCs w:val="24"/>
        </w:rPr>
        <w:t xml:space="preserve"> Le bailleur est également redevable de la CET généralement sur la base minimum (il ne dispose pas des locaux donc CFE minimum et de la CVAE est due uniquement si son CA &gt;500 000€).</w:t>
      </w:r>
    </w:p>
    <w:p w14:paraId="05E6C8CD" w14:textId="43A4EC06" w:rsidR="00101687" w:rsidRPr="0035661D" w:rsidRDefault="0035661D" w:rsidP="00101687">
      <w:pPr>
        <w:jc w:val="both"/>
        <w:rPr>
          <w:rFonts w:eastAsiaTheme="minorEastAsia"/>
          <w:bCs/>
          <w:i/>
          <w:sz w:val="24"/>
          <w:szCs w:val="24"/>
        </w:rPr>
      </w:pPr>
      <w:r w:rsidRPr="0035661D">
        <w:rPr>
          <w:rFonts w:eastAsiaTheme="minorEastAsia"/>
          <w:bCs/>
          <w:i/>
          <w:sz w:val="24"/>
          <w:szCs w:val="24"/>
        </w:rPr>
        <w:t>L</w:t>
      </w:r>
      <w:r w:rsidR="00101687" w:rsidRPr="0035661D">
        <w:rPr>
          <w:rFonts w:eastAsiaTheme="minorEastAsia"/>
          <w:bCs/>
          <w:i/>
          <w:sz w:val="24"/>
          <w:szCs w:val="24"/>
        </w:rPr>
        <w:t>e propriétaire est solidairement responsable des impôts directs liés à l’exploitation du fonds jusqu’à la publication du contrat de location gérance par le gérant si les impositions font l’objet d’une majoration de 40% à 80% pour retard ou insuffisance de déclaration pour des manquements connus du propriétaire.</w:t>
      </w:r>
    </w:p>
    <w:p w14:paraId="01B20F88" w14:textId="77777777" w:rsidR="00101687" w:rsidRDefault="00101687" w:rsidP="00101687">
      <w:pPr>
        <w:jc w:val="both"/>
        <w:rPr>
          <w:rFonts w:eastAsiaTheme="minorEastAsia"/>
          <w:bCs/>
          <w:sz w:val="24"/>
          <w:szCs w:val="24"/>
        </w:rPr>
      </w:pPr>
    </w:p>
    <w:p w14:paraId="270A8A95" w14:textId="77777777" w:rsidR="00101687" w:rsidRPr="00496C27" w:rsidRDefault="00101687" w:rsidP="00496C27">
      <w:pPr>
        <w:jc w:val="both"/>
        <w:rPr>
          <w:rFonts w:eastAsiaTheme="minorEastAsia"/>
          <w:b/>
          <w:bCs/>
          <w:sz w:val="24"/>
          <w:szCs w:val="24"/>
          <w:u w:val="single"/>
        </w:rPr>
      </w:pPr>
      <w:r w:rsidRPr="00496C27">
        <w:rPr>
          <w:rFonts w:eastAsiaTheme="minorEastAsia"/>
          <w:b/>
          <w:bCs/>
          <w:sz w:val="24"/>
          <w:szCs w:val="24"/>
          <w:u w:val="single"/>
        </w:rPr>
        <w:t>Conséquences fiscales pour le gérant libre :</w:t>
      </w:r>
    </w:p>
    <w:p w14:paraId="5A73361E" w14:textId="77777777" w:rsidR="00101687" w:rsidRDefault="00101687" w:rsidP="00101687">
      <w:pPr>
        <w:jc w:val="both"/>
        <w:rPr>
          <w:rFonts w:eastAsiaTheme="minorEastAsia"/>
          <w:bCs/>
          <w:sz w:val="24"/>
          <w:szCs w:val="24"/>
        </w:rPr>
      </w:pPr>
      <w:r w:rsidRPr="00B178C0">
        <w:rPr>
          <w:rFonts w:eastAsiaTheme="minorEastAsia"/>
          <w:b/>
          <w:bCs/>
          <w:sz w:val="24"/>
          <w:szCs w:val="24"/>
          <w:u w:val="single"/>
        </w:rPr>
        <w:t>Déductions des redevances</w:t>
      </w:r>
      <w:r>
        <w:rPr>
          <w:rFonts w:eastAsiaTheme="minorEastAsia"/>
          <w:bCs/>
          <w:sz w:val="24"/>
          <w:szCs w:val="24"/>
        </w:rPr>
        <w:t xml:space="preserve"> : Les redevances payées sont des </w:t>
      </w:r>
      <w:r w:rsidRPr="0035661D">
        <w:rPr>
          <w:rFonts w:eastAsiaTheme="minorEastAsia"/>
          <w:b/>
          <w:bCs/>
          <w:sz w:val="24"/>
          <w:szCs w:val="24"/>
        </w:rPr>
        <w:t>charges déductibles</w:t>
      </w:r>
      <w:r>
        <w:rPr>
          <w:rFonts w:eastAsiaTheme="minorEastAsia"/>
          <w:bCs/>
          <w:sz w:val="24"/>
          <w:szCs w:val="24"/>
        </w:rPr>
        <w:t xml:space="preserve"> du bénéfice de l’entreprise. L’imposition relève des </w:t>
      </w:r>
      <w:r w:rsidRPr="00496C27">
        <w:rPr>
          <w:rFonts w:eastAsiaTheme="minorEastAsia"/>
          <w:bCs/>
          <w:sz w:val="24"/>
          <w:szCs w:val="24"/>
        </w:rPr>
        <w:t>BIC si le gérant est une personne physique</w:t>
      </w:r>
      <w:r>
        <w:rPr>
          <w:rFonts w:eastAsiaTheme="minorEastAsia"/>
          <w:bCs/>
          <w:sz w:val="24"/>
          <w:szCs w:val="24"/>
        </w:rPr>
        <w:t>. Attention l’administration peut toutefois s’opposer à la déduction si elle est en mesure d’établir que :</w:t>
      </w:r>
    </w:p>
    <w:p w14:paraId="10F01264" w14:textId="77777777" w:rsidR="00101687" w:rsidRPr="00160841" w:rsidRDefault="00101687" w:rsidP="00160841">
      <w:pPr>
        <w:pStyle w:val="Paragraphedeliste"/>
        <w:numPr>
          <w:ilvl w:val="0"/>
          <w:numId w:val="8"/>
        </w:numPr>
        <w:jc w:val="both"/>
        <w:rPr>
          <w:rFonts w:eastAsiaTheme="minorEastAsia"/>
          <w:bCs/>
          <w:sz w:val="24"/>
          <w:szCs w:val="24"/>
        </w:rPr>
      </w:pPr>
      <w:proofErr w:type="gramStart"/>
      <w:r w:rsidRPr="00160841">
        <w:rPr>
          <w:rFonts w:eastAsiaTheme="minorEastAsia"/>
          <w:bCs/>
          <w:sz w:val="24"/>
          <w:szCs w:val="24"/>
        </w:rPr>
        <w:t>le</w:t>
      </w:r>
      <w:proofErr w:type="gramEnd"/>
      <w:r w:rsidRPr="00160841">
        <w:rPr>
          <w:rFonts w:eastAsiaTheme="minorEastAsia"/>
          <w:bCs/>
          <w:sz w:val="24"/>
          <w:szCs w:val="24"/>
        </w:rPr>
        <w:t xml:space="preserve"> bail dissimule une cession déguisée du fonds de commerce (abus de droit)</w:t>
      </w:r>
    </w:p>
    <w:p w14:paraId="64FE329C" w14:textId="77777777" w:rsidR="00101687" w:rsidRPr="00160841" w:rsidRDefault="00101687" w:rsidP="00160841">
      <w:pPr>
        <w:pStyle w:val="Paragraphedeliste"/>
        <w:numPr>
          <w:ilvl w:val="0"/>
          <w:numId w:val="8"/>
        </w:numPr>
        <w:jc w:val="both"/>
        <w:rPr>
          <w:rFonts w:eastAsiaTheme="minorEastAsia"/>
          <w:bCs/>
          <w:sz w:val="24"/>
          <w:szCs w:val="24"/>
        </w:rPr>
      </w:pPr>
      <w:proofErr w:type="gramStart"/>
      <w:r w:rsidRPr="00160841">
        <w:rPr>
          <w:rFonts w:eastAsiaTheme="minorEastAsia"/>
          <w:bCs/>
          <w:sz w:val="24"/>
          <w:szCs w:val="24"/>
        </w:rPr>
        <w:t>le</w:t>
      </w:r>
      <w:proofErr w:type="gramEnd"/>
      <w:r w:rsidRPr="00160841">
        <w:rPr>
          <w:rFonts w:eastAsiaTheme="minorEastAsia"/>
          <w:bCs/>
          <w:sz w:val="24"/>
          <w:szCs w:val="24"/>
        </w:rPr>
        <w:t xml:space="preserve"> gérant accepte de payer une redevance excessive (acte de gestion anormal)</w:t>
      </w:r>
    </w:p>
    <w:p w14:paraId="06E871ED" w14:textId="36F80B1B" w:rsidR="00101687" w:rsidRDefault="00101687" w:rsidP="00101687">
      <w:pPr>
        <w:jc w:val="both"/>
        <w:rPr>
          <w:rFonts w:eastAsiaTheme="minorEastAsia"/>
          <w:bCs/>
          <w:sz w:val="24"/>
          <w:szCs w:val="24"/>
        </w:rPr>
      </w:pPr>
      <w:r w:rsidRPr="00B178C0">
        <w:rPr>
          <w:rFonts w:eastAsiaTheme="minorEastAsia"/>
          <w:b/>
          <w:bCs/>
          <w:sz w:val="24"/>
          <w:szCs w:val="24"/>
          <w:u w:val="single"/>
        </w:rPr>
        <w:t>TVA </w:t>
      </w:r>
      <w:r w:rsidRPr="007C2753">
        <w:rPr>
          <w:rFonts w:eastAsiaTheme="minorEastAsia"/>
          <w:bCs/>
          <w:sz w:val="24"/>
          <w:szCs w:val="24"/>
        </w:rPr>
        <w:t xml:space="preserve">: </w:t>
      </w:r>
      <w:r>
        <w:rPr>
          <w:rFonts w:eastAsiaTheme="minorEastAsia"/>
          <w:bCs/>
          <w:sz w:val="24"/>
          <w:szCs w:val="24"/>
        </w:rPr>
        <w:t xml:space="preserve">elle </w:t>
      </w:r>
      <w:r w:rsidRPr="007C2753">
        <w:rPr>
          <w:rFonts w:eastAsiaTheme="minorEastAsia"/>
          <w:bCs/>
          <w:sz w:val="24"/>
          <w:szCs w:val="24"/>
        </w:rPr>
        <w:t>est déductible.</w:t>
      </w:r>
    </w:p>
    <w:p w14:paraId="1E67501D" w14:textId="77777777" w:rsidR="00101687" w:rsidRPr="00496C27" w:rsidRDefault="00101687" w:rsidP="00101687">
      <w:pPr>
        <w:jc w:val="both"/>
        <w:rPr>
          <w:rFonts w:eastAsiaTheme="minorEastAsia"/>
          <w:bCs/>
          <w:sz w:val="24"/>
          <w:szCs w:val="24"/>
        </w:rPr>
      </w:pPr>
      <w:r w:rsidRPr="00B178C0">
        <w:rPr>
          <w:rFonts w:eastAsiaTheme="minorEastAsia"/>
          <w:b/>
          <w:bCs/>
          <w:sz w:val="24"/>
          <w:szCs w:val="24"/>
          <w:u w:val="single"/>
        </w:rPr>
        <w:t>CET</w:t>
      </w:r>
      <w:r w:rsidRPr="00496C27">
        <w:rPr>
          <w:rFonts w:eastAsiaTheme="minorEastAsia"/>
          <w:bCs/>
          <w:sz w:val="24"/>
          <w:szCs w:val="24"/>
        </w:rPr>
        <w:t> </w:t>
      </w:r>
      <w:r>
        <w:rPr>
          <w:rFonts w:eastAsiaTheme="minorEastAsia"/>
          <w:bCs/>
          <w:sz w:val="24"/>
          <w:szCs w:val="24"/>
        </w:rPr>
        <w:t>: le locataire est redevable de la CFE sur la valeur locative des terrains et locaux utilisés pour l’exploitation ainsi que CVAE si CA &gt;500 000€.</w:t>
      </w:r>
    </w:p>
    <w:p w14:paraId="6C34BB88" w14:textId="77777777" w:rsidR="00B178C0" w:rsidRDefault="00B178C0" w:rsidP="00101687">
      <w:pPr>
        <w:jc w:val="both"/>
        <w:rPr>
          <w:rFonts w:eastAsiaTheme="minorEastAsia"/>
          <w:b/>
          <w:bCs/>
          <w:sz w:val="24"/>
          <w:szCs w:val="24"/>
        </w:rPr>
      </w:pPr>
    </w:p>
    <w:p w14:paraId="7C793928" w14:textId="16203242" w:rsidR="00101687" w:rsidRDefault="00101687" w:rsidP="00101687">
      <w:pPr>
        <w:jc w:val="both"/>
        <w:rPr>
          <w:rFonts w:eastAsiaTheme="minorEastAsia"/>
          <w:bCs/>
          <w:sz w:val="24"/>
          <w:szCs w:val="24"/>
        </w:rPr>
      </w:pPr>
      <w:r w:rsidRPr="00B178C0">
        <w:rPr>
          <w:rFonts w:eastAsiaTheme="minorEastAsia"/>
          <w:b/>
          <w:bCs/>
          <w:sz w:val="24"/>
          <w:szCs w:val="24"/>
          <w:u w:val="single"/>
        </w:rPr>
        <w:t>Situation à l’expiration de la gérance</w:t>
      </w:r>
      <w:r w:rsidR="00160841" w:rsidRPr="00B178C0">
        <w:rPr>
          <w:rFonts w:eastAsiaTheme="minorEastAsia"/>
          <w:b/>
          <w:bCs/>
          <w:sz w:val="24"/>
          <w:szCs w:val="24"/>
          <w:u w:val="single"/>
        </w:rPr>
        <w:t> :</w:t>
      </w:r>
      <w:r w:rsidR="00160841">
        <w:rPr>
          <w:rFonts w:eastAsiaTheme="minorEastAsia"/>
          <w:b/>
          <w:bCs/>
          <w:sz w:val="24"/>
          <w:szCs w:val="24"/>
        </w:rPr>
        <w:t xml:space="preserve"> l</w:t>
      </w:r>
      <w:r>
        <w:rPr>
          <w:rFonts w:eastAsiaTheme="minorEastAsia"/>
          <w:bCs/>
          <w:sz w:val="24"/>
          <w:szCs w:val="24"/>
        </w:rPr>
        <w:t>e propriétaire peut reprendre le fonds pour l’exploiter à-nouveau, le donner en location à un nouveau gérant ou céder le fonds.</w:t>
      </w:r>
    </w:p>
    <w:p w14:paraId="51929E74" w14:textId="77777777" w:rsidR="00101687" w:rsidRDefault="00101687" w:rsidP="00101687">
      <w:pPr>
        <w:jc w:val="both"/>
        <w:rPr>
          <w:rFonts w:eastAsiaTheme="minorEastAsia"/>
          <w:bCs/>
          <w:sz w:val="24"/>
          <w:szCs w:val="24"/>
        </w:rPr>
      </w:pPr>
      <w:r w:rsidRPr="006B63A5">
        <w:rPr>
          <w:rFonts w:eastAsiaTheme="minorEastAsia"/>
          <w:bCs/>
          <w:sz w:val="24"/>
          <w:szCs w:val="24"/>
          <w:u w:val="single"/>
        </w:rPr>
        <w:t xml:space="preserve">La vente du fonds </w:t>
      </w:r>
      <w:r>
        <w:rPr>
          <w:rFonts w:eastAsiaTheme="minorEastAsia"/>
          <w:bCs/>
          <w:sz w:val="24"/>
          <w:szCs w:val="24"/>
          <w:u w:val="single"/>
        </w:rPr>
        <w:t xml:space="preserve">par l’entrepreneur individuel, </w:t>
      </w:r>
      <w:r w:rsidRPr="006B63A5">
        <w:rPr>
          <w:rFonts w:eastAsiaTheme="minorEastAsia"/>
          <w:bCs/>
          <w:sz w:val="24"/>
          <w:szCs w:val="24"/>
          <w:u w:val="single"/>
        </w:rPr>
        <w:t xml:space="preserve">au gérant est soumise aux </w:t>
      </w:r>
      <w:r w:rsidRPr="006B63A5">
        <w:rPr>
          <w:rFonts w:eastAsiaTheme="minorEastAsia"/>
          <w:b/>
          <w:bCs/>
          <w:sz w:val="24"/>
          <w:szCs w:val="24"/>
          <w:u w:val="single"/>
        </w:rPr>
        <w:t>P</w:t>
      </w:r>
      <w:r w:rsidRPr="00750339">
        <w:rPr>
          <w:rFonts w:eastAsiaTheme="minorEastAsia"/>
          <w:b/>
          <w:bCs/>
          <w:sz w:val="24"/>
          <w:szCs w:val="24"/>
          <w:u w:val="single"/>
        </w:rPr>
        <w:t>V professionnelles</w:t>
      </w:r>
      <w:r w:rsidRPr="0028644D">
        <w:rPr>
          <w:rFonts w:eastAsiaTheme="minorEastAsia"/>
          <w:bCs/>
          <w:sz w:val="24"/>
          <w:szCs w:val="24"/>
        </w:rPr>
        <w:t xml:space="preserve">. </w:t>
      </w:r>
    </w:p>
    <w:p w14:paraId="00D5A9C7" w14:textId="558E99B6" w:rsidR="00101687" w:rsidRDefault="00101687" w:rsidP="00101687">
      <w:pPr>
        <w:jc w:val="both"/>
        <w:rPr>
          <w:rFonts w:eastAsiaTheme="minorEastAsia"/>
          <w:bCs/>
          <w:sz w:val="24"/>
          <w:szCs w:val="24"/>
        </w:rPr>
      </w:pPr>
      <w:r w:rsidRPr="0028644D">
        <w:rPr>
          <w:rFonts w:eastAsiaTheme="minorEastAsia"/>
          <w:bCs/>
          <w:sz w:val="24"/>
          <w:szCs w:val="24"/>
        </w:rPr>
        <w:t>S</w:t>
      </w:r>
      <w:r>
        <w:rPr>
          <w:rFonts w:eastAsiaTheme="minorEastAsia"/>
          <w:bCs/>
          <w:sz w:val="24"/>
          <w:szCs w:val="24"/>
        </w:rPr>
        <w:t>i +2ans PVLT imposable à l’IR 12,8% + PS 1</w:t>
      </w:r>
      <w:r w:rsidR="00EB48B4">
        <w:rPr>
          <w:rFonts w:eastAsiaTheme="minorEastAsia"/>
          <w:bCs/>
          <w:sz w:val="24"/>
          <w:szCs w:val="24"/>
        </w:rPr>
        <w:t>8</w:t>
      </w:r>
      <w:r>
        <w:rPr>
          <w:rFonts w:eastAsiaTheme="minorEastAsia"/>
          <w:bCs/>
          <w:sz w:val="24"/>
          <w:szCs w:val="24"/>
        </w:rPr>
        <w:t>,</w:t>
      </w:r>
      <w:r w:rsidR="00EB48B4">
        <w:rPr>
          <w:rFonts w:eastAsiaTheme="minorEastAsia"/>
          <w:bCs/>
          <w:sz w:val="24"/>
          <w:szCs w:val="24"/>
        </w:rPr>
        <w:t>6</w:t>
      </w:r>
      <w:r>
        <w:rPr>
          <w:rFonts w:eastAsiaTheme="minorEastAsia"/>
          <w:bCs/>
          <w:sz w:val="24"/>
          <w:szCs w:val="24"/>
        </w:rPr>
        <w:t>%</w:t>
      </w:r>
      <w:r w:rsidRPr="0028644D">
        <w:rPr>
          <w:rFonts w:eastAsiaTheme="minorEastAsia"/>
          <w:bCs/>
          <w:sz w:val="24"/>
          <w:szCs w:val="24"/>
        </w:rPr>
        <w:t>.</w:t>
      </w:r>
    </w:p>
    <w:p w14:paraId="1FDEDE68" w14:textId="77777777" w:rsidR="00101687" w:rsidRPr="00AC1B94" w:rsidRDefault="00101687" w:rsidP="00101687">
      <w:pPr>
        <w:spacing w:after="0"/>
        <w:jc w:val="both"/>
        <w:rPr>
          <w:rFonts w:eastAsiaTheme="minorEastAsia"/>
          <w:bCs/>
          <w:sz w:val="24"/>
          <w:szCs w:val="24"/>
          <w:u w:val="single"/>
        </w:rPr>
      </w:pPr>
      <w:r w:rsidRPr="00AC1B94">
        <w:rPr>
          <w:rFonts w:eastAsiaTheme="minorEastAsia"/>
          <w:bCs/>
          <w:sz w:val="24"/>
          <w:szCs w:val="24"/>
          <w:u w:val="single"/>
        </w:rPr>
        <w:t>Exonérations :</w:t>
      </w:r>
    </w:p>
    <w:p w14:paraId="44070E94" w14:textId="77777777" w:rsidR="00101687" w:rsidRPr="00750F5B" w:rsidRDefault="00101687" w:rsidP="00101687">
      <w:pPr>
        <w:spacing w:after="0"/>
        <w:jc w:val="both"/>
        <w:rPr>
          <w:rFonts w:eastAsiaTheme="minorEastAsia"/>
          <w:b/>
          <w:bCs/>
          <w:sz w:val="24"/>
          <w:szCs w:val="24"/>
        </w:rPr>
      </w:pPr>
      <w:r>
        <w:rPr>
          <w:rFonts w:eastAsiaTheme="minorEastAsia"/>
          <w:bCs/>
          <w:sz w:val="24"/>
          <w:szCs w:val="24"/>
        </w:rPr>
        <w:t xml:space="preserve">Attention </w:t>
      </w:r>
      <w:r w:rsidRPr="00160841">
        <w:rPr>
          <w:rFonts w:eastAsiaTheme="minorEastAsia"/>
          <w:b/>
          <w:bCs/>
          <w:sz w:val="24"/>
          <w:szCs w:val="24"/>
        </w:rPr>
        <w:t>pas d’application du régime d’exonération prévu pour les petites entreprises</w:t>
      </w:r>
      <w:r>
        <w:rPr>
          <w:rFonts w:eastAsiaTheme="minorEastAsia"/>
          <w:bCs/>
          <w:sz w:val="24"/>
          <w:szCs w:val="24"/>
        </w:rPr>
        <w:t xml:space="preserve"> par l’art.151 septies du CGI (CA &lt; 90 000€ ou 250 000€) </w:t>
      </w:r>
      <w:r w:rsidRPr="00750F5B">
        <w:rPr>
          <w:rFonts w:eastAsiaTheme="minorEastAsia"/>
          <w:b/>
          <w:bCs/>
          <w:sz w:val="24"/>
          <w:szCs w:val="24"/>
        </w:rPr>
        <w:t>car il est réservé aux activités professionnelles.</w:t>
      </w:r>
    </w:p>
    <w:p w14:paraId="5DC71E17" w14:textId="3297683B" w:rsidR="00101687" w:rsidRPr="002805B1" w:rsidRDefault="00101687" w:rsidP="00101687">
      <w:pPr>
        <w:spacing w:after="0"/>
        <w:jc w:val="both"/>
        <w:rPr>
          <w:rFonts w:eastAsiaTheme="minorEastAsia"/>
          <w:bCs/>
          <w:sz w:val="24"/>
          <w:szCs w:val="24"/>
        </w:rPr>
      </w:pPr>
      <w:r>
        <w:rPr>
          <w:rFonts w:eastAsiaTheme="minorEastAsia"/>
          <w:bCs/>
          <w:sz w:val="24"/>
          <w:szCs w:val="24"/>
        </w:rPr>
        <w:t>Par contre le régime d’exonération prévu par l’art. 238 quindecies du CG</w:t>
      </w:r>
      <w:r w:rsidR="00750F5B">
        <w:rPr>
          <w:rFonts w:eastAsiaTheme="minorEastAsia"/>
          <w:bCs/>
          <w:sz w:val="24"/>
          <w:szCs w:val="24"/>
        </w:rPr>
        <w:t>I du fait du montant transmis (5</w:t>
      </w:r>
      <w:r>
        <w:rPr>
          <w:rFonts w:eastAsiaTheme="minorEastAsia"/>
          <w:bCs/>
          <w:sz w:val="24"/>
          <w:szCs w:val="24"/>
        </w:rPr>
        <w:t>00</w:t>
      </w:r>
      <w:r w:rsidR="00750F5B">
        <w:rPr>
          <w:rFonts w:eastAsiaTheme="minorEastAsia"/>
          <w:bCs/>
          <w:sz w:val="24"/>
          <w:szCs w:val="24"/>
        </w:rPr>
        <w:t xml:space="preserve"> 000€ maxi pour exo. </w:t>
      </w:r>
      <w:proofErr w:type="gramStart"/>
      <w:r w:rsidR="00750F5B">
        <w:rPr>
          <w:rFonts w:eastAsiaTheme="minorEastAsia"/>
          <w:bCs/>
          <w:sz w:val="24"/>
          <w:szCs w:val="24"/>
        </w:rPr>
        <w:t>totale</w:t>
      </w:r>
      <w:proofErr w:type="gramEnd"/>
      <w:r w:rsidR="00750F5B">
        <w:rPr>
          <w:rFonts w:eastAsiaTheme="minorEastAsia"/>
          <w:bCs/>
          <w:sz w:val="24"/>
          <w:szCs w:val="24"/>
        </w:rPr>
        <w:t xml:space="preserve"> ou 1 0</w:t>
      </w:r>
      <w:r>
        <w:rPr>
          <w:rFonts w:eastAsiaTheme="minorEastAsia"/>
          <w:bCs/>
          <w:sz w:val="24"/>
          <w:szCs w:val="24"/>
        </w:rPr>
        <w:t xml:space="preserve">00 000€ pour une exo. </w:t>
      </w:r>
      <w:proofErr w:type="gramStart"/>
      <w:r>
        <w:rPr>
          <w:rFonts w:eastAsiaTheme="minorEastAsia"/>
          <w:bCs/>
          <w:sz w:val="24"/>
          <w:szCs w:val="24"/>
        </w:rPr>
        <w:t>partielle</w:t>
      </w:r>
      <w:proofErr w:type="gramEnd"/>
      <w:r>
        <w:rPr>
          <w:rFonts w:eastAsiaTheme="minorEastAsia"/>
          <w:bCs/>
          <w:sz w:val="24"/>
          <w:szCs w:val="24"/>
        </w:rPr>
        <w:t xml:space="preserve">) s’applique si l’activité a été exercée pendant 5 ans au moins avant la location gérance et que la cession </w:t>
      </w:r>
      <w:r w:rsidR="00D849D8">
        <w:rPr>
          <w:rFonts w:eastAsiaTheme="minorEastAsia"/>
          <w:bCs/>
          <w:sz w:val="24"/>
          <w:szCs w:val="24"/>
        </w:rPr>
        <w:t>concerne la totalité</w:t>
      </w:r>
      <w:r w:rsidR="006A4F7F">
        <w:rPr>
          <w:rFonts w:eastAsiaTheme="minorEastAsia"/>
          <w:bCs/>
          <w:sz w:val="24"/>
          <w:szCs w:val="24"/>
        </w:rPr>
        <w:t xml:space="preserve"> des éléments concernés par la location-gérance</w:t>
      </w:r>
      <w:r>
        <w:rPr>
          <w:rFonts w:eastAsiaTheme="minorEastAsia"/>
          <w:bCs/>
          <w:sz w:val="24"/>
          <w:szCs w:val="24"/>
        </w:rPr>
        <w:t>.</w:t>
      </w:r>
    </w:p>
    <w:p w14:paraId="3ADA441A" w14:textId="77777777" w:rsidR="00101687" w:rsidRDefault="00101687" w:rsidP="00101687">
      <w:pPr>
        <w:jc w:val="both"/>
        <w:rPr>
          <w:rFonts w:eastAsiaTheme="minorEastAsia"/>
          <w:bCs/>
          <w:sz w:val="24"/>
          <w:szCs w:val="24"/>
        </w:rPr>
      </w:pPr>
      <w:r>
        <w:rPr>
          <w:rFonts w:eastAsiaTheme="minorEastAsia"/>
          <w:bCs/>
          <w:sz w:val="24"/>
          <w:szCs w:val="24"/>
        </w:rPr>
        <w:t>L</w:t>
      </w:r>
      <w:r w:rsidRPr="00830FDE">
        <w:rPr>
          <w:rFonts w:eastAsiaTheme="minorEastAsia"/>
          <w:bCs/>
          <w:sz w:val="24"/>
          <w:szCs w:val="24"/>
        </w:rPr>
        <w:t>e régime d’exonération pour départ à la retraite (art 151 septies A)</w:t>
      </w:r>
      <w:r>
        <w:rPr>
          <w:rFonts w:eastAsiaTheme="minorEastAsia"/>
          <w:bCs/>
          <w:sz w:val="24"/>
          <w:szCs w:val="24"/>
        </w:rPr>
        <w:t xml:space="preserve"> s’applique également pour l’IR (les PS restent dus).</w:t>
      </w:r>
    </w:p>
    <w:p w14:paraId="62737AED" w14:textId="77777777" w:rsidR="00101687" w:rsidRDefault="00101687" w:rsidP="00101687">
      <w:pPr>
        <w:jc w:val="both"/>
        <w:rPr>
          <w:rFonts w:eastAsiaTheme="minorEastAsia"/>
          <w:bCs/>
          <w:sz w:val="24"/>
          <w:szCs w:val="24"/>
        </w:rPr>
      </w:pPr>
      <w:r>
        <w:rPr>
          <w:rFonts w:eastAsiaTheme="minorEastAsia"/>
          <w:bCs/>
          <w:sz w:val="24"/>
          <w:szCs w:val="24"/>
        </w:rPr>
        <w:t xml:space="preserve">Le </w:t>
      </w:r>
      <w:r w:rsidRPr="00E33174">
        <w:rPr>
          <w:rFonts w:eastAsiaTheme="minorEastAsia"/>
          <w:b/>
          <w:bCs/>
          <w:sz w:val="24"/>
          <w:szCs w:val="24"/>
        </w:rPr>
        <w:t>même régime</w:t>
      </w:r>
      <w:r>
        <w:rPr>
          <w:rFonts w:eastAsiaTheme="minorEastAsia"/>
          <w:bCs/>
          <w:sz w:val="24"/>
          <w:szCs w:val="24"/>
        </w:rPr>
        <w:t xml:space="preserve"> s’applique lorsque le fonds appartient à une </w:t>
      </w:r>
      <w:r w:rsidRPr="00E33174">
        <w:rPr>
          <w:rFonts w:eastAsiaTheme="minorEastAsia"/>
          <w:b/>
          <w:bCs/>
          <w:sz w:val="24"/>
          <w:szCs w:val="24"/>
        </w:rPr>
        <w:t>société de personnes</w:t>
      </w:r>
      <w:r>
        <w:rPr>
          <w:rFonts w:eastAsiaTheme="minorEastAsia"/>
          <w:bCs/>
          <w:sz w:val="24"/>
          <w:szCs w:val="24"/>
        </w:rPr>
        <w:t xml:space="preserve"> (transparente fiscalement), la gérance prend fin à la </w:t>
      </w:r>
      <w:r w:rsidRPr="00E33174">
        <w:rPr>
          <w:rFonts w:eastAsiaTheme="minorEastAsia"/>
          <w:b/>
          <w:bCs/>
          <w:sz w:val="24"/>
          <w:szCs w:val="24"/>
        </w:rPr>
        <w:t>vente des parts de la société</w:t>
      </w:r>
      <w:r>
        <w:rPr>
          <w:rFonts w:eastAsiaTheme="minorEastAsia"/>
          <w:bCs/>
          <w:sz w:val="24"/>
          <w:szCs w:val="24"/>
        </w:rPr>
        <w:t>.</w:t>
      </w:r>
    </w:p>
    <w:p w14:paraId="033FBC01" w14:textId="77777777" w:rsidR="00101687" w:rsidRDefault="00101687" w:rsidP="00101687">
      <w:pPr>
        <w:spacing w:after="0"/>
        <w:jc w:val="both"/>
        <w:rPr>
          <w:rFonts w:eastAsiaTheme="minorEastAsia"/>
          <w:b/>
          <w:bCs/>
          <w:sz w:val="24"/>
          <w:szCs w:val="24"/>
        </w:rPr>
      </w:pPr>
    </w:p>
    <w:p w14:paraId="3F1C270A" w14:textId="3892D735" w:rsidR="00101687" w:rsidRDefault="00101687" w:rsidP="00101687">
      <w:pPr>
        <w:rPr>
          <w:rFonts w:eastAsiaTheme="minorEastAsia"/>
          <w:bCs/>
          <w:sz w:val="24"/>
          <w:szCs w:val="24"/>
        </w:rPr>
      </w:pPr>
      <w:r w:rsidRPr="005767B9">
        <w:rPr>
          <w:rFonts w:eastAsiaTheme="minorEastAsia"/>
          <w:bCs/>
          <w:sz w:val="24"/>
          <w:szCs w:val="24"/>
          <w:u w:val="single"/>
        </w:rPr>
        <w:lastRenderedPageBreak/>
        <w:t>Si la société propriétaire du fonds relève de l’IS,</w:t>
      </w:r>
      <w:r>
        <w:rPr>
          <w:rFonts w:eastAsiaTheme="minorEastAsia"/>
          <w:bCs/>
          <w:sz w:val="24"/>
          <w:szCs w:val="24"/>
        </w:rPr>
        <w:t xml:space="preserve"> la </w:t>
      </w:r>
      <w:r w:rsidRPr="0028644D">
        <w:rPr>
          <w:rFonts w:eastAsiaTheme="minorEastAsia"/>
          <w:b/>
          <w:bCs/>
          <w:sz w:val="24"/>
          <w:szCs w:val="24"/>
        </w:rPr>
        <w:t>vente des parts de cette société</w:t>
      </w:r>
      <w:r>
        <w:rPr>
          <w:rFonts w:eastAsiaTheme="minorEastAsia"/>
          <w:b/>
          <w:bCs/>
          <w:sz w:val="24"/>
          <w:szCs w:val="24"/>
        </w:rPr>
        <w:t xml:space="preserve"> IS</w:t>
      </w:r>
      <w:r>
        <w:rPr>
          <w:rFonts w:eastAsiaTheme="minorEastAsia"/>
          <w:bCs/>
          <w:sz w:val="24"/>
          <w:szCs w:val="24"/>
        </w:rPr>
        <w:t xml:space="preserve"> par les associés relève des </w:t>
      </w:r>
      <w:r w:rsidRPr="00E33174">
        <w:rPr>
          <w:rFonts w:eastAsiaTheme="minorEastAsia"/>
          <w:b/>
          <w:bCs/>
          <w:sz w:val="24"/>
          <w:szCs w:val="24"/>
        </w:rPr>
        <w:t>PV mobilières</w:t>
      </w:r>
      <w:r>
        <w:rPr>
          <w:rFonts w:eastAsiaTheme="minorEastAsia"/>
          <w:bCs/>
          <w:sz w:val="24"/>
          <w:szCs w:val="24"/>
        </w:rPr>
        <w:t> : PFU de 12,8%+1</w:t>
      </w:r>
      <w:r w:rsidR="00EB48B4">
        <w:rPr>
          <w:rFonts w:eastAsiaTheme="minorEastAsia"/>
          <w:bCs/>
          <w:sz w:val="24"/>
          <w:szCs w:val="24"/>
        </w:rPr>
        <w:t>8</w:t>
      </w:r>
      <w:r>
        <w:rPr>
          <w:rFonts w:eastAsiaTheme="minorEastAsia"/>
          <w:bCs/>
          <w:sz w:val="24"/>
          <w:szCs w:val="24"/>
        </w:rPr>
        <w:t>,</w:t>
      </w:r>
      <w:r w:rsidR="00EB48B4">
        <w:rPr>
          <w:rFonts w:eastAsiaTheme="minorEastAsia"/>
          <w:bCs/>
          <w:sz w:val="24"/>
          <w:szCs w:val="24"/>
        </w:rPr>
        <w:t>6</w:t>
      </w:r>
      <w:r>
        <w:rPr>
          <w:rFonts w:eastAsiaTheme="minorEastAsia"/>
          <w:bCs/>
          <w:sz w:val="24"/>
          <w:szCs w:val="24"/>
        </w:rPr>
        <w:t>% ou application du barème progressif + PS 1</w:t>
      </w:r>
      <w:r w:rsidR="009F10BC">
        <w:rPr>
          <w:rFonts w:eastAsiaTheme="minorEastAsia"/>
          <w:bCs/>
          <w:sz w:val="24"/>
          <w:szCs w:val="24"/>
        </w:rPr>
        <w:t>8</w:t>
      </w:r>
      <w:r>
        <w:rPr>
          <w:rFonts w:eastAsiaTheme="minorEastAsia"/>
          <w:bCs/>
          <w:sz w:val="24"/>
          <w:szCs w:val="24"/>
        </w:rPr>
        <w:t>,</w:t>
      </w:r>
      <w:r w:rsidR="009F10BC">
        <w:rPr>
          <w:rFonts w:eastAsiaTheme="minorEastAsia"/>
          <w:bCs/>
          <w:sz w:val="24"/>
          <w:szCs w:val="24"/>
        </w:rPr>
        <w:t>6</w:t>
      </w:r>
      <w:r>
        <w:rPr>
          <w:rFonts w:eastAsiaTheme="minorEastAsia"/>
          <w:bCs/>
          <w:sz w:val="24"/>
          <w:szCs w:val="24"/>
        </w:rPr>
        <w:t xml:space="preserve">%. </w:t>
      </w:r>
    </w:p>
    <w:p w14:paraId="361278B6" w14:textId="77777777" w:rsidR="00101687" w:rsidRPr="00613925" w:rsidRDefault="00101687" w:rsidP="00101687">
      <w:pPr>
        <w:spacing w:after="0"/>
        <w:jc w:val="both"/>
        <w:rPr>
          <w:rFonts w:eastAsiaTheme="minorEastAsia"/>
          <w:b/>
          <w:bCs/>
          <w:sz w:val="24"/>
          <w:szCs w:val="24"/>
        </w:rPr>
      </w:pPr>
      <w:r w:rsidRPr="00613925">
        <w:rPr>
          <w:rFonts w:eastAsiaTheme="minorEastAsia"/>
          <w:bCs/>
          <w:sz w:val="24"/>
          <w:szCs w:val="24"/>
        </w:rPr>
        <w:t xml:space="preserve">Le dirigeant qui cède ses parts peut bénéficier le cas échéant en cas de </w:t>
      </w:r>
      <w:r w:rsidRPr="00613925">
        <w:rPr>
          <w:rFonts w:eastAsiaTheme="minorEastAsia"/>
          <w:b/>
          <w:bCs/>
          <w:sz w:val="24"/>
          <w:szCs w:val="24"/>
        </w:rPr>
        <w:t>départ en retraite d’un abattement fixe de 500 000€.</w:t>
      </w:r>
    </w:p>
    <w:p w14:paraId="706726A3" w14:textId="4065104D" w:rsidR="00101687" w:rsidRPr="00613925" w:rsidRDefault="00101687" w:rsidP="00101687">
      <w:pPr>
        <w:jc w:val="both"/>
        <w:rPr>
          <w:rFonts w:eastAsiaTheme="minorEastAsia"/>
          <w:bCs/>
          <w:sz w:val="24"/>
          <w:szCs w:val="24"/>
        </w:rPr>
      </w:pPr>
      <w:r w:rsidRPr="00613925">
        <w:rPr>
          <w:rFonts w:eastAsiaTheme="minorEastAsia"/>
          <w:bCs/>
          <w:sz w:val="24"/>
          <w:szCs w:val="24"/>
        </w:rPr>
        <w:t xml:space="preserve">L’associé qui opte pour le </w:t>
      </w:r>
      <w:r w:rsidRPr="00613925">
        <w:rPr>
          <w:rFonts w:eastAsiaTheme="minorEastAsia"/>
          <w:b/>
          <w:bCs/>
          <w:sz w:val="24"/>
          <w:szCs w:val="24"/>
        </w:rPr>
        <w:t>barème progressif d’IR</w:t>
      </w:r>
      <w:r w:rsidRPr="00613925">
        <w:rPr>
          <w:rFonts w:eastAsiaTheme="minorEastAsia"/>
          <w:bCs/>
          <w:sz w:val="24"/>
          <w:szCs w:val="24"/>
        </w:rPr>
        <w:t xml:space="preserve"> bénéficie, pour les titres acquis avant 2018, d’un</w:t>
      </w:r>
      <w:r w:rsidRPr="00613925">
        <w:rPr>
          <w:rFonts w:eastAsiaTheme="minorEastAsia"/>
          <w:b/>
          <w:bCs/>
          <w:sz w:val="24"/>
          <w:szCs w:val="24"/>
        </w:rPr>
        <w:t xml:space="preserve"> abattement proportionnel en fonction du délai de détention des parts</w:t>
      </w:r>
      <w:r w:rsidRPr="00613925">
        <w:rPr>
          <w:rFonts w:eastAsiaTheme="minorEastAsia"/>
          <w:bCs/>
          <w:sz w:val="24"/>
          <w:szCs w:val="24"/>
        </w:rPr>
        <w:t xml:space="preserve"> (50% de 2 à 8 ans et 65% pour + de 8 ans). Cet abattement peut être majoré (à 85% si au moins 8 ans de détention) en cas de cession par le dirigeant d’une PME (acquise dans les 10 ans maxi de sa création).</w:t>
      </w:r>
      <w:r w:rsidR="00613925" w:rsidRPr="00613925">
        <w:rPr>
          <w:rFonts w:eastAsiaTheme="minorEastAsia"/>
          <w:bCs/>
          <w:sz w:val="24"/>
          <w:szCs w:val="24"/>
        </w:rPr>
        <w:br/>
      </w:r>
      <w:r w:rsidRPr="00613925">
        <w:rPr>
          <w:rFonts w:eastAsiaTheme="minorEastAsia"/>
          <w:bCs/>
          <w:sz w:val="24"/>
          <w:szCs w:val="24"/>
        </w:rPr>
        <w:t>Le dirigeant devra alors faire le choix entre l’abattement fixe de 500 000€ ou proportionnel en fonction du temps.</w:t>
      </w:r>
    </w:p>
    <w:p w14:paraId="40421DAC" w14:textId="77777777" w:rsidR="00D20118" w:rsidRPr="00613925" w:rsidRDefault="009F10BC"/>
    <w:p w14:paraId="43791D09" w14:textId="77777777" w:rsidR="00101687" w:rsidRDefault="00101687"/>
    <w:sectPr w:rsidR="00101687">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9195DA" w14:textId="77777777" w:rsidR="000C12E9" w:rsidRDefault="000C12E9" w:rsidP="006C31F9">
      <w:pPr>
        <w:spacing w:after="0" w:line="240" w:lineRule="auto"/>
      </w:pPr>
      <w:r>
        <w:separator/>
      </w:r>
    </w:p>
  </w:endnote>
  <w:endnote w:type="continuationSeparator" w:id="0">
    <w:p w14:paraId="27DECFE8" w14:textId="77777777" w:rsidR="000C12E9" w:rsidRDefault="000C12E9" w:rsidP="006C31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6316410"/>
      <w:docPartObj>
        <w:docPartGallery w:val="Page Numbers (Bottom of Page)"/>
        <w:docPartUnique/>
      </w:docPartObj>
    </w:sdtPr>
    <w:sdtEndPr/>
    <w:sdtContent>
      <w:p w14:paraId="7E6295E5" w14:textId="77777777" w:rsidR="006C31F9" w:rsidRDefault="006C31F9">
        <w:pPr>
          <w:pStyle w:val="Pieddepage"/>
          <w:jc w:val="right"/>
        </w:pPr>
        <w:r>
          <w:fldChar w:fldCharType="begin"/>
        </w:r>
        <w:r>
          <w:instrText>PAGE   \* MERGEFORMAT</w:instrText>
        </w:r>
        <w:r>
          <w:fldChar w:fldCharType="separate"/>
        </w:r>
        <w:r w:rsidR="00E3623D">
          <w:rPr>
            <w:noProof/>
          </w:rPr>
          <w:t>1</w:t>
        </w:r>
        <w:r>
          <w:fldChar w:fldCharType="end"/>
        </w:r>
      </w:p>
    </w:sdtContent>
  </w:sdt>
  <w:p w14:paraId="271D6D86" w14:textId="77777777" w:rsidR="006C31F9" w:rsidRDefault="006C31F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396768" w14:textId="77777777" w:rsidR="000C12E9" w:rsidRDefault="000C12E9" w:rsidP="006C31F9">
      <w:pPr>
        <w:spacing w:after="0" w:line="240" w:lineRule="auto"/>
      </w:pPr>
      <w:r>
        <w:separator/>
      </w:r>
    </w:p>
  </w:footnote>
  <w:footnote w:type="continuationSeparator" w:id="0">
    <w:p w14:paraId="56048376" w14:textId="77777777" w:rsidR="000C12E9" w:rsidRDefault="000C12E9" w:rsidP="006C31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81A8D"/>
    <w:multiLevelType w:val="hybridMultilevel"/>
    <w:tmpl w:val="43242BAC"/>
    <w:lvl w:ilvl="0" w:tplc="80ACA576">
      <w:start w:val="1"/>
      <w:numFmt w:val="decimal"/>
      <w:lvlText w:val="%1-"/>
      <w:lvlJc w:val="left"/>
      <w:pPr>
        <w:ind w:left="720" w:hanging="360"/>
      </w:pPr>
      <w:rPr>
        <w:rFonts w:ascii="Calibri" w:eastAsia="Calibri" w:hAnsi="Calibri" w:cs="Calibri"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8E00139"/>
    <w:multiLevelType w:val="hybridMultilevel"/>
    <w:tmpl w:val="C26AEE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85D3603"/>
    <w:multiLevelType w:val="hybridMultilevel"/>
    <w:tmpl w:val="BCFC7F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C3F31B7"/>
    <w:multiLevelType w:val="hybridMultilevel"/>
    <w:tmpl w:val="65721F4A"/>
    <w:lvl w:ilvl="0" w:tplc="0BE2523E">
      <w:start w:val="1"/>
      <w:numFmt w:val="bullet"/>
      <w:lvlText w:val="-"/>
      <w:lvlJc w:val="left"/>
      <w:pPr>
        <w:ind w:left="720" w:hanging="360"/>
      </w:pPr>
      <w:rPr>
        <w:rFonts w:ascii="Calibri" w:eastAsiaTheme="minorEastAsia"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2A76319"/>
    <w:multiLevelType w:val="hybridMultilevel"/>
    <w:tmpl w:val="0D98E614"/>
    <w:lvl w:ilvl="0" w:tplc="E1E0F8CA">
      <w:start w:val="1"/>
      <w:numFmt w:val="decimal"/>
      <w:lvlText w:val="%1-"/>
      <w:lvlJc w:val="left"/>
      <w:pPr>
        <w:ind w:left="644" w:hanging="360"/>
      </w:pPr>
      <w:rPr>
        <w:rFonts w:hint="default"/>
        <w:u w:val="single"/>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5" w15:restartNumberingAfterBreak="0">
    <w:nsid w:val="55BC4439"/>
    <w:multiLevelType w:val="hybridMultilevel"/>
    <w:tmpl w:val="8C88CE80"/>
    <w:lvl w:ilvl="0" w:tplc="0742B1A4">
      <w:start w:val="1"/>
      <w:numFmt w:val="decimal"/>
      <w:lvlText w:val="%1-"/>
      <w:lvlJc w:val="left"/>
      <w:pPr>
        <w:ind w:left="1004" w:hanging="360"/>
      </w:pPr>
      <w:rPr>
        <w:rFonts w:hint="default"/>
      </w:rPr>
    </w:lvl>
    <w:lvl w:ilvl="1" w:tplc="040C0019" w:tentative="1">
      <w:start w:val="1"/>
      <w:numFmt w:val="lowerLetter"/>
      <w:lvlText w:val="%2."/>
      <w:lvlJc w:val="left"/>
      <w:pPr>
        <w:ind w:left="1724" w:hanging="360"/>
      </w:pPr>
    </w:lvl>
    <w:lvl w:ilvl="2" w:tplc="040C001B" w:tentative="1">
      <w:start w:val="1"/>
      <w:numFmt w:val="lowerRoman"/>
      <w:lvlText w:val="%3."/>
      <w:lvlJc w:val="right"/>
      <w:pPr>
        <w:ind w:left="2444" w:hanging="180"/>
      </w:pPr>
    </w:lvl>
    <w:lvl w:ilvl="3" w:tplc="040C000F" w:tentative="1">
      <w:start w:val="1"/>
      <w:numFmt w:val="decimal"/>
      <w:lvlText w:val="%4."/>
      <w:lvlJc w:val="left"/>
      <w:pPr>
        <w:ind w:left="3164" w:hanging="360"/>
      </w:pPr>
    </w:lvl>
    <w:lvl w:ilvl="4" w:tplc="040C0019" w:tentative="1">
      <w:start w:val="1"/>
      <w:numFmt w:val="lowerLetter"/>
      <w:lvlText w:val="%5."/>
      <w:lvlJc w:val="left"/>
      <w:pPr>
        <w:ind w:left="3884" w:hanging="360"/>
      </w:pPr>
    </w:lvl>
    <w:lvl w:ilvl="5" w:tplc="040C001B" w:tentative="1">
      <w:start w:val="1"/>
      <w:numFmt w:val="lowerRoman"/>
      <w:lvlText w:val="%6."/>
      <w:lvlJc w:val="right"/>
      <w:pPr>
        <w:ind w:left="4604" w:hanging="180"/>
      </w:pPr>
    </w:lvl>
    <w:lvl w:ilvl="6" w:tplc="040C000F" w:tentative="1">
      <w:start w:val="1"/>
      <w:numFmt w:val="decimal"/>
      <w:lvlText w:val="%7."/>
      <w:lvlJc w:val="left"/>
      <w:pPr>
        <w:ind w:left="5324" w:hanging="360"/>
      </w:pPr>
    </w:lvl>
    <w:lvl w:ilvl="7" w:tplc="040C0019" w:tentative="1">
      <w:start w:val="1"/>
      <w:numFmt w:val="lowerLetter"/>
      <w:lvlText w:val="%8."/>
      <w:lvlJc w:val="left"/>
      <w:pPr>
        <w:ind w:left="6044" w:hanging="360"/>
      </w:pPr>
    </w:lvl>
    <w:lvl w:ilvl="8" w:tplc="040C001B" w:tentative="1">
      <w:start w:val="1"/>
      <w:numFmt w:val="lowerRoman"/>
      <w:lvlText w:val="%9."/>
      <w:lvlJc w:val="right"/>
      <w:pPr>
        <w:ind w:left="6764" w:hanging="180"/>
      </w:pPr>
    </w:lvl>
  </w:abstractNum>
  <w:abstractNum w:abstractNumId="6" w15:restartNumberingAfterBreak="0">
    <w:nsid w:val="5E2A3D40"/>
    <w:multiLevelType w:val="hybridMultilevel"/>
    <w:tmpl w:val="5A26D0C2"/>
    <w:lvl w:ilvl="0" w:tplc="77461EAE">
      <w:numFmt w:val="bullet"/>
      <w:lvlText w:val="-"/>
      <w:lvlJc w:val="left"/>
      <w:pPr>
        <w:ind w:left="72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6C7879FC"/>
    <w:multiLevelType w:val="hybridMultilevel"/>
    <w:tmpl w:val="4C76D1B2"/>
    <w:lvl w:ilvl="0" w:tplc="EBEC5BCE">
      <w:start w:val="1"/>
      <w:numFmt w:val="decimal"/>
      <w:lvlText w:val="%1-"/>
      <w:lvlJc w:val="left"/>
      <w:pPr>
        <w:ind w:left="720" w:hanging="360"/>
      </w:pPr>
      <w:rPr>
        <w:rFonts w:ascii="Calibri" w:eastAsia="Calibri" w:hAnsi="Calibri" w:cs="Calibri"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74397CEC"/>
    <w:multiLevelType w:val="hybridMultilevel"/>
    <w:tmpl w:val="43242BAC"/>
    <w:lvl w:ilvl="0" w:tplc="80ACA576">
      <w:start w:val="1"/>
      <w:numFmt w:val="decimal"/>
      <w:lvlText w:val="%1-"/>
      <w:lvlJc w:val="left"/>
      <w:pPr>
        <w:ind w:left="720" w:hanging="360"/>
      </w:pPr>
      <w:rPr>
        <w:rFonts w:ascii="Calibri" w:eastAsia="Calibri" w:hAnsi="Calibri" w:cs="Calibri"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4"/>
  </w:num>
  <w:num w:numId="2">
    <w:abstractNumId w:val="5"/>
  </w:num>
  <w:num w:numId="3">
    <w:abstractNumId w:val="0"/>
  </w:num>
  <w:num w:numId="4">
    <w:abstractNumId w:val="7"/>
  </w:num>
  <w:num w:numId="5">
    <w:abstractNumId w:val="3"/>
  </w:num>
  <w:num w:numId="6">
    <w:abstractNumId w:val="8"/>
  </w:num>
  <w:num w:numId="7">
    <w:abstractNumId w:val="2"/>
  </w:num>
  <w:num w:numId="8">
    <w:abstractNumId w:val="1"/>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A4B"/>
    <w:rsid w:val="00045FD0"/>
    <w:rsid w:val="00075866"/>
    <w:rsid w:val="00086B14"/>
    <w:rsid w:val="000966D0"/>
    <w:rsid w:val="000C12E9"/>
    <w:rsid w:val="00101687"/>
    <w:rsid w:val="00116736"/>
    <w:rsid w:val="00121957"/>
    <w:rsid w:val="00160841"/>
    <w:rsid w:val="001C69E7"/>
    <w:rsid w:val="001E4CF9"/>
    <w:rsid w:val="00240BD8"/>
    <w:rsid w:val="002465E3"/>
    <w:rsid w:val="002751E7"/>
    <w:rsid w:val="002E5A2A"/>
    <w:rsid w:val="0035661D"/>
    <w:rsid w:val="00363263"/>
    <w:rsid w:val="0045273D"/>
    <w:rsid w:val="004749D6"/>
    <w:rsid w:val="00496C27"/>
    <w:rsid w:val="005412C0"/>
    <w:rsid w:val="0058367F"/>
    <w:rsid w:val="005840A5"/>
    <w:rsid w:val="005C30A6"/>
    <w:rsid w:val="0060217B"/>
    <w:rsid w:val="00613925"/>
    <w:rsid w:val="00630ED4"/>
    <w:rsid w:val="006415FA"/>
    <w:rsid w:val="00680D7A"/>
    <w:rsid w:val="006A4F7F"/>
    <w:rsid w:val="006C31F9"/>
    <w:rsid w:val="006E127B"/>
    <w:rsid w:val="00715291"/>
    <w:rsid w:val="00730279"/>
    <w:rsid w:val="0075055D"/>
    <w:rsid w:val="00750F5B"/>
    <w:rsid w:val="007534C3"/>
    <w:rsid w:val="00783456"/>
    <w:rsid w:val="00792E1F"/>
    <w:rsid w:val="007C2DC9"/>
    <w:rsid w:val="007E2A34"/>
    <w:rsid w:val="008103CC"/>
    <w:rsid w:val="008650D8"/>
    <w:rsid w:val="008D0204"/>
    <w:rsid w:val="008D6FD2"/>
    <w:rsid w:val="00904A4B"/>
    <w:rsid w:val="009125A5"/>
    <w:rsid w:val="00962283"/>
    <w:rsid w:val="0097085F"/>
    <w:rsid w:val="009C24E2"/>
    <w:rsid w:val="009E404A"/>
    <w:rsid w:val="009F10BC"/>
    <w:rsid w:val="009F77C8"/>
    <w:rsid w:val="00A06AFF"/>
    <w:rsid w:val="00A22F9F"/>
    <w:rsid w:val="00AE4285"/>
    <w:rsid w:val="00B02F4F"/>
    <w:rsid w:val="00B178C0"/>
    <w:rsid w:val="00B25877"/>
    <w:rsid w:val="00B37C2A"/>
    <w:rsid w:val="00B4652B"/>
    <w:rsid w:val="00B64EA9"/>
    <w:rsid w:val="00C33B92"/>
    <w:rsid w:val="00CE3C14"/>
    <w:rsid w:val="00CF6933"/>
    <w:rsid w:val="00D11032"/>
    <w:rsid w:val="00D42000"/>
    <w:rsid w:val="00D849D8"/>
    <w:rsid w:val="00E2091F"/>
    <w:rsid w:val="00E34C8A"/>
    <w:rsid w:val="00E3623D"/>
    <w:rsid w:val="00EB48B4"/>
    <w:rsid w:val="00EB5D2C"/>
    <w:rsid w:val="00F617B9"/>
    <w:rsid w:val="00FA25B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30036"/>
  <w15:chartTrackingRefBased/>
  <w15:docId w15:val="{736101EF-18E2-4227-B8A5-C89569F9C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4A4B"/>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04A4B"/>
    <w:pPr>
      <w:ind w:left="720"/>
      <w:contextualSpacing/>
    </w:pPr>
  </w:style>
  <w:style w:type="paragraph" w:styleId="En-tte">
    <w:name w:val="header"/>
    <w:basedOn w:val="Normal"/>
    <w:link w:val="En-tteCar"/>
    <w:uiPriority w:val="99"/>
    <w:unhideWhenUsed/>
    <w:rsid w:val="006C31F9"/>
    <w:pPr>
      <w:tabs>
        <w:tab w:val="center" w:pos="4536"/>
        <w:tab w:val="right" w:pos="9072"/>
      </w:tabs>
      <w:spacing w:after="0" w:line="240" w:lineRule="auto"/>
    </w:pPr>
  </w:style>
  <w:style w:type="character" w:customStyle="1" w:styleId="En-tteCar">
    <w:name w:val="En-tête Car"/>
    <w:basedOn w:val="Policepardfaut"/>
    <w:link w:val="En-tte"/>
    <w:uiPriority w:val="99"/>
    <w:rsid w:val="006C31F9"/>
  </w:style>
  <w:style w:type="paragraph" w:styleId="Pieddepage">
    <w:name w:val="footer"/>
    <w:basedOn w:val="Normal"/>
    <w:link w:val="PieddepageCar"/>
    <w:uiPriority w:val="99"/>
    <w:unhideWhenUsed/>
    <w:rsid w:val="006C31F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C31F9"/>
  </w:style>
  <w:style w:type="character" w:styleId="lev">
    <w:name w:val="Strong"/>
    <w:basedOn w:val="Policepardfaut"/>
    <w:uiPriority w:val="22"/>
    <w:qFormat/>
    <w:rsid w:val="001E4CF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C2FF1FBACEFC74E9404CF48892D48D0" ma:contentTypeVersion="8" ma:contentTypeDescription="Crée un document." ma:contentTypeScope="" ma:versionID="6f11d5a3854d4448f4b219193e2fe77a">
  <xsd:schema xmlns:xsd="http://www.w3.org/2001/XMLSchema" xmlns:xs="http://www.w3.org/2001/XMLSchema" xmlns:p="http://schemas.microsoft.com/office/2006/metadata/properties" xmlns:ns2="a901e2e2-a62f-4395-a09a-48037a1915a3" targetNamespace="http://schemas.microsoft.com/office/2006/metadata/properties" ma:root="true" ma:fieldsID="c01605394c993a0a3b401516a8aa9f0c" ns2:_="">
    <xsd:import namespace="a901e2e2-a62f-4395-a09a-48037a1915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01e2e2-a62f-4395-a09a-48037a1915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F2852D5-FAD7-44D6-86F4-008093E32825}"/>
</file>

<file path=customXml/itemProps2.xml><?xml version="1.0" encoding="utf-8"?>
<ds:datastoreItem xmlns:ds="http://schemas.openxmlformats.org/officeDocument/2006/customXml" ds:itemID="{D400DC82-E775-43CD-8C2B-64CE446F0400}"/>
</file>

<file path=customXml/itemProps3.xml><?xml version="1.0" encoding="utf-8"?>
<ds:datastoreItem xmlns:ds="http://schemas.openxmlformats.org/officeDocument/2006/customXml" ds:itemID="{D89AE765-CD16-47B9-9A69-A6C300FBC4B2}"/>
</file>

<file path=docProps/app.xml><?xml version="1.0" encoding="utf-8"?>
<Properties xmlns="http://schemas.openxmlformats.org/officeDocument/2006/extended-properties" xmlns:vt="http://schemas.openxmlformats.org/officeDocument/2006/docPropsVTypes">
  <Template>Normal</Template>
  <TotalTime>664</TotalTime>
  <Pages>4</Pages>
  <Words>1163</Words>
  <Characters>6402</Characters>
  <Application>Microsoft Office Word</Application>
  <DocSecurity>0</DocSecurity>
  <Lines>53</Lines>
  <Paragraphs>15</Paragraphs>
  <ScaleCrop>false</ScaleCrop>
  <HeadingPairs>
    <vt:vector size="2" baseType="variant">
      <vt:variant>
        <vt:lpstr>Titre</vt:lpstr>
      </vt:variant>
      <vt:variant>
        <vt:i4>1</vt:i4>
      </vt:variant>
    </vt:vector>
  </HeadingPairs>
  <TitlesOfParts>
    <vt:vector size="1" baseType="lpstr">
      <vt:lpstr/>
    </vt:vector>
  </TitlesOfParts>
  <Company>Ogec La Joliverie</Company>
  <LinksUpToDate>false</LinksUpToDate>
  <CharactersWithSpaces>7550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BOURSIER Florence</dc:creator>
  <cp:keywords/>
  <dc:description/>
  <cp:lastModifiedBy>BOURSIER Florence</cp:lastModifiedBy>
  <cp:revision>56</cp:revision>
  <dcterms:created xsi:type="dcterms:W3CDTF">2021-07-02T07:19:00Z</dcterms:created>
  <dcterms:modified xsi:type="dcterms:W3CDTF">2026-07-06T15:22:00Z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0x0101008C2FF1FBACEFC74E9404CF48892D48D0</vt:lpwstr>
  </property>
</Properties>
</file>