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C6148" w14:textId="031872A7" w:rsidR="00507A93" w:rsidRDefault="00507A93" w:rsidP="00390430">
      <w:pPr>
        <w:jc w:val="both"/>
      </w:pPr>
      <w:r>
        <w:t xml:space="preserve">En principe, le cumul d’un mandat social et d’un contrat de travail au sein d’une </w:t>
      </w:r>
      <w:proofErr w:type="spellStart"/>
      <w:r>
        <w:t>sarl</w:t>
      </w:r>
      <w:proofErr w:type="spellEnd"/>
      <w:r>
        <w:t xml:space="preserve"> est possible et n’est pas limité. Cependant, le travail doit correspondre à un travail effectif, une rémunération non excessive, des fonctions distinctes, et un lien de subordination avec la hiérarchie de la société. Exception, les gérant majoritaire ne peuvent effectuer de cumul de mandat social et d’un contrat de travail.</w:t>
      </w:r>
    </w:p>
    <w:p w14:paraId="1ADDE430" w14:textId="77777777" w:rsidR="00507A93" w:rsidRDefault="00507A93" w:rsidP="00390430">
      <w:pPr>
        <w:jc w:val="both"/>
      </w:pPr>
    </w:p>
    <w:p w14:paraId="69EAA4E5" w14:textId="378E6821" w:rsidR="00507A93" w:rsidRDefault="00507A93" w:rsidP="00390430">
      <w:pPr>
        <w:jc w:val="both"/>
      </w:pPr>
      <w:r>
        <w:t>En principe, l’augmentation de capital concerne une modification des statuts, et résulte donc d’une AGE, selon les conditions prévues pour les SARL. Pour les SARL constituées après aout 2005, le quorum est fixé à ¼ à la première convocation et d’une majorité des 2/3 présents ou représentés. Cependant lors de la seconde convocation le quorum est d’1/5 pour une majorité égale à la première convocation. Sauf si des clauses statutaires exige des quorum et majorité plus importante sans l’unanimité.</w:t>
      </w:r>
    </w:p>
    <w:p w14:paraId="575B8F86" w14:textId="03E30B20" w:rsidR="00507A93" w:rsidRDefault="00583B9F" w:rsidP="00390430">
      <w:pPr>
        <w:jc w:val="both"/>
      </w:pPr>
      <w:r>
        <w:t>S’il</w:t>
      </w:r>
      <w:r w:rsidR="00507A93">
        <w:t xml:space="preserve"> s’agit d’une incorporation de réserve l’augmentation peut être effectué par une simple majorité</w:t>
      </w:r>
    </w:p>
    <w:p w14:paraId="6DEEBF4B" w14:textId="77777777" w:rsidR="00507A93" w:rsidRDefault="00507A93" w:rsidP="00390430">
      <w:pPr>
        <w:jc w:val="both"/>
      </w:pPr>
    </w:p>
    <w:p w14:paraId="1BFC00F2" w14:textId="62D087A8" w:rsidR="00507A93" w:rsidRDefault="00507A93" w:rsidP="00390430">
      <w:pPr>
        <w:jc w:val="both"/>
      </w:pPr>
      <w:r>
        <w:t>Lors d’une augmentation de capital, celle-ci est comparable à une cession de parts sociales relevant du mécanisme de l’agrément. Si la cession concerne une liquidation alors libre, cession à un conjoint, ascendant, descendant, en principe libre mais clause d’agrément possible. Cession à un tiers</w:t>
      </w:r>
      <w:r w:rsidR="00583B9F">
        <w:t xml:space="preserve"> relève de l’agrément à la majorité des associés représentant la moitié des parts sociales.</w:t>
      </w:r>
    </w:p>
    <w:p w14:paraId="62976388" w14:textId="3BFEC1E5" w:rsidR="00583B9F" w:rsidRDefault="00583B9F" w:rsidP="00390430">
      <w:pPr>
        <w:jc w:val="both"/>
      </w:pPr>
      <w:r>
        <w:t>Procédure d’agrément SARL :</w:t>
      </w:r>
    </w:p>
    <w:p w14:paraId="288E3E2B" w14:textId="23C2D1A8" w:rsidR="00583B9F" w:rsidRDefault="00583B9F" w:rsidP="00390430">
      <w:pPr>
        <w:pStyle w:val="Paragraphedeliste"/>
        <w:numPr>
          <w:ilvl w:val="0"/>
          <w:numId w:val="7"/>
        </w:numPr>
        <w:jc w:val="both"/>
      </w:pPr>
      <w:r>
        <w:t>Notification du projet de cession par acte authentique ou LRAR à la société et à chaque associé</w:t>
      </w:r>
    </w:p>
    <w:p w14:paraId="6E714561" w14:textId="382E7137" w:rsidR="00583B9F" w:rsidRDefault="00583B9F" w:rsidP="00390430">
      <w:pPr>
        <w:pStyle w:val="Paragraphedeliste"/>
        <w:numPr>
          <w:ilvl w:val="0"/>
          <w:numId w:val="7"/>
        </w:numPr>
        <w:jc w:val="both"/>
      </w:pPr>
      <w:r>
        <w:t>Convocation par le gérant de l’AGE pour statuer sur projet de souscription du capital</w:t>
      </w:r>
    </w:p>
    <w:p w14:paraId="64725A95" w14:textId="484877A9" w:rsidR="00583B9F" w:rsidRDefault="00583B9F" w:rsidP="00390430">
      <w:pPr>
        <w:pStyle w:val="Paragraphedeliste"/>
        <w:numPr>
          <w:ilvl w:val="0"/>
          <w:numId w:val="7"/>
        </w:numPr>
        <w:jc w:val="both"/>
      </w:pPr>
      <w:r>
        <w:t>Décision à la majorité des associés représentant au moins la moitié des parts sociales, sauf disposition statutaire.</w:t>
      </w:r>
    </w:p>
    <w:p w14:paraId="2BF27C84" w14:textId="510FF570" w:rsidR="00583B9F" w:rsidRDefault="00583B9F" w:rsidP="00390430">
      <w:pPr>
        <w:jc w:val="both"/>
      </w:pPr>
      <w:r>
        <w:t>Augmentation par apport en nature :</w:t>
      </w:r>
    </w:p>
    <w:p w14:paraId="14FA10F7" w14:textId="5698BA78" w:rsidR="00583B9F" w:rsidRDefault="00583B9F" w:rsidP="00390430">
      <w:pPr>
        <w:pStyle w:val="Paragraphedeliste"/>
        <w:numPr>
          <w:ilvl w:val="0"/>
          <w:numId w:val="8"/>
        </w:numPr>
        <w:jc w:val="both"/>
      </w:pPr>
      <w:r>
        <w:t>Désignation d’un CAA à l’unanimité des associés ou par décision de justice à la demande d’un associé, ou gérant</w:t>
      </w:r>
    </w:p>
    <w:p w14:paraId="0A73F7A3" w14:textId="2E1559AD" w:rsidR="00390430" w:rsidRDefault="00390430" w:rsidP="00390430">
      <w:pPr>
        <w:pStyle w:val="Paragraphedeliste"/>
        <w:numPr>
          <w:ilvl w:val="0"/>
          <w:numId w:val="8"/>
        </w:numPr>
        <w:jc w:val="both"/>
      </w:pPr>
      <w:r>
        <w:t>Rapport annexé l’acte constatant la réalisation de l’apport</w:t>
      </w:r>
    </w:p>
    <w:p w14:paraId="11E26312" w14:textId="1A7A3E36" w:rsidR="00390430" w:rsidRDefault="00390430" w:rsidP="00390430">
      <w:pPr>
        <w:pStyle w:val="Paragraphedeliste"/>
        <w:numPr>
          <w:ilvl w:val="0"/>
          <w:numId w:val="8"/>
        </w:numPr>
        <w:jc w:val="both"/>
      </w:pPr>
      <w:r>
        <w:t>Rapport déposé au greffe du TC 8 jours avant date de AGE</w:t>
      </w:r>
    </w:p>
    <w:p w14:paraId="5815A2A0" w14:textId="5DA0AE47" w:rsidR="00390430" w:rsidRDefault="00390430" w:rsidP="00390430">
      <w:pPr>
        <w:pStyle w:val="Paragraphedeliste"/>
        <w:numPr>
          <w:ilvl w:val="0"/>
          <w:numId w:val="8"/>
        </w:numPr>
        <w:jc w:val="both"/>
      </w:pPr>
      <w:r>
        <w:t>Si aucune désignation d’un CAA, les associés sont responsables des apports sous 5ans</w:t>
      </w:r>
    </w:p>
    <w:p w14:paraId="671EC566" w14:textId="2FB4472C" w:rsidR="00390430" w:rsidRDefault="00390430" w:rsidP="00390430">
      <w:pPr>
        <w:pStyle w:val="Paragraphedeliste"/>
        <w:numPr>
          <w:ilvl w:val="0"/>
          <w:numId w:val="8"/>
        </w:numPr>
        <w:jc w:val="both"/>
      </w:pPr>
      <w:r>
        <w:t>Formalité de publicité</w:t>
      </w:r>
    </w:p>
    <w:p w14:paraId="56BA81B3" w14:textId="77777777" w:rsidR="00390430" w:rsidRDefault="00390430" w:rsidP="00390430">
      <w:pPr>
        <w:jc w:val="both"/>
      </w:pPr>
    </w:p>
    <w:p w14:paraId="0CBA5A2F" w14:textId="6F5FD6AB" w:rsidR="00390430" w:rsidRDefault="00390430" w:rsidP="00390430">
      <w:pPr>
        <w:jc w:val="both"/>
      </w:pPr>
      <w:r>
        <w:t>En principe, tout acte passé dans des conditions normales sont soumis aux conventions libres et ne nécessite pas de procédure particulière.</w:t>
      </w:r>
    </w:p>
    <w:p w14:paraId="6DA31CAE" w14:textId="360D2459" w:rsidR="00390430" w:rsidRDefault="00390430" w:rsidP="00390430">
      <w:pPr>
        <w:jc w:val="both"/>
      </w:pPr>
      <w:r>
        <w:t xml:space="preserve">Les conventions qui ne sont ni libre, ni interdite correspondent aux conventions règlementées et sont soumises à des procédures particulières. Ce sont des actes effectués entre la SARL et une société dont un associé </w:t>
      </w:r>
      <w:proofErr w:type="spellStart"/>
      <w:r>
        <w:t>est</w:t>
      </w:r>
      <w:proofErr w:type="spellEnd"/>
      <w:r>
        <w:t xml:space="preserve"> gérant, administrateur, DG, MDD, ou associé de la SARL.</w:t>
      </w:r>
    </w:p>
    <w:tbl>
      <w:tblPr>
        <w:tblStyle w:val="Grilledutableau"/>
        <w:tblW w:w="0" w:type="auto"/>
        <w:tblLook w:val="04A0" w:firstRow="1" w:lastRow="0" w:firstColumn="1" w:lastColumn="0" w:noHBand="0" w:noVBand="1"/>
      </w:tblPr>
      <w:tblGrid>
        <w:gridCol w:w="4531"/>
        <w:gridCol w:w="4531"/>
      </w:tblGrid>
      <w:tr w:rsidR="00390430" w14:paraId="5B858E07" w14:textId="77777777" w:rsidTr="00390430">
        <w:tc>
          <w:tcPr>
            <w:tcW w:w="4531" w:type="dxa"/>
          </w:tcPr>
          <w:p w14:paraId="451156ED" w14:textId="0BC175D6" w:rsidR="00390430" w:rsidRDefault="00390430" w:rsidP="00390430">
            <w:pPr>
              <w:jc w:val="both"/>
            </w:pPr>
            <w:r>
              <w:t>Procédure à priori</w:t>
            </w:r>
          </w:p>
        </w:tc>
        <w:tc>
          <w:tcPr>
            <w:tcW w:w="4531" w:type="dxa"/>
          </w:tcPr>
          <w:p w14:paraId="4540A1A2" w14:textId="7F4F6BE6" w:rsidR="00390430" w:rsidRDefault="00BC41B2" w:rsidP="00390430">
            <w:pPr>
              <w:jc w:val="both"/>
            </w:pPr>
            <w:r>
              <w:t>Procédure à posteriori</w:t>
            </w:r>
          </w:p>
        </w:tc>
      </w:tr>
      <w:tr w:rsidR="00390430" w14:paraId="16911DAF" w14:textId="77777777" w:rsidTr="00390430">
        <w:tc>
          <w:tcPr>
            <w:tcW w:w="4531" w:type="dxa"/>
          </w:tcPr>
          <w:p w14:paraId="7D5F849B" w14:textId="53D92623" w:rsidR="00390430" w:rsidRDefault="00390430" w:rsidP="00390430">
            <w:pPr>
              <w:jc w:val="both"/>
            </w:pPr>
            <w:r>
              <w:t xml:space="preserve">La convention doit être </w:t>
            </w:r>
            <w:r w:rsidR="00BC41B2">
              <w:t>soumise</w:t>
            </w:r>
            <w:r>
              <w:t xml:space="preserve"> à l’autorisation préalable de la </w:t>
            </w:r>
            <w:r w:rsidR="00BC41B2">
              <w:t>collectivité</w:t>
            </w:r>
            <w:r>
              <w:t xml:space="preserve"> des associés lorsque :</w:t>
            </w:r>
          </w:p>
          <w:p w14:paraId="2E74A58C" w14:textId="77777777" w:rsidR="00390430" w:rsidRDefault="00390430" w:rsidP="00390430">
            <w:pPr>
              <w:jc w:val="both"/>
            </w:pPr>
            <w:r>
              <w:t>C’est un contrat par un gérant non associé</w:t>
            </w:r>
          </w:p>
          <w:p w14:paraId="0065E3D3" w14:textId="77777777" w:rsidR="00390430" w:rsidRDefault="00390430" w:rsidP="00390430">
            <w:pPr>
              <w:jc w:val="both"/>
            </w:pPr>
            <w:r>
              <w:t>Ou l’absence d’un CAC dans la SARL</w:t>
            </w:r>
          </w:p>
          <w:p w14:paraId="730AB2E0" w14:textId="77777777" w:rsidR="00390430" w:rsidRDefault="00390430" w:rsidP="00390430">
            <w:pPr>
              <w:jc w:val="both"/>
            </w:pPr>
          </w:p>
          <w:p w14:paraId="342266EE" w14:textId="77777777" w:rsidR="00390430" w:rsidRDefault="00390430" w:rsidP="00390430">
            <w:pPr>
              <w:pStyle w:val="Paragraphedeliste"/>
              <w:numPr>
                <w:ilvl w:val="0"/>
                <w:numId w:val="9"/>
              </w:numPr>
              <w:jc w:val="both"/>
            </w:pPr>
            <w:r>
              <w:t>Enumération des conventions soumises à l’approbation de l’AG</w:t>
            </w:r>
          </w:p>
          <w:p w14:paraId="441B309C" w14:textId="77777777" w:rsidR="00390430" w:rsidRDefault="00390430" w:rsidP="00390430">
            <w:pPr>
              <w:pStyle w:val="Paragraphedeliste"/>
              <w:numPr>
                <w:ilvl w:val="0"/>
                <w:numId w:val="9"/>
              </w:numPr>
              <w:jc w:val="both"/>
            </w:pPr>
            <w:r>
              <w:t>Nom des gérants ou associés concernés</w:t>
            </w:r>
          </w:p>
          <w:p w14:paraId="49F77C26" w14:textId="22C2F0E3" w:rsidR="00390430" w:rsidRDefault="00BC41B2" w:rsidP="00390430">
            <w:pPr>
              <w:pStyle w:val="Paragraphedeliste"/>
              <w:numPr>
                <w:ilvl w:val="0"/>
                <w:numId w:val="9"/>
              </w:numPr>
              <w:jc w:val="both"/>
            </w:pPr>
            <w:r>
              <w:t>Nature</w:t>
            </w:r>
            <w:r w:rsidR="00390430">
              <w:t xml:space="preserve"> et objet des conventions</w:t>
            </w:r>
          </w:p>
          <w:p w14:paraId="2DA69C01" w14:textId="32E4DF74" w:rsidR="00390430" w:rsidRDefault="00BC41B2" w:rsidP="00390430">
            <w:pPr>
              <w:pStyle w:val="Paragraphedeliste"/>
              <w:numPr>
                <w:ilvl w:val="0"/>
                <w:numId w:val="9"/>
              </w:numPr>
              <w:jc w:val="both"/>
            </w:pPr>
            <w:r>
              <w:lastRenderedPageBreak/>
              <w:t>Modalités paiement prix date de paiement ect</w:t>
            </w:r>
          </w:p>
        </w:tc>
        <w:tc>
          <w:tcPr>
            <w:tcW w:w="4531" w:type="dxa"/>
          </w:tcPr>
          <w:p w14:paraId="644919AC" w14:textId="77777777" w:rsidR="00390430" w:rsidRDefault="00BC41B2" w:rsidP="00390430">
            <w:pPr>
              <w:jc w:val="both"/>
            </w:pPr>
            <w:r>
              <w:lastRenderedPageBreak/>
              <w:t>Présentation d’un rapport spécial rédigé par :</w:t>
            </w:r>
          </w:p>
          <w:p w14:paraId="7A0D0C6D" w14:textId="77777777" w:rsidR="00BC41B2" w:rsidRDefault="00BC41B2" w:rsidP="00390430">
            <w:pPr>
              <w:jc w:val="both"/>
            </w:pPr>
            <w:r>
              <w:t>-CAC</w:t>
            </w:r>
          </w:p>
          <w:p w14:paraId="51A979EE" w14:textId="77777777" w:rsidR="00BC41B2" w:rsidRDefault="00BC41B2" w:rsidP="00390430">
            <w:pPr>
              <w:jc w:val="both"/>
            </w:pPr>
            <w:r>
              <w:t>-Gérant</w:t>
            </w:r>
          </w:p>
          <w:p w14:paraId="5B45C7D3" w14:textId="77777777" w:rsidR="00BC41B2" w:rsidRDefault="00BC41B2" w:rsidP="00390430">
            <w:pPr>
              <w:jc w:val="both"/>
            </w:pPr>
            <w:r>
              <w:t>Les associés statuent sur les conventions lors des AG annuelles</w:t>
            </w:r>
          </w:p>
          <w:p w14:paraId="41C59F07" w14:textId="4D8E3CAD" w:rsidR="00BC41B2" w:rsidRDefault="00BC41B2" w:rsidP="00390430">
            <w:pPr>
              <w:jc w:val="both"/>
            </w:pPr>
            <w:r>
              <w:t>L’intéressé ne participe pas au vote et les quorum et majorité doivent être calculés en fonction</w:t>
            </w:r>
          </w:p>
          <w:p w14:paraId="6BBB96B2" w14:textId="160981F1" w:rsidR="00BC41B2" w:rsidRDefault="00BC41B2" w:rsidP="00390430">
            <w:pPr>
              <w:jc w:val="both"/>
            </w:pPr>
            <w:r>
              <w:t>Si désapprobation, la convention reste valable mais l’intéressé engage sa responsabilité civile en cas de préjudice</w:t>
            </w:r>
          </w:p>
        </w:tc>
      </w:tr>
    </w:tbl>
    <w:p w14:paraId="58092D3B" w14:textId="525B880C" w:rsidR="00390430" w:rsidRDefault="00390430" w:rsidP="00390430">
      <w:pPr>
        <w:jc w:val="both"/>
      </w:pPr>
    </w:p>
    <w:p w14:paraId="2485A4B9" w14:textId="77777777" w:rsidR="00390430" w:rsidRDefault="00390430" w:rsidP="00390430">
      <w:pPr>
        <w:jc w:val="both"/>
      </w:pPr>
    </w:p>
    <w:p w14:paraId="0DA62FF0" w14:textId="4397D20F" w:rsidR="00390430" w:rsidRDefault="00DC1F36" w:rsidP="00390430">
      <w:pPr>
        <w:jc w:val="both"/>
      </w:pPr>
      <w:r>
        <w:t xml:space="preserve">En principe, les sociétés commerciales sont engagées pour les actes passés dans l’intérêt de la société. Cependant, lorsque l’objet social est dépassé la société reste engagée, sauf si le tiers est de mauvaise foi et qu’il avait connaissance du dépassement de l’objet social. Dans le cas d’un dépassement de clause limitative statutaire, la société reste engagée et ce même si le tiers est de mauvaise foi, ces clauses sont inopposables aux tiers. Leur violation peut donner lieu à </w:t>
      </w:r>
      <w:proofErr w:type="spellStart"/>
      <w:r>
        <w:t>d&amp;i</w:t>
      </w:r>
      <w:proofErr w:type="spellEnd"/>
      <w:r>
        <w:t xml:space="preserve"> lors de l’inculpation du gérant.</w:t>
      </w:r>
    </w:p>
    <w:p w14:paraId="5872A9EC" w14:textId="77777777" w:rsidR="00DC1F36" w:rsidRDefault="00DC1F36" w:rsidP="00390430">
      <w:pPr>
        <w:jc w:val="both"/>
      </w:pPr>
    </w:p>
    <w:p w14:paraId="03B8BD5C" w14:textId="77777777" w:rsidR="00DC1F36" w:rsidRDefault="00DC1F36" w:rsidP="00390430">
      <w:pPr>
        <w:jc w:val="both"/>
      </w:pPr>
    </w:p>
    <w:p w14:paraId="35BA4F7E" w14:textId="77777777" w:rsidR="00DC1F36" w:rsidRDefault="00DC1F36" w:rsidP="00390430">
      <w:pPr>
        <w:jc w:val="both"/>
      </w:pPr>
    </w:p>
    <w:p w14:paraId="45BEF5C3" w14:textId="77777777" w:rsidR="00390430" w:rsidRDefault="00390430" w:rsidP="00390430">
      <w:pPr>
        <w:jc w:val="both"/>
      </w:pPr>
    </w:p>
    <w:p w14:paraId="6AFBC49D" w14:textId="77777777" w:rsidR="00507A93" w:rsidRDefault="00507A93" w:rsidP="00390430">
      <w:pPr>
        <w:jc w:val="both"/>
      </w:pPr>
    </w:p>
    <w:p w14:paraId="7AE351A7" w14:textId="77777777" w:rsidR="00507A93" w:rsidRDefault="00507A93" w:rsidP="00390430">
      <w:pPr>
        <w:jc w:val="both"/>
      </w:pPr>
    </w:p>
    <w:sectPr w:rsidR="00507A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77A26"/>
    <w:multiLevelType w:val="hybridMultilevel"/>
    <w:tmpl w:val="9C028020"/>
    <w:lvl w:ilvl="0" w:tplc="CEB208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8071B3"/>
    <w:multiLevelType w:val="hybridMultilevel"/>
    <w:tmpl w:val="F3A00322"/>
    <w:lvl w:ilvl="0" w:tplc="BAA01B46">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0713B3"/>
    <w:multiLevelType w:val="hybridMultilevel"/>
    <w:tmpl w:val="AE743C9C"/>
    <w:lvl w:ilvl="0" w:tplc="CEB208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1A7DFC"/>
    <w:multiLevelType w:val="hybridMultilevel"/>
    <w:tmpl w:val="E8FA7578"/>
    <w:lvl w:ilvl="0" w:tplc="C39E2A4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57467AF"/>
    <w:multiLevelType w:val="hybridMultilevel"/>
    <w:tmpl w:val="0832A9DE"/>
    <w:lvl w:ilvl="0" w:tplc="5ADE5C9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25F1C"/>
    <w:multiLevelType w:val="hybridMultilevel"/>
    <w:tmpl w:val="E1C859E6"/>
    <w:lvl w:ilvl="0" w:tplc="3F9A4A0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8D54BC4"/>
    <w:multiLevelType w:val="multilevel"/>
    <w:tmpl w:val="BD26DA76"/>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06220766">
    <w:abstractNumId w:val="1"/>
  </w:num>
  <w:num w:numId="2" w16cid:durableId="1885634516">
    <w:abstractNumId w:val="5"/>
  </w:num>
  <w:num w:numId="3" w16cid:durableId="96024117">
    <w:abstractNumId w:val="3"/>
  </w:num>
  <w:num w:numId="4" w16cid:durableId="1269854897">
    <w:abstractNumId w:val="6"/>
  </w:num>
  <w:num w:numId="5" w16cid:durableId="9808167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2550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3254750">
    <w:abstractNumId w:val="2"/>
  </w:num>
  <w:num w:numId="8" w16cid:durableId="1353340647">
    <w:abstractNumId w:val="4"/>
  </w:num>
  <w:num w:numId="9" w16cid:durableId="8107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A93"/>
    <w:rsid w:val="00390430"/>
    <w:rsid w:val="003A6E18"/>
    <w:rsid w:val="00507A93"/>
    <w:rsid w:val="00583B9F"/>
    <w:rsid w:val="0073365D"/>
    <w:rsid w:val="009D253D"/>
    <w:rsid w:val="00A157D1"/>
    <w:rsid w:val="00BC41B2"/>
    <w:rsid w:val="00DC1F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5B8B"/>
  <w15:chartTrackingRefBased/>
  <w15:docId w15:val="{9FB67CBD-DF88-45BF-837D-58EAC8A3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6E18"/>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Titre2">
    <w:name w:val="heading 2"/>
    <w:basedOn w:val="Normal"/>
    <w:next w:val="Normal"/>
    <w:link w:val="Titre2Car"/>
    <w:uiPriority w:val="9"/>
    <w:unhideWhenUsed/>
    <w:qFormat/>
    <w:rsid w:val="003A6E18"/>
    <w:pPr>
      <w:keepNext/>
      <w:keepLines/>
      <w:numPr>
        <w:numId w:val="4"/>
      </w:numPr>
      <w:spacing w:before="40"/>
      <w:ind w:hanging="360"/>
      <w:outlineLvl w:val="1"/>
    </w:pPr>
    <w:rPr>
      <w:rFonts w:asciiTheme="majorHAnsi" w:eastAsiaTheme="majorEastAsia" w:hAnsiTheme="majorHAnsi" w:cstheme="majorBidi"/>
      <w:color w:val="0F4761" w:themeColor="accent1" w:themeShade="BF"/>
      <w:sz w:val="32"/>
      <w:szCs w:val="26"/>
    </w:rPr>
  </w:style>
  <w:style w:type="paragraph" w:styleId="Titre3">
    <w:name w:val="heading 3"/>
    <w:basedOn w:val="Normal"/>
    <w:next w:val="Normal"/>
    <w:link w:val="Titre3Car"/>
    <w:uiPriority w:val="9"/>
    <w:unhideWhenUsed/>
    <w:qFormat/>
    <w:rsid w:val="003A6E18"/>
    <w:pPr>
      <w:keepNext/>
      <w:keepLines/>
      <w:tabs>
        <w:tab w:val="num" w:pos="720"/>
      </w:tabs>
      <w:spacing w:before="40"/>
      <w:ind w:left="720" w:hanging="360"/>
      <w:outlineLvl w:val="2"/>
    </w:pPr>
    <w:rPr>
      <w:rFonts w:asciiTheme="majorHAnsi" w:eastAsiaTheme="majorEastAsia" w:hAnsiTheme="majorHAnsi" w:cstheme="majorBidi"/>
      <w:color w:val="0A2F40" w:themeColor="accent1" w:themeShade="7F"/>
      <w:sz w:val="28"/>
      <w:szCs w:val="24"/>
    </w:rPr>
  </w:style>
  <w:style w:type="paragraph" w:styleId="Titre4">
    <w:name w:val="heading 4"/>
    <w:basedOn w:val="Normal"/>
    <w:next w:val="Normal"/>
    <w:link w:val="Titre4Car"/>
    <w:uiPriority w:val="9"/>
    <w:unhideWhenUsed/>
    <w:qFormat/>
    <w:rsid w:val="003A6E18"/>
    <w:pPr>
      <w:keepNext/>
      <w:keepLines/>
      <w:tabs>
        <w:tab w:val="num" w:pos="720"/>
      </w:tabs>
      <w:spacing w:before="40"/>
      <w:ind w:left="720" w:hanging="360"/>
      <w:outlineLvl w:val="3"/>
    </w:pPr>
    <w:rPr>
      <w:rFonts w:asciiTheme="majorHAnsi" w:eastAsiaTheme="majorEastAsia" w:hAnsiTheme="majorHAnsi" w:cstheme="majorBidi"/>
      <w:iCs/>
      <w:color w:val="0F4761" w:themeColor="accent1" w:themeShade="BF"/>
      <w:sz w:val="24"/>
    </w:rPr>
  </w:style>
  <w:style w:type="paragraph" w:styleId="Titre5">
    <w:name w:val="heading 5"/>
    <w:basedOn w:val="Normal"/>
    <w:next w:val="Normal"/>
    <w:link w:val="Titre5Car"/>
    <w:uiPriority w:val="9"/>
    <w:semiHidden/>
    <w:unhideWhenUsed/>
    <w:qFormat/>
    <w:rsid w:val="00507A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7A9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7A9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7A9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7A9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6E18"/>
    <w:rPr>
      <w:rFonts w:asciiTheme="majorHAnsi" w:eastAsiaTheme="majorEastAsia" w:hAnsiTheme="majorHAnsi" w:cstheme="majorBidi"/>
      <w:color w:val="0F4761" w:themeColor="accent1" w:themeShade="BF"/>
      <w:sz w:val="36"/>
      <w:szCs w:val="32"/>
    </w:rPr>
  </w:style>
  <w:style w:type="character" w:customStyle="1" w:styleId="Titre2Car">
    <w:name w:val="Titre 2 Car"/>
    <w:basedOn w:val="Policepardfaut"/>
    <w:link w:val="Titre2"/>
    <w:uiPriority w:val="9"/>
    <w:rsid w:val="003A6E18"/>
    <w:rPr>
      <w:rFonts w:asciiTheme="majorHAnsi" w:eastAsiaTheme="majorEastAsia" w:hAnsiTheme="majorHAnsi" w:cstheme="majorBidi"/>
      <w:color w:val="0F4761" w:themeColor="accent1" w:themeShade="BF"/>
      <w:sz w:val="32"/>
      <w:szCs w:val="26"/>
    </w:rPr>
  </w:style>
  <w:style w:type="character" w:customStyle="1" w:styleId="Titre3Car">
    <w:name w:val="Titre 3 Car"/>
    <w:basedOn w:val="Policepardfaut"/>
    <w:link w:val="Titre3"/>
    <w:uiPriority w:val="9"/>
    <w:rsid w:val="003A6E18"/>
    <w:rPr>
      <w:rFonts w:asciiTheme="majorHAnsi" w:eastAsiaTheme="majorEastAsia" w:hAnsiTheme="majorHAnsi" w:cstheme="majorBidi"/>
      <w:color w:val="0A2F40" w:themeColor="accent1" w:themeShade="7F"/>
      <w:sz w:val="28"/>
      <w:szCs w:val="24"/>
    </w:rPr>
  </w:style>
  <w:style w:type="character" w:customStyle="1" w:styleId="Titre4Car">
    <w:name w:val="Titre 4 Car"/>
    <w:basedOn w:val="Policepardfaut"/>
    <w:link w:val="Titre4"/>
    <w:uiPriority w:val="9"/>
    <w:rsid w:val="003A6E18"/>
    <w:rPr>
      <w:rFonts w:asciiTheme="majorHAnsi" w:eastAsiaTheme="majorEastAsia" w:hAnsiTheme="majorHAnsi" w:cstheme="majorBidi"/>
      <w:iCs/>
      <w:color w:val="0F4761" w:themeColor="accent1" w:themeShade="BF"/>
      <w:sz w:val="24"/>
    </w:rPr>
  </w:style>
  <w:style w:type="character" w:customStyle="1" w:styleId="Titre5Car">
    <w:name w:val="Titre 5 Car"/>
    <w:basedOn w:val="Policepardfaut"/>
    <w:link w:val="Titre5"/>
    <w:uiPriority w:val="9"/>
    <w:semiHidden/>
    <w:rsid w:val="00507A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7A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7A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7A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7A93"/>
    <w:rPr>
      <w:rFonts w:eastAsiaTheme="majorEastAsia" w:cstheme="majorBidi"/>
      <w:color w:val="272727" w:themeColor="text1" w:themeTint="D8"/>
    </w:rPr>
  </w:style>
  <w:style w:type="paragraph" w:styleId="Titre">
    <w:name w:val="Title"/>
    <w:basedOn w:val="Normal"/>
    <w:next w:val="Normal"/>
    <w:link w:val="TitreCar"/>
    <w:uiPriority w:val="10"/>
    <w:qFormat/>
    <w:rsid w:val="00507A9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7A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7A9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7A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7A9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07A93"/>
    <w:rPr>
      <w:i/>
      <w:iCs/>
      <w:color w:val="404040" w:themeColor="text1" w:themeTint="BF"/>
    </w:rPr>
  </w:style>
  <w:style w:type="paragraph" w:styleId="Paragraphedeliste">
    <w:name w:val="List Paragraph"/>
    <w:basedOn w:val="Normal"/>
    <w:uiPriority w:val="34"/>
    <w:qFormat/>
    <w:rsid w:val="00507A93"/>
    <w:pPr>
      <w:ind w:left="720"/>
      <w:contextualSpacing/>
    </w:pPr>
  </w:style>
  <w:style w:type="character" w:styleId="Accentuationintense">
    <w:name w:val="Intense Emphasis"/>
    <w:basedOn w:val="Policepardfaut"/>
    <w:uiPriority w:val="21"/>
    <w:qFormat/>
    <w:rsid w:val="00507A93"/>
    <w:rPr>
      <w:i/>
      <w:iCs/>
      <w:color w:val="0F4761" w:themeColor="accent1" w:themeShade="BF"/>
    </w:rPr>
  </w:style>
  <w:style w:type="paragraph" w:styleId="Citationintense">
    <w:name w:val="Intense Quote"/>
    <w:basedOn w:val="Normal"/>
    <w:next w:val="Normal"/>
    <w:link w:val="CitationintenseCar"/>
    <w:uiPriority w:val="30"/>
    <w:qFormat/>
    <w:rsid w:val="00507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7A93"/>
    <w:rPr>
      <w:i/>
      <w:iCs/>
      <w:color w:val="0F4761" w:themeColor="accent1" w:themeShade="BF"/>
    </w:rPr>
  </w:style>
  <w:style w:type="character" w:styleId="Rfrenceintense">
    <w:name w:val="Intense Reference"/>
    <w:basedOn w:val="Policepardfaut"/>
    <w:uiPriority w:val="32"/>
    <w:qFormat/>
    <w:rsid w:val="00507A93"/>
    <w:rPr>
      <w:b/>
      <w:bCs/>
      <w:smallCaps/>
      <w:color w:val="0F4761" w:themeColor="accent1" w:themeShade="BF"/>
      <w:spacing w:val="5"/>
    </w:rPr>
  </w:style>
  <w:style w:type="table" w:styleId="Grilledutableau">
    <w:name w:val="Table Grid"/>
    <w:basedOn w:val="TableauNormal"/>
    <w:uiPriority w:val="39"/>
    <w:rsid w:val="00390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582</Words>
  <Characters>3202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BAUER Benjamin</cp:lastModifiedBy>
  <cp:revision>1</cp:revision>
  <dcterms:created xsi:type="dcterms:W3CDTF">2024-04-29T09:24:00Z</dcterms:created>
  <dcterms:modified xsi:type="dcterms:W3CDTF">2024-04-29T12:14:00Z</dcterms:modified>
</cp:coreProperties>
</file>