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1B0E3" w14:textId="6581F9F1" w:rsidR="009D253D" w:rsidRDefault="00044138" w:rsidP="00044138">
      <w:pPr>
        <w:jc w:val="center"/>
      </w:pPr>
      <w:r>
        <w:t xml:space="preserve">SNC </w:t>
      </w:r>
      <w:proofErr w:type="spellStart"/>
      <w:r>
        <w:t>Pressing’</w:t>
      </w:r>
      <w:r w:rsidR="00830AE7">
        <w:t>plus</w:t>
      </w:r>
      <w:proofErr w:type="spellEnd"/>
    </w:p>
    <w:p w14:paraId="2EA853D4" w14:textId="77777777" w:rsidR="00830AE7" w:rsidRDefault="00830AE7" w:rsidP="00830AE7"/>
    <w:p w14:paraId="03607C16" w14:textId="24C63296" w:rsidR="00842C9A" w:rsidRDefault="00842C9A" w:rsidP="00842C9A">
      <w:pPr>
        <w:pStyle w:val="Paragraphedeliste"/>
        <w:numPr>
          <w:ilvl w:val="0"/>
          <w:numId w:val="8"/>
        </w:numPr>
      </w:pPr>
      <w:r>
        <w:t>.</w:t>
      </w:r>
    </w:p>
    <w:p w14:paraId="2812A6FC" w14:textId="5F6F125D" w:rsidR="00264E8B" w:rsidRDefault="00842C9A" w:rsidP="00EB1A6E">
      <w:pPr>
        <w:jc w:val="both"/>
      </w:pPr>
      <w:r>
        <w:t>En principe, la SNC est constituée de 2 associés au minimum</w:t>
      </w:r>
      <w:r w:rsidR="00E27E4D">
        <w:t xml:space="preserve"> PP ou PM ayant la capacité commerciale qui n’est pas touchée d’une interdiction ou d’incompatibilité</w:t>
      </w:r>
      <w:r w:rsidR="004A707D">
        <w:t>. La SNC ne peut avoir une activité libérale.</w:t>
      </w:r>
      <w:r w:rsidR="00557DD6">
        <w:t xml:space="preserve"> </w:t>
      </w:r>
      <w:r w:rsidR="003D0232">
        <w:t>Le capital social</w:t>
      </w:r>
      <w:r w:rsidR="00264E8B">
        <w:t xml:space="preserve"> de la SNC peut être constitué d’apports en tout types</w:t>
      </w:r>
      <w:r w:rsidR="00F61838">
        <w:t>.</w:t>
      </w:r>
    </w:p>
    <w:p w14:paraId="62FD519C" w14:textId="1B22FB62" w:rsidR="00557DD6" w:rsidRDefault="00557DD6" w:rsidP="00EB1A6E">
      <w:pPr>
        <w:jc w:val="both"/>
      </w:pPr>
      <w:r>
        <w:t xml:space="preserve">La SNC se constitue par la rédaction des statuts, puis du dépôt du capital à la banque, puis </w:t>
      </w:r>
      <w:r w:rsidR="001B2AE6">
        <w:t>d’une publication au SHAL, enfin la SNC doit être immatriculée auprès du RNE.</w:t>
      </w:r>
    </w:p>
    <w:p w14:paraId="33FD6546" w14:textId="77777777" w:rsidR="00264E8B" w:rsidRDefault="00264E8B" w:rsidP="00EB1A6E">
      <w:pPr>
        <w:jc w:val="both"/>
      </w:pPr>
    </w:p>
    <w:p w14:paraId="366BE8EE" w14:textId="2D3A5BE0" w:rsidR="00584343" w:rsidRDefault="00584343" w:rsidP="00EB1A6E">
      <w:pPr>
        <w:jc w:val="both"/>
      </w:pPr>
      <w:r>
        <w:t xml:space="preserve">En l’espèce, </w:t>
      </w:r>
      <w:r w:rsidR="00D6508C">
        <w:t xml:space="preserve">la SNC </w:t>
      </w:r>
      <w:proofErr w:type="spellStart"/>
      <w:r w:rsidR="00D6508C">
        <w:t>Pressing’</w:t>
      </w:r>
      <w:r w:rsidR="00DD58E0">
        <w:t>p</w:t>
      </w:r>
      <w:r w:rsidR="00D6508C">
        <w:t>lus</w:t>
      </w:r>
      <w:proofErr w:type="spellEnd"/>
      <w:r w:rsidR="006F0F00">
        <w:t xml:space="preserve"> n’a pas d’activité libérale</w:t>
      </w:r>
      <w:r w:rsidR="00C2698D">
        <w:t>, donc son objet est licite</w:t>
      </w:r>
      <w:r w:rsidR="00D064DC">
        <w:t>.</w:t>
      </w:r>
      <w:r w:rsidR="0075382A">
        <w:t xml:space="preserve"> Elle est composée de </w:t>
      </w:r>
      <w:r w:rsidR="00D471E5">
        <w:t>2</w:t>
      </w:r>
      <w:r w:rsidR="0075382A">
        <w:t xml:space="preserve"> associés n’ayant pas d’incompatibilité</w:t>
      </w:r>
      <w:r w:rsidR="00907F1C">
        <w:t xml:space="preserve"> ou d’interdictions.</w:t>
      </w:r>
      <w:r w:rsidR="00082AE7">
        <w:t xml:space="preserve"> Le capital social est</w:t>
      </w:r>
      <w:r w:rsidR="008343CD">
        <w:t xml:space="preserve"> de </w:t>
      </w:r>
      <w:r w:rsidR="00511488">
        <w:t>200 000, car Fran</w:t>
      </w:r>
      <w:r w:rsidR="0099741C">
        <w:t>ck ne peut effectuer un apport puisqu’il ne peut être commerçant.</w:t>
      </w:r>
      <w:r w:rsidR="00797A4B">
        <w:t xml:space="preserve"> </w:t>
      </w:r>
    </w:p>
    <w:p w14:paraId="0BE91C26" w14:textId="77777777" w:rsidR="0086423D" w:rsidRDefault="0086423D" w:rsidP="00EB1A6E">
      <w:pPr>
        <w:jc w:val="both"/>
      </w:pPr>
    </w:p>
    <w:p w14:paraId="04EA1826" w14:textId="45CCE4CD" w:rsidR="0086423D" w:rsidRDefault="00096E41" w:rsidP="00EB1A6E">
      <w:pPr>
        <w:jc w:val="both"/>
      </w:pPr>
      <w:r>
        <w:t>4-</w:t>
      </w:r>
      <w:r>
        <w:tab/>
      </w:r>
    </w:p>
    <w:p w14:paraId="4A963C7F" w14:textId="1BD5FE2C" w:rsidR="00096E41" w:rsidRDefault="00962E7C" w:rsidP="00EB1A6E">
      <w:pPr>
        <w:jc w:val="both"/>
      </w:pPr>
      <w:r>
        <w:t>En principe,</w:t>
      </w:r>
      <w:r w:rsidR="00CC1D5B">
        <w:t xml:space="preserve"> l’associé d’une SNC est une PP ou PM </w:t>
      </w:r>
      <w:r w:rsidR="00B824CB">
        <w:t>bénéficiant de la capacité commerciale. Un associé disposant de la capacité commerciale ne peut être salarié.</w:t>
      </w:r>
    </w:p>
    <w:p w14:paraId="29319D81" w14:textId="77777777" w:rsidR="00846CB1" w:rsidRDefault="00846CB1" w:rsidP="00EB1A6E">
      <w:pPr>
        <w:jc w:val="both"/>
      </w:pPr>
    </w:p>
    <w:p w14:paraId="56A6DBCA" w14:textId="75553B9B" w:rsidR="00846CB1" w:rsidRDefault="00846CB1" w:rsidP="00EB1A6E">
      <w:pPr>
        <w:jc w:val="both"/>
      </w:pPr>
      <w:r>
        <w:t>En l’espèce</w:t>
      </w:r>
      <w:r w:rsidR="005E587B">
        <w:t>,</w:t>
      </w:r>
      <w:r>
        <w:t xml:space="preserve"> Françoise ne peut être salariée car elle est déjà associée de la SNC,</w:t>
      </w:r>
      <w:r w:rsidR="005B720A">
        <w:t xml:space="preserve"> </w:t>
      </w:r>
      <w:r w:rsidR="005C568C">
        <w:t xml:space="preserve">ainsi une </w:t>
      </w:r>
      <w:proofErr w:type="gramStart"/>
      <w:r w:rsidR="005C568C">
        <w:t>commerçante</w:t>
      </w:r>
      <w:proofErr w:type="gramEnd"/>
      <w:r w:rsidR="005C568C">
        <w:t xml:space="preserve"> ne peut devenir salariée.</w:t>
      </w:r>
    </w:p>
    <w:p w14:paraId="5667BB12" w14:textId="77777777" w:rsidR="00B930F2" w:rsidRDefault="00B930F2" w:rsidP="00EB1A6E">
      <w:pPr>
        <w:jc w:val="both"/>
      </w:pPr>
    </w:p>
    <w:p w14:paraId="329F2C2B" w14:textId="60967B21" w:rsidR="00B930F2" w:rsidRDefault="00B930F2" w:rsidP="00EB1A6E">
      <w:pPr>
        <w:jc w:val="both"/>
      </w:pPr>
      <w:r>
        <w:t>5-</w:t>
      </w:r>
    </w:p>
    <w:p w14:paraId="4BB78649" w14:textId="77DBF2A1" w:rsidR="00B930F2" w:rsidRDefault="00B930F2" w:rsidP="00EB1A6E">
      <w:pPr>
        <w:jc w:val="both"/>
      </w:pPr>
      <w:r>
        <w:t>En principe, la rémunération du gérant est établie en AG</w:t>
      </w:r>
      <w:r w:rsidR="00AD6ECD">
        <w:t>, les décisions sont effectuées à l’unanimité.</w:t>
      </w:r>
      <w:r w:rsidR="00FF3D0E">
        <w:t xml:space="preserve"> La violation des règles spécifiques de la SNC par un gérant peut entraîner sa révocation pour juste motif.</w:t>
      </w:r>
      <w:r w:rsidR="00824B42">
        <w:t xml:space="preserve"> </w:t>
      </w:r>
    </w:p>
    <w:p w14:paraId="50F043A1" w14:textId="77777777" w:rsidR="00065F73" w:rsidRDefault="00065F73" w:rsidP="00EB1A6E">
      <w:pPr>
        <w:jc w:val="both"/>
      </w:pPr>
    </w:p>
    <w:p w14:paraId="5E21E7CF" w14:textId="5885570B" w:rsidR="00065F73" w:rsidRDefault="00065F73" w:rsidP="00EB1A6E">
      <w:pPr>
        <w:jc w:val="both"/>
      </w:pPr>
      <w:r>
        <w:t xml:space="preserve">En l’espèce, Régis peut être révoqué </w:t>
      </w:r>
      <w:r w:rsidR="00111E35">
        <w:t xml:space="preserve">car il n’a pas respecté l’unanimité nécessaire pour </w:t>
      </w:r>
      <w:r w:rsidR="00644495">
        <w:t>augmenter sa rémunération.</w:t>
      </w:r>
    </w:p>
    <w:p w14:paraId="7EE8F371" w14:textId="77777777" w:rsidR="00870215" w:rsidRDefault="00870215" w:rsidP="00EB1A6E">
      <w:pPr>
        <w:jc w:val="both"/>
      </w:pPr>
    </w:p>
    <w:p w14:paraId="6AAF2B91" w14:textId="12C1DCA6" w:rsidR="006653ED" w:rsidRDefault="006653ED" w:rsidP="00EB1A6E">
      <w:pPr>
        <w:jc w:val="both"/>
      </w:pPr>
      <w:r>
        <w:t>6-</w:t>
      </w:r>
      <w:r>
        <w:tab/>
      </w:r>
    </w:p>
    <w:p w14:paraId="40BEE605" w14:textId="143C1F29" w:rsidR="00A92EE7" w:rsidRDefault="006653ED" w:rsidP="00EB1A6E">
      <w:pPr>
        <w:jc w:val="both"/>
      </w:pPr>
      <w:r>
        <w:t xml:space="preserve">En principe, la cession de parts sociales au sein d’une SNC est </w:t>
      </w:r>
      <w:r w:rsidR="00A2566A">
        <w:t>soumise</w:t>
      </w:r>
      <w:r>
        <w:t xml:space="preserve"> à l’agrément</w:t>
      </w:r>
      <w:r w:rsidR="00976712">
        <w:t xml:space="preserve"> voté à l’unanimité.</w:t>
      </w:r>
      <w:r w:rsidR="00506204">
        <w:t xml:space="preserve"> Les décisions sont votées à l’unanimité sauf clause contraire. Cependant, les cessions de parts sociales et la révocation de gérant doit être obligatoirement votée à l’unanimité.</w:t>
      </w:r>
    </w:p>
    <w:p w14:paraId="6DD57C07" w14:textId="1A37AA94" w:rsidR="00D01668" w:rsidRDefault="00D01668">
      <w:r>
        <w:br w:type="page"/>
      </w:r>
    </w:p>
    <w:p w14:paraId="6497A3B0" w14:textId="351EC108" w:rsidR="00D01668" w:rsidRDefault="00D01668" w:rsidP="00D01668">
      <w:pPr>
        <w:jc w:val="center"/>
      </w:pPr>
      <w:r>
        <w:lastRenderedPageBreak/>
        <w:t>SA MNGT</w:t>
      </w:r>
    </w:p>
    <w:p w14:paraId="1AEC0A7F" w14:textId="77777777" w:rsidR="009C3AE4" w:rsidRDefault="009C3AE4" w:rsidP="009C3AE4"/>
    <w:p w14:paraId="22B54580" w14:textId="77777777" w:rsidR="00B24FA8" w:rsidRDefault="00CA61E8" w:rsidP="007A42CA">
      <w:pPr>
        <w:jc w:val="both"/>
      </w:pPr>
      <w:r>
        <w:t>7-</w:t>
      </w:r>
      <w:r>
        <w:tab/>
      </w:r>
      <w:r w:rsidR="00EC1020">
        <w:t xml:space="preserve">En principe, </w:t>
      </w:r>
      <w:r w:rsidR="00C66A3B">
        <w:t>les actes ne correspondant ni à une convent</w:t>
      </w:r>
      <w:r w:rsidR="00A93B46">
        <w:t xml:space="preserve">ion libre, </w:t>
      </w:r>
      <w:r w:rsidR="007A42CA">
        <w:t>ni à</w:t>
      </w:r>
      <w:r w:rsidR="00A93B46">
        <w:t xml:space="preserve"> une convention </w:t>
      </w:r>
      <w:r w:rsidR="004A27FB">
        <w:t xml:space="preserve">interdite est dite règlementée. Une convention règlementée est un acte effectué entre la SA et </w:t>
      </w:r>
      <w:r w:rsidR="00B65495">
        <w:t>un</w:t>
      </w:r>
      <w:r w:rsidR="009631AA">
        <w:t xml:space="preserve"> DG, PCA, PDG, MCA, MDM, MCS</w:t>
      </w:r>
      <w:r w:rsidR="002D720E">
        <w:t>, actionnaire (&gt;10% des parts)</w:t>
      </w:r>
      <w:r w:rsidR="009631AA">
        <w:t> ; ou un acte conclut entre la SA et</w:t>
      </w:r>
      <w:r w:rsidR="00B65495">
        <w:t xml:space="preserve"> une</w:t>
      </w:r>
      <w:r w:rsidR="009631AA">
        <w:t xml:space="preserve"> </w:t>
      </w:r>
      <w:r w:rsidR="00786A73">
        <w:t>société dont le gérant, président, DG, PCA, PDG, MCA, MDM, MCS est associé</w:t>
      </w:r>
      <w:r w:rsidR="002D720E">
        <w:t xml:space="preserve"> </w:t>
      </w:r>
      <w:r w:rsidR="00786A73">
        <w:t>de la SA.</w:t>
      </w:r>
    </w:p>
    <w:p w14:paraId="08AD1B81" w14:textId="06723050" w:rsidR="009C3AE4" w:rsidRDefault="007C55F3" w:rsidP="007A42CA">
      <w:pPr>
        <w:jc w:val="both"/>
      </w:pPr>
      <w:r>
        <w:t>Une convention règlementée est soumise à procédure dans la SA.</w:t>
      </w:r>
      <w:r w:rsidR="00AF2D95">
        <w:t xml:space="preserve"> La convention doit être notifiée au </w:t>
      </w:r>
      <w:r w:rsidR="00D6583F">
        <w:t>conseil d’administration</w:t>
      </w:r>
      <w:r w:rsidR="00337B31">
        <w:t>.</w:t>
      </w:r>
      <w:r w:rsidR="00726D29">
        <w:t xml:space="preserve"> Puis,</w:t>
      </w:r>
      <w:r w:rsidR="00337B31">
        <w:t xml:space="preserve"> </w:t>
      </w:r>
      <w:r w:rsidR="00726D29">
        <w:t>l</w:t>
      </w:r>
      <w:r w:rsidR="00337B31">
        <w:t xml:space="preserve">e conseil d’administration vote pour accorder ou non une autorisation préalable a </w:t>
      </w:r>
      <w:r w:rsidR="00DE14F8">
        <w:t>effectué</w:t>
      </w:r>
      <w:r w:rsidR="00337B31">
        <w:t xml:space="preserve"> l’acte.</w:t>
      </w:r>
      <w:r w:rsidR="003501C8">
        <w:t xml:space="preserve"> L’autorisation préalable doit être notifiée au CAC via un rapport. Enfin lors de l’AGO</w:t>
      </w:r>
      <w:r w:rsidR="00F40E2A">
        <w:t xml:space="preserve">, </w:t>
      </w:r>
      <w:r w:rsidR="007828A9">
        <w:t xml:space="preserve">le rapport spécial du CAC sera </w:t>
      </w:r>
      <w:r w:rsidR="001671BF">
        <w:t>présenté</w:t>
      </w:r>
      <w:r w:rsidR="007828A9">
        <w:t xml:space="preserve"> afin d’approuver ou non la convention</w:t>
      </w:r>
      <w:r w:rsidR="005178F9">
        <w:t xml:space="preserve">, si la personne concernée par la convention est </w:t>
      </w:r>
      <w:r w:rsidR="0053400F">
        <w:t>associé</w:t>
      </w:r>
      <w:r w:rsidR="004A370E">
        <w:t>e, elle ne peut participer au vote et le quorum et la majorité nécessaire doivent en tenir compte.</w:t>
      </w:r>
    </w:p>
    <w:p w14:paraId="4F9C7662" w14:textId="614D35AB" w:rsidR="001671BF" w:rsidRDefault="001671BF" w:rsidP="007A42CA">
      <w:pPr>
        <w:jc w:val="both"/>
      </w:pPr>
      <w:r>
        <w:t xml:space="preserve">Si la convention n’est pas approuvée, elle produit </w:t>
      </w:r>
      <w:r w:rsidR="00CE7D97">
        <w:t>ses effets mais la personne concernée par la convention pourra voir sa responsabilité engagée</w:t>
      </w:r>
      <w:r w:rsidR="00726D29">
        <w:t xml:space="preserve"> en cas de litige.</w:t>
      </w:r>
    </w:p>
    <w:p w14:paraId="3732761B" w14:textId="77777777" w:rsidR="0059521B" w:rsidRDefault="0059521B" w:rsidP="007A42CA">
      <w:pPr>
        <w:jc w:val="both"/>
      </w:pPr>
    </w:p>
    <w:p w14:paraId="152E7B88" w14:textId="4284CAF7" w:rsidR="0059521B" w:rsidRDefault="0059521B" w:rsidP="007A42CA">
      <w:pPr>
        <w:jc w:val="both"/>
      </w:pPr>
      <w:r>
        <w:t>8-</w:t>
      </w:r>
      <w:r>
        <w:tab/>
        <w:t xml:space="preserve">En principe, </w:t>
      </w:r>
    </w:p>
    <w:p w14:paraId="5A0B7163" w14:textId="77777777" w:rsidR="0059521B" w:rsidRDefault="0059521B" w:rsidP="007A42CA">
      <w:pPr>
        <w:jc w:val="both"/>
      </w:pPr>
    </w:p>
    <w:p w14:paraId="47A21EB7" w14:textId="77777777" w:rsidR="00726D29" w:rsidRDefault="00726D29" w:rsidP="007A42CA">
      <w:pPr>
        <w:jc w:val="both"/>
      </w:pPr>
    </w:p>
    <w:p w14:paraId="010C95FA" w14:textId="77777777" w:rsidR="00413B13" w:rsidRDefault="00413B13" w:rsidP="007A42CA">
      <w:pPr>
        <w:jc w:val="both"/>
      </w:pPr>
    </w:p>
    <w:p w14:paraId="684F43C7" w14:textId="61FDDE7F" w:rsidR="00771826" w:rsidRDefault="00771826">
      <w:r>
        <w:br w:type="page"/>
      </w:r>
    </w:p>
    <w:p w14:paraId="634D98C2" w14:textId="77777777" w:rsidR="00726D29" w:rsidRDefault="00726D29" w:rsidP="007A42CA">
      <w:pPr>
        <w:jc w:val="both"/>
      </w:pPr>
    </w:p>
    <w:sectPr w:rsidR="00726D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071B3"/>
    <w:multiLevelType w:val="hybridMultilevel"/>
    <w:tmpl w:val="F3A00322"/>
    <w:lvl w:ilvl="0" w:tplc="BAA01B4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A7DFC"/>
    <w:multiLevelType w:val="hybridMultilevel"/>
    <w:tmpl w:val="E8FA7578"/>
    <w:lvl w:ilvl="0" w:tplc="C39E2A46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42CA0"/>
    <w:multiLevelType w:val="hybridMultilevel"/>
    <w:tmpl w:val="36B40F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15D98"/>
    <w:multiLevelType w:val="hybridMultilevel"/>
    <w:tmpl w:val="B0403AD4"/>
    <w:lvl w:ilvl="0" w:tplc="D610A8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25F1C"/>
    <w:multiLevelType w:val="hybridMultilevel"/>
    <w:tmpl w:val="E1C859E6"/>
    <w:lvl w:ilvl="0" w:tplc="3F9A4A06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D54BC4"/>
    <w:multiLevelType w:val="multilevel"/>
    <w:tmpl w:val="BD26DA76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06220766">
    <w:abstractNumId w:val="0"/>
  </w:num>
  <w:num w:numId="2" w16cid:durableId="1885634516">
    <w:abstractNumId w:val="4"/>
  </w:num>
  <w:num w:numId="3" w16cid:durableId="96024117">
    <w:abstractNumId w:val="1"/>
  </w:num>
  <w:num w:numId="4" w16cid:durableId="1269854897">
    <w:abstractNumId w:val="5"/>
  </w:num>
  <w:num w:numId="5" w16cid:durableId="9808167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992550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93215353">
    <w:abstractNumId w:val="2"/>
  </w:num>
  <w:num w:numId="8" w16cid:durableId="71392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71"/>
    <w:rsid w:val="00023F4A"/>
    <w:rsid w:val="00044138"/>
    <w:rsid w:val="00065F73"/>
    <w:rsid w:val="00082AE7"/>
    <w:rsid w:val="00096E41"/>
    <w:rsid w:val="000C36A9"/>
    <w:rsid w:val="00111E35"/>
    <w:rsid w:val="001671BF"/>
    <w:rsid w:val="001B2AE6"/>
    <w:rsid w:val="00264E8B"/>
    <w:rsid w:val="002D720E"/>
    <w:rsid w:val="002F4AD7"/>
    <w:rsid w:val="003119E0"/>
    <w:rsid w:val="00337B31"/>
    <w:rsid w:val="003501C8"/>
    <w:rsid w:val="00380F71"/>
    <w:rsid w:val="003A6E18"/>
    <w:rsid w:val="003D0232"/>
    <w:rsid w:val="00413B13"/>
    <w:rsid w:val="004203E1"/>
    <w:rsid w:val="004A27FB"/>
    <w:rsid w:val="004A370E"/>
    <w:rsid w:val="004A707D"/>
    <w:rsid w:val="004F1879"/>
    <w:rsid w:val="00506204"/>
    <w:rsid w:val="00511488"/>
    <w:rsid w:val="005178F9"/>
    <w:rsid w:val="0053400F"/>
    <w:rsid w:val="00557DD6"/>
    <w:rsid w:val="00584343"/>
    <w:rsid w:val="0059521B"/>
    <w:rsid w:val="005B720A"/>
    <w:rsid w:val="005C568C"/>
    <w:rsid w:val="005E587B"/>
    <w:rsid w:val="00644495"/>
    <w:rsid w:val="006653ED"/>
    <w:rsid w:val="006F0F00"/>
    <w:rsid w:val="00726D29"/>
    <w:rsid w:val="0073365D"/>
    <w:rsid w:val="0075382A"/>
    <w:rsid w:val="00771826"/>
    <w:rsid w:val="007828A9"/>
    <w:rsid w:val="00783DB1"/>
    <w:rsid w:val="00786A73"/>
    <w:rsid w:val="00797A4B"/>
    <w:rsid w:val="007A42CA"/>
    <w:rsid w:val="007C55F3"/>
    <w:rsid w:val="007F3B5F"/>
    <w:rsid w:val="00824B42"/>
    <w:rsid w:val="00830AE7"/>
    <w:rsid w:val="008343CD"/>
    <w:rsid w:val="00842C9A"/>
    <w:rsid w:val="00846CB1"/>
    <w:rsid w:val="0086423D"/>
    <w:rsid w:val="00870215"/>
    <w:rsid w:val="008B28A1"/>
    <w:rsid w:val="00907F1C"/>
    <w:rsid w:val="00952CBB"/>
    <w:rsid w:val="00962E7C"/>
    <w:rsid w:val="009631AA"/>
    <w:rsid w:val="00976712"/>
    <w:rsid w:val="0099741C"/>
    <w:rsid w:val="009C3AE4"/>
    <w:rsid w:val="009D253D"/>
    <w:rsid w:val="00A157D1"/>
    <w:rsid w:val="00A2566A"/>
    <w:rsid w:val="00A41BA3"/>
    <w:rsid w:val="00A92EE7"/>
    <w:rsid w:val="00A93B46"/>
    <w:rsid w:val="00AC047D"/>
    <w:rsid w:val="00AD6ECD"/>
    <w:rsid w:val="00AF2AAC"/>
    <w:rsid w:val="00AF2D95"/>
    <w:rsid w:val="00B24FA8"/>
    <w:rsid w:val="00B65495"/>
    <w:rsid w:val="00B824CB"/>
    <w:rsid w:val="00B930F2"/>
    <w:rsid w:val="00C2698D"/>
    <w:rsid w:val="00C52955"/>
    <w:rsid w:val="00C66A3B"/>
    <w:rsid w:val="00CA61E8"/>
    <w:rsid w:val="00CC1D5B"/>
    <w:rsid w:val="00CE7D97"/>
    <w:rsid w:val="00D01668"/>
    <w:rsid w:val="00D064DC"/>
    <w:rsid w:val="00D471E5"/>
    <w:rsid w:val="00D6508C"/>
    <w:rsid w:val="00D6583F"/>
    <w:rsid w:val="00D71556"/>
    <w:rsid w:val="00D727AE"/>
    <w:rsid w:val="00DD58E0"/>
    <w:rsid w:val="00DE14F8"/>
    <w:rsid w:val="00E27E4D"/>
    <w:rsid w:val="00EB1A6E"/>
    <w:rsid w:val="00EC1020"/>
    <w:rsid w:val="00F40E2A"/>
    <w:rsid w:val="00F61838"/>
    <w:rsid w:val="00FA27AC"/>
    <w:rsid w:val="00FB6031"/>
    <w:rsid w:val="00FF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D5E13"/>
  <w15:chartTrackingRefBased/>
  <w15:docId w15:val="{F51BF505-CE82-4F69-96BC-6F943D77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6E1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A6E18"/>
    <w:pPr>
      <w:keepNext/>
      <w:keepLines/>
      <w:numPr>
        <w:numId w:val="4"/>
      </w:numPr>
      <w:spacing w:before="40"/>
      <w:ind w:hanging="3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A6E18"/>
    <w:pPr>
      <w:keepNext/>
      <w:keepLines/>
      <w:tabs>
        <w:tab w:val="num" w:pos="720"/>
      </w:tabs>
      <w:spacing w:before="40"/>
      <w:ind w:left="720" w:hanging="360"/>
      <w:outlineLvl w:val="2"/>
    </w:pPr>
    <w:rPr>
      <w:rFonts w:asciiTheme="majorHAnsi" w:eastAsiaTheme="majorEastAsia" w:hAnsiTheme="majorHAnsi" w:cstheme="majorBidi"/>
      <w:color w:val="0A2F40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A6E18"/>
    <w:pPr>
      <w:keepNext/>
      <w:keepLines/>
      <w:tabs>
        <w:tab w:val="num" w:pos="720"/>
      </w:tabs>
      <w:spacing w:before="40"/>
      <w:ind w:left="720" w:hanging="360"/>
      <w:outlineLvl w:val="3"/>
    </w:pPr>
    <w:rPr>
      <w:rFonts w:asciiTheme="majorHAnsi" w:eastAsiaTheme="majorEastAsia" w:hAnsiTheme="majorHAnsi" w:cstheme="majorBidi"/>
      <w:iCs/>
      <w:color w:val="0F4761" w:themeColor="accent1" w:themeShade="BF"/>
      <w:sz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0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0F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0F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0F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0F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6E18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A6E18"/>
    <w:rPr>
      <w:rFonts w:asciiTheme="majorHAnsi" w:eastAsiaTheme="majorEastAsia" w:hAnsiTheme="majorHAnsi" w:cstheme="majorBidi"/>
      <w:color w:val="0F4761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A6E18"/>
    <w:rPr>
      <w:rFonts w:asciiTheme="majorHAnsi" w:eastAsiaTheme="majorEastAsia" w:hAnsiTheme="majorHAnsi" w:cstheme="majorBidi"/>
      <w:color w:val="0A2F40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3A6E18"/>
    <w:rPr>
      <w:rFonts w:asciiTheme="majorHAnsi" w:eastAsiaTheme="majorEastAsia" w:hAnsiTheme="majorHAnsi" w:cstheme="majorBidi"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380F7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0F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0F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0F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0F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0F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0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0F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0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0F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0F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0F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0F7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0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0F7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0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429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117</cp:revision>
  <dcterms:created xsi:type="dcterms:W3CDTF">2024-05-06T08:25:00Z</dcterms:created>
  <dcterms:modified xsi:type="dcterms:W3CDTF">2024-05-13T10:22:00Z</dcterms:modified>
</cp:coreProperties>
</file>