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E55C48" w14:textId="77777777" w:rsidR="00F6782F" w:rsidRDefault="00D8545E" w:rsidP="002A3CD6">
      <w:pPr>
        <w:jc w:val="both"/>
      </w:pPr>
      <w:r>
        <w:t>La société en nom collectif, les professions libérales ne sont pas autorisées en SNC</w:t>
      </w:r>
    </w:p>
    <w:p w14:paraId="5111FF96" w14:textId="77777777" w:rsidR="00D8545E" w:rsidRDefault="00D8545E" w:rsidP="002A3CD6">
      <w:pPr>
        <w:jc w:val="both"/>
      </w:pPr>
      <w:r>
        <w:t>Composé au minimum de 2associés, d’apport de tout type (numéraire, nature, et industrie). Si apports en industrie. Le CS est déterminé par les statuts et n’a pas de minimum exigé.</w:t>
      </w:r>
    </w:p>
    <w:p w14:paraId="3A86F7A2" w14:textId="77777777" w:rsidR="00D8545E" w:rsidRDefault="00D8545E" w:rsidP="002A3CD6">
      <w:pPr>
        <w:jc w:val="both"/>
      </w:pPr>
      <w:r>
        <w:t>La SNC est composée de CS, d’associés, apports de tout types, et de l’affectio societatis car pour les évènement altérant les associés, agrément, cession, révocation (entraînant peut être la dissolution de la société) il faut l’unanimité.</w:t>
      </w:r>
    </w:p>
    <w:p w14:paraId="66D6C908" w14:textId="77777777" w:rsidR="00D8545E" w:rsidRDefault="00D8545E" w:rsidP="002A3CD6">
      <w:pPr>
        <w:jc w:val="both"/>
      </w:pPr>
      <w:r>
        <w:t>Pour la SNC il faut 2 associés au minimum et PP ou PM, de plus il faut la capacité commerciale excluant ainsi les mineurs, et personne frappée d’interdiction et d’incapacité</w:t>
      </w:r>
    </w:p>
    <w:p w14:paraId="58EB272C" w14:textId="77777777" w:rsidR="00C763B9" w:rsidRDefault="00C763B9" w:rsidP="002A3CD6">
      <w:pPr>
        <w:jc w:val="both"/>
      </w:pPr>
    </w:p>
    <w:p w14:paraId="504AB912" w14:textId="77777777" w:rsidR="00D8545E" w:rsidRDefault="00D8545E" w:rsidP="002A3CD6">
      <w:pPr>
        <w:jc w:val="both"/>
      </w:pPr>
      <w:r>
        <w:rPr>
          <w:noProof/>
          <w:lang w:eastAsia="fr-FR"/>
        </w:rPr>
        <w:drawing>
          <wp:anchor distT="0" distB="0" distL="114300" distR="114300" simplePos="0" relativeHeight="251659264" behindDoc="0" locked="0" layoutInCell="1" allowOverlap="1" wp14:anchorId="03A1B005" wp14:editId="6CEA5F8C">
            <wp:simplePos x="0" y="0"/>
            <wp:positionH relativeFrom="margin">
              <wp:align>left</wp:align>
            </wp:positionH>
            <wp:positionV relativeFrom="paragraph">
              <wp:posOffset>286487</wp:posOffset>
            </wp:positionV>
            <wp:extent cx="5486400" cy="526694"/>
            <wp:effectExtent l="0" t="19050" r="38100" b="45085"/>
            <wp:wrapNone/>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V relativeFrom="margin">
              <wp14:pctHeight>0</wp14:pctHeight>
            </wp14:sizeRelV>
          </wp:anchor>
        </w:drawing>
      </w:r>
      <w:r>
        <w:t>Pour créer la SNC c’est commun à toutes les sociétés :</w:t>
      </w:r>
    </w:p>
    <w:p w14:paraId="5DAACB91" w14:textId="77777777" w:rsidR="00D8545E" w:rsidRDefault="00D8545E" w:rsidP="002A3CD6">
      <w:pPr>
        <w:jc w:val="both"/>
      </w:pPr>
    </w:p>
    <w:p w14:paraId="7C506652" w14:textId="77777777" w:rsidR="00D8545E" w:rsidRPr="00D8545E" w:rsidRDefault="00D8545E" w:rsidP="002A3CD6">
      <w:pPr>
        <w:jc w:val="both"/>
      </w:pPr>
    </w:p>
    <w:p w14:paraId="3372402A" w14:textId="77777777" w:rsidR="00D8545E" w:rsidRDefault="00D8545E" w:rsidP="002A3CD6">
      <w:pPr>
        <w:jc w:val="both"/>
      </w:pPr>
    </w:p>
    <w:p w14:paraId="41146625" w14:textId="77777777" w:rsidR="00D8545E" w:rsidRDefault="00D8545E" w:rsidP="002A3CD6">
      <w:pPr>
        <w:jc w:val="both"/>
      </w:pPr>
      <w:r>
        <w:t>Le rapport de gestion est obligatoire envers les associés par le gérant sauf si la PME ne dépasse pas :</w:t>
      </w:r>
    </w:p>
    <w:p w14:paraId="469F7FF1" w14:textId="77777777" w:rsidR="00D8545E" w:rsidRDefault="00D8545E" w:rsidP="002A3CD6">
      <w:pPr>
        <w:pStyle w:val="Paragraphedeliste"/>
        <w:numPr>
          <w:ilvl w:val="0"/>
          <w:numId w:val="1"/>
        </w:numPr>
        <w:jc w:val="both"/>
      </w:pPr>
      <w:r>
        <w:t>8M€ de CA</w:t>
      </w:r>
    </w:p>
    <w:p w14:paraId="6FFC2CF8" w14:textId="77777777" w:rsidR="00D8545E" w:rsidRDefault="00D8545E" w:rsidP="002A3CD6">
      <w:pPr>
        <w:pStyle w:val="Paragraphedeliste"/>
        <w:numPr>
          <w:ilvl w:val="0"/>
          <w:numId w:val="1"/>
        </w:numPr>
        <w:jc w:val="both"/>
      </w:pPr>
      <w:r>
        <w:t>4M€ de total bilan</w:t>
      </w:r>
    </w:p>
    <w:p w14:paraId="38561FEE" w14:textId="77777777" w:rsidR="00D8545E" w:rsidRDefault="00D8545E" w:rsidP="002A3CD6">
      <w:pPr>
        <w:pStyle w:val="Paragraphedeliste"/>
        <w:numPr>
          <w:ilvl w:val="0"/>
          <w:numId w:val="1"/>
        </w:numPr>
        <w:jc w:val="both"/>
      </w:pPr>
      <w:r>
        <w:t>50 salariés</w:t>
      </w:r>
    </w:p>
    <w:p w14:paraId="5B13AE6C" w14:textId="77777777" w:rsidR="00D8545E" w:rsidRDefault="00C763B9" w:rsidP="002A3CD6">
      <w:pPr>
        <w:jc w:val="both"/>
        <w:rPr>
          <w:sz w:val="28"/>
        </w:rPr>
      </w:pPr>
      <w:r>
        <w:t xml:space="preserve">Par défaut chaque associé dispose d’une voix.  </w:t>
      </w:r>
      <w:r w:rsidRPr="00C763B9">
        <w:rPr>
          <w:sz w:val="28"/>
        </w:rPr>
        <w:t>1 HOMME = 1 VOIX</w:t>
      </w:r>
    </w:p>
    <w:p w14:paraId="1D175195" w14:textId="77777777" w:rsidR="00C763B9" w:rsidRDefault="00C763B9" w:rsidP="002A3CD6">
      <w:pPr>
        <w:jc w:val="both"/>
      </w:pPr>
      <w:r>
        <w:t>La réunion de l’AG se fait pour approuver les comptes annuels. Les associés sont convoqués par le gérant dans le formalisme prévu par les statuts.</w:t>
      </w:r>
    </w:p>
    <w:p w14:paraId="22A18DA2" w14:textId="77777777" w:rsidR="00C763B9" w:rsidRDefault="00C763B9" w:rsidP="002A3CD6">
      <w:pPr>
        <w:jc w:val="both"/>
      </w:pPr>
      <w:r>
        <w:t>Les décisions sont prises à l’unanimité en principe, sauf clause contraire dans les statuts. Malgré les statuts des décisions doivent être approuvées par l’unanimité :</w:t>
      </w:r>
    </w:p>
    <w:p w14:paraId="2AC344CA" w14:textId="77777777" w:rsidR="00C763B9" w:rsidRDefault="00C763B9" w:rsidP="002A3CD6">
      <w:pPr>
        <w:pStyle w:val="Paragraphedeliste"/>
        <w:numPr>
          <w:ilvl w:val="0"/>
          <w:numId w:val="1"/>
        </w:numPr>
        <w:jc w:val="both"/>
      </w:pPr>
      <w:r>
        <w:t>Révocation du gérant, associé statutaire</w:t>
      </w:r>
    </w:p>
    <w:p w14:paraId="2032B10F" w14:textId="77777777" w:rsidR="00C763B9" w:rsidRDefault="00C763B9" w:rsidP="002A3CD6">
      <w:pPr>
        <w:pStyle w:val="Paragraphedeliste"/>
        <w:numPr>
          <w:ilvl w:val="0"/>
          <w:numId w:val="1"/>
        </w:numPr>
        <w:jc w:val="both"/>
      </w:pPr>
      <w:r>
        <w:t>Cession des parts sociales</w:t>
      </w:r>
    </w:p>
    <w:p w14:paraId="53BF3E5A" w14:textId="77777777" w:rsidR="00C763B9" w:rsidRDefault="00C763B9" w:rsidP="002A3CD6">
      <w:pPr>
        <w:jc w:val="both"/>
      </w:pPr>
      <w:r>
        <w:t>Enfin, l’AG donne lieu à procès-verbal avec la signature des tous les associés présents.</w:t>
      </w:r>
    </w:p>
    <w:p w14:paraId="6AC7DB7C" w14:textId="77777777" w:rsidR="00C763B9" w:rsidRDefault="00C763B9" w:rsidP="002A3CD6">
      <w:pPr>
        <w:jc w:val="both"/>
      </w:pPr>
    </w:p>
    <w:p w14:paraId="103C0741" w14:textId="77777777" w:rsidR="00C763B9" w:rsidRDefault="00C763B9" w:rsidP="002A3CD6">
      <w:pPr>
        <w:jc w:val="both"/>
      </w:pPr>
      <w:r>
        <w:t>Les cessions de parts sociales sont uniquement à l’unanimité, et ce même si une clause contraire existe. Cette clause sera réputée non écrite. Règle qualifiée d’ordre publique.</w:t>
      </w:r>
    </w:p>
    <w:p w14:paraId="69EF0EF8" w14:textId="77777777" w:rsidR="00C1143D" w:rsidRDefault="00C1143D" w:rsidP="002A3CD6">
      <w:pPr>
        <w:jc w:val="both"/>
      </w:pPr>
      <w:r>
        <w:t>Le décès d’un associé entraîne la dissolution de la société, sauf s’il existe une clause de continuation, permettant la transmission des parts sociales.</w:t>
      </w:r>
    </w:p>
    <w:p w14:paraId="131E2F71" w14:textId="77777777" w:rsidR="00C763B9" w:rsidRDefault="00C763B9" w:rsidP="002A3CD6">
      <w:pPr>
        <w:jc w:val="both"/>
      </w:pPr>
      <w:r>
        <w:t>La clause de continuation peut avoir plusieurs formes :</w:t>
      </w:r>
    </w:p>
    <w:p w14:paraId="080EB262" w14:textId="77777777" w:rsidR="00C763B9" w:rsidRDefault="00C763B9" w:rsidP="002A3CD6">
      <w:pPr>
        <w:pStyle w:val="Paragraphedeliste"/>
        <w:numPr>
          <w:ilvl w:val="0"/>
          <w:numId w:val="1"/>
        </w:numPr>
        <w:spacing w:line="276" w:lineRule="auto"/>
        <w:jc w:val="both"/>
      </w:pPr>
      <w:r>
        <w:t>Clause de continuation avec les associés survivants, les parts sont rachetées aux héritiers</w:t>
      </w:r>
    </w:p>
    <w:p w14:paraId="36DE1326" w14:textId="77777777" w:rsidR="00C763B9" w:rsidRDefault="00C763B9" w:rsidP="002A3CD6">
      <w:pPr>
        <w:pStyle w:val="Paragraphedeliste"/>
        <w:numPr>
          <w:ilvl w:val="0"/>
          <w:numId w:val="1"/>
        </w:numPr>
        <w:spacing w:line="276" w:lineRule="auto"/>
        <w:jc w:val="both"/>
      </w:pPr>
      <w:r>
        <w:t>Clause de continuation avec les héritiers intégrant la SNC comme associés. Les héritiers doivent être agrées par les associés survivants, à défaut ils seront indemnisés.</w:t>
      </w:r>
    </w:p>
    <w:p w14:paraId="00915F77" w14:textId="77777777" w:rsidR="00C763B9" w:rsidRDefault="00C763B9" w:rsidP="002A3CD6">
      <w:pPr>
        <w:pStyle w:val="Paragraphedeliste"/>
        <w:numPr>
          <w:ilvl w:val="0"/>
          <w:numId w:val="1"/>
        </w:numPr>
        <w:spacing w:line="276" w:lineRule="auto"/>
        <w:jc w:val="both"/>
      </w:pPr>
      <w:r>
        <w:t>Clause de continuation avec les héritiers mineurs</w:t>
      </w:r>
      <w:r w:rsidR="00C1143D">
        <w:t>, il ne sera tenu des dettes qu’à hauteur de l’actif de succession. Mais la société devra être transformée.</w:t>
      </w:r>
    </w:p>
    <w:p w14:paraId="640816B8" w14:textId="77777777" w:rsidR="00C1143D" w:rsidRDefault="00C1143D" w:rsidP="002A3CD6">
      <w:pPr>
        <w:spacing w:line="276" w:lineRule="auto"/>
        <w:jc w:val="both"/>
      </w:pPr>
      <w:r>
        <w:rPr>
          <w:noProof/>
          <w:lang w:eastAsia="fr-FR"/>
        </w:rPr>
        <w:lastRenderedPageBreak/>
        <w:drawing>
          <wp:anchor distT="0" distB="0" distL="114300" distR="114300" simplePos="0" relativeHeight="251660288" behindDoc="0" locked="0" layoutInCell="1" allowOverlap="1" wp14:anchorId="76606360" wp14:editId="6AD14F96">
            <wp:simplePos x="0" y="0"/>
            <wp:positionH relativeFrom="margin">
              <wp:align>left</wp:align>
            </wp:positionH>
            <wp:positionV relativeFrom="paragraph">
              <wp:posOffset>299898</wp:posOffset>
            </wp:positionV>
            <wp:extent cx="5486400" cy="651053"/>
            <wp:effectExtent l="0" t="0" r="38100" b="15875"/>
            <wp:wrapNone/>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V relativeFrom="margin">
              <wp14:pctHeight>0</wp14:pctHeight>
            </wp14:sizeRelV>
          </wp:anchor>
        </w:drawing>
      </w:r>
      <w:r>
        <w:t>La cession est soumise à procédure :</w:t>
      </w:r>
    </w:p>
    <w:p w14:paraId="255C7D6B" w14:textId="77777777" w:rsidR="00C1143D" w:rsidRDefault="00C1143D" w:rsidP="002A3CD6">
      <w:pPr>
        <w:spacing w:line="276" w:lineRule="auto"/>
        <w:jc w:val="both"/>
      </w:pPr>
    </w:p>
    <w:p w14:paraId="68443860" w14:textId="77777777" w:rsidR="00C1143D" w:rsidRDefault="00C1143D" w:rsidP="002A3CD6">
      <w:pPr>
        <w:jc w:val="both"/>
      </w:pPr>
    </w:p>
    <w:p w14:paraId="1C33B828" w14:textId="77777777" w:rsidR="00C1143D" w:rsidRDefault="00C1143D" w:rsidP="002A3CD6">
      <w:pPr>
        <w:jc w:val="both"/>
      </w:pPr>
    </w:p>
    <w:p w14:paraId="072CA4FC" w14:textId="77777777" w:rsidR="00C1143D" w:rsidRDefault="00C1143D" w:rsidP="002A3CD6">
      <w:pPr>
        <w:jc w:val="both"/>
      </w:pPr>
    </w:p>
    <w:p w14:paraId="56C211D7" w14:textId="77777777" w:rsidR="00C1143D" w:rsidRDefault="00C1143D" w:rsidP="002A3CD6">
      <w:pPr>
        <w:jc w:val="both"/>
      </w:pPr>
      <w:r>
        <w:t>L’associé sortant :</w:t>
      </w:r>
    </w:p>
    <w:p w14:paraId="6E334B15" w14:textId="77777777" w:rsidR="00C1143D" w:rsidRDefault="00C1143D" w:rsidP="002A3CD6">
      <w:pPr>
        <w:jc w:val="both"/>
      </w:pPr>
      <w:r>
        <w:t>Il est tenu du passif existant à son départ, mais de celui qui sera dû après être parti de la société</w:t>
      </w:r>
    </w:p>
    <w:p w14:paraId="40D446A3" w14:textId="77777777" w:rsidR="00C1143D" w:rsidRDefault="00C1143D" w:rsidP="002A3CD6">
      <w:pPr>
        <w:jc w:val="both"/>
      </w:pPr>
      <w:r>
        <w:t>L’associé entrant :</w:t>
      </w:r>
    </w:p>
    <w:p w14:paraId="561B472D" w14:textId="21BF24BF" w:rsidR="00C1143D" w:rsidRDefault="00C1143D" w:rsidP="002A3CD6">
      <w:pPr>
        <w:jc w:val="both"/>
      </w:pPr>
      <w:r>
        <w:t>Il est tenu du passif antérieur, et postérieur à son entrée. Il peut se protéger avec une clause de garantie de passif dans l’acte de cession.</w:t>
      </w:r>
      <w:bookmarkStart w:id="0" w:name="_GoBack"/>
      <w:bookmarkEnd w:id="0"/>
    </w:p>
    <w:p w14:paraId="6F865A0B" w14:textId="77777777" w:rsidR="00C1143D" w:rsidRDefault="00C1143D" w:rsidP="002A3CD6">
      <w:pPr>
        <w:jc w:val="both"/>
      </w:pPr>
      <w:r>
        <w:t>Les associés sont responsables de manière subsidiaire, indéfinie, et solidaire.</w:t>
      </w:r>
    </w:p>
    <w:p w14:paraId="103949E4" w14:textId="77777777" w:rsidR="00C1143D" w:rsidRDefault="00C1143D" w:rsidP="002A3CD6">
      <w:pPr>
        <w:jc w:val="both"/>
      </w:pPr>
      <w:r>
        <w:t>Le créancier doit en premier lieu mettre en demeure la société par acte extra-judiciaire.</w:t>
      </w:r>
    </w:p>
    <w:p w14:paraId="00D466E8" w14:textId="77777777" w:rsidR="00C1143D" w:rsidRDefault="00C1143D" w:rsidP="002A3CD6">
      <w:pPr>
        <w:jc w:val="both"/>
      </w:pPr>
      <w:r>
        <w:t>Le créancier peut demander le remboursement de la dette auprès d’un ou plusieurs associés. S’il demande à un seul associé, ce dernier pourra se retourner contre la société, ou contre les autres associés pour demander leur participation dans le remboursement à hauteur du capital détenu par chacun, si aucune clause des statuts réparti différemment.</w:t>
      </w:r>
    </w:p>
    <w:p w14:paraId="6F7C72CC" w14:textId="77777777" w:rsidR="00C1143D" w:rsidRDefault="00C1143D" w:rsidP="002A3CD6">
      <w:pPr>
        <w:jc w:val="both"/>
      </w:pPr>
    </w:p>
    <w:p w14:paraId="144CF5DF" w14:textId="77777777" w:rsidR="00C1143D" w:rsidRDefault="002A3CD6" w:rsidP="002A3CD6">
      <w:pPr>
        <w:jc w:val="both"/>
      </w:pPr>
      <w:r>
        <w:t>Au même titre que les associés le gérant doit être capable juridiquement. Si le gérant est un tiers il n’a pas besoin de la capacité commerciale.</w:t>
      </w:r>
    </w:p>
    <w:p w14:paraId="67813178" w14:textId="77777777" w:rsidR="002A3CD6" w:rsidRDefault="002A3CD6" w:rsidP="002A3CD6">
      <w:pPr>
        <w:jc w:val="both"/>
      </w:pPr>
      <w:r>
        <w:t>Le gérant peut être PP/PM et associé ou non.</w:t>
      </w:r>
    </w:p>
    <w:p w14:paraId="6253B10B" w14:textId="77777777" w:rsidR="002A3CD6" w:rsidRDefault="002A3CD6" w:rsidP="002A3CD6">
      <w:pPr>
        <w:jc w:val="both"/>
      </w:pPr>
      <w:r>
        <w:t>Le gérant est stipulé dans les statuts.</w:t>
      </w:r>
    </w:p>
    <w:p w14:paraId="3FBBD4C7" w14:textId="77777777" w:rsidR="002A3CD6" w:rsidRDefault="002A3CD6" w:rsidP="002A3CD6">
      <w:pPr>
        <w:jc w:val="both"/>
      </w:pPr>
      <w:r>
        <w:t>Si aucun gérant n’est stipulé dans les statuts de la société, alors tous les associés sont gérant.</w:t>
      </w:r>
    </w:p>
    <w:p w14:paraId="3154374F" w14:textId="7A130985" w:rsidR="002A3CD6" w:rsidRDefault="002A3CD6" w:rsidP="002A3CD6">
      <w:pPr>
        <w:jc w:val="both"/>
      </w:pPr>
      <w:r>
        <w:t>Le gérant associé ne peut cumuler son mandat social et un contrat de travail, à l’inverse du gérant non associé.</w:t>
      </w:r>
    </w:p>
    <w:p w14:paraId="06DAA147" w14:textId="77777777" w:rsidR="002A3CD6" w:rsidRDefault="002A3CD6" w:rsidP="002A3CD6">
      <w:pPr>
        <w:jc w:val="both"/>
      </w:pPr>
      <w:r>
        <w:t>Le gérant peut exercer tout acte de gestion dans le respect de l’objet social, à défaut des statuts pouvant limiter ses pouvoirs. A savoir que les clauses limitant les pouvoirs du gérant sont inopposables aux tiers.</w:t>
      </w:r>
    </w:p>
    <w:p w14:paraId="0C69D087" w14:textId="77777777" w:rsidR="002A3CD6" w:rsidRDefault="002A3CD6" w:rsidP="002A3CD6">
      <w:pPr>
        <w:jc w:val="both"/>
      </w:pPr>
      <w:r>
        <w:t>La société ne peut être engagée que pour les actes entrant dans l’objet social.</w:t>
      </w:r>
    </w:p>
    <w:tbl>
      <w:tblPr>
        <w:tblStyle w:val="Grilledutableau"/>
        <w:tblW w:w="0" w:type="auto"/>
        <w:tblLook w:val="04A0" w:firstRow="1" w:lastRow="0" w:firstColumn="1" w:lastColumn="0" w:noHBand="0" w:noVBand="1"/>
      </w:tblPr>
      <w:tblGrid>
        <w:gridCol w:w="3020"/>
        <w:gridCol w:w="3021"/>
        <w:gridCol w:w="3021"/>
      </w:tblGrid>
      <w:tr w:rsidR="002A3CD6" w14:paraId="3B251390" w14:textId="77777777" w:rsidTr="002A3CD6">
        <w:tc>
          <w:tcPr>
            <w:tcW w:w="3020" w:type="dxa"/>
          </w:tcPr>
          <w:p w14:paraId="52717334" w14:textId="77777777" w:rsidR="002A3CD6" w:rsidRDefault="002A3CD6" w:rsidP="002A3CD6">
            <w:pPr>
              <w:jc w:val="both"/>
            </w:pPr>
            <w:r>
              <w:t>Gérant non associé</w:t>
            </w:r>
          </w:p>
        </w:tc>
        <w:tc>
          <w:tcPr>
            <w:tcW w:w="3021" w:type="dxa"/>
          </w:tcPr>
          <w:p w14:paraId="655D7984" w14:textId="77777777" w:rsidR="002A3CD6" w:rsidRDefault="002A3CD6" w:rsidP="002A3CD6">
            <w:pPr>
              <w:jc w:val="both"/>
            </w:pPr>
            <w:r>
              <w:t>IR dans la catégorie des traitement et salaires</w:t>
            </w:r>
          </w:p>
        </w:tc>
        <w:tc>
          <w:tcPr>
            <w:tcW w:w="3021" w:type="dxa"/>
          </w:tcPr>
          <w:p w14:paraId="4E0B9ECF" w14:textId="77777777" w:rsidR="002A3CD6" w:rsidRDefault="002A3CD6" w:rsidP="002A3CD6">
            <w:pPr>
              <w:jc w:val="both"/>
            </w:pPr>
            <w:r>
              <w:t>Régime des salariés avec respect des conditions normales</w:t>
            </w:r>
          </w:p>
          <w:p w14:paraId="2ED84D95" w14:textId="77777777" w:rsidR="002A3CD6" w:rsidRDefault="002A3CD6" w:rsidP="002A3CD6">
            <w:pPr>
              <w:jc w:val="both"/>
            </w:pPr>
            <w:r>
              <w:t>Exclusion du bénéfice de l’assurance chômage</w:t>
            </w:r>
          </w:p>
        </w:tc>
      </w:tr>
      <w:tr w:rsidR="002A3CD6" w14:paraId="1C7977D5" w14:textId="77777777" w:rsidTr="002A3CD6">
        <w:tc>
          <w:tcPr>
            <w:tcW w:w="3020" w:type="dxa"/>
          </w:tcPr>
          <w:p w14:paraId="186C4B44" w14:textId="77777777" w:rsidR="002A3CD6" w:rsidRDefault="002A3CD6" w:rsidP="002A3CD6">
            <w:pPr>
              <w:jc w:val="both"/>
            </w:pPr>
            <w:r>
              <w:t>Gérant associé</w:t>
            </w:r>
          </w:p>
        </w:tc>
        <w:tc>
          <w:tcPr>
            <w:tcW w:w="3021" w:type="dxa"/>
          </w:tcPr>
          <w:p w14:paraId="0D901BEA" w14:textId="77777777" w:rsidR="002A3CD6" w:rsidRDefault="002A3CD6" w:rsidP="002A3CD6">
            <w:pPr>
              <w:jc w:val="both"/>
            </w:pPr>
            <w:r>
              <w:t>IR dans la catégorie concernée par l’activité de la société</w:t>
            </w:r>
          </w:p>
        </w:tc>
        <w:tc>
          <w:tcPr>
            <w:tcW w:w="3021" w:type="dxa"/>
          </w:tcPr>
          <w:p w14:paraId="6C8B99ED" w14:textId="77777777" w:rsidR="002A3CD6" w:rsidRDefault="002A3CD6" w:rsidP="002A3CD6">
            <w:pPr>
              <w:jc w:val="both"/>
            </w:pPr>
            <w:r>
              <w:t>Régime des indépendants</w:t>
            </w:r>
          </w:p>
          <w:p w14:paraId="429D0299" w14:textId="77777777" w:rsidR="002A3CD6" w:rsidRDefault="002A3CD6" w:rsidP="002A3CD6">
            <w:pPr>
              <w:jc w:val="both"/>
            </w:pPr>
            <w:r>
              <w:t>Exclusion du bénéfice de l’assurance chômage</w:t>
            </w:r>
          </w:p>
        </w:tc>
      </w:tr>
    </w:tbl>
    <w:p w14:paraId="6E26F4AA" w14:textId="019859B3" w:rsidR="002A3CD6" w:rsidRPr="00C1143D" w:rsidRDefault="002A3CD6" w:rsidP="002A3CD6">
      <w:pPr>
        <w:jc w:val="both"/>
      </w:pPr>
    </w:p>
    <w:sectPr w:rsidR="002A3CD6" w:rsidRPr="00C114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2414D"/>
    <w:multiLevelType w:val="hybridMultilevel"/>
    <w:tmpl w:val="E0AE21C6"/>
    <w:lvl w:ilvl="0" w:tplc="0390FA4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45E"/>
    <w:rsid w:val="002A3CD6"/>
    <w:rsid w:val="002F5BEC"/>
    <w:rsid w:val="005A54F8"/>
    <w:rsid w:val="00C1143D"/>
    <w:rsid w:val="00C763B9"/>
    <w:rsid w:val="00D8545E"/>
    <w:rsid w:val="00F678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D24C"/>
  <w15:chartTrackingRefBased/>
  <w15:docId w15:val="{75AFC190-7768-4B98-AAC5-1BE02340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8545E"/>
    <w:pPr>
      <w:ind w:left="720"/>
      <w:contextualSpacing/>
    </w:pPr>
  </w:style>
  <w:style w:type="table" w:styleId="Grilledutableau">
    <w:name w:val="Table Grid"/>
    <w:basedOn w:val="TableauNormal"/>
    <w:uiPriority w:val="39"/>
    <w:rsid w:val="002A3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customXml" Target="../customXml/item2.xml"/><Relationship Id="rId16"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Colors" Target="diagrams/colors1.xml"/><Relationship Id="rId5" Type="http://schemas.openxmlformats.org/officeDocument/2006/relationships/styles" Target="style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diagramLayout" Target="diagrams/layout1.xml"/><Relationship Id="rId14" Type="http://schemas.openxmlformats.org/officeDocument/2006/relationships/diagramLayout" Target="diagrams/layout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0F6F60-2E78-4FE6-AC62-58C48F35C319}" type="doc">
      <dgm:prSet loTypeId="urn:microsoft.com/office/officeart/2005/8/layout/process1" loCatId="process" qsTypeId="urn:microsoft.com/office/officeart/2005/8/quickstyle/simple1" qsCatId="simple" csTypeId="urn:microsoft.com/office/officeart/2005/8/colors/accent1_2" csCatId="accent1" phldr="1"/>
      <dgm:spPr/>
    </dgm:pt>
    <dgm:pt modelId="{6CAA6864-D6FE-4918-9634-DF6B227B8907}">
      <dgm:prSet phldrT="[Texte]"/>
      <dgm:spPr/>
      <dgm:t>
        <a:bodyPr/>
        <a:lstStyle/>
        <a:p>
          <a:r>
            <a:rPr lang="fr-FR"/>
            <a:t>Rédaction des statuts</a:t>
          </a:r>
        </a:p>
      </dgm:t>
    </dgm:pt>
    <dgm:pt modelId="{05D4DEAE-47B8-4A3B-8C5C-BFEB9A04E1D5}" type="parTrans" cxnId="{C5A94DF2-2B05-4DA7-BAE9-8C0E71D02733}">
      <dgm:prSet/>
      <dgm:spPr/>
      <dgm:t>
        <a:bodyPr/>
        <a:lstStyle/>
        <a:p>
          <a:endParaRPr lang="fr-FR"/>
        </a:p>
      </dgm:t>
    </dgm:pt>
    <dgm:pt modelId="{B7A8E900-137B-460D-8546-8A3A63D4C5F9}" type="sibTrans" cxnId="{C5A94DF2-2B05-4DA7-BAE9-8C0E71D02733}">
      <dgm:prSet/>
      <dgm:spPr/>
      <dgm:t>
        <a:bodyPr/>
        <a:lstStyle/>
        <a:p>
          <a:endParaRPr lang="fr-FR"/>
        </a:p>
      </dgm:t>
    </dgm:pt>
    <dgm:pt modelId="{10EC1CB5-1130-43DE-AE63-A09C2DA4AEE0}">
      <dgm:prSet phldrT="[Texte]"/>
      <dgm:spPr/>
      <dgm:t>
        <a:bodyPr/>
        <a:lstStyle/>
        <a:p>
          <a:r>
            <a:rPr lang="fr-FR"/>
            <a:t>Dépôt du capital à la banque</a:t>
          </a:r>
        </a:p>
      </dgm:t>
    </dgm:pt>
    <dgm:pt modelId="{D2640DAD-0566-431E-98BE-2F9A744776DB}" type="parTrans" cxnId="{A9FDEBCF-97AC-4828-B879-E5C9D418A0E5}">
      <dgm:prSet/>
      <dgm:spPr/>
    </dgm:pt>
    <dgm:pt modelId="{54B7D835-AB64-4CFE-B44C-280AF8CFC898}" type="sibTrans" cxnId="{A9FDEBCF-97AC-4828-B879-E5C9D418A0E5}">
      <dgm:prSet/>
      <dgm:spPr/>
      <dgm:t>
        <a:bodyPr/>
        <a:lstStyle/>
        <a:p>
          <a:endParaRPr lang="fr-FR"/>
        </a:p>
      </dgm:t>
    </dgm:pt>
    <dgm:pt modelId="{444B28F0-4D32-4AC1-879A-DBE97EC800E9}">
      <dgm:prSet phldrT="[Texte]"/>
      <dgm:spPr/>
      <dgm:t>
        <a:bodyPr/>
        <a:lstStyle/>
        <a:p>
          <a:r>
            <a:rPr lang="fr-FR"/>
            <a:t>Publication dans un SHAL</a:t>
          </a:r>
        </a:p>
      </dgm:t>
    </dgm:pt>
    <dgm:pt modelId="{D2F14384-6AB9-4C01-B370-F6A6C96F0445}" type="parTrans" cxnId="{BE4A295F-DCC1-468F-AF93-7EE644B9B411}">
      <dgm:prSet/>
      <dgm:spPr/>
    </dgm:pt>
    <dgm:pt modelId="{EB5A9718-1ACE-4D8E-9274-5596BCB91EE9}" type="sibTrans" cxnId="{BE4A295F-DCC1-468F-AF93-7EE644B9B411}">
      <dgm:prSet/>
      <dgm:spPr/>
      <dgm:t>
        <a:bodyPr/>
        <a:lstStyle/>
        <a:p>
          <a:endParaRPr lang="fr-FR"/>
        </a:p>
      </dgm:t>
    </dgm:pt>
    <dgm:pt modelId="{1E9D9A26-C947-466D-AB22-80BFBAF7D916}">
      <dgm:prSet phldrT="[Texte]"/>
      <dgm:spPr/>
      <dgm:t>
        <a:bodyPr/>
        <a:lstStyle/>
        <a:p>
          <a:r>
            <a:rPr lang="fr-FR"/>
            <a:t>Demande d'immatriculation au RNE</a:t>
          </a:r>
        </a:p>
      </dgm:t>
    </dgm:pt>
    <dgm:pt modelId="{B318214E-8E9E-487A-B131-C4262D9D692D}" type="parTrans" cxnId="{129AE1B7-E935-4926-BED9-B04E03BD0A71}">
      <dgm:prSet/>
      <dgm:spPr/>
    </dgm:pt>
    <dgm:pt modelId="{8C65E9C6-3F87-4A99-AC14-D549DB3B2E5E}" type="sibTrans" cxnId="{129AE1B7-E935-4926-BED9-B04E03BD0A71}">
      <dgm:prSet/>
      <dgm:spPr/>
    </dgm:pt>
    <dgm:pt modelId="{8122A631-7E29-4C3F-BFDC-B69EED43194A}" type="pres">
      <dgm:prSet presAssocID="{B30F6F60-2E78-4FE6-AC62-58C48F35C319}" presName="Name0" presStyleCnt="0">
        <dgm:presLayoutVars>
          <dgm:dir/>
          <dgm:resizeHandles val="exact"/>
        </dgm:presLayoutVars>
      </dgm:prSet>
      <dgm:spPr/>
    </dgm:pt>
    <dgm:pt modelId="{5CC4C0CC-2607-4D8B-A6EC-B3C48D70E721}" type="pres">
      <dgm:prSet presAssocID="{6CAA6864-D6FE-4918-9634-DF6B227B8907}" presName="node" presStyleLbl="node1" presStyleIdx="0" presStyleCnt="4">
        <dgm:presLayoutVars>
          <dgm:bulletEnabled val="1"/>
        </dgm:presLayoutVars>
      </dgm:prSet>
      <dgm:spPr/>
      <dgm:t>
        <a:bodyPr/>
        <a:lstStyle/>
        <a:p>
          <a:endParaRPr lang="fr-FR"/>
        </a:p>
      </dgm:t>
    </dgm:pt>
    <dgm:pt modelId="{B815CB03-94E5-4922-91F0-7B21CBCD1914}" type="pres">
      <dgm:prSet presAssocID="{B7A8E900-137B-460D-8546-8A3A63D4C5F9}" presName="sibTrans" presStyleLbl="sibTrans2D1" presStyleIdx="0" presStyleCnt="3"/>
      <dgm:spPr/>
      <dgm:t>
        <a:bodyPr/>
        <a:lstStyle/>
        <a:p>
          <a:endParaRPr lang="fr-FR"/>
        </a:p>
      </dgm:t>
    </dgm:pt>
    <dgm:pt modelId="{DF02BE3C-7AFF-4DEF-9A52-AAF0B0974F94}" type="pres">
      <dgm:prSet presAssocID="{B7A8E900-137B-460D-8546-8A3A63D4C5F9}" presName="connectorText" presStyleLbl="sibTrans2D1" presStyleIdx="0" presStyleCnt="3"/>
      <dgm:spPr/>
      <dgm:t>
        <a:bodyPr/>
        <a:lstStyle/>
        <a:p>
          <a:endParaRPr lang="fr-FR"/>
        </a:p>
      </dgm:t>
    </dgm:pt>
    <dgm:pt modelId="{FD800A30-877C-47AB-9A81-B6734991AEDA}" type="pres">
      <dgm:prSet presAssocID="{10EC1CB5-1130-43DE-AE63-A09C2DA4AEE0}" presName="node" presStyleLbl="node1" presStyleIdx="1" presStyleCnt="4">
        <dgm:presLayoutVars>
          <dgm:bulletEnabled val="1"/>
        </dgm:presLayoutVars>
      </dgm:prSet>
      <dgm:spPr/>
      <dgm:t>
        <a:bodyPr/>
        <a:lstStyle/>
        <a:p>
          <a:endParaRPr lang="fr-FR"/>
        </a:p>
      </dgm:t>
    </dgm:pt>
    <dgm:pt modelId="{B194F757-E963-4037-998F-E3EDA5AFC6EE}" type="pres">
      <dgm:prSet presAssocID="{54B7D835-AB64-4CFE-B44C-280AF8CFC898}" presName="sibTrans" presStyleLbl="sibTrans2D1" presStyleIdx="1" presStyleCnt="3"/>
      <dgm:spPr/>
      <dgm:t>
        <a:bodyPr/>
        <a:lstStyle/>
        <a:p>
          <a:endParaRPr lang="fr-FR"/>
        </a:p>
      </dgm:t>
    </dgm:pt>
    <dgm:pt modelId="{1D731FC0-8F8B-42E1-AD8D-5B2053EF2ABE}" type="pres">
      <dgm:prSet presAssocID="{54B7D835-AB64-4CFE-B44C-280AF8CFC898}" presName="connectorText" presStyleLbl="sibTrans2D1" presStyleIdx="1" presStyleCnt="3"/>
      <dgm:spPr/>
      <dgm:t>
        <a:bodyPr/>
        <a:lstStyle/>
        <a:p>
          <a:endParaRPr lang="fr-FR"/>
        </a:p>
      </dgm:t>
    </dgm:pt>
    <dgm:pt modelId="{812C22FF-58CF-4D6E-9932-C4FB7F05CDBB}" type="pres">
      <dgm:prSet presAssocID="{444B28F0-4D32-4AC1-879A-DBE97EC800E9}" presName="node" presStyleLbl="node1" presStyleIdx="2" presStyleCnt="4">
        <dgm:presLayoutVars>
          <dgm:bulletEnabled val="1"/>
        </dgm:presLayoutVars>
      </dgm:prSet>
      <dgm:spPr/>
      <dgm:t>
        <a:bodyPr/>
        <a:lstStyle/>
        <a:p>
          <a:endParaRPr lang="fr-FR"/>
        </a:p>
      </dgm:t>
    </dgm:pt>
    <dgm:pt modelId="{1912BC83-4956-4282-85F9-38453AFDF2A1}" type="pres">
      <dgm:prSet presAssocID="{EB5A9718-1ACE-4D8E-9274-5596BCB91EE9}" presName="sibTrans" presStyleLbl="sibTrans2D1" presStyleIdx="2" presStyleCnt="3"/>
      <dgm:spPr/>
      <dgm:t>
        <a:bodyPr/>
        <a:lstStyle/>
        <a:p>
          <a:endParaRPr lang="fr-FR"/>
        </a:p>
      </dgm:t>
    </dgm:pt>
    <dgm:pt modelId="{0FD56028-515E-4ED3-B84E-E157423ABE60}" type="pres">
      <dgm:prSet presAssocID="{EB5A9718-1ACE-4D8E-9274-5596BCB91EE9}" presName="connectorText" presStyleLbl="sibTrans2D1" presStyleIdx="2" presStyleCnt="3"/>
      <dgm:spPr/>
      <dgm:t>
        <a:bodyPr/>
        <a:lstStyle/>
        <a:p>
          <a:endParaRPr lang="fr-FR"/>
        </a:p>
      </dgm:t>
    </dgm:pt>
    <dgm:pt modelId="{5617611B-BF00-4D2A-8E4A-C1A4A5CA50DF}" type="pres">
      <dgm:prSet presAssocID="{1E9D9A26-C947-466D-AB22-80BFBAF7D916}" presName="node" presStyleLbl="node1" presStyleIdx="3" presStyleCnt="4">
        <dgm:presLayoutVars>
          <dgm:bulletEnabled val="1"/>
        </dgm:presLayoutVars>
      </dgm:prSet>
      <dgm:spPr/>
      <dgm:t>
        <a:bodyPr/>
        <a:lstStyle/>
        <a:p>
          <a:endParaRPr lang="fr-FR"/>
        </a:p>
      </dgm:t>
    </dgm:pt>
  </dgm:ptLst>
  <dgm:cxnLst>
    <dgm:cxn modelId="{129AE1B7-E935-4926-BED9-B04E03BD0A71}" srcId="{B30F6F60-2E78-4FE6-AC62-58C48F35C319}" destId="{1E9D9A26-C947-466D-AB22-80BFBAF7D916}" srcOrd="3" destOrd="0" parTransId="{B318214E-8E9E-487A-B131-C4262D9D692D}" sibTransId="{8C65E9C6-3F87-4A99-AC14-D549DB3B2E5E}"/>
    <dgm:cxn modelId="{8FF1C960-8DC7-42F8-8BE9-C5DF11957CB5}" type="presOf" srcId="{54B7D835-AB64-4CFE-B44C-280AF8CFC898}" destId="{1D731FC0-8F8B-42E1-AD8D-5B2053EF2ABE}" srcOrd="1" destOrd="0" presId="urn:microsoft.com/office/officeart/2005/8/layout/process1"/>
    <dgm:cxn modelId="{C5A94DF2-2B05-4DA7-BAE9-8C0E71D02733}" srcId="{B30F6F60-2E78-4FE6-AC62-58C48F35C319}" destId="{6CAA6864-D6FE-4918-9634-DF6B227B8907}" srcOrd="0" destOrd="0" parTransId="{05D4DEAE-47B8-4A3B-8C5C-BFEB9A04E1D5}" sibTransId="{B7A8E900-137B-460D-8546-8A3A63D4C5F9}"/>
    <dgm:cxn modelId="{A9FDEBCF-97AC-4828-B879-E5C9D418A0E5}" srcId="{B30F6F60-2E78-4FE6-AC62-58C48F35C319}" destId="{10EC1CB5-1130-43DE-AE63-A09C2DA4AEE0}" srcOrd="1" destOrd="0" parTransId="{D2640DAD-0566-431E-98BE-2F9A744776DB}" sibTransId="{54B7D835-AB64-4CFE-B44C-280AF8CFC898}"/>
    <dgm:cxn modelId="{77F56C62-977A-441F-A8E7-9432864872A5}" type="presOf" srcId="{B7A8E900-137B-460D-8546-8A3A63D4C5F9}" destId="{DF02BE3C-7AFF-4DEF-9A52-AAF0B0974F94}" srcOrd="1" destOrd="0" presId="urn:microsoft.com/office/officeart/2005/8/layout/process1"/>
    <dgm:cxn modelId="{28A2CE92-C0F1-40E3-9C53-4399A01FC5CF}" type="presOf" srcId="{10EC1CB5-1130-43DE-AE63-A09C2DA4AEE0}" destId="{FD800A30-877C-47AB-9A81-B6734991AEDA}" srcOrd="0" destOrd="0" presId="urn:microsoft.com/office/officeart/2005/8/layout/process1"/>
    <dgm:cxn modelId="{6F2389C6-0095-44BC-81ED-66B5FCA3B83E}" type="presOf" srcId="{B7A8E900-137B-460D-8546-8A3A63D4C5F9}" destId="{B815CB03-94E5-4922-91F0-7B21CBCD1914}" srcOrd="0" destOrd="0" presId="urn:microsoft.com/office/officeart/2005/8/layout/process1"/>
    <dgm:cxn modelId="{3600C29F-FD92-4767-AA1A-026426CC93D2}" type="presOf" srcId="{EB5A9718-1ACE-4D8E-9274-5596BCB91EE9}" destId="{0FD56028-515E-4ED3-B84E-E157423ABE60}" srcOrd="1" destOrd="0" presId="urn:microsoft.com/office/officeart/2005/8/layout/process1"/>
    <dgm:cxn modelId="{4A48109A-49AD-434E-8265-5FB1AE834172}" type="presOf" srcId="{EB5A9718-1ACE-4D8E-9274-5596BCB91EE9}" destId="{1912BC83-4956-4282-85F9-38453AFDF2A1}" srcOrd="0" destOrd="0" presId="urn:microsoft.com/office/officeart/2005/8/layout/process1"/>
    <dgm:cxn modelId="{A5AA2C56-6CE0-4DBC-9EFF-2D3EEC1E8E4D}" type="presOf" srcId="{54B7D835-AB64-4CFE-B44C-280AF8CFC898}" destId="{B194F757-E963-4037-998F-E3EDA5AFC6EE}" srcOrd="0" destOrd="0" presId="urn:microsoft.com/office/officeart/2005/8/layout/process1"/>
    <dgm:cxn modelId="{1CAC2113-FBD3-4179-A789-433C2CD53580}" type="presOf" srcId="{6CAA6864-D6FE-4918-9634-DF6B227B8907}" destId="{5CC4C0CC-2607-4D8B-A6EC-B3C48D70E721}" srcOrd="0" destOrd="0" presId="urn:microsoft.com/office/officeart/2005/8/layout/process1"/>
    <dgm:cxn modelId="{BE4A295F-DCC1-468F-AF93-7EE644B9B411}" srcId="{B30F6F60-2E78-4FE6-AC62-58C48F35C319}" destId="{444B28F0-4D32-4AC1-879A-DBE97EC800E9}" srcOrd="2" destOrd="0" parTransId="{D2F14384-6AB9-4C01-B370-F6A6C96F0445}" sibTransId="{EB5A9718-1ACE-4D8E-9274-5596BCB91EE9}"/>
    <dgm:cxn modelId="{BE3BE3EE-318D-4D42-96DE-4CF67218EBF9}" type="presOf" srcId="{1E9D9A26-C947-466D-AB22-80BFBAF7D916}" destId="{5617611B-BF00-4D2A-8E4A-C1A4A5CA50DF}" srcOrd="0" destOrd="0" presId="urn:microsoft.com/office/officeart/2005/8/layout/process1"/>
    <dgm:cxn modelId="{4B842FC8-B68E-484A-9C91-D2567A0B21E6}" type="presOf" srcId="{B30F6F60-2E78-4FE6-AC62-58C48F35C319}" destId="{8122A631-7E29-4C3F-BFDC-B69EED43194A}" srcOrd="0" destOrd="0" presId="urn:microsoft.com/office/officeart/2005/8/layout/process1"/>
    <dgm:cxn modelId="{D566D42A-B4F6-4D01-9DE8-371EC70288F7}" type="presOf" srcId="{444B28F0-4D32-4AC1-879A-DBE97EC800E9}" destId="{812C22FF-58CF-4D6E-9932-C4FB7F05CDBB}" srcOrd="0" destOrd="0" presId="urn:microsoft.com/office/officeart/2005/8/layout/process1"/>
    <dgm:cxn modelId="{38FD591C-CB32-404A-A036-698085FE7487}" type="presParOf" srcId="{8122A631-7E29-4C3F-BFDC-B69EED43194A}" destId="{5CC4C0CC-2607-4D8B-A6EC-B3C48D70E721}" srcOrd="0" destOrd="0" presId="urn:microsoft.com/office/officeart/2005/8/layout/process1"/>
    <dgm:cxn modelId="{57EFE763-7ED7-4FF7-891E-452BFD9E0F6A}" type="presParOf" srcId="{8122A631-7E29-4C3F-BFDC-B69EED43194A}" destId="{B815CB03-94E5-4922-91F0-7B21CBCD1914}" srcOrd="1" destOrd="0" presId="urn:microsoft.com/office/officeart/2005/8/layout/process1"/>
    <dgm:cxn modelId="{FEE067C1-46D0-477F-BDF8-56340FE87205}" type="presParOf" srcId="{B815CB03-94E5-4922-91F0-7B21CBCD1914}" destId="{DF02BE3C-7AFF-4DEF-9A52-AAF0B0974F94}" srcOrd="0" destOrd="0" presId="urn:microsoft.com/office/officeart/2005/8/layout/process1"/>
    <dgm:cxn modelId="{E7C4B846-6710-491C-B380-3CBAC3D2AB8F}" type="presParOf" srcId="{8122A631-7E29-4C3F-BFDC-B69EED43194A}" destId="{FD800A30-877C-47AB-9A81-B6734991AEDA}" srcOrd="2" destOrd="0" presId="urn:microsoft.com/office/officeart/2005/8/layout/process1"/>
    <dgm:cxn modelId="{23A201C9-326B-4CA1-955D-4BA2815E2431}" type="presParOf" srcId="{8122A631-7E29-4C3F-BFDC-B69EED43194A}" destId="{B194F757-E963-4037-998F-E3EDA5AFC6EE}" srcOrd="3" destOrd="0" presId="urn:microsoft.com/office/officeart/2005/8/layout/process1"/>
    <dgm:cxn modelId="{62778C19-4982-4B4C-A0DD-28186DBD16A7}" type="presParOf" srcId="{B194F757-E963-4037-998F-E3EDA5AFC6EE}" destId="{1D731FC0-8F8B-42E1-AD8D-5B2053EF2ABE}" srcOrd="0" destOrd="0" presId="urn:microsoft.com/office/officeart/2005/8/layout/process1"/>
    <dgm:cxn modelId="{20F101D4-5E11-4EC9-A9F3-487F08C27774}" type="presParOf" srcId="{8122A631-7E29-4C3F-BFDC-B69EED43194A}" destId="{812C22FF-58CF-4D6E-9932-C4FB7F05CDBB}" srcOrd="4" destOrd="0" presId="urn:microsoft.com/office/officeart/2005/8/layout/process1"/>
    <dgm:cxn modelId="{D3F97F5A-6488-48B0-BD55-815B01D62D6A}" type="presParOf" srcId="{8122A631-7E29-4C3F-BFDC-B69EED43194A}" destId="{1912BC83-4956-4282-85F9-38453AFDF2A1}" srcOrd="5" destOrd="0" presId="urn:microsoft.com/office/officeart/2005/8/layout/process1"/>
    <dgm:cxn modelId="{5AEAE9CF-A174-4C0A-8195-3800AAB84098}" type="presParOf" srcId="{1912BC83-4956-4282-85F9-38453AFDF2A1}" destId="{0FD56028-515E-4ED3-B84E-E157423ABE60}" srcOrd="0" destOrd="0" presId="urn:microsoft.com/office/officeart/2005/8/layout/process1"/>
    <dgm:cxn modelId="{AD45A55D-43D9-483A-8FA9-D05AF2B25E2D}" type="presParOf" srcId="{8122A631-7E29-4C3F-BFDC-B69EED43194A}" destId="{5617611B-BF00-4D2A-8E4A-C1A4A5CA50DF}" srcOrd="6"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6E6A4D4-BB78-46CE-82EA-D65FE1C4CC59}" type="doc">
      <dgm:prSet loTypeId="urn:microsoft.com/office/officeart/2005/8/layout/process1" loCatId="process" qsTypeId="urn:microsoft.com/office/officeart/2005/8/quickstyle/simple1" qsCatId="simple" csTypeId="urn:microsoft.com/office/officeart/2005/8/colors/accent1_2" csCatId="accent1" phldr="1"/>
      <dgm:spPr/>
    </dgm:pt>
    <dgm:pt modelId="{E106B9ED-4F2C-4028-9638-3DAA56B6D4F5}">
      <dgm:prSet phldrT="[Texte]"/>
      <dgm:spPr/>
      <dgm:t>
        <a:bodyPr/>
        <a:lstStyle/>
        <a:p>
          <a:r>
            <a:rPr lang="fr-FR"/>
            <a:t>Obtention de l'agrément</a:t>
          </a:r>
        </a:p>
      </dgm:t>
    </dgm:pt>
    <dgm:pt modelId="{58B7526A-58B6-4666-BB49-D3EA37BFF78F}" type="parTrans" cxnId="{DD9B7ACD-C764-4174-A08A-FE9775F34D13}">
      <dgm:prSet/>
      <dgm:spPr/>
      <dgm:t>
        <a:bodyPr/>
        <a:lstStyle/>
        <a:p>
          <a:endParaRPr lang="fr-FR"/>
        </a:p>
      </dgm:t>
    </dgm:pt>
    <dgm:pt modelId="{C69AD252-5CB7-49E5-8EE8-AAAF464B47DF}" type="sibTrans" cxnId="{DD9B7ACD-C764-4174-A08A-FE9775F34D13}">
      <dgm:prSet/>
      <dgm:spPr/>
      <dgm:t>
        <a:bodyPr/>
        <a:lstStyle/>
        <a:p>
          <a:endParaRPr lang="fr-FR"/>
        </a:p>
      </dgm:t>
    </dgm:pt>
    <dgm:pt modelId="{38F10624-FA62-4C3E-98A7-C6B462A392D2}">
      <dgm:prSet phldrT="[Texte]"/>
      <dgm:spPr/>
      <dgm:t>
        <a:bodyPr/>
        <a:lstStyle/>
        <a:p>
          <a:r>
            <a:rPr lang="fr-FR"/>
            <a:t>Réalisation de l'acte de cession</a:t>
          </a:r>
        </a:p>
      </dgm:t>
    </dgm:pt>
    <dgm:pt modelId="{550A6567-43ED-40E9-8290-497FAA3773CD}" type="parTrans" cxnId="{E88479D3-66AD-4A81-94C9-0C5810381AA6}">
      <dgm:prSet/>
      <dgm:spPr/>
      <dgm:t>
        <a:bodyPr/>
        <a:lstStyle/>
        <a:p>
          <a:endParaRPr lang="fr-FR"/>
        </a:p>
      </dgm:t>
    </dgm:pt>
    <dgm:pt modelId="{BF7A6305-D562-4CAA-9E28-77DA9615187A}" type="sibTrans" cxnId="{E88479D3-66AD-4A81-94C9-0C5810381AA6}">
      <dgm:prSet/>
      <dgm:spPr/>
      <dgm:t>
        <a:bodyPr/>
        <a:lstStyle/>
        <a:p>
          <a:endParaRPr lang="fr-FR"/>
        </a:p>
      </dgm:t>
    </dgm:pt>
    <dgm:pt modelId="{3144DA65-7FBD-4994-8DDE-19AF6A634E9C}">
      <dgm:prSet phldrT="[Texte]"/>
      <dgm:spPr/>
      <dgm:t>
        <a:bodyPr/>
        <a:lstStyle/>
        <a:p>
          <a:r>
            <a:rPr lang="fr-FR"/>
            <a:t>Modification des statuts</a:t>
          </a:r>
        </a:p>
      </dgm:t>
    </dgm:pt>
    <dgm:pt modelId="{A64D2C8A-DDAA-4591-B34F-E9ADC19C3433}" type="parTrans" cxnId="{EDF5182B-A9CF-4C7B-AF18-A3EA18293FED}">
      <dgm:prSet/>
      <dgm:spPr/>
      <dgm:t>
        <a:bodyPr/>
        <a:lstStyle/>
        <a:p>
          <a:endParaRPr lang="fr-FR"/>
        </a:p>
      </dgm:t>
    </dgm:pt>
    <dgm:pt modelId="{1D723FD0-518B-4F0F-A55B-89EEB32EE6B8}" type="sibTrans" cxnId="{EDF5182B-A9CF-4C7B-AF18-A3EA18293FED}">
      <dgm:prSet/>
      <dgm:spPr/>
      <dgm:t>
        <a:bodyPr/>
        <a:lstStyle/>
        <a:p>
          <a:endParaRPr lang="fr-FR"/>
        </a:p>
      </dgm:t>
    </dgm:pt>
    <dgm:pt modelId="{50F066C1-26DF-4146-82BA-9446A0781794}">
      <dgm:prSet phldrT="[Texte]"/>
      <dgm:spPr/>
      <dgm:t>
        <a:bodyPr/>
        <a:lstStyle/>
        <a:p>
          <a:r>
            <a:rPr lang="fr-FR"/>
            <a:t>Enregistrement de l'acte de cession</a:t>
          </a:r>
        </a:p>
      </dgm:t>
    </dgm:pt>
    <dgm:pt modelId="{FE98B4BC-4674-4E93-AD42-D500727A55A4}" type="parTrans" cxnId="{B9DACFA5-3841-4C23-A735-470AA838B510}">
      <dgm:prSet/>
      <dgm:spPr/>
      <dgm:t>
        <a:bodyPr/>
        <a:lstStyle/>
        <a:p>
          <a:endParaRPr lang="fr-FR"/>
        </a:p>
      </dgm:t>
    </dgm:pt>
    <dgm:pt modelId="{CC97D242-96A9-429B-A2B3-9EFB15E6D043}" type="sibTrans" cxnId="{B9DACFA5-3841-4C23-A735-470AA838B510}">
      <dgm:prSet/>
      <dgm:spPr/>
      <dgm:t>
        <a:bodyPr/>
        <a:lstStyle/>
        <a:p>
          <a:endParaRPr lang="fr-FR"/>
        </a:p>
      </dgm:t>
    </dgm:pt>
    <dgm:pt modelId="{02FB3798-51D7-411B-A1EC-067F3E45AA6A}" type="pres">
      <dgm:prSet presAssocID="{16E6A4D4-BB78-46CE-82EA-D65FE1C4CC59}" presName="Name0" presStyleCnt="0">
        <dgm:presLayoutVars>
          <dgm:dir/>
          <dgm:resizeHandles val="exact"/>
        </dgm:presLayoutVars>
      </dgm:prSet>
      <dgm:spPr/>
    </dgm:pt>
    <dgm:pt modelId="{59C20CA1-7AD8-4764-9FC8-7B74B8C822BF}" type="pres">
      <dgm:prSet presAssocID="{E106B9ED-4F2C-4028-9638-3DAA56B6D4F5}" presName="node" presStyleLbl="node1" presStyleIdx="0" presStyleCnt="4">
        <dgm:presLayoutVars>
          <dgm:bulletEnabled val="1"/>
        </dgm:presLayoutVars>
      </dgm:prSet>
      <dgm:spPr/>
      <dgm:t>
        <a:bodyPr/>
        <a:lstStyle/>
        <a:p>
          <a:endParaRPr lang="fr-FR"/>
        </a:p>
      </dgm:t>
    </dgm:pt>
    <dgm:pt modelId="{D88D4295-CEC3-4F48-A665-0036FBFFD21F}" type="pres">
      <dgm:prSet presAssocID="{C69AD252-5CB7-49E5-8EE8-AAAF464B47DF}" presName="sibTrans" presStyleLbl="sibTrans2D1" presStyleIdx="0" presStyleCnt="3"/>
      <dgm:spPr/>
      <dgm:t>
        <a:bodyPr/>
        <a:lstStyle/>
        <a:p>
          <a:endParaRPr lang="fr-FR"/>
        </a:p>
      </dgm:t>
    </dgm:pt>
    <dgm:pt modelId="{9DB351BD-6562-4DB6-9D30-C4E1D81E1B97}" type="pres">
      <dgm:prSet presAssocID="{C69AD252-5CB7-49E5-8EE8-AAAF464B47DF}" presName="connectorText" presStyleLbl="sibTrans2D1" presStyleIdx="0" presStyleCnt="3"/>
      <dgm:spPr/>
      <dgm:t>
        <a:bodyPr/>
        <a:lstStyle/>
        <a:p>
          <a:endParaRPr lang="fr-FR"/>
        </a:p>
      </dgm:t>
    </dgm:pt>
    <dgm:pt modelId="{E8364479-D80C-460D-9658-BDBDBE670414}" type="pres">
      <dgm:prSet presAssocID="{38F10624-FA62-4C3E-98A7-C6B462A392D2}" presName="node" presStyleLbl="node1" presStyleIdx="1" presStyleCnt="4">
        <dgm:presLayoutVars>
          <dgm:bulletEnabled val="1"/>
        </dgm:presLayoutVars>
      </dgm:prSet>
      <dgm:spPr/>
      <dgm:t>
        <a:bodyPr/>
        <a:lstStyle/>
        <a:p>
          <a:endParaRPr lang="fr-FR"/>
        </a:p>
      </dgm:t>
    </dgm:pt>
    <dgm:pt modelId="{05018765-AFAF-475A-BCD9-EF6D4FC8BFB8}" type="pres">
      <dgm:prSet presAssocID="{BF7A6305-D562-4CAA-9E28-77DA9615187A}" presName="sibTrans" presStyleLbl="sibTrans2D1" presStyleIdx="1" presStyleCnt="3"/>
      <dgm:spPr/>
      <dgm:t>
        <a:bodyPr/>
        <a:lstStyle/>
        <a:p>
          <a:endParaRPr lang="fr-FR"/>
        </a:p>
      </dgm:t>
    </dgm:pt>
    <dgm:pt modelId="{67335071-C05D-4105-9E6A-38E151AF1984}" type="pres">
      <dgm:prSet presAssocID="{BF7A6305-D562-4CAA-9E28-77DA9615187A}" presName="connectorText" presStyleLbl="sibTrans2D1" presStyleIdx="1" presStyleCnt="3"/>
      <dgm:spPr/>
      <dgm:t>
        <a:bodyPr/>
        <a:lstStyle/>
        <a:p>
          <a:endParaRPr lang="fr-FR"/>
        </a:p>
      </dgm:t>
    </dgm:pt>
    <dgm:pt modelId="{6F868CCC-A04A-4D40-A41F-9C489F05AF25}" type="pres">
      <dgm:prSet presAssocID="{3144DA65-7FBD-4994-8DDE-19AF6A634E9C}" presName="node" presStyleLbl="node1" presStyleIdx="2" presStyleCnt="4">
        <dgm:presLayoutVars>
          <dgm:bulletEnabled val="1"/>
        </dgm:presLayoutVars>
      </dgm:prSet>
      <dgm:spPr/>
      <dgm:t>
        <a:bodyPr/>
        <a:lstStyle/>
        <a:p>
          <a:endParaRPr lang="fr-FR"/>
        </a:p>
      </dgm:t>
    </dgm:pt>
    <dgm:pt modelId="{D29BB62C-4286-47F2-823C-CA33A2D5F485}" type="pres">
      <dgm:prSet presAssocID="{1D723FD0-518B-4F0F-A55B-89EEB32EE6B8}" presName="sibTrans" presStyleLbl="sibTrans2D1" presStyleIdx="2" presStyleCnt="3"/>
      <dgm:spPr/>
      <dgm:t>
        <a:bodyPr/>
        <a:lstStyle/>
        <a:p>
          <a:endParaRPr lang="fr-FR"/>
        </a:p>
      </dgm:t>
    </dgm:pt>
    <dgm:pt modelId="{99B63C1B-2BA7-45D0-97F0-50BB5D910747}" type="pres">
      <dgm:prSet presAssocID="{1D723FD0-518B-4F0F-A55B-89EEB32EE6B8}" presName="connectorText" presStyleLbl="sibTrans2D1" presStyleIdx="2" presStyleCnt="3"/>
      <dgm:spPr/>
      <dgm:t>
        <a:bodyPr/>
        <a:lstStyle/>
        <a:p>
          <a:endParaRPr lang="fr-FR"/>
        </a:p>
      </dgm:t>
    </dgm:pt>
    <dgm:pt modelId="{D61FE294-BC49-49AF-9AD4-4FB8F4972E1E}" type="pres">
      <dgm:prSet presAssocID="{50F066C1-26DF-4146-82BA-9446A0781794}" presName="node" presStyleLbl="node1" presStyleIdx="3" presStyleCnt="4">
        <dgm:presLayoutVars>
          <dgm:bulletEnabled val="1"/>
        </dgm:presLayoutVars>
      </dgm:prSet>
      <dgm:spPr/>
      <dgm:t>
        <a:bodyPr/>
        <a:lstStyle/>
        <a:p>
          <a:endParaRPr lang="fr-FR"/>
        </a:p>
      </dgm:t>
    </dgm:pt>
  </dgm:ptLst>
  <dgm:cxnLst>
    <dgm:cxn modelId="{4B815D8D-865D-41A0-8D8B-D790F666FAC0}" type="presOf" srcId="{38F10624-FA62-4C3E-98A7-C6B462A392D2}" destId="{E8364479-D80C-460D-9658-BDBDBE670414}" srcOrd="0" destOrd="0" presId="urn:microsoft.com/office/officeart/2005/8/layout/process1"/>
    <dgm:cxn modelId="{B577A86B-31B5-4878-BB1D-8A1C2560E4FA}" type="presOf" srcId="{1D723FD0-518B-4F0F-A55B-89EEB32EE6B8}" destId="{99B63C1B-2BA7-45D0-97F0-50BB5D910747}" srcOrd="1" destOrd="0" presId="urn:microsoft.com/office/officeart/2005/8/layout/process1"/>
    <dgm:cxn modelId="{B9DACFA5-3841-4C23-A735-470AA838B510}" srcId="{16E6A4D4-BB78-46CE-82EA-D65FE1C4CC59}" destId="{50F066C1-26DF-4146-82BA-9446A0781794}" srcOrd="3" destOrd="0" parTransId="{FE98B4BC-4674-4E93-AD42-D500727A55A4}" sibTransId="{CC97D242-96A9-429B-A2B3-9EFB15E6D043}"/>
    <dgm:cxn modelId="{3A6E1C34-C2CA-41FE-B3CB-A9116C681337}" type="presOf" srcId="{3144DA65-7FBD-4994-8DDE-19AF6A634E9C}" destId="{6F868CCC-A04A-4D40-A41F-9C489F05AF25}" srcOrd="0" destOrd="0" presId="urn:microsoft.com/office/officeart/2005/8/layout/process1"/>
    <dgm:cxn modelId="{D06034C4-2C6B-419F-9015-D91B0563D2A5}" type="presOf" srcId="{16E6A4D4-BB78-46CE-82EA-D65FE1C4CC59}" destId="{02FB3798-51D7-411B-A1EC-067F3E45AA6A}" srcOrd="0" destOrd="0" presId="urn:microsoft.com/office/officeart/2005/8/layout/process1"/>
    <dgm:cxn modelId="{DD9B7ACD-C764-4174-A08A-FE9775F34D13}" srcId="{16E6A4D4-BB78-46CE-82EA-D65FE1C4CC59}" destId="{E106B9ED-4F2C-4028-9638-3DAA56B6D4F5}" srcOrd="0" destOrd="0" parTransId="{58B7526A-58B6-4666-BB49-D3EA37BFF78F}" sibTransId="{C69AD252-5CB7-49E5-8EE8-AAAF464B47DF}"/>
    <dgm:cxn modelId="{E88479D3-66AD-4A81-94C9-0C5810381AA6}" srcId="{16E6A4D4-BB78-46CE-82EA-D65FE1C4CC59}" destId="{38F10624-FA62-4C3E-98A7-C6B462A392D2}" srcOrd="1" destOrd="0" parTransId="{550A6567-43ED-40E9-8290-497FAA3773CD}" sibTransId="{BF7A6305-D562-4CAA-9E28-77DA9615187A}"/>
    <dgm:cxn modelId="{574434CE-A8C2-4F6D-954F-FAD87CE5E0BD}" type="presOf" srcId="{C69AD252-5CB7-49E5-8EE8-AAAF464B47DF}" destId="{D88D4295-CEC3-4F48-A665-0036FBFFD21F}" srcOrd="0" destOrd="0" presId="urn:microsoft.com/office/officeart/2005/8/layout/process1"/>
    <dgm:cxn modelId="{F6223749-8A05-4DF7-A5CB-80B6D74016F6}" type="presOf" srcId="{E106B9ED-4F2C-4028-9638-3DAA56B6D4F5}" destId="{59C20CA1-7AD8-4764-9FC8-7B74B8C822BF}" srcOrd="0" destOrd="0" presId="urn:microsoft.com/office/officeart/2005/8/layout/process1"/>
    <dgm:cxn modelId="{35C88EE9-AC89-45BE-B0E9-2202051072AE}" type="presOf" srcId="{BF7A6305-D562-4CAA-9E28-77DA9615187A}" destId="{67335071-C05D-4105-9E6A-38E151AF1984}" srcOrd="1" destOrd="0" presId="urn:microsoft.com/office/officeart/2005/8/layout/process1"/>
    <dgm:cxn modelId="{EDF5182B-A9CF-4C7B-AF18-A3EA18293FED}" srcId="{16E6A4D4-BB78-46CE-82EA-D65FE1C4CC59}" destId="{3144DA65-7FBD-4994-8DDE-19AF6A634E9C}" srcOrd="2" destOrd="0" parTransId="{A64D2C8A-DDAA-4591-B34F-E9ADC19C3433}" sibTransId="{1D723FD0-518B-4F0F-A55B-89EEB32EE6B8}"/>
    <dgm:cxn modelId="{1B72F716-ECDE-481A-B111-ECD93BF629A0}" type="presOf" srcId="{50F066C1-26DF-4146-82BA-9446A0781794}" destId="{D61FE294-BC49-49AF-9AD4-4FB8F4972E1E}" srcOrd="0" destOrd="0" presId="urn:microsoft.com/office/officeart/2005/8/layout/process1"/>
    <dgm:cxn modelId="{B361A03F-ED76-4A34-AFCC-0BAB6C134EF4}" type="presOf" srcId="{C69AD252-5CB7-49E5-8EE8-AAAF464B47DF}" destId="{9DB351BD-6562-4DB6-9D30-C4E1D81E1B97}" srcOrd="1" destOrd="0" presId="urn:microsoft.com/office/officeart/2005/8/layout/process1"/>
    <dgm:cxn modelId="{ACCF4372-9CAC-446D-B23A-441083EDC2E7}" type="presOf" srcId="{1D723FD0-518B-4F0F-A55B-89EEB32EE6B8}" destId="{D29BB62C-4286-47F2-823C-CA33A2D5F485}" srcOrd="0" destOrd="0" presId="urn:microsoft.com/office/officeart/2005/8/layout/process1"/>
    <dgm:cxn modelId="{9B6A96D4-4466-4963-8B3D-E6DE75B80B4C}" type="presOf" srcId="{BF7A6305-D562-4CAA-9E28-77DA9615187A}" destId="{05018765-AFAF-475A-BCD9-EF6D4FC8BFB8}" srcOrd="0" destOrd="0" presId="urn:microsoft.com/office/officeart/2005/8/layout/process1"/>
    <dgm:cxn modelId="{46B0D6CD-7872-4265-B73D-E857CE079C64}" type="presParOf" srcId="{02FB3798-51D7-411B-A1EC-067F3E45AA6A}" destId="{59C20CA1-7AD8-4764-9FC8-7B74B8C822BF}" srcOrd="0" destOrd="0" presId="urn:microsoft.com/office/officeart/2005/8/layout/process1"/>
    <dgm:cxn modelId="{CF0B7EA3-B782-488B-A542-BBE4A2689C57}" type="presParOf" srcId="{02FB3798-51D7-411B-A1EC-067F3E45AA6A}" destId="{D88D4295-CEC3-4F48-A665-0036FBFFD21F}" srcOrd="1" destOrd="0" presId="urn:microsoft.com/office/officeart/2005/8/layout/process1"/>
    <dgm:cxn modelId="{5C160648-8FA0-4831-95F2-8744C075F10B}" type="presParOf" srcId="{D88D4295-CEC3-4F48-A665-0036FBFFD21F}" destId="{9DB351BD-6562-4DB6-9D30-C4E1D81E1B97}" srcOrd="0" destOrd="0" presId="urn:microsoft.com/office/officeart/2005/8/layout/process1"/>
    <dgm:cxn modelId="{A839220B-E52F-4C72-8234-E07C6BA31D59}" type="presParOf" srcId="{02FB3798-51D7-411B-A1EC-067F3E45AA6A}" destId="{E8364479-D80C-460D-9658-BDBDBE670414}" srcOrd="2" destOrd="0" presId="urn:microsoft.com/office/officeart/2005/8/layout/process1"/>
    <dgm:cxn modelId="{CDBF88B9-EDA7-4E2C-BB13-4AEB0977A87D}" type="presParOf" srcId="{02FB3798-51D7-411B-A1EC-067F3E45AA6A}" destId="{05018765-AFAF-475A-BCD9-EF6D4FC8BFB8}" srcOrd="3" destOrd="0" presId="urn:microsoft.com/office/officeart/2005/8/layout/process1"/>
    <dgm:cxn modelId="{7E99AB8A-D6C3-4087-A073-375C4277F2EC}" type="presParOf" srcId="{05018765-AFAF-475A-BCD9-EF6D4FC8BFB8}" destId="{67335071-C05D-4105-9E6A-38E151AF1984}" srcOrd="0" destOrd="0" presId="urn:microsoft.com/office/officeart/2005/8/layout/process1"/>
    <dgm:cxn modelId="{6D74F55F-8115-433D-A508-7D261AE00B3C}" type="presParOf" srcId="{02FB3798-51D7-411B-A1EC-067F3E45AA6A}" destId="{6F868CCC-A04A-4D40-A41F-9C489F05AF25}" srcOrd="4" destOrd="0" presId="urn:microsoft.com/office/officeart/2005/8/layout/process1"/>
    <dgm:cxn modelId="{9D5B3DF7-A77A-48B2-A3DD-855D1CDBE73A}" type="presParOf" srcId="{02FB3798-51D7-411B-A1EC-067F3E45AA6A}" destId="{D29BB62C-4286-47F2-823C-CA33A2D5F485}" srcOrd="5" destOrd="0" presId="urn:microsoft.com/office/officeart/2005/8/layout/process1"/>
    <dgm:cxn modelId="{375341C4-94C1-46EE-9919-10C28CB9EC73}" type="presParOf" srcId="{D29BB62C-4286-47F2-823C-CA33A2D5F485}" destId="{99B63C1B-2BA7-45D0-97F0-50BB5D910747}" srcOrd="0" destOrd="0" presId="urn:microsoft.com/office/officeart/2005/8/layout/process1"/>
    <dgm:cxn modelId="{036C56AF-84C1-473E-BCD2-89E2ADE80D54}" type="presParOf" srcId="{02FB3798-51D7-411B-A1EC-067F3E45AA6A}" destId="{D61FE294-BC49-49AF-9AD4-4FB8F4972E1E}" srcOrd="6"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C4C0CC-2607-4D8B-A6EC-B3C48D70E721}">
      <dsp:nvSpPr>
        <dsp:cNvPr id="0" name=""/>
        <dsp:cNvSpPr/>
      </dsp:nvSpPr>
      <dsp:spPr>
        <a:xfrm>
          <a:off x="2411" y="0"/>
          <a:ext cx="1054149" cy="5266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kern="1200"/>
            <a:t>Rédaction des statuts</a:t>
          </a:r>
        </a:p>
      </dsp:txBody>
      <dsp:txXfrm>
        <a:off x="17837" y="15426"/>
        <a:ext cx="1023297" cy="495842"/>
      </dsp:txXfrm>
    </dsp:sp>
    <dsp:sp modelId="{B815CB03-94E5-4922-91F0-7B21CBCD1914}">
      <dsp:nvSpPr>
        <dsp:cNvPr id="0" name=""/>
        <dsp:cNvSpPr/>
      </dsp:nvSpPr>
      <dsp:spPr>
        <a:xfrm>
          <a:off x="1161975" y="132632"/>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fr-FR" sz="800" kern="1200"/>
        </a:p>
      </dsp:txBody>
      <dsp:txXfrm>
        <a:off x="1161975" y="184918"/>
        <a:ext cx="156435" cy="156857"/>
      </dsp:txXfrm>
    </dsp:sp>
    <dsp:sp modelId="{FD800A30-877C-47AB-9A81-B6734991AEDA}">
      <dsp:nvSpPr>
        <dsp:cNvPr id="0" name=""/>
        <dsp:cNvSpPr/>
      </dsp:nvSpPr>
      <dsp:spPr>
        <a:xfrm>
          <a:off x="1478220" y="0"/>
          <a:ext cx="1054149" cy="5266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kern="1200"/>
            <a:t>Dépôt du capital à la banque</a:t>
          </a:r>
        </a:p>
      </dsp:txBody>
      <dsp:txXfrm>
        <a:off x="1493646" y="15426"/>
        <a:ext cx="1023297" cy="495842"/>
      </dsp:txXfrm>
    </dsp:sp>
    <dsp:sp modelId="{B194F757-E963-4037-998F-E3EDA5AFC6EE}">
      <dsp:nvSpPr>
        <dsp:cNvPr id="0" name=""/>
        <dsp:cNvSpPr/>
      </dsp:nvSpPr>
      <dsp:spPr>
        <a:xfrm>
          <a:off x="2637785" y="132632"/>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fr-FR" sz="800" kern="1200"/>
        </a:p>
      </dsp:txBody>
      <dsp:txXfrm>
        <a:off x="2637785" y="184918"/>
        <a:ext cx="156435" cy="156857"/>
      </dsp:txXfrm>
    </dsp:sp>
    <dsp:sp modelId="{812C22FF-58CF-4D6E-9932-C4FB7F05CDBB}">
      <dsp:nvSpPr>
        <dsp:cNvPr id="0" name=""/>
        <dsp:cNvSpPr/>
      </dsp:nvSpPr>
      <dsp:spPr>
        <a:xfrm>
          <a:off x="2954029" y="0"/>
          <a:ext cx="1054149" cy="5266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kern="1200"/>
            <a:t>Publication dans un SHAL</a:t>
          </a:r>
        </a:p>
      </dsp:txBody>
      <dsp:txXfrm>
        <a:off x="2969455" y="15426"/>
        <a:ext cx="1023297" cy="495842"/>
      </dsp:txXfrm>
    </dsp:sp>
    <dsp:sp modelId="{1912BC83-4956-4282-85F9-38453AFDF2A1}">
      <dsp:nvSpPr>
        <dsp:cNvPr id="0" name=""/>
        <dsp:cNvSpPr/>
      </dsp:nvSpPr>
      <dsp:spPr>
        <a:xfrm>
          <a:off x="4113594" y="132632"/>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fr-FR" sz="800" kern="1200"/>
        </a:p>
      </dsp:txBody>
      <dsp:txXfrm>
        <a:off x="4113594" y="184918"/>
        <a:ext cx="156435" cy="156857"/>
      </dsp:txXfrm>
    </dsp:sp>
    <dsp:sp modelId="{5617611B-BF00-4D2A-8E4A-C1A4A5CA50DF}">
      <dsp:nvSpPr>
        <dsp:cNvPr id="0" name=""/>
        <dsp:cNvSpPr/>
      </dsp:nvSpPr>
      <dsp:spPr>
        <a:xfrm>
          <a:off x="4429839" y="0"/>
          <a:ext cx="1054149" cy="5266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kern="1200"/>
            <a:t>Demande d'immatriculation au RNE</a:t>
          </a:r>
        </a:p>
      </dsp:txBody>
      <dsp:txXfrm>
        <a:off x="4445265" y="15426"/>
        <a:ext cx="1023297" cy="4958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C20CA1-7AD8-4764-9FC8-7B74B8C822BF}">
      <dsp:nvSpPr>
        <dsp:cNvPr id="0" name=""/>
        <dsp:cNvSpPr/>
      </dsp:nvSpPr>
      <dsp:spPr>
        <a:xfrm>
          <a:off x="2411" y="9281"/>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Obtention de l'agrément</a:t>
          </a:r>
        </a:p>
      </dsp:txBody>
      <dsp:txXfrm>
        <a:off x="20936" y="27806"/>
        <a:ext cx="1017099" cy="595439"/>
      </dsp:txXfrm>
    </dsp:sp>
    <dsp:sp modelId="{D88D4295-CEC3-4F48-A665-0036FBFFD21F}">
      <dsp:nvSpPr>
        <dsp:cNvPr id="0" name=""/>
        <dsp:cNvSpPr/>
      </dsp:nvSpPr>
      <dsp:spPr>
        <a:xfrm>
          <a:off x="1161975" y="194811"/>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fr-FR" sz="900" kern="1200"/>
        </a:p>
      </dsp:txBody>
      <dsp:txXfrm>
        <a:off x="1161975" y="247097"/>
        <a:ext cx="156435" cy="156857"/>
      </dsp:txXfrm>
    </dsp:sp>
    <dsp:sp modelId="{E8364479-D80C-460D-9658-BDBDBE670414}">
      <dsp:nvSpPr>
        <dsp:cNvPr id="0" name=""/>
        <dsp:cNvSpPr/>
      </dsp:nvSpPr>
      <dsp:spPr>
        <a:xfrm>
          <a:off x="1478220" y="9281"/>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Réalisation de l'acte de cession</a:t>
          </a:r>
        </a:p>
      </dsp:txBody>
      <dsp:txXfrm>
        <a:off x="1496745" y="27806"/>
        <a:ext cx="1017099" cy="595439"/>
      </dsp:txXfrm>
    </dsp:sp>
    <dsp:sp modelId="{05018765-AFAF-475A-BCD9-EF6D4FC8BFB8}">
      <dsp:nvSpPr>
        <dsp:cNvPr id="0" name=""/>
        <dsp:cNvSpPr/>
      </dsp:nvSpPr>
      <dsp:spPr>
        <a:xfrm>
          <a:off x="2637785" y="194811"/>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fr-FR" sz="900" kern="1200"/>
        </a:p>
      </dsp:txBody>
      <dsp:txXfrm>
        <a:off x="2637785" y="247097"/>
        <a:ext cx="156435" cy="156857"/>
      </dsp:txXfrm>
    </dsp:sp>
    <dsp:sp modelId="{6F868CCC-A04A-4D40-A41F-9C489F05AF25}">
      <dsp:nvSpPr>
        <dsp:cNvPr id="0" name=""/>
        <dsp:cNvSpPr/>
      </dsp:nvSpPr>
      <dsp:spPr>
        <a:xfrm>
          <a:off x="2954029" y="9281"/>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Modification des statuts</a:t>
          </a:r>
        </a:p>
      </dsp:txBody>
      <dsp:txXfrm>
        <a:off x="2972554" y="27806"/>
        <a:ext cx="1017099" cy="595439"/>
      </dsp:txXfrm>
    </dsp:sp>
    <dsp:sp modelId="{D29BB62C-4286-47F2-823C-CA33A2D5F485}">
      <dsp:nvSpPr>
        <dsp:cNvPr id="0" name=""/>
        <dsp:cNvSpPr/>
      </dsp:nvSpPr>
      <dsp:spPr>
        <a:xfrm>
          <a:off x="4113594" y="194811"/>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fr-FR" sz="900" kern="1200"/>
        </a:p>
      </dsp:txBody>
      <dsp:txXfrm>
        <a:off x="4113594" y="247097"/>
        <a:ext cx="156435" cy="156857"/>
      </dsp:txXfrm>
    </dsp:sp>
    <dsp:sp modelId="{D61FE294-BC49-49AF-9AD4-4FB8F4972E1E}">
      <dsp:nvSpPr>
        <dsp:cNvPr id="0" name=""/>
        <dsp:cNvSpPr/>
      </dsp:nvSpPr>
      <dsp:spPr>
        <a:xfrm>
          <a:off x="4429839" y="9281"/>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Enregistrement de l'acte de cession</a:t>
          </a:r>
        </a:p>
      </dsp:txBody>
      <dsp:txXfrm>
        <a:off x="4448364" y="27806"/>
        <a:ext cx="1017099" cy="5954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2D8EF3C127CE4BA1F94CA71E1C51C2" ma:contentTypeVersion="18" ma:contentTypeDescription="Create a new document." ma:contentTypeScope="" ma:versionID="55576453a620e4aecd3d871810637e8d">
  <xsd:schema xmlns:xsd="http://www.w3.org/2001/XMLSchema" xmlns:xs="http://www.w3.org/2001/XMLSchema" xmlns:p="http://schemas.microsoft.com/office/2006/metadata/properties" xmlns:ns3="92c2803e-8947-44d4-904c-836858c2f1a0" xmlns:ns4="5e66341f-22b8-4375-99e8-3fc47550e0f0" targetNamespace="http://schemas.microsoft.com/office/2006/metadata/properties" ma:root="true" ma:fieldsID="fc2a5555be5f05f62e81f2ffa597c1c1" ns3:_="" ns4:_="">
    <xsd:import namespace="92c2803e-8947-44d4-904c-836858c2f1a0"/>
    <xsd:import namespace="5e66341f-22b8-4375-99e8-3fc47550e0f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2803e-8947-44d4-904c-836858c2f1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6341f-22b8-4375-99e8-3fc47550e0f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2c2803e-8947-44d4-904c-836858c2f1a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38ADB-FFB3-4559-8A99-551DA922C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2803e-8947-44d4-904c-836858c2f1a0"/>
    <ds:schemaRef ds:uri="5e66341f-22b8-4375-99e8-3fc47550e0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477278-A214-4DBF-9BB4-DD3A9EADD8BF}">
  <ds:schemaRefs>
    <ds:schemaRef ds:uri="http://schemas.microsoft.com/office/2006/documentManagement/types"/>
    <ds:schemaRef ds:uri="http://purl.org/dc/terms/"/>
    <ds:schemaRef ds:uri="http://schemas.openxmlformats.org/package/2006/metadata/core-properties"/>
    <ds:schemaRef ds:uri="92c2803e-8947-44d4-904c-836858c2f1a0"/>
    <ds:schemaRef ds:uri="http://purl.org/dc/dcmitype/"/>
    <ds:schemaRef ds:uri="http://schemas.microsoft.com/office/infopath/2007/PartnerControls"/>
    <ds:schemaRef ds:uri="http://purl.org/dc/elements/1.1/"/>
    <ds:schemaRef ds:uri="http://schemas.microsoft.com/office/2006/metadata/properties"/>
    <ds:schemaRef ds:uri="5e66341f-22b8-4375-99e8-3fc47550e0f0"/>
    <ds:schemaRef ds:uri="http://www.w3.org/XML/1998/namespace"/>
  </ds:schemaRefs>
</ds:datastoreItem>
</file>

<file path=customXml/itemProps3.xml><?xml version="1.0" encoding="utf-8"?>
<ds:datastoreItem xmlns:ds="http://schemas.openxmlformats.org/officeDocument/2006/customXml" ds:itemID="{32D15822-AA4B-4807-9898-790CD960A3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634</Words>
  <Characters>3493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BAUER Benjamin</dc:creator>
  <cp:keywords/>
  <dc:description/>
  <cp:lastModifiedBy>BAUER Benjamin</cp:lastModifiedBy>
  <cp:revision>3</cp:revision>
  <dcterms:created xsi:type="dcterms:W3CDTF">2024-02-08T12:03:00Z</dcterms:created>
  <dcterms:modified xsi:type="dcterms:W3CDTF">2024-02-12T15:13:00Z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0x010100D32D8EF3C127CE4BA1F94CA71E1C51C2</vt:lpwstr>
  </property>
</Properties>
</file>