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E3523" w:rsidR="00744ECF" w:rsidP="00004C36" w:rsidRDefault="00744ECF" w14:paraId="42705643" w14:textId="77777777">
      <w:pPr>
        <w:jc w:val="both"/>
        <w:rPr>
          <w:sz w:val="22"/>
          <w:szCs w:val="22"/>
        </w:rPr>
      </w:pPr>
    </w:p>
    <w:p w:rsidRPr="00AE3523" w:rsidR="006E70A5" w:rsidP="00AE3523" w:rsidRDefault="006E70A5" w14:paraId="6AAA0FBF" w14:textId="77777777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E3523">
        <w:rPr>
          <w:rFonts w:ascii="Times New Roman" w:hAnsi="Times New Roman" w:cs="Times New Roman"/>
          <w:b/>
          <w:sz w:val="22"/>
          <w:szCs w:val="22"/>
        </w:rPr>
        <w:t>Diagnostic des comptes consolidés</w:t>
      </w:r>
    </w:p>
    <w:p w:rsidRPr="00AE3523" w:rsidR="00E1218A" w:rsidP="00004C36" w:rsidRDefault="00E1218A" w14:paraId="192AF033" w14:textId="77777777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Pr="00AE3523" w:rsidR="00E1218A" w:rsidP="00004C36" w:rsidRDefault="00F40424" w14:paraId="1F4D97E4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 xml:space="preserve">Au regard de ces performances boursières exceptionnelles, une analyse des comptes consolidés de cette entreprise mérite d’être réalisée pour s’interroger sur </w:t>
      </w:r>
      <w:r w:rsidRPr="00AE3523" w:rsidR="008C4727">
        <w:rPr>
          <w:rFonts w:ascii="Times New Roman" w:hAnsi="Times New Roman" w:cs="Times New Roman"/>
          <w:sz w:val="22"/>
          <w:szCs w:val="22"/>
        </w:rPr>
        <w:t>la pertinence des anticipations des investisseurs</w:t>
      </w:r>
      <w:r w:rsidRPr="00AE3523">
        <w:rPr>
          <w:rFonts w:ascii="Times New Roman" w:hAnsi="Times New Roman" w:cs="Times New Roman"/>
          <w:sz w:val="22"/>
          <w:szCs w:val="22"/>
        </w:rPr>
        <w:t xml:space="preserve">. </w:t>
      </w:r>
      <w:r w:rsidRPr="00AE3523" w:rsidR="00D47DD5">
        <w:rPr>
          <w:rFonts w:ascii="Times New Roman" w:hAnsi="Times New Roman" w:cs="Times New Roman"/>
          <w:sz w:val="22"/>
          <w:szCs w:val="22"/>
        </w:rPr>
        <w:t>Pour ce faire, un diagnostic du compte de résultat et du bilan économique</w:t>
      </w:r>
      <w:r w:rsidRPr="00AE3523" w:rsidR="008C4727">
        <w:rPr>
          <w:rFonts w:ascii="Times New Roman" w:hAnsi="Times New Roman" w:cs="Times New Roman"/>
          <w:sz w:val="22"/>
          <w:szCs w:val="22"/>
        </w:rPr>
        <w:t xml:space="preserve"> permettent d’apprécier les fondamentaux de l’entrepris</w:t>
      </w:r>
      <w:r w:rsidRPr="00AE3523" w:rsidR="008135D6">
        <w:rPr>
          <w:rFonts w:ascii="Times New Roman" w:hAnsi="Times New Roman" w:cs="Times New Roman"/>
          <w:sz w:val="22"/>
          <w:szCs w:val="22"/>
        </w:rPr>
        <w:t>e les deux années suivantes N+1 et N+2</w:t>
      </w:r>
      <w:r w:rsidRPr="00AE3523" w:rsidR="008C4727">
        <w:rPr>
          <w:rFonts w:ascii="Times New Roman" w:hAnsi="Times New Roman" w:cs="Times New Roman"/>
          <w:sz w:val="22"/>
          <w:szCs w:val="22"/>
        </w:rPr>
        <w:t>.</w:t>
      </w:r>
    </w:p>
    <w:p w:rsidRPr="00AE3523" w:rsidR="00563057" w:rsidP="00004C36" w:rsidRDefault="00563057" w14:paraId="7EC8C49D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E3523" w:rsidR="00444C13" w:rsidRDefault="007F6AFE" w14:paraId="772BC37A" w14:textId="7777777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AE3523">
        <w:rPr>
          <w:rFonts w:ascii="Times New Roman" w:hAnsi="Times New Roman" w:cs="Times New Roman"/>
          <w:b/>
          <w:sz w:val="22"/>
          <w:szCs w:val="22"/>
        </w:rPr>
        <w:t xml:space="preserve">Analysez la profitabilité de LVMH en calculant les soldes de profitabilité qui vous semblent pertinents. </w:t>
      </w:r>
    </w:p>
    <w:p w:rsidRPr="00AE3523" w:rsidR="00D72412" w:rsidP="4F358438" w:rsidRDefault="00D72412" w14:paraId="64F716AE" w14:textId="77777777">
      <w:pPr>
        <w:jc w:val="both"/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</w:pPr>
    </w:p>
    <w:tbl>
      <w:tblPr>
        <w:tblW w:w="69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1300"/>
        <w:gridCol w:w="1300"/>
      </w:tblGrid>
      <w:tr w:rsidRPr="00AE3523" w:rsidR="0056616F" w:rsidTr="4F358438" w14:paraId="34ACFFC2" w14:textId="77777777">
        <w:trPr>
          <w:trHeight w:val="300"/>
          <w:jc w:val="center"/>
        </w:trPr>
        <w:tc>
          <w:tcPr>
            <w:tcW w:w="436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762DF8AF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56616F" w14:paraId="5CAA4BDB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% CA N+2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56616F" w14:paraId="0C2CFB2F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% CA N+1</w:t>
            </w:r>
          </w:p>
        </w:tc>
      </w:tr>
      <w:tr w:rsidRPr="00AE3523" w:rsidR="0056616F" w:rsidTr="4F358438" w14:paraId="2FE2687A" w14:textId="77777777">
        <w:trPr>
          <w:trHeight w:val="300"/>
          <w:jc w:val="center"/>
        </w:trPr>
        <w:tc>
          <w:tcPr>
            <w:tcW w:w="4360" w:type="dxa"/>
            <w:shd w:val="clear" w:color="auto" w:fill="DCE6F1"/>
            <w:noWrap/>
            <w:tcMar/>
            <w:vAlign w:val="bottom"/>
            <w:hideMark/>
          </w:tcPr>
          <w:p w:rsidRPr="00AE3523" w:rsidR="00CC10B4" w:rsidP="4F358438" w:rsidRDefault="00CC10B4" w14:paraId="6BDC8C77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Résultat opérationnel courant  </w:t>
            </w:r>
          </w:p>
        </w:tc>
        <w:tc>
          <w:tcPr>
            <w:tcW w:w="1300" w:type="dxa"/>
            <w:shd w:val="clear" w:color="auto" w:fill="DCE6F1"/>
            <w:noWrap/>
            <w:tcMar/>
            <w:vAlign w:val="bottom"/>
            <w:hideMark/>
          </w:tcPr>
          <w:p w:rsidRPr="00AE3523" w:rsidR="00CC10B4" w:rsidP="4F358438" w:rsidRDefault="00CC10B4" w14:paraId="0705AD04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21%</w:t>
            </w:r>
          </w:p>
        </w:tc>
        <w:tc>
          <w:tcPr>
            <w:tcW w:w="1300" w:type="dxa"/>
            <w:shd w:val="clear" w:color="auto" w:fill="DCE6F1"/>
            <w:noWrap/>
            <w:tcMar/>
            <w:vAlign w:val="bottom"/>
            <w:hideMark/>
          </w:tcPr>
          <w:p w:rsidRPr="00AE3523" w:rsidR="00CC10B4" w:rsidP="4F358438" w:rsidRDefault="00CC10B4" w14:paraId="7FCB289F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22%</w:t>
            </w:r>
          </w:p>
        </w:tc>
      </w:tr>
      <w:tr w:rsidRPr="00AE3523" w:rsidR="0056616F" w:rsidTr="4F358438" w14:paraId="4706E374" w14:textId="77777777">
        <w:trPr>
          <w:trHeight w:val="300"/>
          <w:jc w:val="center"/>
        </w:trPr>
        <w:tc>
          <w:tcPr>
            <w:tcW w:w="4360" w:type="dxa"/>
            <w:shd w:val="clear" w:color="auto" w:fill="DCE6F1"/>
            <w:noWrap/>
            <w:tcMar/>
            <w:vAlign w:val="bottom"/>
            <w:hideMark/>
          </w:tcPr>
          <w:p w:rsidRPr="00AE3523" w:rsidR="00CC10B4" w:rsidP="4F358438" w:rsidRDefault="00CC10B4" w14:paraId="1BCEEEF5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Résultat opérationnel   </w:t>
            </w:r>
          </w:p>
        </w:tc>
        <w:tc>
          <w:tcPr>
            <w:tcW w:w="1300" w:type="dxa"/>
            <w:shd w:val="clear" w:color="auto" w:fill="DCE6F1"/>
            <w:noWrap/>
            <w:tcMar/>
            <w:vAlign w:val="bottom"/>
            <w:hideMark/>
          </w:tcPr>
          <w:p w:rsidRPr="00AE3523" w:rsidR="00CC10B4" w:rsidP="4F358438" w:rsidRDefault="00CC10B4" w14:paraId="6CB1F04A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21%</w:t>
            </w:r>
          </w:p>
        </w:tc>
        <w:tc>
          <w:tcPr>
            <w:tcW w:w="1300" w:type="dxa"/>
            <w:shd w:val="clear" w:color="auto" w:fill="DCE6F1"/>
            <w:noWrap/>
            <w:tcMar/>
            <w:vAlign w:val="bottom"/>
            <w:hideMark/>
          </w:tcPr>
          <w:p w:rsidRPr="00AE3523" w:rsidR="00CC10B4" w:rsidP="4F358438" w:rsidRDefault="00CC10B4" w14:paraId="015C2512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22%</w:t>
            </w:r>
          </w:p>
        </w:tc>
      </w:tr>
      <w:tr w:rsidRPr="00AE3523" w:rsidR="0056616F" w:rsidTr="4F358438" w14:paraId="544D657D" w14:textId="77777777">
        <w:trPr>
          <w:trHeight w:val="300"/>
          <w:jc w:val="center"/>
        </w:trPr>
        <w:tc>
          <w:tcPr>
            <w:tcW w:w="436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6E50B0A8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Résultat net avant part des minoritaires   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28960855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14%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1ECA5C8E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15%</w:t>
            </w:r>
          </w:p>
        </w:tc>
      </w:tr>
      <w:tr w:rsidRPr="00AE3523" w:rsidR="0056616F" w:rsidTr="4F358438" w14:paraId="76CB3802" w14:textId="77777777">
        <w:trPr>
          <w:trHeight w:val="300"/>
          <w:jc w:val="center"/>
        </w:trPr>
        <w:tc>
          <w:tcPr>
            <w:tcW w:w="436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383B4533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Part des minoritaires 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54DA98BB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-2%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61222AA7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-2%</w:t>
            </w:r>
          </w:p>
        </w:tc>
      </w:tr>
      <w:tr w:rsidRPr="00AE3523" w:rsidR="00CC10B4" w:rsidTr="4F358438" w14:paraId="74E88591" w14:textId="77777777">
        <w:trPr>
          <w:trHeight w:val="300"/>
          <w:jc w:val="center"/>
        </w:trPr>
        <w:tc>
          <w:tcPr>
            <w:tcW w:w="436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6D30A1C8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Résultat net, part du Groupe  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7DBB55A3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12%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CC10B4" w:rsidP="4F358438" w:rsidRDefault="00CC10B4" w14:paraId="16D14248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CC10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13%</w:t>
            </w:r>
          </w:p>
        </w:tc>
      </w:tr>
    </w:tbl>
    <w:p w:rsidRPr="00AE3523" w:rsidR="00D72412" w:rsidP="00D72412" w:rsidRDefault="00D72412" w14:paraId="1758FB79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E3523" w:rsidR="00296C17" w:rsidP="00D72412" w:rsidRDefault="00296C17" w14:paraId="4BB404BB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 xml:space="preserve">Les marges sont excellentes pour ce groupe et en particulier les marges nettes globales et groupes. </w:t>
      </w:r>
      <w:r w:rsidRPr="00AE3523" w:rsidR="00527BF5">
        <w:rPr>
          <w:rFonts w:ascii="Times New Roman" w:hAnsi="Times New Roman" w:cs="Times New Roman"/>
          <w:sz w:val="22"/>
          <w:szCs w:val="22"/>
        </w:rPr>
        <w:t>En raison d’un faible résultat financier, le résultat net reflète le résultat opérationnel après impôts. On peut éventuellement s’étonner des déficits de la part des minoritaires.</w:t>
      </w:r>
    </w:p>
    <w:p w:rsidRPr="00AE3523" w:rsidR="00296C17" w:rsidP="00D72412" w:rsidRDefault="00296C17" w14:paraId="5426677A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B23FEC" w:rsidR="00F22C9B" w:rsidP="00F22C9B" w:rsidRDefault="00F22C9B" w14:paraId="605CA296" w14:textId="7777777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B23FEC">
        <w:rPr>
          <w:rFonts w:ascii="Times New Roman" w:hAnsi="Times New Roman" w:cs="Times New Roman"/>
          <w:b/>
          <w:sz w:val="22"/>
          <w:szCs w:val="22"/>
        </w:rPr>
        <w:t>A</w:t>
      </w:r>
      <w:r w:rsidRPr="00B23FEC" w:rsidR="001F2494">
        <w:rPr>
          <w:rFonts w:ascii="Times New Roman" w:hAnsi="Times New Roman" w:cs="Times New Roman"/>
          <w:b/>
          <w:sz w:val="22"/>
          <w:szCs w:val="22"/>
        </w:rPr>
        <w:t>nalysez la rentabilité économique (ROCE) et financière</w:t>
      </w:r>
      <w:r w:rsidRPr="00AE3523" w:rsidR="00444C1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B23FEC" w:rsidR="001F2494">
        <w:rPr>
          <w:rFonts w:ascii="Times New Roman" w:hAnsi="Times New Roman" w:cs="Times New Roman"/>
          <w:b/>
          <w:sz w:val="22"/>
          <w:szCs w:val="22"/>
        </w:rPr>
        <w:t xml:space="preserve">(ROE groupe) de </w:t>
      </w:r>
      <w:r w:rsidRPr="00AE3523" w:rsidR="00444C13">
        <w:rPr>
          <w:rFonts w:ascii="Times New Roman" w:hAnsi="Times New Roman" w:cs="Times New Roman"/>
          <w:b/>
          <w:sz w:val="22"/>
          <w:szCs w:val="22"/>
        </w:rPr>
        <w:t>LVMH</w:t>
      </w:r>
      <w:r w:rsidRPr="00AE3523" w:rsidR="007F6AFE">
        <w:rPr>
          <w:rFonts w:ascii="Times New Roman" w:hAnsi="Times New Roman" w:cs="Times New Roman"/>
          <w:b/>
          <w:sz w:val="22"/>
          <w:szCs w:val="22"/>
        </w:rPr>
        <w:t xml:space="preserve"> en utilisant le taux réel d’imposition</w:t>
      </w:r>
      <w:r w:rsidRPr="00AE3523" w:rsidR="00444C13">
        <w:rPr>
          <w:rFonts w:ascii="Times New Roman" w:hAnsi="Times New Roman" w:cs="Times New Roman"/>
          <w:b/>
          <w:sz w:val="22"/>
          <w:szCs w:val="22"/>
        </w:rPr>
        <w:t>.</w:t>
      </w:r>
      <w:r w:rsidRPr="00B23FEC" w:rsidR="001F2494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:rsidRPr="00AE3523" w:rsidR="00D73974" w:rsidP="00D73974" w:rsidRDefault="00D73974" w14:paraId="5CD64A94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E3523" w:rsidR="00D73974" w:rsidP="00D73974" w:rsidRDefault="00D73974" w14:paraId="23F7F3CC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 xml:space="preserve">Avant tout il s’agit de calculer le taux d’imposition réel de ce groupe en utilisant le ratio : IS/ (Résultat </w:t>
      </w:r>
      <w:proofErr w:type="gramStart"/>
      <w:r w:rsidRPr="00AE3523">
        <w:rPr>
          <w:rFonts w:ascii="Times New Roman" w:hAnsi="Times New Roman" w:cs="Times New Roman"/>
          <w:sz w:val="22"/>
          <w:szCs w:val="22"/>
        </w:rPr>
        <w:t>opérationnel</w:t>
      </w:r>
      <w:proofErr w:type="gramEnd"/>
      <w:r w:rsidRPr="00AE3523">
        <w:rPr>
          <w:rFonts w:ascii="Times New Roman" w:hAnsi="Times New Roman" w:cs="Times New Roman"/>
          <w:sz w:val="22"/>
          <w:szCs w:val="22"/>
        </w:rPr>
        <w:t xml:space="preserve"> + résultat financier)</w:t>
      </w:r>
      <w:r w:rsidRPr="00AE3523" w:rsidR="003E0DDF">
        <w:rPr>
          <w:rFonts w:ascii="Times New Roman" w:hAnsi="Times New Roman" w:cs="Times New Roman"/>
          <w:sz w:val="22"/>
          <w:szCs w:val="22"/>
        </w:rPr>
        <w:t xml:space="preserve">. </w:t>
      </w:r>
      <w:r w:rsidRPr="00AE3523" w:rsidR="008135D6">
        <w:rPr>
          <w:rFonts w:ascii="Times New Roman" w:hAnsi="Times New Roman" w:cs="Times New Roman"/>
          <w:sz w:val="22"/>
          <w:szCs w:val="22"/>
        </w:rPr>
        <w:t>En N+1</w:t>
      </w:r>
      <w:r w:rsidRPr="00AE3523">
        <w:rPr>
          <w:rFonts w:ascii="Times New Roman" w:hAnsi="Times New Roman" w:cs="Times New Roman"/>
          <w:sz w:val="22"/>
          <w:szCs w:val="22"/>
        </w:rPr>
        <w:t xml:space="preserve">, ce taux est </w:t>
      </w:r>
      <w:r w:rsidRPr="00AE3523" w:rsidR="008135D6">
        <w:rPr>
          <w:rFonts w:ascii="Times New Roman" w:hAnsi="Times New Roman" w:cs="Times New Roman"/>
          <w:sz w:val="22"/>
          <w:szCs w:val="22"/>
        </w:rPr>
        <w:t>de 29,62% et en N+2</w:t>
      </w:r>
      <w:r w:rsidRPr="00AE3523">
        <w:rPr>
          <w:rFonts w:ascii="Times New Roman" w:hAnsi="Times New Roman" w:cs="Times New Roman"/>
          <w:sz w:val="22"/>
          <w:szCs w:val="22"/>
        </w:rPr>
        <w:t>, il est de 31,76%</w:t>
      </w:r>
    </w:p>
    <w:p w:rsidRPr="00AE3523" w:rsidR="00D73974" w:rsidP="00D73974" w:rsidRDefault="00D73974" w14:paraId="7A509F64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64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80"/>
        <w:gridCol w:w="1300"/>
        <w:gridCol w:w="1300"/>
      </w:tblGrid>
      <w:tr w:rsidRPr="00AE3523" w:rsidR="0056616F" w:rsidTr="4F358438" w14:paraId="406119AC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01FFA7B5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47D17F47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N+2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4B0CAD4C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N+1</w:t>
            </w:r>
          </w:p>
        </w:tc>
      </w:tr>
      <w:tr w:rsidRPr="00AE3523" w:rsidR="0056616F" w:rsidTr="4F358438" w14:paraId="2C841474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6822A5E3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Résultat opérationnel   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1442DD78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5742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6436FC90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5148</w:t>
            </w:r>
          </w:p>
        </w:tc>
      </w:tr>
      <w:tr w:rsidRPr="00AE3523" w:rsidR="0056616F" w:rsidTr="4F358438" w14:paraId="28A0840F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62116E72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Autres produits et charges financiers  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51C6F01E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126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57F68D88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-91</w:t>
            </w:r>
          </w:p>
        </w:tc>
      </w:tr>
      <w:tr w:rsidRPr="00AE3523" w:rsidR="0056616F" w:rsidTr="4F358438" w14:paraId="600A11FD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30F6EB46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Résultat économique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0BAC9C46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5868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77F3D39C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5057</w:t>
            </w:r>
          </w:p>
        </w:tc>
      </w:tr>
      <w:tr w:rsidRPr="00AE3523" w:rsidR="0056616F" w:rsidTr="4F358438" w14:paraId="031FCF8A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7D60FCBC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-IS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0CCCB2BC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-1864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23F18248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-1498</w:t>
            </w:r>
          </w:p>
        </w:tc>
      </w:tr>
      <w:tr w:rsidRPr="00AE3523" w:rsidR="0056616F" w:rsidTr="4F358438" w14:paraId="2B3D1ED6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76698A44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Résultat économique net d'impôt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49EA4831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4004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3BE06986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3559</w:t>
            </w:r>
          </w:p>
        </w:tc>
      </w:tr>
      <w:tr w:rsidRPr="00AE3523" w:rsidR="0056616F" w:rsidTr="4F358438" w14:paraId="140ACA00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62D4B375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capitaux</w:t>
            </w: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employés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14F586CB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32283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2A40D3D1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30692</w:t>
            </w:r>
          </w:p>
        </w:tc>
      </w:tr>
      <w:tr w:rsidRPr="00AE3523" w:rsidR="0056616F" w:rsidTr="4F358438" w14:paraId="6AF4CE8A" w14:textId="77777777">
        <w:trPr>
          <w:trHeight w:val="300"/>
          <w:jc w:val="center"/>
        </w:trPr>
        <w:tc>
          <w:tcPr>
            <w:tcW w:w="388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7CF42A01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ROCE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3DFC578F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12</w:t>
            </w:r>
            <w:r w:rsidRPr="4F358438" w:rsidR="005D6145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,40</w:t>
            </w: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%</w:t>
            </w:r>
          </w:p>
        </w:tc>
        <w:tc>
          <w:tcPr>
            <w:tcW w:w="1300" w:type="dxa"/>
            <w:shd w:val="clear" w:color="auto" w:fill="auto"/>
            <w:noWrap/>
            <w:tcMar/>
            <w:vAlign w:val="bottom"/>
            <w:hideMark/>
          </w:tcPr>
          <w:p w:rsidRPr="00AE3523" w:rsidR="0056616F" w:rsidP="4F358438" w:rsidRDefault="0056616F" w14:paraId="14B7D1B5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1</w:t>
            </w:r>
            <w:r w:rsidRPr="4F358438" w:rsidR="005D6145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1,60</w:t>
            </w:r>
            <w:r w:rsidRPr="4F358438" w:rsidR="0056616F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%</w:t>
            </w:r>
          </w:p>
        </w:tc>
      </w:tr>
    </w:tbl>
    <w:p w:rsidRPr="00AE3523" w:rsidR="00D73974" w:rsidP="4F358438" w:rsidRDefault="00D73974" w14:paraId="4CA47067" w14:textId="77777777">
      <w:pPr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2"/>
          <w:szCs w:val="22"/>
        </w:rPr>
      </w:pPr>
    </w:p>
    <w:p w:rsidRPr="00AE3523" w:rsidR="00E86C51" w:rsidP="00D73974" w:rsidRDefault="00E86C51" w14:paraId="5B790B63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 xml:space="preserve">La rentabilité économique </w:t>
      </w:r>
      <w:r w:rsidRPr="00AE3523" w:rsidR="003E0DDF">
        <w:rPr>
          <w:rFonts w:ascii="Times New Roman" w:hAnsi="Times New Roman" w:cs="Times New Roman"/>
          <w:sz w:val="22"/>
          <w:szCs w:val="22"/>
        </w:rPr>
        <w:t xml:space="preserve">après IS </w:t>
      </w:r>
      <w:r w:rsidRPr="00AE3523">
        <w:rPr>
          <w:rFonts w:ascii="Times New Roman" w:hAnsi="Times New Roman" w:cs="Times New Roman"/>
          <w:sz w:val="22"/>
          <w:szCs w:val="22"/>
        </w:rPr>
        <w:t>de ce groupe est également excellente.</w:t>
      </w:r>
    </w:p>
    <w:p w:rsidRPr="00AE3523" w:rsidR="008E4119" w:rsidP="00D73974" w:rsidRDefault="008E4119" w14:paraId="4DB6CB5A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0"/>
        <w:gridCol w:w="1300"/>
        <w:gridCol w:w="1300"/>
      </w:tblGrid>
      <w:tr w:rsidRPr="00AE3523" w:rsidR="0056616F" w:rsidTr="4F358438" w14:paraId="00F42E36" w14:textId="77777777">
        <w:trPr>
          <w:trHeight w:val="300"/>
          <w:jc w:val="center"/>
        </w:trPr>
        <w:tc>
          <w:tcPr>
            <w:tcW w:w="372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78A4153B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49CF7AF5" w14:textId="77777777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N+2</w:t>
            </w: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37ACF307" w14:textId="77777777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N+1</w:t>
            </w:r>
          </w:p>
        </w:tc>
      </w:tr>
      <w:tr w:rsidRPr="00AE3523" w:rsidR="0056616F" w:rsidTr="4F358438" w14:paraId="7DD246F2" w14:textId="77777777">
        <w:trPr>
          <w:trHeight w:val="300"/>
          <w:jc w:val="center"/>
        </w:trPr>
        <w:tc>
          <w:tcPr>
            <w:tcW w:w="372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329D78DA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RN groupe</w:t>
            </w: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5E32159E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3425</w:t>
            </w: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42742C3F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3053</w:t>
            </w:r>
          </w:p>
        </w:tc>
      </w:tr>
      <w:tr w:rsidRPr="00AE3523" w:rsidR="0056616F" w:rsidTr="4F358438" w14:paraId="19DDD28D" w14:textId="77777777">
        <w:trPr>
          <w:trHeight w:val="300"/>
          <w:jc w:val="center"/>
        </w:trPr>
        <w:tc>
          <w:tcPr>
            <w:tcW w:w="372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27BF5" w14:paraId="06F8BEDC" w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27BF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C</w:t>
            </w: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P groupe</w:t>
            </w: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0FBEA4AA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24424</w:t>
            </w: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AE3523" w:rsidR="0056616F" w:rsidP="4F358438" w:rsidRDefault="0056616F" w14:paraId="1FBFBDB7" w14:textId="77777777">
            <w:pPr>
              <w:jc w:val="righ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22371</w:t>
            </w:r>
          </w:p>
        </w:tc>
      </w:tr>
      <w:tr w:rsidRPr="00AE3523" w:rsidR="0056616F" w:rsidTr="4F358438" w14:paraId="5BCE80D1" w14:textId="77777777">
        <w:trPr>
          <w:trHeight w:val="300"/>
          <w:jc w:val="center"/>
        </w:trPr>
        <w:tc>
          <w:tcPr>
            <w:tcW w:w="3720" w:type="dxa"/>
            <w:shd w:val="clear" w:color="auto" w:fill="DAE8F8"/>
            <w:noWrap/>
            <w:tcMar/>
            <w:vAlign w:val="bottom"/>
            <w:hideMark/>
          </w:tcPr>
          <w:p w:rsidRPr="00B23FEC" w:rsidR="0056616F" w:rsidP="4F358438" w:rsidRDefault="0056616F" w14:paraId="6DE3201F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ROE groupe</w:t>
            </w: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B23FEC" w:rsidR="0056616F" w:rsidP="4F358438" w:rsidRDefault="0056616F" w14:paraId="3D54283E" w14:textId="77777777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14,02%</w:t>
            </w:r>
          </w:p>
        </w:tc>
        <w:tc>
          <w:tcPr>
            <w:tcW w:w="1300" w:type="dxa"/>
            <w:shd w:val="clear" w:color="auto" w:fill="DAE8F8"/>
            <w:noWrap/>
            <w:tcMar/>
            <w:vAlign w:val="bottom"/>
            <w:hideMark/>
          </w:tcPr>
          <w:p w:rsidRPr="00B23FEC" w:rsidR="0056616F" w:rsidP="4F358438" w:rsidRDefault="0056616F" w14:paraId="6098AA6A" w14:textId="77777777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F358438" w:rsidR="0056616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13,65%</w:t>
            </w:r>
          </w:p>
        </w:tc>
      </w:tr>
    </w:tbl>
    <w:p w:rsidRPr="00AE3523" w:rsidR="008E4119" w:rsidP="00D73974" w:rsidRDefault="008E4119" w14:paraId="1C30C9BD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E3523" w:rsidR="008E4119" w:rsidP="00D73974" w:rsidRDefault="008E4119" w14:paraId="16B81C26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 xml:space="preserve">La rentabilité financière est légèrement en deçà du seuil traditionnellement attendu de 15%, mais elle reste très confortable pour un grand groupe coté. </w:t>
      </w:r>
    </w:p>
    <w:p w:rsidR="008E4119" w:rsidP="00D73974" w:rsidRDefault="008E4119" w14:paraId="301C9208" w14:textId="48719569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111E93" w:rsidP="00D73974" w:rsidRDefault="00111E93" w14:paraId="487DBA94" w14:textId="1A6BAD04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111E93" w:rsidP="00D73974" w:rsidRDefault="00111E93" w14:paraId="2FD91F7D" w14:textId="3799B841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111E93" w:rsidP="00D73974" w:rsidRDefault="00111E93" w14:paraId="1F3E7825" w14:textId="3A93F7D0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E3523" w:rsidR="00111E93" w:rsidP="00D73974" w:rsidRDefault="00111E93" w14:paraId="5996AE45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bookmarkStart w:name="_GoBack" w:id="0"/>
      <w:bookmarkEnd w:id="0"/>
    </w:p>
    <w:p w:rsidRPr="00B23FEC" w:rsidR="001F2494" w:rsidP="00F22C9B" w:rsidRDefault="001F2494" w14:paraId="531B0789" w14:textId="7777777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B23FEC">
        <w:rPr>
          <w:rFonts w:ascii="Times New Roman" w:hAnsi="Times New Roman" w:cs="Times New Roman"/>
          <w:b/>
          <w:sz w:val="22"/>
          <w:szCs w:val="22"/>
        </w:rPr>
        <w:lastRenderedPageBreak/>
        <w:t>Analysez la structure de ce groupe au regard de son ratio d’endettement, de son ratio de solvabilité et de ses trois ratios de liquidités</w:t>
      </w:r>
    </w:p>
    <w:p w:rsidRPr="00AE3523" w:rsidR="00B9495A" w:rsidP="13C9ABD7" w:rsidRDefault="00B9495A" w14:paraId="4EFCE950" w14:textId="77777777">
      <w:pPr>
        <w:jc w:val="both"/>
        <w:rPr>
          <w:rFonts w:ascii="Times New Roman" w:hAnsi="Times New Roman" w:cs="Times New Roman"/>
          <w:color w:val="auto" w:themeColor="text1" w:themeTint="FF" w:themeShade="FF"/>
          <w:sz w:val="22"/>
          <w:szCs w:val="22"/>
          <w:highlight w:val="yellow"/>
        </w:rPr>
      </w:pPr>
    </w:p>
    <w:tbl>
      <w:tblPr>
        <w:tblW w:w="63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0"/>
        <w:gridCol w:w="1357"/>
        <w:gridCol w:w="1290"/>
      </w:tblGrid>
      <w:tr w:rsidRPr="00AE3523" w:rsidR="0056616F" w:rsidTr="13C9ABD7" w14:paraId="3DDF39D2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578F7408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35634C2C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N+2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3D6DF1BA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N+1</w:t>
            </w:r>
          </w:p>
        </w:tc>
      </w:tr>
      <w:tr w:rsidRPr="00AE3523" w:rsidR="0056616F" w:rsidTr="13C9ABD7" w14:paraId="7903B36D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37BA118B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Capitaux propres/part du groupe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783FDCAE" w14:textId="4C2820F6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24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424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45020196" w14:textId="2B9AA12C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22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371</w:t>
            </w:r>
          </w:p>
        </w:tc>
      </w:tr>
      <w:tr w:rsidRPr="00AE3523" w:rsidR="0056616F" w:rsidTr="13C9ABD7" w14:paraId="4BF5AA35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1E0757EF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/Total de l'actif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3E0DDF" w14:paraId="1AC51EB4" w14:textId="759F26DD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3E0DD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38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3E0DD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738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7F6AFE" w14:paraId="17379FAF" w14:textId="5C9A99D1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7F6AF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35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7F6AF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891</w:t>
            </w:r>
          </w:p>
        </w:tc>
      </w:tr>
      <w:tr w:rsidRPr="00AE3523" w:rsidR="0056616F" w:rsidTr="13C9ABD7" w14:paraId="38DCA588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2A8F7E7C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solvabilité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3E0DDF" w14:paraId="5DF41C9C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3E0DD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63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%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7F6AFE" w14:paraId="78FA6409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7F6AF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62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%</w:t>
            </w:r>
          </w:p>
        </w:tc>
      </w:tr>
      <w:tr w:rsidRPr="00B23FEC" w:rsidR="0056616F" w:rsidTr="13C9ABD7" w14:paraId="5E9CC092" w14:textId="77777777">
        <w:trPr>
          <w:trHeight w:val="44"/>
        </w:trPr>
        <w:tc>
          <w:tcPr>
            <w:tcW w:w="3720" w:type="dxa"/>
            <w:noWrap/>
            <w:tcMar/>
            <w:vAlign w:val="bottom"/>
          </w:tcPr>
          <w:p w:rsidRPr="00B23FEC" w:rsidR="0056616F" w:rsidP="13C9ABD7" w:rsidRDefault="0056616F" w14:paraId="03C71A6B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357" w:type="dxa"/>
            <w:noWrap/>
            <w:tcMar/>
            <w:vAlign w:val="bottom"/>
          </w:tcPr>
          <w:p w:rsidRPr="00B23FEC" w:rsidR="0056616F" w:rsidP="13C9ABD7" w:rsidRDefault="0056616F" w14:paraId="084D1D58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290" w:type="dxa"/>
            <w:noWrap/>
            <w:tcMar/>
            <w:vAlign w:val="bottom"/>
          </w:tcPr>
          <w:p w:rsidRPr="00B23FEC" w:rsidR="0056616F" w:rsidP="13C9ABD7" w:rsidRDefault="0056616F" w14:paraId="116B5B5D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</w:tr>
      <w:tr w:rsidRPr="00AE3523" w:rsidR="0056616F" w:rsidTr="13C9ABD7" w14:paraId="0DDB7BE1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3E948D50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Dettes financières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63FDFB98" w14:textId="405F73E0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6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775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21A9E5A4" w14:textId="412E8370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7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266</w:t>
            </w:r>
          </w:p>
        </w:tc>
      </w:tr>
      <w:tr w:rsidRPr="00AE3523" w:rsidR="0056616F" w:rsidTr="13C9ABD7" w14:paraId="6899DBF2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382C1C2A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/Capitaux propres/part du groupe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0F413E4B" w14:textId="1731F6DA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24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424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54FF7E37" w14:textId="5FEE855B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22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371</w:t>
            </w:r>
          </w:p>
        </w:tc>
      </w:tr>
      <w:tr w:rsidRPr="00AE3523" w:rsidR="0056616F" w:rsidTr="13C9ABD7" w14:paraId="1BBCDCEC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7197B631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endettement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6435697D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28%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701CCBA1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32%</w:t>
            </w:r>
          </w:p>
        </w:tc>
      </w:tr>
      <w:tr w:rsidRPr="00B23FEC" w:rsidR="0056616F" w:rsidTr="13C9ABD7" w14:paraId="3B80A508" w14:textId="77777777">
        <w:trPr>
          <w:trHeight w:val="66"/>
        </w:trPr>
        <w:tc>
          <w:tcPr>
            <w:tcW w:w="3720" w:type="dxa"/>
            <w:noWrap/>
            <w:tcMar/>
            <w:vAlign w:val="bottom"/>
            <w:hideMark/>
          </w:tcPr>
          <w:p w:rsidRPr="00B23FEC" w:rsidR="0056616F" w:rsidP="13C9ABD7" w:rsidRDefault="0056616F" w14:paraId="3773FFE9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357" w:type="dxa"/>
            <w:noWrap/>
            <w:tcMar/>
            <w:vAlign w:val="bottom"/>
            <w:hideMark/>
          </w:tcPr>
          <w:p w:rsidRPr="00B23FEC" w:rsidR="0056616F" w:rsidP="13C9ABD7" w:rsidRDefault="0056616F" w14:paraId="782D4DA1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290" w:type="dxa"/>
            <w:noWrap/>
            <w:tcMar/>
            <w:vAlign w:val="bottom"/>
            <w:hideMark/>
          </w:tcPr>
          <w:p w:rsidRPr="00B23FEC" w:rsidR="0056616F" w:rsidP="13C9ABD7" w:rsidRDefault="0056616F" w14:paraId="7D081E55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</w:tr>
      <w:tr w:rsidRPr="00AE3523" w:rsidR="0056616F" w:rsidTr="13C9ABD7" w14:paraId="0AB915A5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5147EB03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Actifs courants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4F0FBA64" w14:textId="4AF3CA9B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14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3E0DD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914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296E622D" w14:textId="20C90C52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13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267</w:t>
            </w:r>
          </w:p>
        </w:tc>
      </w:tr>
      <w:tr w:rsidRPr="00AE3523" w:rsidR="0056616F" w:rsidTr="13C9ABD7" w14:paraId="6557104C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797FFE61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/Passif courant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3E4ECC38" w14:textId="55B0D1E3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405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6FFD5948" w14:textId="6C21698F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594</w:t>
            </w:r>
          </w:p>
        </w:tc>
      </w:tr>
      <w:tr w:rsidRPr="00AE3523" w:rsidR="0056616F" w:rsidTr="13C9ABD7" w14:paraId="75E2740B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5819183D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R Liquidité Générale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55C3B3D3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15</w:t>
            </w:r>
            <w:r w:rsidRPr="13C9ABD7" w:rsidR="003E0DD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%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4FD6936C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138%</w:t>
            </w:r>
          </w:p>
        </w:tc>
      </w:tr>
      <w:tr w:rsidRPr="00B23FEC" w:rsidR="0056616F" w:rsidTr="13C9ABD7" w14:paraId="1ABC73A9" w14:textId="77777777">
        <w:trPr>
          <w:trHeight w:val="96"/>
        </w:trPr>
        <w:tc>
          <w:tcPr>
            <w:tcW w:w="3720" w:type="dxa"/>
            <w:noWrap/>
            <w:tcMar/>
            <w:vAlign w:val="bottom"/>
            <w:hideMark/>
          </w:tcPr>
          <w:p w:rsidRPr="00B23FEC" w:rsidR="0056616F" w:rsidP="13C9ABD7" w:rsidRDefault="0056616F" w14:paraId="0B8AB3B9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357" w:type="dxa"/>
            <w:noWrap/>
            <w:tcMar/>
            <w:vAlign w:val="bottom"/>
            <w:hideMark/>
          </w:tcPr>
          <w:p w:rsidRPr="00B23FEC" w:rsidR="0056616F" w:rsidP="13C9ABD7" w:rsidRDefault="0056616F" w14:paraId="631D7F12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290" w:type="dxa"/>
            <w:noWrap/>
            <w:tcMar/>
            <w:vAlign w:val="bottom"/>
            <w:hideMark/>
          </w:tcPr>
          <w:p w:rsidRPr="00B23FEC" w:rsidR="0056616F" w:rsidP="13C9ABD7" w:rsidRDefault="0056616F" w14:paraId="7DA0BE96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</w:tr>
      <w:tr w:rsidRPr="00AE3523" w:rsidR="0056616F" w:rsidTr="13C9ABD7" w14:paraId="6D3AEC03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4AADD4EA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Actif courant - stocks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09CDE988" w14:textId="025BFBDE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6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173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3B84B5B0" w14:textId="04F35C63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5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757</w:t>
            </w:r>
          </w:p>
        </w:tc>
      </w:tr>
      <w:tr w:rsidRPr="00AE3523" w:rsidR="0056616F" w:rsidTr="13C9ABD7" w14:paraId="4141CA5D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087D2F72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/Passif courant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4591E1BC" w14:textId="1AED8A20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405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088DC16B" w14:textId="56EB4E51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594</w:t>
            </w:r>
          </w:p>
        </w:tc>
      </w:tr>
      <w:tr w:rsidRPr="00AE3523" w:rsidR="0056616F" w:rsidTr="13C9ABD7" w14:paraId="67814D8F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13FD16DF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R Liquidité Réduite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6F632E9E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66%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4B0059C9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60%</w:t>
            </w:r>
          </w:p>
        </w:tc>
      </w:tr>
      <w:tr w:rsidRPr="00B23FEC" w:rsidR="0056616F" w:rsidTr="13C9ABD7" w14:paraId="563505D5" w14:textId="77777777">
        <w:trPr>
          <w:trHeight w:val="44"/>
        </w:trPr>
        <w:tc>
          <w:tcPr>
            <w:tcW w:w="3720" w:type="dxa"/>
            <w:noWrap/>
            <w:tcMar/>
            <w:vAlign w:val="bottom"/>
            <w:hideMark/>
          </w:tcPr>
          <w:p w:rsidRPr="00B23FEC" w:rsidR="0056616F" w:rsidP="13C9ABD7" w:rsidRDefault="0056616F" w14:paraId="6689431C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357" w:type="dxa"/>
            <w:noWrap/>
            <w:tcMar/>
            <w:vAlign w:val="bottom"/>
            <w:hideMark/>
          </w:tcPr>
          <w:p w:rsidRPr="00B23FEC" w:rsidR="0056616F" w:rsidP="13C9ABD7" w:rsidRDefault="0056616F" w14:paraId="3AE0730C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  <w:tc>
          <w:tcPr>
            <w:tcW w:w="1290" w:type="dxa"/>
            <w:noWrap/>
            <w:tcMar/>
            <w:vAlign w:val="bottom"/>
            <w:hideMark/>
          </w:tcPr>
          <w:p w:rsidRPr="00B23FEC" w:rsidR="0056616F" w:rsidP="13C9ABD7" w:rsidRDefault="0056616F" w14:paraId="4FAA6016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14"/>
                <w:szCs w:val="14"/>
              </w:rPr>
            </w:pPr>
          </w:p>
        </w:tc>
      </w:tr>
      <w:tr w:rsidRPr="00AE3523" w:rsidR="0056616F" w:rsidTr="13C9ABD7" w14:paraId="7416C497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B23FEC" w:rsidR="0056616F" w:rsidP="13C9ABD7" w:rsidRDefault="0056616F" w14:paraId="4B2D8E0D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Trésorerie et équivalents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2DAF621D" w14:textId="3B125A18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187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3C53C0C3" w14:textId="27DC58EC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303</w:t>
            </w:r>
          </w:p>
        </w:tc>
      </w:tr>
      <w:tr w:rsidRPr="00AE3523" w:rsidR="0056616F" w:rsidTr="13C9ABD7" w14:paraId="10E8FB51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2880C733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/Passif courant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6F66AA32" w14:textId="44D863C3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405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509C229F" w14:textId="47BBE35B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3C9ABD7" w:rsidR="00B23FE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594</w:t>
            </w:r>
          </w:p>
        </w:tc>
      </w:tr>
      <w:tr w:rsidRPr="00AE3523" w:rsidR="0056616F" w:rsidTr="13C9ABD7" w14:paraId="21D880E9" w14:textId="77777777">
        <w:trPr>
          <w:trHeight w:val="300"/>
        </w:trPr>
        <w:tc>
          <w:tcPr>
            <w:tcW w:w="3720" w:type="dxa"/>
            <w:noWrap/>
            <w:tcMar/>
            <w:vAlign w:val="bottom"/>
            <w:hideMark/>
          </w:tcPr>
          <w:p w:rsidRPr="00AE3523" w:rsidR="0056616F" w:rsidP="13C9ABD7" w:rsidRDefault="0056616F" w14:paraId="54FE05D3" w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R Liquidité Immédiate</w:t>
            </w:r>
          </w:p>
        </w:tc>
        <w:tc>
          <w:tcPr>
            <w:tcW w:w="1357" w:type="dxa"/>
            <w:noWrap/>
            <w:tcMar/>
            <w:vAlign w:val="bottom"/>
            <w:hideMark/>
          </w:tcPr>
          <w:p w:rsidRPr="00AE3523" w:rsidR="0056616F" w:rsidP="13C9ABD7" w:rsidRDefault="0056616F" w14:paraId="303260B8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23%</w:t>
            </w:r>
          </w:p>
        </w:tc>
        <w:tc>
          <w:tcPr>
            <w:tcW w:w="1290" w:type="dxa"/>
            <w:noWrap/>
            <w:tcMar/>
            <w:vAlign w:val="bottom"/>
            <w:hideMark/>
          </w:tcPr>
          <w:p w:rsidRPr="00AE3523" w:rsidR="0056616F" w:rsidP="13C9ABD7" w:rsidRDefault="0056616F" w14:paraId="17B5505B" w14:textId="777777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auto" w:themeColor="text1" w:themeTint="FF" w:themeShade="FF"/>
                <w:sz w:val="22"/>
                <w:szCs w:val="22"/>
              </w:rPr>
            </w:pPr>
            <w:r w:rsidRPr="13C9ABD7" w:rsidR="0056616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2"/>
                <w:szCs w:val="22"/>
              </w:rPr>
              <w:t>24%</w:t>
            </w:r>
          </w:p>
        </w:tc>
      </w:tr>
    </w:tbl>
    <w:p w:rsidRPr="00AE3523" w:rsidR="001768CC" w:rsidP="00B9495A" w:rsidRDefault="001768CC" w14:paraId="09D639EC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E3523" w:rsidR="00B9495A" w:rsidP="00B9495A" w:rsidRDefault="001768CC" w14:paraId="7A78CCF3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>Le ratio de solvabilit</w:t>
      </w:r>
      <w:r w:rsidRPr="00AE3523" w:rsidR="008135D6">
        <w:rPr>
          <w:rFonts w:ascii="Times New Roman" w:hAnsi="Times New Roman" w:cs="Times New Roman"/>
          <w:sz w:val="22"/>
          <w:szCs w:val="22"/>
        </w:rPr>
        <w:t>é de ce groupe est largement au-</w:t>
      </w:r>
      <w:r w:rsidRPr="00AE3523">
        <w:rPr>
          <w:rFonts w:ascii="Times New Roman" w:hAnsi="Times New Roman" w:cs="Times New Roman"/>
          <w:sz w:val="22"/>
          <w:szCs w:val="22"/>
        </w:rPr>
        <w:t>dessus du seuil de 20%, avec des fonds propres largement suffisants pour pérenniser l’entreprise.</w:t>
      </w:r>
      <w:r w:rsidRPr="00AE3523" w:rsidR="00235439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AE3523" w:rsidR="00235439" w:rsidP="00B9495A" w:rsidRDefault="00235439" w14:paraId="075B8BA7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 xml:space="preserve">Le niveau d’endettement est très bas car les dettes financières constituent moins d’un tiers des fonds propres. </w:t>
      </w:r>
    </w:p>
    <w:p w:rsidRPr="00AE3523" w:rsidR="00235439" w:rsidP="00B9495A" w:rsidRDefault="00A13DEB" w14:paraId="5E09456E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>La liquidité générale et la liquidité immédiate sont excellentes. En effet, les actifs à moins d’un an sont largement suffisants pour couvrir les dettes à moins d’un an. De même</w:t>
      </w:r>
      <w:r w:rsidRPr="00AE3523" w:rsidR="002E7C95">
        <w:rPr>
          <w:rFonts w:ascii="Times New Roman" w:hAnsi="Times New Roman" w:cs="Times New Roman"/>
          <w:sz w:val="22"/>
          <w:szCs w:val="22"/>
        </w:rPr>
        <w:t>, la trésorerie permet de couvrir au moins un quart des dettes à moins d’un an.</w:t>
      </w:r>
    </w:p>
    <w:p w:rsidRPr="00AE3523" w:rsidR="001768CC" w:rsidP="00B9495A" w:rsidRDefault="001768CC" w14:paraId="24B97CE8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B23FEC" w:rsidR="00155308" w:rsidP="00F22C9B" w:rsidRDefault="00155308" w14:paraId="7AF991FD" w14:textId="7777777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B23FEC">
        <w:rPr>
          <w:rFonts w:ascii="Times New Roman" w:hAnsi="Times New Roman" w:cs="Times New Roman"/>
          <w:b/>
          <w:sz w:val="22"/>
          <w:szCs w:val="22"/>
        </w:rPr>
        <w:t xml:space="preserve">Quelles sont vos conclusions sur la santé financière de </w:t>
      </w:r>
      <w:r w:rsidRPr="00B23FEC" w:rsidR="00444C13">
        <w:rPr>
          <w:rFonts w:ascii="Times New Roman" w:hAnsi="Times New Roman" w:cs="Times New Roman"/>
          <w:b/>
          <w:sz w:val="22"/>
          <w:szCs w:val="22"/>
        </w:rPr>
        <w:t>LVMH</w:t>
      </w:r>
      <w:r w:rsidRPr="00B23FEC">
        <w:rPr>
          <w:rFonts w:ascii="Times New Roman" w:hAnsi="Times New Roman" w:cs="Times New Roman"/>
          <w:b/>
          <w:sz w:val="22"/>
          <w:szCs w:val="22"/>
        </w:rPr>
        <w:t xml:space="preserve"> ? </w:t>
      </w:r>
    </w:p>
    <w:p w:rsidR="00270882" w:rsidP="00B23FEC" w:rsidRDefault="00270882" w14:paraId="5362A293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E3523" w:rsidR="00F3185C" w:rsidP="00B23FEC" w:rsidRDefault="00F3185C" w14:paraId="0A03D16C" w14:textId="77777777">
      <w:pPr>
        <w:jc w:val="both"/>
        <w:rPr>
          <w:rFonts w:ascii="Times New Roman" w:hAnsi="Times New Roman" w:cs="Times New Roman"/>
          <w:sz w:val="22"/>
          <w:szCs w:val="22"/>
        </w:rPr>
      </w:pPr>
      <w:r w:rsidRPr="00AE3523">
        <w:rPr>
          <w:rFonts w:ascii="Times New Roman" w:hAnsi="Times New Roman" w:cs="Times New Roman"/>
          <w:sz w:val="22"/>
          <w:szCs w:val="22"/>
        </w:rPr>
        <w:t xml:space="preserve">Ce groupe est en excellente santé financière, ce qui peut expliquer les anticipations favorables du marché avec </w:t>
      </w:r>
      <w:r w:rsidRPr="00AE3523" w:rsidR="008135D6">
        <w:rPr>
          <w:rFonts w:ascii="Times New Roman" w:hAnsi="Times New Roman" w:cs="Times New Roman"/>
          <w:sz w:val="22"/>
          <w:szCs w:val="22"/>
        </w:rPr>
        <w:t xml:space="preserve">un cours qui a pris 48% en N </w:t>
      </w:r>
      <w:r w:rsidRPr="00AE3523">
        <w:rPr>
          <w:rFonts w:ascii="Times New Roman" w:hAnsi="Times New Roman" w:cs="Times New Roman"/>
          <w:sz w:val="22"/>
          <w:szCs w:val="22"/>
        </w:rPr>
        <w:t xml:space="preserve">et qui laissait préfigurer des fondamentaux solides. En effet, les performances en termes de marges et de rentabilité en témoignent, ainsi que la solidité financière de ce groupe. </w:t>
      </w:r>
      <w:r w:rsidRPr="00AE3523" w:rsidR="00527BF5">
        <w:rPr>
          <w:rFonts w:ascii="Times New Roman" w:hAnsi="Times New Roman" w:cs="Times New Roman"/>
          <w:sz w:val="22"/>
          <w:szCs w:val="22"/>
        </w:rPr>
        <w:t>I</w:t>
      </w:r>
      <w:r w:rsidRPr="00AE3523">
        <w:rPr>
          <w:rFonts w:ascii="Times New Roman" w:hAnsi="Times New Roman" w:cs="Times New Roman"/>
          <w:sz w:val="22"/>
          <w:szCs w:val="22"/>
        </w:rPr>
        <w:t>l est à noter le faible niveau d’endettement financier qui s’il était légèrement plus élevé permettrait au ratio de rentabilité financière (</w:t>
      </w:r>
      <w:r w:rsidRPr="00AE3523" w:rsidR="0056616F">
        <w:rPr>
          <w:rFonts w:ascii="Times New Roman" w:hAnsi="Times New Roman" w:cs="Times New Roman"/>
          <w:sz w:val="22"/>
          <w:szCs w:val="22"/>
        </w:rPr>
        <w:t>ROE groupe) d’être largement au-</w:t>
      </w:r>
      <w:r w:rsidRPr="00AE3523">
        <w:rPr>
          <w:rFonts w:ascii="Times New Roman" w:hAnsi="Times New Roman" w:cs="Times New Roman"/>
          <w:sz w:val="22"/>
          <w:szCs w:val="22"/>
        </w:rPr>
        <w:t>dessus de 15% grâce à l’effet de levier.</w:t>
      </w:r>
    </w:p>
    <w:p w:rsidRPr="00AE3523" w:rsidR="00F22C9B" w:rsidP="00004C36" w:rsidRDefault="00F22C9B" w14:paraId="4F85E4EA" w14:textId="77777777">
      <w:pPr>
        <w:jc w:val="both"/>
        <w:rPr>
          <w:rFonts w:ascii="Times New Roman" w:hAnsi="Times New Roman" w:cs="Times New Roman"/>
          <w:sz w:val="22"/>
          <w:szCs w:val="22"/>
        </w:rPr>
      </w:pPr>
    </w:p>
    <w:p w:rsidRPr="00AA30CF" w:rsidR="00052A6E" w:rsidP="00AA30CF" w:rsidRDefault="00052A6E" w14:paraId="5EABC630" w14:textId="77777777">
      <w:pPr>
        <w:rPr>
          <w:rFonts w:ascii="Times New Roman" w:hAnsi="Times New Roman" w:cs="Times New Roman"/>
          <w:b/>
          <w:sz w:val="22"/>
          <w:szCs w:val="22"/>
        </w:rPr>
      </w:pPr>
    </w:p>
    <w:sectPr w:rsidRPr="00AA30CF" w:rsidR="00052A6E" w:rsidSect="00270882">
      <w:footerReference w:type="even" r:id="rId7"/>
      <w:footerReference w:type="default" r:id="rId8"/>
      <w:pgSz w:w="11900" w:h="16840" w:orient="portrait"/>
      <w:pgMar w:top="1099" w:right="1417" w:bottom="1276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7B1F" w:rsidP="001F7114" w:rsidRDefault="00F57B1F" w14:paraId="2AA45761" w14:textId="77777777">
      <w:r>
        <w:separator/>
      </w:r>
    </w:p>
  </w:endnote>
  <w:endnote w:type="continuationSeparator" w:id="0">
    <w:p w:rsidR="00F57B1F" w:rsidP="001F7114" w:rsidRDefault="00F57B1F" w14:paraId="7DB8F8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1C8A" w:rsidP="00E611FD" w:rsidRDefault="008E2D21" w14:paraId="14437286" w14:textId="77777777">
    <w:pPr>
      <w:pStyle w:val="Pieddepage"/>
      <w:framePr w:wrap="around" w:hAnchor="margin" w:vAnchor="text" w:xAlign="right" w:y="1"/>
      <w:rPr>
        <w:rStyle w:val="Numrodepage"/>
      </w:rPr>
    </w:pPr>
    <w:r>
      <w:rPr>
        <w:rStyle w:val="Numrodepage"/>
      </w:rPr>
      <w:fldChar w:fldCharType="begin"/>
    </w:r>
    <w:r w:rsidR="005A1C8A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5A1C8A" w:rsidP="001F7114" w:rsidRDefault="005A1C8A" w14:paraId="7A8D2BA2" w14:textId="7777777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1C8A" w:rsidP="00270882" w:rsidRDefault="00BE4B2C" w14:paraId="06A279DF" w14:textId="77777777">
    <w:pPr>
      <w:pStyle w:val="Pieddepage"/>
    </w:pPr>
    <w:r w:rsidRPr="00BE4B2C">
      <w:rPr>
        <w:rFonts w:ascii="Times New Roman" w:hAnsi="Times New Roman" w:cs="Times New Roman"/>
        <w:sz w:val="20"/>
      </w:rPr>
      <w:t xml:space="preserve">DSCG 2018 UE2 – Finance    </w:t>
    </w:r>
    <w:r w:rsidR="00270882">
      <w:rPr>
        <w:rFonts w:ascii="Times New Roman" w:hAnsi="Times New Roman" w:cs="Times New Roman"/>
        <w:b/>
        <w:sz w:val="20"/>
      </w:rPr>
      <w:t>Éléments indicatifs de corrigé</w:t>
    </w:r>
    <w:r w:rsidRPr="00BE4B2C">
      <w:rPr>
        <w:rFonts w:ascii="Times New Roman" w:hAnsi="Times New Roman" w:cs="Times New Roman"/>
        <w:b/>
        <w:sz w:val="20"/>
      </w:rPr>
      <w:t xml:space="preserve"> </w:t>
    </w:r>
    <w:r w:rsidRPr="00BE4B2C">
      <w:rPr>
        <w:rFonts w:ascii="Times New Roman" w:hAnsi="Times New Roman" w:cs="Times New Roman"/>
        <w:sz w:val="20"/>
      </w:rPr>
      <w:tab/>
    </w:r>
    <w:r w:rsidRPr="00BE4B2C">
      <w:rPr>
        <w:rFonts w:ascii="Times New Roman" w:hAnsi="Times New Roman" w:cs="Times New Roman"/>
        <w:sz w:val="20"/>
      </w:rPr>
      <w:tab/>
    </w:r>
    <w:r w:rsidRPr="00BE4B2C" w:rsidR="008E2D21">
      <w:rPr>
        <w:rFonts w:ascii="Times New Roman" w:hAnsi="Times New Roman" w:cs="Times New Roman"/>
        <w:sz w:val="20"/>
      </w:rPr>
      <w:fldChar w:fldCharType="begin"/>
    </w:r>
    <w:r w:rsidRPr="00BE4B2C">
      <w:rPr>
        <w:rFonts w:ascii="Times New Roman" w:hAnsi="Times New Roman" w:cs="Times New Roman"/>
        <w:sz w:val="20"/>
      </w:rPr>
      <w:instrText xml:space="preserve"> PAGE   \* MERGEFORMAT </w:instrText>
    </w:r>
    <w:r w:rsidRPr="00BE4B2C" w:rsidR="008E2D21">
      <w:rPr>
        <w:rFonts w:ascii="Times New Roman" w:hAnsi="Times New Roman" w:cs="Times New Roman"/>
        <w:sz w:val="20"/>
      </w:rPr>
      <w:fldChar w:fldCharType="separate"/>
    </w:r>
    <w:r w:rsidR="00AA30CF">
      <w:rPr>
        <w:rFonts w:ascii="Times New Roman" w:hAnsi="Times New Roman" w:cs="Times New Roman"/>
        <w:noProof/>
        <w:sz w:val="20"/>
      </w:rPr>
      <w:t>2</w:t>
    </w:r>
    <w:r w:rsidRPr="00BE4B2C" w:rsidR="008E2D21">
      <w:rPr>
        <w:rFonts w:ascii="Times New Roman" w:hAnsi="Times New Roman" w:cs="Times New Roman"/>
        <w:sz w:val="20"/>
      </w:rPr>
      <w:fldChar w:fldCharType="end"/>
    </w:r>
    <w:r>
      <w:rPr>
        <w:rFonts w:ascii="Times New Roman" w:hAnsi="Times New Roman" w:cs="Times New Roman"/>
        <w:sz w:val="20"/>
      </w:rPr>
      <w:t>/6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7B1F" w:rsidP="001F7114" w:rsidRDefault="00F57B1F" w14:paraId="222A149D" w14:textId="77777777">
      <w:r>
        <w:separator/>
      </w:r>
    </w:p>
  </w:footnote>
  <w:footnote w:type="continuationSeparator" w:id="0">
    <w:p w:rsidR="00F57B1F" w:rsidP="001F7114" w:rsidRDefault="00F57B1F" w14:paraId="4365922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F2FCE"/>
    <w:multiLevelType w:val="hybridMultilevel"/>
    <w:tmpl w:val="9F32F25E"/>
    <w:lvl w:ilvl="0" w:tplc="2D8A4AF2">
      <w:start w:val="8"/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192442"/>
    <w:multiLevelType w:val="hybridMultilevel"/>
    <w:tmpl w:val="5E9026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B2E0F"/>
    <w:multiLevelType w:val="multilevel"/>
    <w:tmpl w:val="696252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2D23014"/>
    <w:multiLevelType w:val="hybridMultilevel"/>
    <w:tmpl w:val="57306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16782"/>
    <w:multiLevelType w:val="multilevel"/>
    <w:tmpl w:val="53F2E5D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5FB86CCF"/>
    <w:multiLevelType w:val="hybridMultilevel"/>
    <w:tmpl w:val="8EC2556A"/>
    <w:lvl w:ilvl="0" w:tplc="5728FF1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FFD1335"/>
    <w:multiLevelType w:val="hybridMultilevel"/>
    <w:tmpl w:val="18FA8A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dirty"/>
  <w:trackRevisions w:val="false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20"/>
    <w:rsid w:val="00004C36"/>
    <w:rsid w:val="00006F29"/>
    <w:rsid w:val="000202DE"/>
    <w:rsid w:val="00024B47"/>
    <w:rsid w:val="00052A6E"/>
    <w:rsid w:val="0005477F"/>
    <w:rsid w:val="000769A4"/>
    <w:rsid w:val="000916F9"/>
    <w:rsid w:val="000A7106"/>
    <w:rsid w:val="000B29A0"/>
    <w:rsid w:val="00111E93"/>
    <w:rsid w:val="00127515"/>
    <w:rsid w:val="00155308"/>
    <w:rsid w:val="00172983"/>
    <w:rsid w:val="001768CC"/>
    <w:rsid w:val="0019297B"/>
    <w:rsid w:val="001C6D57"/>
    <w:rsid w:val="001D2DD4"/>
    <w:rsid w:val="001D4504"/>
    <w:rsid w:val="001D7AAA"/>
    <w:rsid w:val="001E7AD4"/>
    <w:rsid w:val="001F2494"/>
    <w:rsid w:val="001F7114"/>
    <w:rsid w:val="00221520"/>
    <w:rsid w:val="00233134"/>
    <w:rsid w:val="00235439"/>
    <w:rsid w:val="00262E7E"/>
    <w:rsid w:val="00270882"/>
    <w:rsid w:val="00275A30"/>
    <w:rsid w:val="00296C17"/>
    <w:rsid w:val="002B36AA"/>
    <w:rsid w:val="002D3EC0"/>
    <w:rsid w:val="002D67DF"/>
    <w:rsid w:val="002E7C95"/>
    <w:rsid w:val="002F4E87"/>
    <w:rsid w:val="00301D15"/>
    <w:rsid w:val="00316757"/>
    <w:rsid w:val="00376740"/>
    <w:rsid w:val="00397283"/>
    <w:rsid w:val="003A22C5"/>
    <w:rsid w:val="003B00F8"/>
    <w:rsid w:val="003C11A0"/>
    <w:rsid w:val="003C172B"/>
    <w:rsid w:val="003D01D3"/>
    <w:rsid w:val="003E0DDF"/>
    <w:rsid w:val="003F0256"/>
    <w:rsid w:val="003F24F9"/>
    <w:rsid w:val="00444C13"/>
    <w:rsid w:val="00486987"/>
    <w:rsid w:val="00492002"/>
    <w:rsid w:val="004A4C7A"/>
    <w:rsid w:val="004B09E2"/>
    <w:rsid w:val="004B4A7F"/>
    <w:rsid w:val="004C7C68"/>
    <w:rsid w:val="004E36F2"/>
    <w:rsid w:val="004F16BA"/>
    <w:rsid w:val="005202D1"/>
    <w:rsid w:val="00527BF5"/>
    <w:rsid w:val="0056061E"/>
    <w:rsid w:val="00563057"/>
    <w:rsid w:val="00564A00"/>
    <w:rsid w:val="0056616F"/>
    <w:rsid w:val="005A1C8A"/>
    <w:rsid w:val="005B0FF8"/>
    <w:rsid w:val="005B3BCD"/>
    <w:rsid w:val="005B613B"/>
    <w:rsid w:val="005D49D6"/>
    <w:rsid w:val="005D57AE"/>
    <w:rsid w:val="005D6145"/>
    <w:rsid w:val="005E28C6"/>
    <w:rsid w:val="005F171E"/>
    <w:rsid w:val="00601B5F"/>
    <w:rsid w:val="006035C3"/>
    <w:rsid w:val="006155BC"/>
    <w:rsid w:val="0064615F"/>
    <w:rsid w:val="006613DE"/>
    <w:rsid w:val="006763C9"/>
    <w:rsid w:val="006B5CA4"/>
    <w:rsid w:val="006C18E8"/>
    <w:rsid w:val="006E5420"/>
    <w:rsid w:val="006E70A5"/>
    <w:rsid w:val="00722D75"/>
    <w:rsid w:val="007257A1"/>
    <w:rsid w:val="00744ECF"/>
    <w:rsid w:val="00751391"/>
    <w:rsid w:val="00770DBA"/>
    <w:rsid w:val="00771785"/>
    <w:rsid w:val="00784148"/>
    <w:rsid w:val="007871EA"/>
    <w:rsid w:val="00796E0D"/>
    <w:rsid w:val="007F6AFE"/>
    <w:rsid w:val="00800B5D"/>
    <w:rsid w:val="008078B0"/>
    <w:rsid w:val="008135D6"/>
    <w:rsid w:val="00813A4B"/>
    <w:rsid w:val="00850C87"/>
    <w:rsid w:val="00865B4F"/>
    <w:rsid w:val="00871E22"/>
    <w:rsid w:val="00892AB7"/>
    <w:rsid w:val="008C4727"/>
    <w:rsid w:val="008D0398"/>
    <w:rsid w:val="008E2D21"/>
    <w:rsid w:val="008E4119"/>
    <w:rsid w:val="008E5EE3"/>
    <w:rsid w:val="009123B2"/>
    <w:rsid w:val="0093140C"/>
    <w:rsid w:val="0098204A"/>
    <w:rsid w:val="00984FA4"/>
    <w:rsid w:val="009C5560"/>
    <w:rsid w:val="009D12C8"/>
    <w:rsid w:val="009D3755"/>
    <w:rsid w:val="00A04C63"/>
    <w:rsid w:val="00A13DEB"/>
    <w:rsid w:val="00A14F82"/>
    <w:rsid w:val="00A30B37"/>
    <w:rsid w:val="00A51600"/>
    <w:rsid w:val="00A56C04"/>
    <w:rsid w:val="00A949AE"/>
    <w:rsid w:val="00A94E73"/>
    <w:rsid w:val="00AA30CF"/>
    <w:rsid w:val="00AD6C5A"/>
    <w:rsid w:val="00AE3523"/>
    <w:rsid w:val="00B03E89"/>
    <w:rsid w:val="00B23FEC"/>
    <w:rsid w:val="00B30831"/>
    <w:rsid w:val="00B44133"/>
    <w:rsid w:val="00B56D15"/>
    <w:rsid w:val="00B6331D"/>
    <w:rsid w:val="00B820C7"/>
    <w:rsid w:val="00B93F27"/>
    <w:rsid w:val="00B9495A"/>
    <w:rsid w:val="00BE4B2C"/>
    <w:rsid w:val="00BF32AE"/>
    <w:rsid w:val="00BF773D"/>
    <w:rsid w:val="00C12E85"/>
    <w:rsid w:val="00C17A81"/>
    <w:rsid w:val="00C36AA9"/>
    <w:rsid w:val="00C40AAB"/>
    <w:rsid w:val="00C62728"/>
    <w:rsid w:val="00C963D8"/>
    <w:rsid w:val="00CA1E0A"/>
    <w:rsid w:val="00CA7D5B"/>
    <w:rsid w:val="00CB6B86"/>
    <w:rsid w:val="00CB7F92"/>
    <w:rsid w:val="00CC10B4"/>
    <w:rsid w:val="00CF4102"/>
    <w:rsid w:val="00D03130"/>
    <w:rsid w:val="00D22FEB"/>
    <w:rsid w:val="00D33E8C"/>
    <w:rsid w:val="00D47DD5"/>
    <w:rsid w:val="00D72412"/>
    <w:rsid w:val="00D73974"/>
    <w:rsid w:val="00D96672"/>
    <w:rsid w:val="00E1218A"/>
    <w:rsid w:val="00E37048"/>
    <w:rsid w:val="00E46554"/>
    <w:rsid w:val="00E611FD"/>
    <w:rsid w:val="00E86C51"/>
    <w:rsid w:val="00EB6437"/>
    <w:rsid w:val="00ED5118"/>
    <w:rsid w:val="00EE77EE"/>
    <w:rsid w:val="00F111C2"/>
    <w:rsid w:val="00F22C9B"/>
    <w:rsid w:val="00F3185C"/>
    <w:rsid w:val="00F40424"/>
    <w:rsid w:val="00F41DC9"/>
    <w:rsid w:val="00F46C88"/>
    <w:rsid w:val="00F57B1F"/>
    <w:rsid w:val="00F6685B"/>
    <w:rsid w:val="00F71112"/>
    <w:rsid w:val="00FA2876"/>
    <w:rsid w:val="13C9ABD7"/>
    <w:rsid w:val="415E5EB3"/>
    <w:rsid w:val="43458020"/>
    <w:rsid w:val="455D71B1"/>
    <w:rsid w:val="4F358438"/>
    <w:rsid w:val="7D4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21497"/>
  <w15:docId w15:val="{70D1BFC8-FD37-48D9-93E1-E514BC11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hAnsiTheme="majorHAnsi" w:eastAsiaTheme="minorEastAsia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F171E"/>
  </w:style>
  <w:style w:type="paragraph" w:styleId="Titre1">
    <w:name w:val="heading 1"/>
    <w:basedOn w:val="Normal"/>
    <w:next w:val="Normal"/>
    <w:link w:val="Titre1Car"/>
    <w:qFormat/>
    <w:rsid w:val="00BE4B2C"/>
    <w:pPr>
      <w:keepNext/>
      <w:keepLines/>
      <w:spacing w:before="480"/>
      <w:jc w:val="both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BE4B2C"/>
    <w:pPr>
      <w:keepNext/>
      <w:ind w:left="34"/>
      <w:jc w:val="right"/>
      <w:outlineLvl w:val="1"/>
    </w:pPr>
    <w:rPr>
      <w:rFonts w:ascii="Times New Roman" w:hAnsi="Times New Roman" w:eastAsia="Times New Roman" w:cs="Times New Roman"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BE4B2C"/>
    <w:pPr>
      <w:keepNext/>
      <w:spacing w:line="259" w:lineRule="auto"/>
      <w:ind w:left="34"/>
      <w:jc w:val="center"/>
      <w:outlineLvl w:val="2"/>
    </w:pPr>
    <w:rPr>
      <w:rFonts w:ascii="Times New Roman" w:hAnsi="Times New Roman" w:eastAsia="Times New Roman" w:cs="Times New Roman"/>
      <w:b/>
      <w:sz w:val="32"/>
      <w:szCs w:val="32"/>
    </w:rPr>
  </w:style>
  <w:style w:type="paragraph" w:styleId="Titre6">
    <w:name w:val="heading 6"/>
    <w:basedOn w:val="Normal"/>
    <w:next w:val="Normal"/>
    <w:link w:val="Titre6Car"/>
    <w:qFormat/>
    <w:rsid w:val="00BE4B2C"/>
    <w:pPr>
      <w:keepNext/>
      <w:shd w:val="clear" w:color="auto" w:fill="FFFFFF"/>
      <w:tabs>
        <w:tab w:val="left" w:pos="284"/>
        <w:tab w:val="left" w:pos="9356"/>
      </w:tabs>
      <w:ind w:left="34"/>
      <w:jc w:val="both"/>
      <w:outlineLvl w:val="5"/>
    </w:pPr>
    <w:rPr>
      <w:rFonts w:ascii="Times New Roman" w:hAnsi="Times New Roman" w:eastAsia="Times New Roman" w:cs="Times New Roman"/>
      <w:b/>
      <w:bCs/>
      <w:color w:val="000000"/>
      <w:spacing w:val="-14"/>
      <w:sz w:val="22"/>
      <w:szCs w:val="2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Lgende">
    <w:name w:val="caption"/>
    <w:basedOn w:val="Normal"/>
    <w:next w:val="Normal"/>
    <w:autoRedefine/>
    <w:uiPriority w:val="35"/>
    <w:unhideWhenUsed/>
    <w:qFormat/>
    <w:rsid w:val="00892AB7"/>
    <w:pPr>
      <w:spacing w:after="200"/>
    </w:pPr>
    <w:rPr>
      <w:b/>
      <w:bCs/>
      <w:sz w:val="22"/>
      <w:szCs w:val="18"/>
    </w:rPr>
  </w:style>
  <w:style w:type="table" w:styleId="Grilledutableau">
    <w:name w:val="Table Grid"/>
    <w:basedOn w:val="TableauNormal"/>
    <w:uiPriority w:val="59"/>
    <w:rsid w:val="003C172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edeliste">
    <w:name w:val="List Paragraph"/>
    <w:basedOn w:val="Normal"/>
    <w:uiPriority w:val="34"/>
    <w:qFormat/>
    <w:rsid w:val="00800B5D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1F7114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1F7114"/>
  </w:style>
  <w:style w:type="character" w:styleId="Numrodepage">
    <w:name w:val="page number"/>
    <w:basedOn w:val="Policepardfaut"/>
    <w:uiPriority w:val="99"/>
    <w:semiHidden/>
    <w:unhideWhenUsed/>
    <w:rsid w:val="001F7114"/>
  </w:style>
  <w:style w:type="character" w:styleId="Marquedecommentaire">
    <w:name w:val="annotation reference"/>
    <w:basedOn w:val="Policepardfaut"/>
    <w:uiPriority w:val="99"/>
    <w:semiHidden/>
    <w:unhideWhenUsed/>
    <w:rsid w:val="003B00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B00F8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3B00F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B00F8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3B00F8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00F8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3B00F8"/>
    <w:rPr>
      <w:rFonts w:ascii="Tahoma" w:hAnsi="Tahoma" w:cs="Tahoma"/>
      <w:sz w:val="16"/>
      <w:szCs w:val="16"/>
    </w:rPr>
  </w:style>
  <w:style w:type="character" w:styleId="Titre1Car" w:customStyle="1">
    <w:name w:val="Titre 1 Car"/>
    <w:basedOn w:val="Policepardfaut"/>
    <w:link w:val="Titre1"/>
    <w:rsid w:val="00BE4B2C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Titre2Car" w:customStyle="1">
    <w:name w:val="Titre 2 Car"/>
    <w:basedOn w:val="Policepardfaut"/>
    <w:link w:val="Titre2"/>
    <w:rsid w:val="00BE4B2C"/>
    <w:rPr>
      <w:rFonts w:ascii="Times New Roman" w:hAnsi="Times New Roman" w:eastAsia="Times New Roman" w:cs="Times New Roman"/>
      <w:sz w:val="28"/>
      <w:szCs w:val="28"/>
    </w:rPr>
  </w:style>
  <w:style w:type="character" w:styleId="Titre3Car" w:customStyle="1">
    <w:name w:val="Titre 3 Car"/>
    <w:basedOn w:val="Policepardfaut"/>
    <w:link w:val="Titre3"/>
    <w:rsid w:val="00BE4B2C"/>
    <w:rPr>
      <w:rFonts w:ascii="Times New Roman" w:hAnsi="Times New Roman" w:eastAsia="Times New Roman" w:cs="Times New Roman"/>
      <w:b/>
      <w:sz w:val="32"/>
      <w:szCs w:val="32"/>
    </w:rPr>
  </w:style>
  <w:style w:type="character" w:styleId="Titre6Car" w:customStyle="1">
    <w:name w:val="Titre 6 Car"/>
    <w:basedOn w:val="Policepardfaut"/>
    <w:link w:val="Titre6"/>
    <w:rsid w:val="00BE4B2C"/>
    <w:rPr>
      <w:rFonts w:ascii="Times New Roman" w:hAnsi="Times New Roman" w:eastAsia="Times New Roman" w:cs="Times New Roman"/>
      <w:b/>
      <w:bCs/>
      <w:color w:val="000000"/>
      <w:spacing w:val="-14"/>
      <w:sz w:val="22"/>
      <w:szCs w:val="22"/>
      <w:shd w:val="clear" w:color="auto" w:fill="FFFFFF"/>
    </w:rPr>
  </w:style>
  <w:style w:type="paragraph" w:styleId="Sansinterligne">
    <w:name w:val="No Spacing"/>
    <w:uiPriority w:val="1"/>
    <w:qFormat/>
    <w:rsid w:val="00BE4B2C"/>
    <w:rPr>
      <w:rFonts w:ascii="Calibri" w:hAnsi="Calibri" w:eastAsia="PMingLiU" w:cs="Arial"/>
      <w:sz w:val="22"/>
      <w:szCs w:val="22"/>
      <w:lang w:eastAsia="zh-TW" w:bidi="he-IL"/>
    </w:rPr>
  </w:style>
  <w:style w:type="paragraph" w:styleId="Titre">
    <w:name w:val="Title"/>
    <w:basedOn w:val="Normal"/>
    <w:link w:val="TitreCar"/>
    <w:qFormat/>
    <w:rsid w:val="00BE4B2C"/>
    <w:pPr>
      <w:widowControl w:val="0"/>
      <w:overflowPunct w:val="0"/>
      <w:autoSpaceDE w:val="0"/>
      <w:autoSpaceDN w:val="0"/>
      <w:adjustRightInd w:val="0"/>
      <w:ind w:left="34"/>
      <w:jc w:val="center"/>
      <w:textAlignment w:val="baseline"/>
    </w:pPr>
    <w:rPr>
      <w:rFonts w:ascii="Times New Roman" w:hAnsi="Times New Roman" w:eastAsia="Times New Roman" w:cs="Times New Roman"/>
      <w:noProof/>
      <w:sz w:val="28"/>
      <w:szCs w:val="28"/>
    </w:rPr>
  </w:style>
  <w:style w:type="character" w:styleId="TitreCar" w:customStyle="1">
    <w:name w:val="Titre Car"/>
    <w:basedOn w:val="Policepardfaut"/>
    <w:link w:val="Titre"/>
    <w:rsid w:val="00BE4B2C"/>
    <w:rPr>
      <w:rFonts w:ascii="Times New Roman" w:hAnsi="Times New Roman" w:eastAsia="Times New Roman" w:cs="Times New Roman"/>
      <w:noProof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BE4B2C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BE4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EBE5C4808DA43A9869E2FB4CBAEE6" ma:contentTypeVersion="7" ma:contentTypeDescription="Crée un document." ma:contentTypeScope="" ma:versionID="ec721a2edeaa82f3477cdde480af55d6">
  <xsd:schema xmlns:xsd="http://www.w3.org/2001/XMLSchema" xmlns:xs="http://www.w3.org/2001/XMLSchema" xmlns:p="http://schemas.microsoft.com/office/2006/metadata/properties" xmlns:ns2="db156d11-c3e3-4b36-ab5f-95cf67435334" targetNamespace="http://schemas.microsoft.com/office/2006/metadata/properties" ma:root="true" ma:fieldsID="fd7344f9c87efa8fad3e8380aa9239b8" ns2:_="">
    <xsd:import namespace="db156d11-c3e3-4b36-ab5f-95cf67435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56d11-c3e3-4b36-ab5f-95cf674353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39A11C-6D16-4210-AA17-C98D5F9A491E}"/>
</file>

<file path=customXml/itemProps2.xml><?xml version="1.0" encoding="utf-8"?>
<ds:datastoreItem xmlns:ds="http://schemas.openxmlformats.org/officeDocument/2006/customXml" ds:itemID="{F126404F-E1B5-4082-87BA-6D922D56887E}"/>
</file>

<file path=customXml/itemProps3.xml><?xml version="1.0" encoding="utf-8"?>
<ds:datastoreItem xmlns:ds="http://schemas.openxmlformats.org/officeDocument/2006/customXml" ds:itemID="{EDE7EBEB-BA07-49E5-ABA4-5E37461B1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Université Bordeaux 4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HHH GGGG</dc:creator>
  <cp:lastModifiedBy>BOUTOUHA Yacine</cp:lastModifiedBy>
  <cp:revision>7</cp:revision>
  <dcterms:created xsi:type="dcterms:W3CDTF">2020-11-17T10:20:00Z</dcterms:created>
  <dcterms:modified xsi:type="dcterms:W3CDTF">2026-06-17T15:43:35Z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0x0101009CDEBE5C4808DA43A9869E2FB4CBAEE6</vt:lpwstr>
  </property>
</Properties>
</file>