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649EA" w14:textId="77777777" w:rsidR="00CA6F15" w:rsidRDefault="00CA6F15" w:rsidP="00CA6F15">
      <w:pPr>
        <w:pBdr>
          <w:top w:val="double" w:sz="4" w:space="1" w:color="auto"/>
          <w:left w:val="double" w:sz="4" w:space="4" w:color="auto"/>
          <w:bottom w:val="double" w:sz="4" w:space="1" w:color="auto"/>
          <w:right w:val="double" w:sz="4" w:space="4" w:color="auto"/>
        </w:pBdr>
        <w:jc w:val="center"/>
      </w:pPr>
    </w:p>
    <w:p w14:paraId="18DE18F9" w14:textId="1D64CB25" w:rsidR="00CA6F15" w:rsidRDefault="002279F1" w:rsidP="00CA6F15">
      <w:pPr>
        <w:pBdr>
          <w:top w:val="double" w:sz="4" w:space="1" w:color="auto"/>
          <w:left w:val="double" w:sz="4" w:space="4" w:color="auto"/>
          <w:bottom w:val="double" w:sz="4" w:space="1" w:color="auto"/>
          <w:right w:val="double" w:sz="4" w:space="4" w:color="auto"/>
        </w:pBdr>
        <w:jc w:val="center"/>
        <w:rPr>
          <w:b/>
          <w:sz w:val="40"/>
          <w:szCs w:val="40"/>
        </w:rPr>
      </w:pPr>
      <w:r>
        <w:rPr>
          <w:b/>
          <w:sz w:val="40"/>
          <w:szCs w:val="40"/>
        </w:rPr>
        <w:t>Les fusions-acquisitions</w:t>
      </w:r>
    </w:p>
    <w:p w14:paraId="03B54F79" w14:textId="77777777" w:rsidR="00CA6F15" w:rsidRPr="00CA6F15" w:rsidRDefault="00CA6F15" w:rsidP="00CA6F15">
      <w:pPr>
        <w:pBdr>
          <w:top w:val="double" w:sz="4" w:space="1" w:color="auto"/>
          <w:left w:val="double" w:sz="4" w:space="4" w:color="auto"/>
          <w:bottom w:val="double" w:sz="4" w:space="1" w:color="auto"/>
          <w:right w:val="double" w:sz="4" w:space="4" w:color="auto"/>
        </w:pBdr>
        <w:jc w:val="center"/>
        <w:rPr>
          <w:b/>
          <w:sz w:val="40"/>
          <w:szCs w:val="40"/>
        </w:rPr>
      </w:pPr>
    </w:p>
    <w:p w14:paraId="21D6B65D" w14:textId="414ED475" w:rsidR="00CA6F15" w:rsidRDefault="00CA6F15"/>
    <w:p w14:paraId="537AB262" w14:textId="121FD7DE" w:rsidR="00AD0600" w:rsidRDefault="002279F1" w:rsidP="00AD0600">
      <w:pPr>
        <w:spacing w:after="0"/>
        <w:ind w:firstLine="708"/>
        <w:jc w:val="both"/>
        <w:rPr>
          <w:rFonts w:asciiTheme="majorHAnsi" w:hAnsiTheme="majorHAnsi" w:cstheme="majorHAnsi"/>
        </w:rPr>
      </w:pPr>
      <w:r>
        <w:rPr>
          <w:rFonts w:asciiTheme="majorHAnsi" w:hAnsiTheme="majorHAnsi" w:cstheme="majorHAnsi"/>
        </w:rPr>
        <w:t xml:space="preserve">Lorsqu’elles se réalisent, et plus encore lorsqu’elles se préparent, les opérations de fusion-acquisition suscitent beaucoup d’intérêt. Essentiellement de la part des investisseurs car ils y voient là une </w:t>
      </w:r>
      <w:r w:rsidR="000A74F3">
        <w:rPr>
          <w:rFonts w:asciiTheme="majorHAnsi" w:hAnsiTheme="majorHAnsi" w:cstheme="majorHAnsi"/>
        </w:rPr>
        <w:t>_________________________</w:t>
      </w:r>
      <w:r>
        <w:rPr>
          <w:rFonts w:asciiTheme="majorHAnsi" w:hAnsiTheme="majorHAnsi" w:cstheme="majorHAnsi"/>
        </w:rPr>
        <w:t xml:space="preserve"> et la promesse de </w:t>
      </w:r>
      <w:r w:rsidR="000A74F3">
        <w:rPr>
          <w:rFonts w:asciiTheme="majorHAnsi" w:hAnsiTheme="majorHAnsi" w:cstheme="majorHAnsi"/>
        </w:rPr>
        <w:t>___________________</w:t>
      </w:r>
      <w:r>
        <w:rPr>
          <w:rFonts w:asciiTheme="majorHAnsi" w:hAnsiTheme="majorHAnsi" w:cstheme="majorHAnsi"/>
        </w:rPr>
        <w:t>. De 2015 à 2018, les montants des fusions-acquisitions n’ont cessé de battre des records</w:t>
      </w:r>
      <w:r w:rsidR="005D235E">
        <w:rPr>
          <w:rFonts w:asciiTheme="majorHAnsi" w:hAnsiTheme="majorHAnsi" w:cstheme="majorHAnsi"/>
        </w:rPr>
        <w:t>, dépassant 3 </w:t>
      </w:r>
      <w:r w:rsidR="00AD1F53">
        <w:rPr>
          <w:rFonts w:asciiTheme="majorHAnsi" w:hAnsiTheme="majorHAnsi" w:cstheme="majorHAnsi"/>
        </w:rPr>
        <w:t>9</w:t>
      </w:r>
      <w:r w:rsidR="005D235E">
        <w:rPr>
          <w:rFonts w:asciiTheme="majorHAnsi" w:hAnsiTheme="majorHAnsi" w:cstheme="majorHAnsi"/>
        </w:rPr>
        <w:t>00 milliards de dollars. Depuis, il y a eu un ralentissement qui prend, notamment, son origine dans les difficultés d’anti</w:t>
      </w:r>
      <w:r w:rsidR="00AD1F53">
        <w:rPr>
          <w:rFonts w:asciiTheme="majorHAnsi" w:hAnsiTheme="majorHAnsi" w:cstheme="majorHAnsi"/>
        </w:rPr>
        <w:t>cipation de la part des acteurs suite aux tensions commerciales e</w:t>
      </w:r>
      <w:r w:rsidR="000A74F3">
        <w:rPr>
          <w:rFonts w:asciiTheme="majorHAnsi" w:hAnsiTheme="majorHAnsi" w:cstheme="majorHAnsi"/>
        </w:rPr>
        <w:t>ntre la Chine et les Etats-Unis et au contexte sanitaire.</w:t>
      </w:r>
    </w:p>
    <w:p w14:paraId="738C59EA" w14:textId="0A33E614" w:rsidR="00FD4A58" w:rsidRPr="00027159" w:rsidRDefault="00FD4A58" w:rsidP="00AD0600">
      <w:pPr>
        <w:spacing w:after="0"/>
        <w:ind w:firstLine="708"/>
        <w:jc w:val="both"/>
        <w:rPr>
          <w:rFonts w:asciiTheme="majorHAnsi" w:hAnsiTheme="majorHAnsi" w:cstheme="majorHAnsi"/>
        </w:rPr>
      </w:pPr>
      <w:r>
        <w:rPr>
          <w:rFonts w:asciiTheme="majorHAnsi" w:hAnsiTheme="majorHAnsi" w:cstheme="majorHAnsi"/>
        </w:rPr>
        <w:t>Les modalités de ces opérations sont diverses et chacune présente des caractéristiques particulières que nous allons étudier.</w:t>
      </w:r>
    </w:p>
    <w:p w14:paraId="6FBBEB2E" w14:textId="173A2EDC" w:rsidR="000D48E4" w:rsidRPr="00027159" w:rsidRDefault="000D48E4" w:rsidP="00AD0600">
      <w:pPr>
        <w:spacing w:after="0"/>
        <w:ind w:firstLine="708"/>
        <w:jc w:val="both"/>
        <w:rPr>
          <w:rFonts w:asciiTheme="majorHAnsi" w:hAnsiTheme="majorHAnsi" w:cstheme="majorHAnsi"/>
        </w:rPr>
      </w:pPr>
    </w:p>
    <w:p w14:paraId="2E247E2C" w14:textId="77777777" w:rsidR="000D48E4" w:rsidRPr="00027159" w:rsidRDefault="000D48E4" w:rsidP="00AD0600">
      <w:pPr>
        <w:spacing w:after="0"/>
        <w:ind w:firstLine="708"/>
        <w:jc w:val="both"/>
        <w:rPr>
          <w:rFonts w:asciiTheme="majorHAnsi" w:hAnsiTheme="majorHAnsi" w:cstheme="majorHAnsi"/>
        </w:rPr>
      </w:pPr>
    </w:p>
    <w:p w14:paraId="1B858B39" w14:textId="6D3ACF03" w:rsidR="000D48E4" w:rsidRPr="00027159" w:rsidRDefault="000D48E4" w:rsidP="00AD0600">
      <w:pPr>
        <w:spacing w:after="0"/>
        <w:ind w:firstLine="708"/>
        <w:jc w:val="both"/>
        <w:rPr>
          <w:rFonts w:asciiTheme="majorHAnsi" w:hAnsiTheme="majorHAnsi" w:cstheme="majorHAnsi"/>
        </w:rPr>
      </w:pPr>
    </w:p>
    <w:p w14:paraId="0424A6F8" w14:textId="00F3DA20" w:rsidR="000D48E4" w:rsidRPr="00027159" w:rsidRDefault="000D48E4" w:rsidP="000D48E4">
      <w:pPr>
        <w:pStyle w:val="Paragraphedeliste"/>
        <w:numPr>
          <w:ilvl w:val="0"/>
          <w:numId w:val="6"/>
        </w:numPr>
        <w:spacing w:after="0"/>
        <w:jc w:val="both"/>
        <w:rPr>
          <w:rFonts w:asciiTheme="majorHAnsi" w:hAnsiTheme="majorHAnsi" w:cstheme="majorHAnsi"/>
          <w:b/>
          <w:u w:val="single"/>
        </w:rPr>
      </w:pPr>
      <w:r w:rsidRPr="00027159">
        <w:rPr>
          <w:rFonts w:asciiTheme="majorHAnsi" w:hAnsiTheme="majorHAnsi" w:cstheme="majorHAnsi"/>
          <w:b/>
          <w:u w:val="single"/>
        </w:rPr>
        <w:t xml:space="preserve">Les </w:t>
      </w:r>
      <w:r w:rsidR="00AD1F53">
        <w:rPr>
          <w:rFonts w:asciiTheme="majorHAnsi" w:hAnsiTheme="majorHAnsi" w:cstheme="majorHAnsi"/>
          <w:b/>
          <w:u w:val="single"/>
        </w:rPr>
        <w:t>opérations de fusions-acquisitions</w:t>
      </w:r>
    </w:p>
    <w:p w14:paraId="7F0629F9" w14:textId="0AB019C1" w:rsidR="000D48E4" w:rsidRPr="00027159" w:rsidRDefault="000D48E4" w:rsidP="000D48E4">
      <w:pPr>
        <w:spacing w:after="0"/>
        <w:jc w:val="both"/>
        <w:rPr>
          <w:rFonts w:asciiTheme="majorHAnsi" w:hAnsiTheme="majorHAnsi" w:cstheme="majorHAnsi"/>
          <w:b/>
          <w:u w:val="single"/>
        </w:rPr>
      </w:pPr>
    </w:p>
    <w:p w14:paraId="20D8C2D4" w14:textId="77777777" w:rsidR="000D48E4" w:rsidRPr="00027159" w:rsidRDefault="000D48E4" w:rsidP="000D48E4">
      <w:pPr>
        <w:spacing w:after="0"/>
        <w:jc w:val="both"/>
        <w:rPr>
          <w:rFonts w:asciiTheme="majorHAnsi" w:hAnsiTheme="majorHAnsi" w:cstheme="majorHAnsi"/>
          <w:b/>
          <w:u w:val="single"/>
        </w:rPr>
      </w:pPr>
    </w:p>
    <w:p w14:paraId="6FFA0873" w14:textId="4E62C528" w:rsidR="000D48E4" w:rsidRPr="00027159" w:rsidRDefault="000D48E4" w:rsidP="00CB602D">
      <w:pPr>
        <w:pStyle w:val="Paragraphedeliste"/>
        <w:numPr>
          <w:ilvl w:val="1"/>
          <w:numId w:val="6"/>
        </w:numPr>
        <w:spacing w:after="0"/>
        <w:jc w:val="both"/>
        <w:rPr>
          <w:rFonts w:asciiTheme="majorHAnsi" w:hAnsiTheme="majorHAnsi" w:cstheme="majorHAnsi"/>
          <w:b/>
        </w:rPr>
      </w:pPr>
      <w:r w:rsidRPr="00027159">
        <w:rPr>
          <w:rFonts w:asciiTheme="majorHAnsi" w:hAnsiTheme="majorHAnsi" w:cstheme="majorHAnsi"/>
          <w:b/>
        </w:rPr>
        <w:t xml:space="preserve"> </w:t>
      </w:r>
      <w:r w:rsidR="00AD1F53">
        <w:rPr>
          <w:rFonts w:asciiTheme="majorHAnsi" w:hAnsiTheme="majorHAnsi" w:cstheme="majorHAnsi"/>
          <w:b/>
        </w:rPr>
        <w:t>Typologie des fusions-acquisitions</w:t>
      </w:r>
      <w:r w:rsidRPr="00027159">
        <w:rPr>
          <w:rFonts w:asciiTheme="majorHAnsi" w:hAnsiTheme="majorHAnsi" w:cstheme="majorHAnsi"/>
          <w:b/>
        </w:rPr>
        <w:t xml:space="preserve"> </w:t>
      </w:r>
    </w:p>
    <w:p w14:paraId="0167DF27" w14:textId="64071E72" w:rsidR="000D48E4" w:rsidRPr="00027159" w:rsidRDefault="000D48E4" w:rsidP="000D48E4">
      <w:pPr>
        <w:spacing w:after="0"/>
        <w:jc w:val="both"/>
        <w:rPr>
          <w:rFonts w:asciiTheme="majorHAnsi" w:hAnsiTheme="majorHAnsi" w:cstheme="majorHAnsi"/>
        </w:rPr>
      </w:pPr>
      <w:r w:rsidRPr="00027159">
        <w:rPr>
          <w:rFonts w:asciiTheme="majorHAnsi" w:hAnsiTheme="majorHAnsi" w:cstheme="majorHAnsi"/>
        </w:rPr>
        <w:t xml:space="preserve"> </w:t>
      </w:r>
    </w:p>
    <w:p w14:paraId="662325A0" w14:textId="31781B2C" w:rsidR="000D48E4" w:rsidRPr="00027159" w:rsidRDefault="000D48E4" w:rsidP="00C527C9">
      <w:pPr>
        <w:spacing w:after="0"/>
        <w:ind w:left="372" w:firstLine="708"/>
        <w:jc w:val="both"/>
        <w:rPr>
          <w:rFonts w:asciiTheme="majorHAnsi" w:hAnsiTheme="majorHAnsi" w:cstheme="majorHAnsi"/>
        </w:rPr>
      </w:pPr>
      <w:r w:rsidRPr="00027159">
        <w:rPr>
          <w:rFonts w:asciiTheme="majorHAnsi" w:hAnsiTheme="majorHAnsi" w:cstheme="majorHAnsi"/>
        </w:rPr>
        <w:t xml:space="preserve">1.1.1. </w:t>
      </w:r>
      <w:r w:rsidR="003F2145">
        <w:rPr>
          <w:rFonts w:asciiTheme="majorHAnsi" w:hAnsiTheme="majorHAnsi" w:cstheme="majorHAnsi"/>
        </w:rPr>
        <w:t>Définition des fusions-acquisitions</w:t>
      </w:r>
      <w:r w:rsidRPr="00027159">
        <w:rPr>
          <w:rFonts w:asciiTheme="majorHAnsi" w:hAnsiTheme="majorHAnsi" w:cstheme="majorHAnsi"/>
        </w:rPr>
        <w:t xml:space="preserve"> </w:t>
      </w:r>
    </w:p>
    <w:p w14:paraId="6BAF55DA" w14:textId="16957FAD" w:rsidR="000D48E4" w:rsidRPr="00027159" w:rsidRDefault="000D48E4" w:rsidP="000D48E4">
      <w:pPr>
        <w:spacing w:after="0"/>
        <w:jc w:val="both"/>
        <w:rPr>
          <w:rFonts w:asciiTheme="majorHAnsi" w:hAnsiTheme="majorHAnsi" w:cstheme="majorHAnsi"/>
        </w:rPr>
      </w:pPr>
    </w:p>
    <w:p w14:paraId="0E67063E" w14:textId="7172AACA" w:rsidR="000D48E4" w:rsidRPr="003F2145" w:rsidRDefault="003F2145" w:rsidP="000A74F3">
      <w:pPr>
        <w:pStyle w:val="Paragraphedeliste"/>
        <w:numPr>
          <w:ilvl w:val="0"/>
          <w:numId w:val="20"/>
        </w:num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r>
        <w:rPr>
          <w:rFonts w:asciiTheme="majorHAnsi" w:hAnsiTheme="majorHAnsi" w:cstheme="majorHAnsi"/>
        </w:rPr>
        <w:t xml:space="preserve">Les fusions-acquisitions sont des opérations de croissance externe </w:t>
      </w:r>
      <w:r w:rsidR="00A60BA3">
        <w:rPr>
          <w:rFonts w:asciiTheme="majorHAnsi" w:hAnsiTheme="majorHAnsi" w:cstheme="majorHAnsi"/>
        </w:rPr>
        <w:t>desquelles résultent une prise de contrôle d’une société par une autre ou la création d’une nouvelle entité.</w:t>
      </w:r>
    </w:p>
    <w:p w14:paraId="21673A2A" w14:textId="77777777" w:rsidR="000D48E4" w:rsidRPr="00027159" w:rsidRDefault="000D48E4" w:rsidP="000D48E4">
      <w:pPr>
        <w:spacing w:after="0"/>
        <w:jc w:val="both"/>
        <w:rPr>
          <w:rFonts w:asciiTheme="majorHAnsi" w:hAnsiTheme="majorHAnsi" w:cstheme="majorHAnsi"/>
        </w:rPr>
      </w:pPr>
    </w:p>
    <w:p w14:paraId="049452D1" w14:textId="3911114B" w:rsidR="00C54217" w:rsidRPr="00C54217" w:rsidRDefault="00C54217" w:rsidP="000D48E4">
      <w:pPr>
        <w:spacing w:after="0"/>
        <w:jc w:val="both"/>
        <w:rPr>
          <w:rFonts w:asciiTheme="majorHAnsi" w:hAnsiTheme="majorHAnsi" w:cstheme="majorHAnsi"/>
          <w:u w:val="single"/>
        </w:rPr>
      </w:pPr>
      <w:r>
        <w:rPr>
          <w:rFonts w:asciiTheme="majorHAnsi" w:hAnsiTheme="majorHAnsi" w:cstheme="majorHAnsi"/>
          <w:u w:val="single"/>
        </w:rPr>
        <w:t>Rappel :</w:t>
      </w:r>
      <w:r>
        <w:rPr>
          <w:rFonts w:asciiTheme="majorHAnsi" w:hAnsiTheme="majorHAnsi" w:cstheme="majorHAnsi"/>
        </w:rPr>
        <w:t xml:space="preserve"> Les procédés de croissance externe permettent aux entreprises d’accéder rapidement à de nouveaux domaines d’activité ou à de nouveaux marchés. Dans un certain nombre de cas, des synergies</w:t>
      </w:r>
      <w:r w:rsidR="00CD650F">
        <w:rPr>
          <w:rFonts w:asciiTheme="majorHAnsi" w:hAnsiTheme="majorHAnsi" w:cstheme="majorHAnsi"/>
        </w:rPr>
        <w:t xml:space="preserve"> sont recherchées au niveau des activités. </w:t>
      </w:r>
      <w:r>
        <w:rPr>
          <w:rFonts w:asciiTheme="majorHAnsi" w:hAnsiTheme="majorHAnsi" w:cstheme="majorHAnsi"/>
        </w:rPr>
        <w:t xml:space="preserve"> </w:t>
      </w:r>
    </w:p>
    <w:p w14:paraId="7CECED70" w14:textId="7934CB24" w:rsidR="00C54217" w:rsidRDefault="00C54217" w:rsidP="000D48E4">
      <w:pPr>
        <w:spacing w:after="0"/>
        <w:jc w:val="both"/>
        <w:rPr>
          <w:rFonts w:asciiTheme="majorHAnsi" w:hAnsiTheme="majorHAnsi" w:cstheme="majorHAnsi"/>
        </w:rPr>
      </w:pPr>
    </w:p>
    <w:p w14:paraId="79620CC0" w14:textId="07DBD1D9" w:rsidR="00CD650F" w:rsidRDefault="00CD650F" w:rsidP="00CD650F">
      <w:pPr>
        <w:spacing w:after="0"/>
        <w:ind w:left="708" w:firstLine="708"/>
        <w:jc w:val="both"/>
        <w:rPr>
          <w:rFonts w:asciiTheme="majorHAnsi" w:hAnsiTheme="majorHAnsi" w:cstheme="majorHAnsi"/>
        </w:rPr>
      </w:pPr>
      <w:r>
        <w:rPr>
          <w:rFonts w:asciiTheme="majorHAnsi" w:hAnsiTheme="majorHAnsi" w:cstheme="majorHAnsi"/>
        </w:rPr>
        <w:t>1.1.2. Motivations des fusions-acquisitions</w:t>
      </w:r>
    </w:p>
    <w:p w14:paraId="170E399E" w14:textId="17C51654" w:rsidR="00CD650F" w:rsidRDefault="00CD650F" w:rsidP="00CD650F">
      <w:pPr>
        <w:spacing w:after="0"/>
        <w:jc w:val="both"/>
        <w:rPr>
          <w:rFonts w:asciiTheme="majorHAnsi" w:hAnsiTheme="majorHAnsi" w:cstheme="majorHAnsi"/>
        </w:rPr>
      </w:pPr>
    </w:p>
    <w:p w14:paraId="7EF64344" w14:textId="5E5AF468" w:rsidR="00CD650F" w:rsidRDefault="00CD650F" w:rsidP="00CD650F">
      <w:pPr>
        <w:spacing w:after="0"/>
        <w:jc w:val="both"/>
        <w:rPr>
          <w:rFonts w:asciiTheme="majorHAnsi" w:hAnsiTheme="majorHAnsi" w:cstheme="majorHAnsi"/>
        </w:rPr>
      </w:pPr>
      <w:r>
        <w:rPr>
          <w:rFonts w:asciiTheme="majorHAnsi" w:hAnsiTheme="majorHAnsi" w:cstheme="majorHAnsi"/>
        </w:rPr>
        <w:tab/>
        <w:t xml:space="preserve">La motivation principale dans ce type d’opération est la </w:t>
      </w:r>
      <w:r w:rsidR="000A74F3">
        <w:rPr>
          <w:rFonts w:asciiTheme="majorHAnsi" w:hAnsiTheme="majorHAnsi" w:cstheme="majorHAnsi"/>
        </w:rPr>
        <w:t>________________________</w:t>
      </w:r>
      <w:r>
        <w:rPr>
          <w:rFonts w:asciiTheme="majorHAnsi" w:hAnsiTheme="majorHAnsi" w:cstheme="majorHAnsi"/>
        </w:rPr>
        <w:t xml:space="preserve"> engendrée par la capacité </w:t>
      </w:r>
      <w:r w:rsidR="00A418BF">
        <w:rPr>
          <w:rFonts w:asciiTheme="majorHAnsi" w:hAnsiTheme="majorHAnsi" w:cstheme="majorHAnsi"/>
        </w:rPr>
        <w:t xml:space="preserve">de la firme initiatrice à faire augmenter la valeur de la firme rachetée ou de l’ensemble constitué après regroupement. </w:t>
      </w:r>
    </w:p>
    <w:p w14:paraId="52BF3636" w14:textId="70FC20E5" w:rsidR="00A418BF" w:rsidRDefault="00A418BF" w:rsidP="00CD650F">
      <w:pPr>
        <w:spacing w:after="0"/>
        <w:jc w:val="both"/>
        <w:rPr>
          <w:rFonts w:asciiTheme="majorHAnsi" w:hAnsiTheme="majorHAnsi" w:cstheme="majorHAnsi"/>
        </w:rPr>
      </w:pPr>
      <w:r>
        <w:rPr>
          <w:rFonts w:asciiTheme="majorHAnsi" w:hAnsiTheme="majorHAnsi" w:cstheme="majorHAnsi"/>
        </w:rPr>
        <w:tab/>
        <w:t xml:space="preserve">La source principale de cette </w:t>
      </w:r>
      <w:r w:rsidR="000A74F3">
        <w:rPr>
          <w:rFonts w:asciiTheme="majorHAnsi" w:hAnsiTheme="majorHAnsi" w:cstheme="majorHAnsi"/>
        </w:rPr>
        <w:t>________________</w:t>
      </w:r>
      <w:r>
        <w:rPr>
          <w:rFonts w:asciiTheme="majorHAnsi" w:hAnsiTheme="majorHAnsi" w:cstheme="majorHAnsi"/>
        </w:rPr>
        <w:t xml:space="preserve"> est la recherche de </w:t>
      </w:r>
      <w:r w:rsidR="000A74F3">
        <w:rPr>
          <w:rFonts w:asciiTheme="majorHAnsi" w:hAnsiTheme="majorHAnsi" w:cstheme="majorHAnsi"/>
        </w:rPr>
        <w:t>____________</w:t>
      </w:r>
      <w:r>
        <w:rPr>
          <w:rFonts w:asciiTheme="majorHAnsi" w:hAnsiTheme="majorHAnsi" w:cstheme="majorHAnsi"/>
        </w:rPr>
        <w:t xml:space="preserve"> entre les différents acteurs. En effet, la mise en commun de moyens de production, la complémentarité de certaines activités doivent permettre une hausse de la </w:t>
      </w:r>
      <w:r w:rsidR="000A74F3">
        <w:rPr>
          <w:rFonts w:asciiTheme="majorHAnsi" w:hAnsiTheme="majorHAnsi" w:cstheme="majorHAnsi"/>
        </w:rPr>
        <w:t>_________________</w:t>
      </w:r>
      <w:r>
        <w:rPr>
          <w:rFonts w:asciiTheme="majorHAnsi" w:hAnsiTheme="majorHAnsi" w:cstheme="majorHAnsi"/>
        </w:rPr>
        <w:t xml:space="preserve">ou une </w:t>
      </w:r>
      <w:r w:rsidR="000A74F3">
        <w:rPr>
          <w:rFonts w:asciiTheme="majorHAnsi" w:hAnsiTheme="majorHAnsi" w:cstheme="majorHAnsi"/>
        </w:rPr>
        <w:t>_______________</w:t>
      </w:r>
    </w:p>
    <w:p w14:paraId="31EF643A" w14:textId="306B37C9" w:rsidR="00A418BF" w:rsidRDefault="00A418BF" w:rsidP="00CD650F">
      <w:pPr>
        <w:spacing w:after="0"/>
        <w:jc w:val="both"/>
        <w:rPr>
          <w:rFonts w:asciiTheme="majorHAnsi" w:hAnsiTheme="majorHAnsi" w:cstheme="majorHAnsi"/>
        </w:rPr>
      </w:pPr>
      <w:r>
        <w:rPr>
          <w:rFonts w:asciiTheme="majorHAnsi" w:hAnsiTheme="majorHAnsi" w:cstheme="majorHAnsi"/>
        </w:rPr>
        <w:tab/>
      </w:r>
    </w:p>
    <w:p w14:paraId="1C47ECF8" w14:textId="7AAF5356" w:rsidR="00A418BF" w:rsidRDefault="00A418BF" w:rsidP="00CD650F">
      <w:pPr>
        <w:spacing w:after="0"/>
        <w:jc w:val="both"/>
        <w:rPr>
          <w:rFonts w:asciiTheme="majorHAnsi" w:hAnsiTheme="majorHAnsi" w:cstheme="majorHAnsi"/>
        </w:rPr>
      </w:pPr>
      <w:r>
        <w:rPr>
          <w:rFonts w:asciiTheme="majorHAnsi" w:hAnsiTheme="majorHAnsi" w:cstheme="majorHAnsi"/>
        </w:rPr>
        <w:tab/>
        <w:t xml:space="preserve">Au-delà des aspects purement financiers, les opérations de ce type revêtent généralement une dimension </w:t>
      </w:r>
      <w:r w:rsidR="000A74F3">
        <w:rPr>
          <w:rFonts w:asciiTheme="majorHAnsi" w:hAnsiTheme="majorHAnsi" w:cstheme="majorHAnsi"/>
        </w:rPr>
        <w:t>___________________</w:t>
      </w:r>
      <w:r>
        <w:rPr>
          <w:rFonts w:asciiTheme="majorHAnsi" w:hAnsiTheme="majorHAnsi" w:cstheme="majorHAnsi"/>
        </w:rPr>
        <w:t xml:space="preserve">. </w:t>
      </w:r>
    </w:p>
    <w:p w14:paraId="3F295075" w14:textId="7ABDE472" w:rsidR="003F3218" w:rsidRDefault="003F3218" w:rsidP="000D48E4">
      <w:pPr>
        <w:spacing w:after="0"/>
        <w:jc w:val="both"/>
        <w:rPr>
          <w:rFonts w:asciiTheme="majorHAnsi" w:hAnsiTheme="majorHAnsi" w:cstheme="majorHAnsi"/>
        </w:rPr>
      </w:pPr>
    </w:p>
    <w:p w14:paraId="3E7D33A9" w14:textId="77777777" w:rsidR="003F3218" w:rsidRPr="00027159" w:rsidRDefault="003F3218" w:rsidP="000D48E4">
      <w:pPr>
        <w:spacing w:after="0"/>
        <w:jc w:val="both"/>
        <w:rPr>
          <w:rFonts w:asciiTheme="majorHAnsi" w:hAnsiTheme="majorHAnsi" w:cstheme="majorHAnsi"/>
        </w:rPr>
      </w:pPr>
    </w:p>
    <w:p w14:paraId="4493361A" w14:textId="6146A3EA" w:rsidR="000D48E4" w:rsidRPr="00027159" w:rsidRDefault="00CB602D" w:rsidP="00C527C9">
      <w:pPr>
        <w:spacing w:after="0"/>
        <w:ind w:left="708" w:firstLine="708"/>
        <w:jc w:val="both"/>
        <w:rPr>
          <w:rFonts w:asciiTheme="majorHAnsi" w:hAnsiTheme="majorHAnsi" w:cstheme="majorHAnsi"/>
        </w:rPr>
      </w:pPr>
      <w:r w:rsidRPr="00027159">
        <w:rPr>
          <w:rFonts w:asciiTheme="majorHAnsi" w:hAnsiTheme="majorHAnsi" w:cstheme="majorHAnsi"/>
        </w:rPr>
        <w:lastRenderedPageBreak/>
        <w:t>1.1.</w:t>
      </w:r>
      <w:r w:rsidR="003F3218">
        <w:rPr>
          <w:rFonts w:asciiTheme="majorHAnsi" w:hAnsiTheme="majorHAnsi" w:cstheme="majorHAnsi"/>
        </w:rPr>
        <w:t>2.1. Synergies et complémentarités</w:t>
      </w:r>
      <w:r w:rsidR="000D48E4" w:rsidRPr="00027159">
        <w:rPr>
          <w:rFonts w:asciiTheme="majorHAnsi" w:hAnsiTheme="majorHAnsi" w:cstheme="majorHAnsi"/>
        </w:rPr>
        <w:t xml:space="preserve"> </w:t>
      </w:r>
    </w:p>
    <w:p w14:paraId="5E8F5A49" w14:textId="77777777" w:rsidR="000D48E4" w:rsidRPr="00027159" w:rsidRDefault="000D48E4" w:rsidP="000D48E4">
      <w:pPr>
        <w:spacing w:after="0"/>
        <w:jc w:val="both"/>
        <w:rPr>
          <w:rFonts w:asciiTheme="majorHAnsi" w:hAnsiTheme="majorHAnsi" w:cstheme="majorHAnsi"/>
        </w:rPr>
      </w:pPr>
    </w:p>
    <w:p w14:paraId="37BA2491" w14:textId="77777777" w:rsidR="000D48E4" w:rsidRPr="00027159" w:rsidRDefault="000D48E4" w:rsidP="000D48E4">
      <w:pPr>
        <w:spacing w:after="0"/>
        <w:jc w:val="both"/>
        <w:rPr>
          <w:rFonts w:asciiTheme="majorHAnsi" w:hAnsiTheme="majorHAnsi" w:cstheme="majorHAnsi"/>
        </w:rPr>
      </w:pPr>
    </w:p>
    <w:tbl>
      <w:tblPr>
        <w:tblStyle w:val="Grilledutableau"/>
        <w:tblW w:w="0" w:type="auto"/>
        <w:tblLook w:val="04A0" w:firstRow="1" w:lastRow="0" w:firstColumn="1" w:lastColumn="0" w:noHBand="0" w:noVBand="1"/>
      </w:tblPr>
      <w:tblGrid>
        <w:gridCol w:w="1838"/>
        <w:gridCol w:w="7224"/>
      </w:tblGrid>
      <w:tr w:rsidR="00CB602D" w:rsidRPr="00027159" w14:paraId="432CE657" w14:textId="77777777" w:rsidTr="00595E59">
        <w:trPr>
          <w:trHeight w:val="1020"/>
        </w:trPr>
        <w:tc>
          <w:tcPr>
            <w:tcW w:w="1838" w:type="dxa"/>
            <w:shd w:val="clear" w:color="auto" w:fill="9CC2E5" w:themeFill="accent1" w:themeFillTint="99"/>
          </w:tcPr>
          <w:p w14:paraId="78604D26" w14:textId="0B0EBE8E" w:rsidR="00CB602D" w:rsidRPr="0015415B" w:rsidRDefault="003F3218" w:rsidP="00CD650F">
            <w:pPr>
              <w:jc w:val="both"/>
              <w:rPr>
                <w:rFonts w:asciiTheme="majorHAnsi" w:hAnsiTheme="majorHAnsi" w:cstheme="majorHAnsi"/>
                <w:color w:val="9CC2E5" w:themeColor="accent1" w:themeTint="99"/>
              </w:rPr>
            </w:pPr>
            <w:r w:rsidRPr="0015415B">
              <w:rPr>
                <w:rFonts w:asciiTheme="majorHAnsi" w:hAnsiTheme="majorHAnsi" w:cstheme="majorHAnsi"/>
                <w:color w:val="9CC2E5" w:themeColor="accent1" w:themeTint="99"/>
              </w:rPr>
              <w:t>Effets volume</w:t>
            </w:r>
          </w:p>
        </w:tc>
        <w:tc>
          <w:tcPr>
            <w:tcW w:w="7224" w:type="dxa"/>
          </w:tcPr>
          <w:p w14:paraId="3A7F0A4D" w14:textId="0E0D54D1" w:rsidR="00CB602D" w:rsidRPr="0015415B" w:rsidRDefault="003F3218" w:rsidP="003F3218">
            <w:pPr>
              <w:pStyle w:val="Paragraphedeliste"/>
              <w:numPr>
                <w:ilvl w:val="0"/>
                <w:numId w:val="22"/>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Diminution du coût unitaire de production : répartition des frais fixes sur des volumes plus importants (avéré dans le cas d’activités proches) ;</w:t>
            </w:r>
          </w:p>
          <w:p w14:paraId="49D1CC15" w14:textId="4AFF05EC" w:rsidR="003F3218" w:rsidRPr="0015415B" w:rsidRDefault="003F3218" w:rsidP="003F3218">
            <w:pPr>
              <w:pStyle w:val="Paragraphedeliste"/>
              <w:numPr>
                <w:ilvl w:val="0"/>
                <w:numId w:val="22"/>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Obtention d’une masse critique essentielle au développement.</w:t>
            </w:r>
          </w:p>
          <w:p w14:paraId="217C9355" w14:textId="77777777" w:rsidR="00CB602D" w:rsidRPr="00027159" w:rsidRDefault="00CB602D" w:rsidP="000D48E4">
            <w:pPr>
              <w:jc w:val="both"/>
              <w:rPr>
                <w:rFonts w:asciiTheme="majorHAnsi" w:hAnsiTheme="majorHAnsi" w:cstheme="majorHAnsi"/>
              </w:rPr>
            </w:pPr>
          </w:p>
        </w:tc>
      </w:tr>
      <w:tr w:rsidR="00CB602D" w:rsidRPr="00027159" w14:paraId="05EC30EF" w14:textId="77777777" w:rsidTr="00BC0F8A">
        <w:tc>
          <w:tcPr>
            <w:tcW w:w="1838" w:type="dxa"/>
            <w:shd w:val="clear" w:color="auto" w:fill="9CC2E5" w:themeFill="accent1" w:themeFillTint="99"/>
          </w:tcPr>
          <w:p w14:paraId="2C8D75DE" w14:textId="07F9F49F" w:rsidR="00CB602D" w:rsidRPr="0015415B" w:rsidRDefault="003F3218" w:rsidP="000D48E4">
            <w:pPr>
              <w:jc w:val="both"/>
              <w:rPr>
                <w:rFonts w:asciiTheme="majorHAnsi" w:hAnsiTheme="majorHAnsi" w:cstheme="majorHAnsi"/>
                <w:color w:val="9CC2E5" w:themeColor="accent1" w:themeTint="99"/>
              </w:rPr>
            </w:pPr>
            <w:r w:rsidRPr="0015415B">
              <w:rPr>
                <w:rFonts w:asciiTheme="majorHAnsi" w:hAnsiTheme="majorHAnsi" w:cstheme="majorHAnsi"/>
                <w:color w:val="9CC2E5" w:themeColor="accent1" w:themeTint="99"/>
              </w:rPr>
              <w:t>Partage de ressources</w:t>
            </w:r>
          </w:p>
        </w:tc>
        <w:tc>
          <w:tcPr>
            <w:tcW w:w="7224" w:type="dxa"/>
          </w:tcPr>
          <w:p w14:paraId="64B12BB9" w14:textId="77777777" w:rsidR="00CB602D" w:rsidRPr="0015415B" w:rsidRDefault="003F3218" w:rsidP="003F3218">
            <w:pPr>
              <w:pStyle w:val="Paragraphedeliste"/>
              <w:numPr>
                <w:ilvl w:val="0"/>
                <w:numId w:val="23"/>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Regroupement de réseaux de distribution ;</w:t>
            </w:r>
          </w:p>
          <w:p w14:paraId="3852BCFF" w14:textId="77777777" w:rsidR="003F3218" w:rsidRPr="0015415B" w:rsidRDefault="003F3218" w:rsidP="003F3218">
            <w:pPr>
              <w:pStyle w:val="Paragraphedeliste"/>
              <w:numPr>
                <w:ilvl w:val="0"/>
                <w:numId w:val="23"/>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Centralisation des organes de direction ;</w:t>
            </w:r>
          </w:p>
          <w:p w14:paraId="342BB244" w14:textId="77777777" w:rsidR="003F3218" w:rsidRPr="0015415B" w:rsidRDefault="003F3218" w:rsidP="003F3218">
            <w:pPr>
              <w:pStyle w:val="Paragraphedeliste"/>
              <w:numPr>
                <w:ilvl w:val="0"/>
                <w:numId w:val="23"/>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Centralisation d’unités de production ;</w:t>
            </w:r>
          </w:p>
          <w:p w14:paraId="0C11CEB9" w14:textId="77777777" w:rsidR="003F3218" w:rsidRPr="0015415B" w:rsidRDefault="003F3218" w:rsidP="003F3218">
            <w:pPr>
              <w:pStyle w:val="Paragraphedeliste"/>
              <w:numPr>
                <w:ilvl w:val="0"/>
                <w:numId w:val="23"/>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Partage de propriété intellectuelle ;</w:t>
            </w:r>
          </w:p>
          <w:p w14:paraId="49EF8C75" w14:textId="22617560" w:rsidR="003F3218" w:rsidRPr="0015415B" w:rsidRDefault="003F3218" w:rsidP="003F3218">
            <w:pPr>
              <w:pStyle w:val="Paragraphedeliste"/>
              <w:numPr>
                <w:ilvl w:val="0"/>
                <w:numId w:val="23"/>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Transfert d’effectif.</w:t>
            </w:r>
          </w:p>
        </w:tc>
      </w:tr>
      <w:tr w:rsidR="00CB602D" w:rsidRPr="00027159" w14:paraId="38AB1F06" w14:textId="77777777" w:rsidTr="00BC0F8A">
        <w:tc>
          <w:tcPr>
            <w:tcW w:w="1838" w:type="dxa"/>
            <w:shd w:val="clear" w:color="auto" w:fill="9CC2E5" w:themeFill="accent1" w:themeFillTint="99"/>
          </w:tcPr>
          <w:p w14:paraId="511DFECA" w14:textId="511D4512" w:rsidR="00CB602D" w:rsidRPr="0015415B" w:rsidRDefault="003F3218" w:rsidP="000D48E4">
            <w:pPr>
              <w:jc w:val="both"/>
              <w:rPr>
                <w:rFonts w:asciiTheme="majorHAnsi" w:hAnsiTheme="majorHAnsi" w:cstheme="majorHAnsi"/>
                <w:color w:val="9CC2E5" w:themeColor="accent1" w:themeTint="99"/>
              </w:rPr>
            </w:pPr>
            <w:r w:rsidRPr="0015415B">
              <w:rPr>
                <w:rFonts w:asciiTheme="majorHAnsi" w:hAnsiTheme="majorHAnsi" w:cstheme="majorHAnsi"/>
                <w:color w:val="9CC2E5" w:themeColor="accent1" w:themeTint="99"/>
              </w:rPr>
              <w:t>Synergie de croissance</w:t>
            </w:r>
          </w:p>
        </w:tc>
        <w:tc>
          <w:tcPr>
            <w:tcW w:w="7224" w:type="dxa"/>
          </w:tcPr>
          <w:p w14:paraId="06C46D8B" w14:textId="5DEFA5C9" w:rsidR="003069A7" w:rsidRPr="0015415B" w:rsidRDefault="003069A7" w:rsidP="003F3218">
            <w:pPr>
              <w:pStyle w:val="Paragraphedeliste"/>
              <w:numPr>
                <w:ilvl w:val="0"/>
                <w:numId w:val="24"/>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 xml:space="preserve">Ressources spécifiques disponibles dans la société cible (ou de façon réciproque) pouvant être utilisée par l’autre. </w:t>
            </w:r>
          </w:p>
        </w:tc>
      </w:tr>
    </w:tbl>
    <w:p w14:paraId="1E662F8A" w14:textId="77777777" w:rsidR="000D48E4" w:rsidRPr="00027159" w:rsidRDefault="000D48E4" w:rsidP="000D48E4">
      <w:pPr>
        <w:spacing w:after="0"/>
        <w:jc w:val="both"/>
        <w:rPr>
          <w:rFonts w:asciiTheme="majorHAnsi" w:hAnsiTheme="majorHAnsi" w:cstheme="majorHAnsi"/>
        </w:rPr>
      </w:pPr>
    </w:p>
    <w:p w14:paraId="48DF21CA" w14:textId="3B932424" w:rsidR="00BC0F8A" w:rsidRDefault="003069A7" w:rsidP="00BC0F8A">
      <w:pPr>
        <w:spacing w:after="0"/>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t>1.1.2.2. Motivations</w:t>
      </w:r>
    </w:p>
    <w:p w14:paraId="16DE589D" w14:textId="65194B62" w:rsidR="003069A7" w:rsidRDefault="003069A7" w:rsidP="00BC0F8A">
      <w:pPr>
        <w:spacing w:after="0"/>
        <w:jc w:val="both"/>
        <w:rPr>
          <w:rFonts w:asciiTheme="majorHAnsi" w:hAnsiTheme="majorHAnsi" w:cstheme="majorHAnsi"/>
        </w:rPr>
      </w:pPr>
    </w:p>
    <w:tbl>
      <w:tblPr>
        <w:tblStyle w:val="Grilledutableau"/>
        <w:tblW w:w="0" w:type="auto"/>
        <w:tblLook w:val="04A0" w:firstRow="1" w:lastRow="0" w:firstColumn="1" w:lastColumn="0" w:noHBand="0" w:noVBand="1"/>
      </w:tblPr>
      <w:tblGrid>
        <w:gridCol w:w="1838"/>
        <w:gridCol w:w="7224"/>
      </w:tblGrid>
      <w:tr w:rsidR="003069A7" w:rsidRPr="00027159" w14:paraId="29CEFAE0" w14:textId="77777777" w:rsidTr="00C737C1">
        <w:tc>
          <w:tcPr>
            <w:tcW w:w="1838" w:type="dxa"/>
            <w:shd w:val="clear" w:color="auto" w:fill="9CC2E5" w:themeFill="accent1" w:themeFillTint="99"/>
          </w:tcPr>
          <w:p w14:paraId="109D7B76" w14:textId="3EC4C71F" w:rsidR="003069A7" w:rsidRPr="0015415B" w:rsidRDefault="003069A7" w:rsidP="00C737C1">
            <w:pPr>
              <w:jc w:val="both"/>
              <w:rPr>
                <w:rFonts w:asciiTheme="majorHAnsi" w:hAnsiTheme="majorHAnsi" w:cstheme="majorHAnsi"/>
                <w:color w:val="9CC2E5" w:themeColor="accent1" w:themeTint="99"/>
              </w:rPr>
            </w:pPr>
            <w:r w:rsidRPr="0015415B">
              <w:rPr>
                <w:rFonts w:asciiTheme="majorHAnsi" w:hAnsiTheme="majorHAnsi" w:cstheme="majorHAnsi"/>
                <w:color w:val="9CC2E5" w:themeColor="accent1" w:themeTint="99"/>
              </w:rPr>
              <w:t>Croissance du pouvoir de domination et d’influence</w:t>
            </w:r>
          </w:p>
        </w:tc>
        <w:tc>
          <w:tcPr>
            <w:tcW w:w="7224" w:type="dxa"/>
          </w:tcPr>
          <w:p w14:paraId="04962055" w14:textId="0501C158" w:rsidR="003069A7" w:rsidRPr="0015415B" w:rsidRDefault="003069A7" w:rsidP="00C737C1">
            <w:pPr>
              <w:pStyle w:val="Paragraphedeliste"/>
              <w:numPr>
                <w:ilvl w:val="0"/>
                <w:numId w:val="22"/>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Renforcement du pouvoir de la firme sur un marché (</w:t>
            </w:r>
            <w:proofErr w:type="spellStart"/>
            <w:r w:rsidRPr="0015415B">
              <w:rPr>
                <w:rFonts w:asciiTheme="majorHAnsi" w:hAnsiTheme="majorHAnsi" w:cstheme="majorHAnsi"/>
                <w:color w:val="FFFFFF" w:themeColor="background1"/>
              </w:rPr>
              <w:t>bargaining</w:t>
            </w:r>
            <w:proofErr w:type="spellEnd"/>
            <w:r w:rsidRPr="0015415B">
              <w:rPr>
                <w:rFonts w:asciiTheme="majorHAnsi" w:hAnsiTheme="majorHAnsi" w:cstheme="majorHAnsi"/>
                <w:color w:val="FFFFFF" w:themeColor="background1"/>
              </w:rPr>
              <w:t xml:space="preserve"> power) ;</w:t>
            </w:r>
          </w:p>
          <w:p w14:paraId="0E6314C7" w14:textId="16937A3A" w:rsidR="003069A7" w:rsidRPr="0015415B" w:rsidRDefault="003069A7" w:rsidP="00C737C1">
            <w:pPr>
              <w:pStyle w:val="Paragraphedeliste"/>
              <w:numPr>
                <w:ilvl w:val="0"/>
                <w:numId w:val="22"/>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Augmentation du pouvoir d’influence, de négociation (auprès des fournisseurs, des pouvoirs publics…).</w:t>
            </w:r>
          </w:p>
          <w:p w14:paraId="0A20DD1B" w14:textId="77777777" w:rsidR="003069A7" w:rsidRPr="0015415B" w:rsidRDefault="003069A7" w:rsidP="00C737C1">
            <w:pPr>
              <w:jc w:val="both"/>
              <w:rPr>
                <w:rFonts w:asciiTheme="majorHAnsi" w:hAnsiTheme="majorHAnsi" w:cstheme="majorHAnsi"/>
                <w:color w:val="FFFFFF" w:themeColor="background1"/>
              </w:rPr>
            </w:pPr>
          </w:p>
        </w:tc>
      </w:tr>
      <w:tr w:rsidR="003069A7" w:rsidRPr="003F3218" w14:paraId="437B3555" w14:textId="77777777" w:rsidTr="00C737C1">
        <w:tc>
          <w:tcPr>
            <w:tcW w:w="1838" w:type="dxa"/>
            <w:shd w:val="clear" w:color="auto" w:fill="9CC2E5" w:themeFill="accent1" w:themeFillTint="99"/>
          </w:tcPr>
          <w:p w14:paraId="047B2158" w14:textId="7668B1B3" w:rsidR="003069A7" w:rsidRPr="0015415B" w:rsidRDefault="003069A7" w:rsidP="00C737C1">
            <w:pPr>
              <w:jc w:val="both"/>
              <w:rPr>
                <w:rFonts w:asciiTheme="majorHAnsi" w:hAnsiTheme="majorHAnsi" w:cstheme="majorHAnsi"/>
                <w:color w:val="9CC2E5" w:themeColor="accent1" w:themeTint="99"/>
              </w:rPr>
            </w:pPr>
            <w:r w:rsidRPr="0015415B">
              <w:rPr>
                <w:rFonts w:asciiTheme="majorHAnsi" w:hAnsiTheme="majorHAnsi" w:cstheme="majorHAnsi"/>
                <w:color w:val="9CC2E5" w:themeColor="accent1" w:themeTint="99"/>
              </w:rPr>
              <w:t>Captation de ressources spécifiques</w:t>
            </w:r>
          </w:p>
        </w:tc>
        <w:tc>
          <w:tcPr>
            <w:tcW w:w="7224" w:type="dxa"/>
          </w:tcPr>
          <w:p w14:paraId="116D51A1" w14:textId="77777777" w:rsidR="003069A7" w:rsidRPr="0015415B" w:rsidRDefault="003069A7" w:rsidP="00C737C1">
            <w:pPr>
              <w:pStyle w:val="Paragraphedeliste"/>
              <w:numPr>
                <w:ilvl w:val="0"/>
                <w:numId w:val="23"/>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Acquisition accélérée de nouvelles ressources en vue de se développer ou survivre sur un marché ;</w:t>
            </w:r>
          </w:p>
          <w:p w14:paraId="10CD92D8" w14:textId="77777777" w:rsidR="003069A7" w:rsidRPr="0015415B" w:rsidRDefault="003069A7" w:rsidP="00C737C1">
            <w:pPr>
              <w:pStyle w:val="Paragraphedeliste"/>
              <w:numPr>
                <w:ilvl w:val="0"/>
                <w:numId w:val="23"/>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Acquisition de moyens rares sur le marché ;</w:t>
            </w:r>
          </w:p>
          <w:p w14:paraId="65A3442C" w14:textId="4CA70042" w:rsidR="003069A7" w:rsidRPr="0015415B" w:rsidRDefault="003069A7" w:rsidP="00C737C1">
            <w:pPr>
              <w:pStyle w:val="Paragraphedeliste"/>
              <w:numPr>
                <w:ilvl w:val="0"/>
                <w:numId w:val="23"/>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Acquisition de l’image de marque de la cible.</w:t>
            </w:r>
          </w:p>
        </w:tc>
      </w:tr>
      <w:tr w:rsidR="003069A7" w:rsidRPr="003F3218" w14:paraId="27974486" w14:textId="77777777" w:rsidTr="00C737C1">
        <w:tc>
          <w:tcPr>
            <w:tcW w:w="1838" w:type="dxa"/>
            <w:shd w:val="clear" w:color="auto" w:fill="9CC2E5" w:themeFill="accent1" w:themeFillTint="99"/>
          </w:tcPr>
          <w:p w14:paraId="37C06B1D" w14:textId="52E02BDD" w:rsidR="003069A7" w:rsidRPr="0015415B" w:rsidRDefault="003069A7" w:rsidP="00C737C1">
            <w:pPr>
              <w:jc w:val="both"/>
              <w:rPr>
                <w:rFonts w:asciiTheme="majorHAnsi" w:hAnsiTheme="majorHAnsi" w:cstheme="majorHAnsi"/>
                <w:color w:val="9CC2E5" w:themeColor="accent1" w:themeTint="99"/>
              </w:rPr>
            </w:pPr>
            <w:r w:rsidRPr="0015415B">
              <w:rPr>
                <w:rFonts w:asciiTheme="majorHAnsi" w:hAnsiTheme="majorHAnsi" w:cstheme="majorHAnsi"/>
                <w:color w:val="9CC2E5" w:themeColor="accent1" w:themeTint="99"/>
              </w:rPr>
              <w:t xml:space="preserve"> Pénétration sur un nouveau marché</w:t>
            </w:r>
          </w:p>
        </w:tc>
        <w:tc>
          <w:tcPr>
            <w:tcW w:w="7224" w:type="dxa"/>
          </w:tcPr>
          <w:p w14:paraId="6553FE66" w14:textId="77777777" w:rsidR="003069A7" w:rsidRPr="0015415B" w:rsidRDefault="003069A7" w:rsidP="00C737C1">
            <w:pPr>
              <w:pStyle w:val="Paragraphedeliste"/>
              <w:numPr>
                <w:ilvl w:val="0"/>
                <w:numId w:val="23"/>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Marchés ou métiers porteurs (acquisition de start-up par exemple) ;</w:t>
            </w:r>
          </w:p>
          <w:p w14:paraId="6BDA0FA6" w14:textId="5D50AD8A" w:rsidR="003069A7" w:rsidRPr="0015415B" w:rsidRDefault="00EA6040" w:rsidP="00C737C1">
            <w:pPr>
              <w:pStyle w:val="Paragraphedeliste"/>
              <w:numPr>
                <w:ilvl w:val="0"/>
                <w:numId w:val="23"/>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Débouchés sur un nouveau marché géographique.</w:t>
            </w:r>
          </w:p>
        </w:tc>
      </w:tr>
      <w:tr w:rsidR="003069A7" w:rsidRPr="003F3218" w14:paraId="21FB89D3" w14:textId="77777777" w:rsidTr="00C737C1">
        <w:tc>
          <w:tcPr>
            <w:tcW w:w="1838" w:type="dxa"/>
            <w:shd w:val="clear" w:color="auto" w:fill="9CC2E5" w:themeFill="accent1" w:themeFillTint="99"/>
          </w:tcPr>
          <w:p w14:paraId="68B9E68D" w14:textId="19995657" w:rsidR="003069A7" w:rsidRPr="0015415B" w:rsidRDefault="00EA6040" w:rsidP="00C737C1">
            <w:pPr>
              <w:jc w:val="both"/>
              <w:rPr>
                <w:rFonts w:asciiTheme="majorHAnsi" w:hAnsiTheme="majorHAnsi" w:cstheme="majorHAnsi"/>
                <w:color w:val="9CC2E5" w:themeColor="accent1" w:themeTint="99"/>
              </w:rPr>
            </w:pPr>
            <w:r w:rsidRPr="0015415B">
              <w:rPr>
                <w:rFonts w:asciiTheme="majorHAnsi" w:hAnsiTheme="majorHAnsi" w:cstheme="majorHAnsi"/>
                <w:color w:val="9CC2E5" w:themeColor="accent1" w:themeTint="99"/>
              </w:rPr>
              <w:t>Renouvellement</w:t>
            </w:r>
          </w:p>
        </w:tc>
        <w:tc>
          <w:tcPr>
            <w:tcW w:w="7224" w:type="dxa"/>
          </w:tcPr>
          <w:p w14:paraId="193F06FB" w14:textId="696F81D6" w:rsidR="003069A7" w:rsidRPr="0015415B" w:rsidRDefault="00EA6040" w:rsidP="00C737C1">
            <w:pPr>
              <w:pStyle w:val="Paragraphedeliste"/>
              <w:numPr>
                <w:ilvl w:val="0"/>
                <w:numId w:val="24"/>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Création de capacité nouvelles permettant de répondre à des marchés jusque-là inaccessible à l’une ou à l’autre des firmes.</w:t>
            </w:r>
          </w:p>
        </w:tc>
      </w:tr>
    </w:tbl>
    <w:p w14:paraId="1ED79614" w14:textId="75D4E19B" w:rsidR="003069A7" w:rsidRDefault="003069A7" w:rsidP="00BC0F8A">
      <w:pPr>
        <w:spacing w:after="0"/>
        <w:jc w:val="both"/>
        <w:rPr>
          <w:rFonts w:asciiTheme="majorHAnsi" w:hAnsiTheme="majorHAnsi" w:cstheme="majorHAnsi"/>
        </w:rPr>
      </w:pPr>
    </w:p>
    <w:p w14:paraId="02DFE29C" w14:textId="55FE560D" w:rsidR="00EA6040" w:rsidRDefault="00EA6040" w:rsidP="00BC0F8A">
      <w:pPr>
        <w:spacing w:after="0"/>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t>1.1.3. Les différentes formes de fusions-acquisitions</w:t>
      </w:r>
    </w:p>
    <w:p w14:paraId="3A32EABB" w14:textId="4E63D688" w:rsidR="00EA6040" w:rsidRDefault="00EA6040" w:rsidP="00BC0F8A">
      <w:pPr>
        <w:spacing w:after="0"/>
        <w:jc w:val="both"/>
        <w:rPr>
          <w:rFonts w:asciiTheme="majorHAnsi" w:hAnsiTheme="majorHAnsi" w:cstheme="majorHAnsi"/>
        </w:rPr>
      </w:pPr>
    </w:p>
    <w:tbl>
      <w:tblPr>
        <w:tblStyle w:val="Grilledutableau"/>
        <w:tblW w:w="0" w:type="auto"/>
        <w:tblLook w:val="04A0" w:firstRow="1" w:lastRow="0" w:firstColumn="1" w:lastColumn="0" w:noHBand="0" w:noVBand="1"/>
      </w:tblPr>
      <w:tblGrid>
        <w:gridCol w:w="1838"/>
        <w:gridCol w:w="7224"/>
      </w:tblGrid>
      <w:tr w:rsidR="00EA6040" w:rsidRPr="00027159" w14:paraId="796EC7FF" w14:textId="77777777" w:rsidTr="00EA6040">
        <w:tc>
          <w:tcPr>
            <w:tcW w:w="1838" w:type="dxa"/>
            <w:tcBorders>
              <w:top w:val="nil"/>
              <w:left w:val="nil"/>
            </w:tcBorders>
            <w:shd w:val="clear" w:color="auto" w:fill="auto"/>
          </w:tcPr>
          <w:p w14:paraId="0FB59EFB" w14:textId="5A8298EA" w:rsidR="00EA6040" w:rsidRPr="00027159" w:rsidRDefault="00EA6040" w:rsidP="00C737C1">
            <w:pPr>
              <w:jc w:val="both"/>
              <w:rPr>
                <w:rFonts w:asciiTheme="majorHAnsi" w:hAnsiTheme="majorHAnsi" w:cstheme="majorHAnsi"/>
              </w:rPr>
            </w:pPr>
          </w:p>
        </w:tc>
        <w:tc>
          <w:tcPr>
            <w:tcW w:w="7224" w:type="dxa"/>
          </w:tcPr>
          <w:p w14:paraId="4A45F903" w14:textId="3F39A7B1" w:rsidR="00EA6040" w:rsidRPr="00EA6040" w:rsidRDefault="00EA6040" w:rsidP="00EA6040">
            <w:pPr>
              <w:pStyle w:val="Paragraphedeliste"/>
              <w:jc w:val="center"/>
              <w:rPr>
                <w:rFonts w:asciiTheme="majorHAnsi" w:hAnsiTheme="majorHAnsi" w:cstheme="majorHAnsi"/>
                <w:b/>
              </w:rPr>
            </w:pPr>
            <w:r>
              <w:rPr>
                <w:rFonts w:asciiTheme="majorHAnsi" w:hAnsiTheme="majorHAnsi" w:cstheme="majorHAnsi"/>
                <w:b/>
              </w:rPr>
              <w:t>Caractéristiques</w:t>
            </w:r>
          </w:p>
        </w:tc>
      </w:tr>
      <w:tr w:rsidR="00EA6040" w:rsidRPr="00027159" w14:paraId="6EDAC9F4" w14:textId="77777777" w:rsidTr="00C737C1">
        <w:tc>
          <w:tcPr>
            <w:tcW w:w="1838" w:type="dxa"/>
            <w:shd w:val="clear" w:color="auto" w:fill="9CC2E5" w:themeFill="accent1" w:themeFillTint="99"/>
          </w:tcPr>
          <w:p w14:paraId="479C8973" w14:textId="1795E661" w:rsidR="00EA6040" w:rsidRPr="0015415B" w:rsidRDefault="00EA6040" w:rsidP="00C737C1">
            <w:pPr>
              <w:jc w:val="both"/>
              <w:rPr>
                <w:rFonts w:asciiTheme="majorHAnsi" w:hAnsiTheme="majorHAnsi" w:cstheme="majorHAnsi"/>
                <w:color w:val="9CC2E5" w:themeColor="accent1" w:themeTint="99"/>
              </w:rPr>
            </w:pPr>
            <w:r w:rsidRPr="0015415B">
              <w:rPr>
                <w:rFonts w:asciiTheme="majorHAnsi" w:hAnsiTheme="majorHAnsi" w:cstheme="majorHAnsi"/>
                <w:color w:val="9CC2E5" w:themeColor="accent1" w:themeTint="99"/>
              </w:rPr>
              <w:t>Type horizontale</w:t>
            </w:r>
          </w:p>
        </w:tc>
        <w:tc>
          <w:tcPr>
            <w:tcW w:w="7224" w:type="dxa"/>
          </w:tcPr>
          <w:p w14:paraId="1E7655B1" w14:textId="77777777" w:rsidR="00EA6040" w:rsidRPr="0015415B" w:rsidRDefault="00EA6040" w:rsidP="00C737C1">
            <w:pPr>
              <w:pStyle w:val="Paragraphedeliste"/>
              <w:numPr>
                <w:ilvl w:val="0"/>
                <w:numId w:val="22"/>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Rapprochement entre firmes concurrentes sur des champs d’activités proches ;</w:t>
            </w:r>
          </w:p>
          <w:p w14:paraId="4AB75B37" w14:textId="07A43595" w:rsidR="00EA6040" w:rsidRPr="0015415B" w:rsidRDefault="00EA6040" w:rsidP="00EA6040">
            <w:pPr>
              <w:pStyle w:val="Paragraphedeliste"/>
              <w:numPr>
                <w:ilvl w:val="0"/>
                <w:numId w:val="22"/>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Spécialisation et contrôle d’une grande part de marché.</w:t>
            </w:r>
          </w:p>
          <w:p w14:paraId="41A83DBE" w14:textId="77777777" w:rsidR="00EA6040" w:rsidRPr="0015415B" w:rsidRDefault="00EA6040" w:rsidP="00EA6040">
            <w:pPr>
              <w:pStyle w:val="Paragraphedeliste"/>
              <w:jc w:val="both"/>
              <w:rPr>
                <w:rFonts w:asciiTheme="majorHAnsi" w:hAnsiTheme="majorHAnsi" w:cstheme="majorHAnsi"/>
                <w:color w:val="FFFFFF" w:themeColor="background1"/>
              </w:rPr>
            </w:pPr>
          </w:p>
          <w:p w14:paraId="08C4A483" w14:textId="77777777" w:rsidR="00EA6040" w:rsidRPr="0015415B" w:rsidRDefault="00EA6040" w:rsidP="00EA6040">
            <w:p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Cas le plus fréquent (plus de la moitié des opérations)</w:t>
            </w:r>
          </w:p>
          <w:p w14:paraId="5B51DEBC" w14:textId="6D69A3FA" w:rsidR="00EA6040" w:rsidRPr="0015415B" w:rsidRDefault="00EA6040" w:rsidP="00EA6040">
            <w:pPr>
              <w:ind w:left="360"/>
              <w:jc w:val="both"/>
              <w:rPr>
                <w:rFonts w:asciiTheme="majorHAnsi" w:hAnsiTheme="majorHAnsi" w:cstheme="majorHAnsi"/>
                <w:color w:val="FFFFFF" w:themeColor="background1"/>
              </w:rPr>
            </w:pPr>
          </w:p>
        </w:tc>
      </w:tr>
      <w:tr w:rsidR="00EA6040" w:rsidRPr="003F3218" w14:paraId="48BBC1F7" w14:textId="77777777" w:rsidTr="00C737C1">
        <w:tc>
          <w:tcPr>
            <w:tcW w:w="1838" w:type="dxa"/>
            <w:shd w:val="clear" w:color="auto" w:fill="9CC2E5" w:themeFill="accent1" w:themeFillTint="99"/>
          </w:tcPr>
          <w:p w14:paraId="29FB6EA9" w14:textId="3603E9CD" w:rsidR="00EA6040" w:rsidRPr="0015415B" w:rsidRDefault="00EA6040" w:rsidP="00C737C1">
            <w:pPr>
              <w:jc w:val="both"/>
              <w:rPr>
                <w:rFonts w:asciiTheme="majorHAnsi" w:hAnsiTheme="majorHAnsi" w:cstheme="majorHAnsi"/>
                <w:color w:val="9CC2E5" w:themeColor="accent1" w:themeTint="99"/>
              </w:rPr>
            </w:pPr>
            <w:r w:rsidRPr="0015415B">
              <w:rPr>
                <w:rFonts w:asciiTheme="majorHAnsi" w:hAnsiTheme="majorHAnsi" w:cstheme="majorHAnsi"/>
                <w:color w:val="9CC2E5" w:themeColor="accent1" w:themeTint="99"/>
              </w:rPr>
              <w:t>Type verticale</w:t>
            </w:r>
          </w:p>
        </w:tc>
        <w:tc>
          <w:tcPr>
            <w:tcW w:w="7224" w:type="dxa"/>
          </w:tcPr>
          <w:p w14:paraId="5FB1F2C8" w14:textId="53B33898" w:rsidR="00EA6040" w:rsidRPr="0015415B" w:rsidRDefault="00EA6040" w:rsidP="00EA6040">
            <w:pPr>
              <w:pStyle w:val="Paragraphedeliste"/>
              <w:numPr>
                <w:ilvl w:val="0"/>
                <w:numId w:val="23"/>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Rapprochement de firmes appartenant à des stades différents de la même filière permettant ainsi de contrôler l’ensemble d’une chaîne économique : logique de filière.</w:t>
            </w:r>
          </w:p>
        </w:tc>
      </w:tr>
      <w:tr w:rsidR="00EA6040" w14:paraId="25ADB552" w14:textId="77777777" w:rsidTr="00C737C1">
        <w:tc>
          <w:tcPr>
            <w:tcW w:w="1838" w:type="dxa"/>
            <w:shd w:val="clear" w:color="auto" w:fill="9CC2E5" w:themeFill="accent1" w:themeFillTint="99"/>
          </w:tcPr>
          <w:p w14:paraId="660CFC5E" w14:textId="74A93EF6" w:rsidR="00EA6040" w:rsidRPr="0015415B" w:rsidRDefault="00EA6040" w:rsidP="00C737C1">
            <w:pPr>
              <w:jc w:val="both"/>
              <w:rPr>
                <w:rFonts w:asciiTheme="majorHAnsi" w:hAnsiTheme="majorHAnsi" w:cstheme="majorHAnsi"/>
                <w:color w:val="9CC2E5" w:themeColor="accent1" w:themeTint="99"/>
              </w:rPr>
            </w:pPr>
            <w:r w:rsidRPr="0015415B">
              <w:rPr>
                <w:rFonts w:asciiTheme="majorHAnsi" w:hAnsiTheme="majorHAnsi" w:cstheme="majorHAnsi"/>
                <w:color w:val="9CC2E5" w:themeColor="accent1" w:themeTint="99"/>
              </w:rPr>
              <w:t>Type concentrique</w:t>
            </w:r>
          </w:p>
        </w:tc>
        <w:tc>
          <w:tcPr>
            <w:tcW w:w="7224" w:type="dxa"/>
          </w:tcPr>
          <w:p w14:paraId="39856983" w14:textId="77777777" w:rsidR="00EA6040" w:rsidRPr="0015415B" w:rsidRDefault="00EA6040" w:rsidP="00C737C1">
            <w:pPr>
              <w:pStyle w:val="Paragraphedeliste"/>
              <w:numPr>
                <w:ilvl w:val="0"/>
                <w:numId w:val="23"/>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Rapprochement entre firmes aux métiers complémentaires dans l’objectif d’étendre une gamme d’offre et une clientèle ;</w:t>
            </w:r>
          </w:p>
          <w:p w14:paraId="2E8B00E2" w14:textId="23968CD2" w:rsidR="00EA6040" w:rsidRPr="0015415B" w:rsidRDefault="00EA6040" w:rsidP="00C737C1">
            <w:pPr>
              <w:pStyle w:val="Paragraphedeliste"/>
              <w:numPr>
                <w:ilvl w:val="0"/>
                <w:numId w:val="23"/>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Complémentarité fondée sur les produits, un savoir-faire ou une clientèle.</w:t>
            </w:r>
          </w:p>
        </w:tc>
      </w:tr>
      <w:tr w:rsidR="00EA6040" w:rsidRPr="003F3218" w14:paraId="3E7A2436" w14:textId="77777777" w:rsidTr="00C737C1">
        <w:tc>
          <w:tcPr>
            <w:tcW w:w="1838" w:type="dxa"/>
            <w:shd w:val="clear" w:color="auto" w:fill="9CC2E5" w:themeFill="accent1" w:themeFillTint="99"/>
          </w:tcPr>
          <w:p w14:paraId="1411CEC1" w14:textId="58969744" w:rsidR="00EA6040" w:rsidRPr="0015415B" w:rsidRDefault="00EA6040" w:rsidP="00C737C1">
            <w:pPr>
              <w:jc w:val="both"/>
              <w:rPr>
                <w:rFonts w:asciiTheme="majorHAnsi" w:hAnsiTheme="majorHAnsi" w:cstheme="majorHAnsi"/>
                <w:color w:val="9CC2E5" w:themeColor="accent1" w:themeTint="99"/>
              </w:rPr>
            </w:pPr>
            <w:r w:rsidRPr="0015415B">
              <w:rPr>
                <w:rFonts w:asciiTheme="majorHAnsi" w:hAnsiTheme="majorHAnsi" w:cstheme="majorHAnsi"/>
                <w:color w:val="9CC2E5" w:themeColor="accent1" w:themeTint="99"/>
              </w:rPr>
              <w:t>Type conglomérale</w:t>
            </w:r>
          </w:p>
        </w:tc>
        <w:tc>
          <w:tcPr>
            <w:tcW w:w="7224" w:type="dxa"/>
          </w:tcPr>
          <w:p w14:paraId="0A356BED" w14:textId="3556BDD6" w:rsidR="00EA6040" w:rsidRPr="0015415B" w:rsidRDefault="004A1FEC" w:rsidP="00C737C1">
            <w:pPr>
              <w:pStyle w:val="Paragraphedeliste"/>
              <w:numPr>
                <w:ilvl w:val="0"/>
                <w:numId w:val="24"/>
              </w:numPr>
              <w:jc w:val="both"/>
              <w:rPr>
                <w:rFonts w:asciiTheme="majorHAnsi" w:hAnsiTheme="majorHAnsi" w:cstheme="majorHAnsi"/>
                <w:color w:val="FFFFFF" w:themeColor="background1"/>
              </w:rPr>
            </w:pPr>
            <w:r w:rsidRPr="0015415B">
              <w:rPr>
                <w:rFonts w:asciiTheme="majorHAnsi" w:hAnsiTheme="majorHAnsi" w:cstheme="majorHAnsi"/>
                <w:color w:val="FFFFFF" w:themeColor="background1"/>
              </w:rPr>
              <w:t>Rapprochement entre firmes ayant des métiers totalement différents.</w:t>
            </w:r>
          </w:p>
        </w:tc>
      </w:tr>
    </w:tbl>
    <w:p w14:paraId="70693994" w14:textId="5AB23C00" w:rsidR="00BC0F8A" w:rsidRDefault="00BC0F8A" w:rsidP="00BC0F8A">
      <w:pPr>
        <w:pStyle w:val="Paragraphedeliste"/>
        <w:numPr>
          <w:ilvl w:val="1"/>
          <w:numId w:val="6"/>
        </w:numPr>
        <w:spacing w:after="0"/>
        <w:jc w:val="both"/>
        <w:rPr>
          <w:rFonts w:asciiTheme="majorHAnsi" w:hAnsiTheme="majorHAnsi" w:cstheme="majorHAnsi"/>
          <w:b/>
        </w:rPr>
      </w:pPr>
      <w:r w:rsidRPr="00027159">
        <w:rPr>
          <w:rFonts w:asciiTheme="majorHAnsi" w:hAnsiTheme="majorHAnsi" w:cstheme="majorHAnsi"/>
          <w:b/>
        </w:rPr>
        <w:lastRenderedPageBreak/>
        <w:t xml:space="preserve">Les </w:t>
      </w:r>
      <w:r w:rsidR="004A1FEC">
        <w:rPr>
          <w:rFonts w:asciiTheme="majorHAnsi" w:hAnsiTheme="majorHAnsi" w:cstheme="majorHAnsi"/>
          <w:b/>
        </w:rPr>
        <w:t>opérations de fusions et d’acquisitions</w:t>
      </w:r>
    </w:p>
    <w:p w14:paraId="702D45CC" w14:textId="77777777" w:rsidR="004A1FEC" w:rsidRPr="00027159" w:rsidRDefault="004A1FEC" w:rsidP="004A1FEC">
      <w:pPr>
        <w:pStyle w:val="Paragraphedeliste"/>
        <w:spacing w:after="0"/>
        <w:ind w:left="1080"/>
        <w:jc w:val="both"/>
        <w:rPr>
          <w:rFonts w:asciiTheme="majorHAnsi" w:hAnsiTheme="majorHAnsi" w:cstheme="majorHAnsi"/>
          <w:b/>
        </w:rPr>
      </w:pPr>
    </w:p>
    <w:p w14:paraId="6C5B094D" w14:textId="7AB35F97" w:rsidR="00BC0F8A" w:rsidRDefault="004A1FEC" w:rsidP="004A1FEC">
      <w:pPr>
        <w:spacing w:after="0"/>
        <w:ind w:left="1080"/>
        <w:jc w:val="both"/>
        <w:rPr>
          <w:rFonts w:asciiTheme="majorHAnsi" w:hAnsiTheme="majorHAnsi" w:cstheme="majorHAnsi"/>
        </w:rPr>
      </w:pPr>
      <w:r>
        <w:rPr>
          <w:rFonts w:asciiTheme="majorHAnsi" w:hAnsiTheme="majorHAnsi" w:cstheme="majorHAnsi"/>
        </w:rPr>
        <w:t>1.2.1. Les opérations d’acquisitions</w:t>
      </w:r>
    </w:p>
    <w:p w14:paraId="2A3BB778" w14:textId="4FFA3096" w:rsidR="004A1FEC" w:rsidRDefault="004A1FEC" w:rsidP="004A1FEC">
      <w:pPr>
        <w:spacing w:after="0"/>
        <w:ind w:left="1080"/>
        <w:jc w:val="both"/>
        <w:rPr>
          <w:rFonts w:asciiTheme="majorHAnsi" w:hAnsiTheme="majorHAnsi" w:cstheme="majorHAnsi"/>
        </w:rPr>
      </w:pPr>
    </w:p>
    <w:p w14:paraId="4C26DAF6" w14:textId="521F6986" w:rsidR="004A1FEC" w:rsidRDefault="004A1FEC" w:rsidP="004A1FEC">
      <w:pPr>
        <w:spacing w:after="0"/>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t>1.2.1.1. L’acquisition simple</w:t>
      </w:r>
    </w:p>
    <w:p w14:paraId="1A20268E" w14:textId="5E73C623" w:rsidR="004A1FEC" w:rsidRDefault="004A1FEC" w:rsidP="004A1FEC">
      <w:pPr>
        <w:spacing w:after="0"/>
        <w:jc w:val="both"/>
        <w:rPr>
          <w:rFonts w:asciiTheme="majorHAnsi" w:hAnsiTheme="majorHAnsi" w:cstheme="majorHAnsi"/>
        </w:rPr>
      </w:pPr>
    </w:p>
    <w:p w14:paraId="1A852188" w14:textId="2848A568" w:rsidR="004A1FEC" w:rsidRDefault="004A1FEC" w:rsidP="004A1FEC">
      <w:pPr>
        <w:spacing w:after="0"/>
        <w:jc w:val="both"/>
        <w:rPr>
          <w:rFonts w:asciiTheme="majorHAnsi" w:hAnsiTheme="majorHAnsi" w:cstheme="majorHAnsi"/>
        </w:rPr>
      </w:pPr>
      <w:r>
        <w:rPr>
          <w:rFonts w:asciiTheme="majorHAnsi" w:hAnsiTheme="majorHAnsi" w:cstheme="majorHAnsi"/>
        </w:rPr>
        <w:tab/>
        <w:t xml:space="preserve">Dans le cadre d’un achat simple, il y a transfert de propriété entre une société acquéreuse et une société cible assortie d’une contrepartie financière. L’objectif est la prise de contrôle de la société cible. </w:t>
      </w:r>
    </w:p>
    <w:p w14:paraId="05FE6173" w14:textId="1E7E4EFC" w:rsidR="004A1FEC" w:rsidRDefault="004A1FEC" w:rsidP="004A1FEC">
      <w:pPr>
        <w:spacing w:after="0"/>
        <w:jc w:val="both"/>
        <w:rPr>
          <w:rFonts w:asciiTheme="majorHAnsi" w:hAnsiTheme="majorHAnsi" w:cstheme="majorHAnsi"/>
        </w:rPr>
      </w:pPr>
      <w:r>
        <w:rPr>
          <w:rFonts w:asciiTheme="majorHAnsi" w:hAnsiTheme="majorHAnsi" w:cstheme="majorHAnsi"/>
        </w:rPr>
        <w:tab/>
        <w:t xml:space="preserve">La détermination du prix d’acquisition proposé aux actionnaires de la cible est primordiale. Il doit être suffisamment élevé pour </w:t>
      </w:r>
      <w:r w:rsidR="008E08DF">
        <w:rPr>
          <w:rFonts w:asciiTheme="majorHAnsi" w:hAnsiTheme="majorHAnsi" w:cstheme="majorHAnsi"/>
        </w:rPr>
        <w:t>________________________________________</w:t>
      </w:r>
      <w:r w:rsidR="00D81863">
        <w:rPr>
          <w:rFonts w:asciiTheme="majorHAnsi" w:hAnsiTheme="majorHAnsi" w:cstheme="majorHAnsi"/>
        </w:rPr>
        <w:t>, tout en évitant de « </w:t>
      </w:r>
      <w:r w:rsidR="008E08DF">
        <w:rPr>
          <w:rFonts w:asciiTheme="majorHAnsi" w:hAnsiTheme="majorHAnsi" w:cstheme="majorHAnsi"/>
        </w:rPr>
        <w:t xml:space="preserve">________________ </w:t>
      </w:r>
      <w:r w:rsidR="00D81863">
        <w:rPr>
          <w:rFonts w:asciiTheme="majorHAnsi" w:hAnsiTheme="majorHAnsi" w:cstheme="majorHAnsi"/>
        </w:rPr>
        <w:t xml:space="preserve">» ces actions par rapport à leur valeur d’utilité. </w:t>
      </w:r>
    </w:p>
    <w:p w14:paraId="25BF6F56" w14:textId="2B740F5E" w:rsidR="00D81863" w:rsidRDefault="00D81863" w:rsidP="004A1FEC">
      <w:pPr>
        <w:spacing w:after="0"/>
        <w:jc w:val="both"/>
        <w:rPr>
          <w:rFonts w:asciiTheme="majorHAnsi" w:hAnsiTheme="majorHAnsi" w:cstheme="majorHAnsi"/>
        </w:rPr>
      </w:pPr>
      <w:r>
        <w:rPr>
          <w:rFonts w:asciiTheme="majorHAnsi" w:hAnsiTheme="majorHAnsi" w:cstheme="majorHAnsi"/>
        </w:rPr>
        <w:tab/>
        <w:t xml:space="preserve">Il est donc supérieur à la valeur de </w:t>
      </w:r>
      <w:r w:rsidR="008E08DF">
        <w:rPr>
          <w:rFonts w:asciiTheme="majorHAnsi" w:hAnsiTheme="majorHAnsi" w:cstheme="majorHAnsi"/>
        </w:rPr>
        <w:t>__________</w:t>
      </w:r>
      <w:r>
        <w:rPr>
          <w:rFonts w:asciiTheme="majorHAnsi" w:hAnsiTheme="majorHAnsi" w:cstheme="majorHAnsi"/>
        </w:rPr>
        <w:t> ; la différence entre le prix proposé et le prix payé est appelé « prime d’acquisition ».</w:t>
      </w:r>
    </w:p>
    <w:p w14:paraId="3F0C477E" w14:textId="551F7514" w:rsidR="003F2C34" w:rsidRDefault="003F2C34" w:rsidP="004A1FEC">
      <w:pPr>
        <w:spacing w:after="0"/>
        <w:jc w:val="both"/>
        <w:rPr>
          <w:rFonts w:asciiTheme="majorHAnsi" w:hAnsiTheme="majorHAnsi" w:cstheme="majorHAnsi"/>
        </w:rPr>
      </w:pPr>
    </w:p>
    <w:p w14:paraId="32DB64F8" w14:textId="38F77D4D" w:rsidR="003F2C34" w:rsidRDefault="003F2C34" w:rsidP="004A1FEC">
      <w:pPr>
        <w:spacing w:after="0"/>
        <w:jc w:val="both"/>
        <w:rPr>
          <w:rFonts w:asciiTheme="majorHAnsi" w:hAnsiTheme="majorHAnsi" w:cstheme="majorHAnsi"/>
        </w:rPr>
      </w:pPr>
      <w:r>
        <w:rPr>
          <w:rFonts w:asciiTheme="majorHAnsi" w:hAnsiTheme="majorHAnsi" w:cstheme="majorHAnsi"/>
        </w:rPr>
        <w:tab/>
        <w:t>L’achat d’actions en bourse peut prendre diverses formes :</w:t>
      </w:r>
    </w:p>
    <w:p w14:paraId="098ED55B" w14:textId="1B320D50" w:rsidR="003F2C34" w:rsidRDefault="003F2C34" w:rsidP="003F2C34">
      <w:pPr>
        <w:pStyle w:val="Paragraphedeliste"/>
        <w:numPr>
          <w:ilvl w:val="0"/>
          <w:numId w:val="24"/>
        </w:numPr>
        <w:spacing w:after="0"/>
        <w:jc w:val="both"/>
        <w:rPr>
          <w:rFonts w:asciiTheme="majorHAnsi" w:hAnsiTheme="majorHAnsi" w:cstheme="majorHAnsi"/>
        </w:rPr>
      </w:pPr>
      <w:r>
        <w:rPr>
          <w:rFonts w:asciiTheme="majorHAnsi" w:hAnsiTheme="majorHAnsi" w:cstheme="majorHAnsi"/>
        </w:rPr>
        <w:t xml:space="preserve">Le </w:t>
      </w:r>
      <w:r w:rsidR="004A3CDA">
        <w:rPr>
          <w:rFonts w:asciiTheme="majorHAnsi" w:hAnsiTheme="majorHAnsi" w:cstheme="majorHAnsi"/>
        </w:rPr>
        <w:t>______________</w:t>
      </w:r>
      <w:r>
        <w:rPr>
          <w:rFonts w:asciiTheme="majorHAnsi" w:hAnsiTheme="majorHAnsi" w:cstheme="majorHAnsi"/>
        </w:rPr>
        <w:t xml:space="preserve"> : </w:t>
      </w:r>
      <w:r w:rsidR="004A3CDA">
        <w:rPr>
          <w:rFonts w:asciiTheme="majorHAnsi" w:hAnsiTheme="majorHAnsi" w:cstheme="majorHAnsi"/>
        </w:rPr>
        <w:t>_________________________________________________________</w:t>
      </w:r>
      <w:r>
        <w:rPr>
          <w:rFonts w:asciiTheme="majorHAnsi" w:hAnsiTheme="majorHAnsi" w:cstheme="majorHAnsi"/>
        </w:rPr>
        <w:t>;</w:t>
      </w:r>
    </w:p>
    <w:p w14:paraId="3B085144" w14:textId="3E51FA0E" w:rsidR="003F2C34" w:rsidRDefault="003F2C34" w:rsidP="003F2C34">
      <w:pPr>
        <w:pStyle w:val="Paragraphedeliste"/>
        <w:numPr>
          <w:ilvl w:val="0"/>
          <w:numId w:val="24"/>
        </w:numPr>
        <w:spacing w:after="0"/>
        <w:jc w:val="both"/>
        <w:rPr>
          <w:rFonts w:asciiTheme="majorHAnsi" w:hAnsiTheme="majorHAnsi" w:cstheme="majorHAnsi"/>
        </w:rPr>
      </w:pPr>
      <w:r>
        <w:rPr>
          <w:rFonts w:asciiTheme="majorHAnsi" w:hAnsiTheme="majorHAnsi" w:cstheme="majorHAnsi"/>
        </w:rPr>
        <w:t xml:space="preserve">Action de </w:t>
      </w:r>
      <w:r w:rsidR="004A3CDA">
        <w:rPr>
          <w:rFonts w:asciiTheme="majorHAnsi" w:hAnsiTheme="majorHAnsi" w:cstheme="majorHAnsi"/>
        </w:rPr>
        <w:t>_________</w:t>
      </w:r>
      <w:r>
        <w:rPr>
          <w:rFonts w:asciiTheme="majorHAnsi" w:hAnsiTheme="majorHAnsi" w:cstheme="majorHAnsi"/>
        </w:rPr>
        <w:t xml:space="preserve"> : </w:t>
      </w:r>
      <w:r w:rsidR="004A3CDA">
        <w:rPr>
          <w:rFonts w:asciiTheme="majorHAnsi" w:hAnsiTheme="majorHAnsi" w:cstheme="majorHAnsi"/>
        </w:rPr>
        <w:t>________________________________________________________</w:t>
      </w:r>
      <w:r>
        <w:rPr>
          <w:rFonts w:asciiTheme="majorHAnsi" w:hAnsiTheme="majorHAnsi" w:cstheme="majorHAnsi"/>
        </w:rPr>
        <w:t> ;</w:t>
      </w:r>
    </w:p>
    <w:p w14:paraId="6C32C1ED" w14:textId="0A7779D5" w:rsidR="003F2C34" w:rsidRDefault="00F10F80" w:rsidP="003F2C34">
      <w:pPr>
        <w:pStyle w:val="Paragraphedeliste"/>
        <w:numPr>
          <w:ilvl w:val="0"/>
          <w:numId w:val="24"/>
        </w:numPr>
        <w:spacing w:after="0"/>
        <w:jc w:val="both"/>
        <w:rPr>
          <w:rFonts w:asciiTheme="majorHAnsi" w:hAnsiTheme="majorHAnsi" w:cstheme="majorHAnsi"/>
        </w:rPr>
      </w:pPr>
      <w:r>
        <w:rPr>
          <w:rFonts w:asciiTheme="majorHAnsi" w:hAnsiTheme="majorHAnsi" w:cstheme="majorHAnsi"/>
        </w:rPr>
        <w:t xml:space="preserve">Achat d’un </w:t>
      </w:r>
      <w:r w:rsidR="004A3CDA">
        <w:rPr>
          <w:rFonts w:asciiTheme="majorHAnsi" w:hAnsiTheme="majorHAnsi" w:cstheme="majorHAnsi"/>
        </w:rPr>
        <w:t>______________</w:t>
      </w:r>
      <w:r>
        <w:rPr>
          <w:rFonts w:asciiTheme="majorHAnsi" w:hAnsiTheme="majorHAnsi" w:cstheme="majorHAnsi"/>
        </w:rPr>
        <w:t xml:space="preserve"> : opération de </w:t>
      </w:r>
      <w:r w:rsidR="004A3CDA">
        <w:rPr>
          <w:rFonts w:asciiTheme="majorHAnsi" w:hAnsiTheme="majorHAnsi" w:cstheme="majorHAnsi"/>
        </w:rPr>
        <w:t>________________________________________</w:t>
      </w:r>
      <w:r>
        <w:rPr>
          <w:rFonts w:asciiTheme="majorHAnsi" w:hAnsiTheme="majorHAnsi" w:cstheme="majorHAnsi"/>
        </w:rPr>
        <w:t> ;</w:t>
      </w:r>
    </w:p>
    <w:p w14:paraId="24899A13" w14:textId="77777777" w:rsidR="004A3CDA" w:rsidRDefault="004A3CDA" w:rsidP="004A3CDA">
      <w:pPr>
        <w:pStyle w:val="Paragraphedeliste"/>
        <w:spacing w:after="0"/>
        <w:jc w:val="both"/>
        <w:rPr>
          <w:rFonts w:asciiTheme="majorHAnsi" w:hAnsiTheme="majorHAnsi" w:cstheme="majorHAnsi"/>
        </w:rPr>
      </w:pPr>
    </w:p>
    <w:p w14:paraId="1F6F6778" w14:textId="347844E9" w:rsidR="00F10F80" w:rsidRDefault="00F10F80" w:rsidP="003F2C34">
      <w:pPr>
        <w:pStyle w:val="Paragraphedeliste"/>
        <w:numPr>
          <w:ilvl w:val="0"/>
          <w:numId w:val="24"/>
        </w:numPr>
        <w:spacing w:after="0"/>
        <w:jc w:val="both"/>
        <w:rPr>
          <w:rFonts w:asciiTheme="majorHAnsi" w:hAnsiTheme="majorHAnsi" w:cstheme="majorHAnsi"/>
        </w:rPr>
      </w:pPr>
      <w:r>
        <w:rPr>
          <w:rFonts w:asciiTheme="majorHAnsi" w:hAnsiTheme="majorHAnsi" w:cstheme="majorHAnsi"/>
        </w:rPr>
        <w:t xml:space="preserve">Lancement d’une </w:t>
      </w:r>
      <w:r w:rsidR="004A3CDA">
        <w:rPr>
          <w:rFonts w:asciiTheme="majorHAnsi" w:hAnsiTheme="majorHAnsi" w:cstheme="majorHAnsi"/>
        </w:rPr>
        <w:t>_______________</w:t>
      </w:r>
      <w:r>
        <w:rPr>
          <w:rFonts w:asciiTheme="majorHAnsi" w:hAnsiTheme="majorHAnsi" w:cstheme="majorHAnsi"/>
        </w:rPr>
        <w:t xml:space="preserve"> : </w:t>
      </w:r>
      <w:r w:rsidR="004A3CDA">
        <w:rPr>
          <w:rFonts w:asciiTheme="majorHAnsi" w:hAnsiTheme="majorHAnsi" w:cstheme="majorHAnsi"/>
        </w:rPr>
        <w:t>_____________________________________________ ______________________________________________</w:t>
      </w:r>
      <w:r>
        <w:rPr>
          <w:rFonts w:asciiTheme="majorHAnsi" w:hAnsiTheme="majorHAnsi" w:cstheme="majorHAnsi"/>
        </w:rPr>
        <w:t>.</w:t>
      </w:r>
    </w:p>
    <w:p w14:paraId="3538A8D4" w14:textId="59B19266" w:rsidR="00F10F80" w:rsidRDefault="00F10F80" w:rsidP="00F10F80">
      <w:pPr>
        <w:pStyle w:val="Paragraphedeliste"/>
        <w:spacing w:after="0"/>
        <w:jc w:val="both"/>
        <w:rPr>
          <w:rFonts w:asciiTheme="majorHAnsi" w:hAnsiTheme="majorHAnsi" w:cstheme="majorHAnsi"/>
        </w:rPr>
      </w:pPr>
    </w:p>
    <w:p w14:paraId="0C4A348A" w14:textId="796D3E81" w:rsidR="00F10F80" w:rsidRPr="003F2C34" w:rsidRDefault="00F10F80" w:rsidP="00F10F80">
      <w:pPr>
        <w:pStyle w:val="Paragraphedeliste"/>
        <w:spacing w:after="0"/>
        <w:jc w:val="both"/>
        <w:rPr>
          <w:rFonts w:asciiTheme="majorHAnsi" w:hAnsiTheme="majorHAnsi" w:cstheme="majorHAnsi"/>
        </w:rPr>
      </w:pPr>
      <w:r>
        <w:rPr>
          <w:rFonts w:asciiTheme="majorHAnsi" w:hAnsiTheme="majorHAnsi" w:cstheme="majorHAnsi"/>
        </w:rPr>
        <w:t>Le franchissement de certains seuils de détention d’actions de la cible peut donner lieu à publicité et déclencher une offre publique obligatoire.</w:t>
      </w:r>
    </w:p>
    <w:p w14:paraId="29A0A0A3" w14:textId="123F6243" w:rsidR="00D81863" w:rsidRDefault="00D81863" w:rsidP="004A1FEC">
      <w:pPr>
        <w:spacing w:after="0"/>
        <w:jc w:val="both"/>
        <w:rPr>
          <w:rFonts w:asciiTheme="majorHAnsi" w:hAnsiTheme="majorHAnsi" w:cstheme="majorHAnsi"/>
        </w:rPr>
      </w:pPr>
    </w:p>
    <w:p w14:paraId="24A95E09" w14:textId="654AF792" w:rsidR="00D81863" w:rsidRDefault="00D81863" w:rsidP="004A1FEC">
      <w:pPr>
        <w:spacing w:after="0"/>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t>1.2.1.2. L’échange d’actions</w:t>
      </w:r>
    </w:p>
    <w:p w14:paraId="080891E8" w14:textId="4BD21A0B" w:rsidR="00D81863" w:rsidRDefault="00D81863" w:rsidP="004A1FEC">
      <w:pPr>
        <w:spacing w:after="0"/>
        <w:jc w:val="both"/>
        <w:rPr>
          <w:rFonts w:asciiTheme="majorHAnsi" w:hAnsiTheme="majorHAnsi" w:cstheme="majorHAnsi"/>
        </w:rPr>
      </w:pPr>
    </w:p>
    <w:p w14:paraId="563DEAA4" w14:textId="5275B470" w:rsidR="00D81863" w:rsidRDefault="00D81863" w:rsidP="004A1FEC">
      <w:pPr>
        <w:spacing w:after="0"/>
        <w:jc w:val="both"/>
        <w:rPr>
          <w:rFonts w:asciiTheme="majorHAnsi" w:hAnsiTheme="majorHAnsi" w:cstheme="majorHAnsi"/>
        </w:rPr>
      </w:pPr>
      <w:r>
        <w:rPr>
          <w:rFonts w:asciiTheme="majorHAnsi" w:hAnsiTheme="majorHAnsi" w:cstheme="majorHAnsi"/>
        </w:rPr>
        <w:tab/>
        <w:t>Dans le cadre d’un échange d’actions l’entreprise initiatrice propose aux actionnaires de la cible de recevoir ses actions en échange des leurs.</w:t>
      </w:r>
      <w:r w:rsidR="00F10F80">
        <w:rPr>
          <w:rFonts w:asciiTheme="majorHAnsi" w:hAnsiTheme="majorHAnsi" w:cstheme="majorHAnsi"/>
        </w:rPr>
        <w:t xml:space="preserve"> Ce qui distingue cette opération d’une fusion vient du fait qu’à l’issue de cette opération il n’y a pas de </w:t>
      </w:r>
      <w:r w:rsidR="006742E4">
        <w:rPr>
          <w:rFonts w:asciiTheme="majorHAnsi" w:hAnsiTheme="majorHAnsi" w:cstheme="majorHAnsi"/>
        </w:rPr>
        <w:t>______________________________</w:t>
      </w:r>
      <w:r w:rsidR="00F10F80">
        <w:rPr>
          <w:rFonts w:asciiTheme="majorHAnsi" w:hAnsiTheme="majorHAnsi" w:cstheme="majorHAnsi"/>
        </w:rPr>
        <w:t xml:space="preserve">, ni </w:t>
      </w:r>
      <w:r w:rsidR="006742E4">
        <w:rPr>
          <w:rFonts w:asciiTheme="majorHAnsi" w:hAnsiTheme="majorHAnsi" w:cstheme="majorHAnsi"/>
        </w:rPr>
        <w:t>____________________________________</w:t>
      </w:r>
      <w:proofErr w:type="gramStart"/>
      <w:r w:rsidR="006742E4">
        <w:rPr>
          <w:rFonts w:asciiTheme="majorHAnsi" w:hAnsiTheme="majorHAnsi" w:cstheme="majorHAnsi"/>
        </w:rPr>
        <w:t>_</w:t>
      </w:r>
      <w:r w:rsidR="00F10F80">
        <w:rPr>
          <w:rFonts w:asciiTheme="majorHAnsi" w:hAnsiTheme="majorHAnsi" w:cstheme="majorHAnsi"/>
        </w:rPr>
        <w:t>(</w:t>
      </w:r>
      <w:proofErr w:type="gramEnd"/>
      <w:r w:rsidR="00F10F80">
        <w:rPr>
          <w:rFonts w:asciiTheme="majorHAnsi" w:hAnsiTheme="majorHAnsi" w:cstheme="majorHAnsi"/>
        </w:rPr>
        <w:t>dans le cas de la fusion absorption).</w:t>
      </w:r>
    </w:p>
    <w:p w14:paraId="5A755BA5" w14:textId="43C17BB1" w:rsidR="00D81863" w:rsidRDefault="00D81863" w:rsidP="004A1FEC">
      <w:pPr>
        <w:spacing w:after="0"/>
        <w:jc w:val="both"/>
        <w:rPr>
          <w:rFonts w:asciiTheme="majorHAnsi" w:hAnsiTheme="majorHAnsi" w:cstheme="majorHAnsi"/>
        </w:rPr>
      </w:pPr>
      <w:r>
        <w:rPr>
          <w:rFonts w:asciiTheme="majorHAnsi" w:hAnsiTheme="majorHAnsi" w:cstheme="majorHAnsi"/>
        </w:rPr>
        <w:tab/>
        <w:t xml:space="preserve">Pour se faire, l’entreprise initiatrice procède à une augmentation de capital ; les actions nouvellement créées sont proposées aux actionnaires de la cible. </w:t>
      </w:r>
    </w:p>
    <w:p w14:paraId="70B31DC0" w14:textId="569DB4ED" w:rsidR="00D81863" w:rsidRDefault="00D81863" w:rsidP="004A1FEC">
      <w:pPr>
        <w:spacing w:after="0"/>
        <w:jc w:val="both"/>
        <w:rPr>
          <w:rFonts w:asciiTheme="majorHAnsi" w:hAnsiTheme="majorHAnsi" w:cstheme="majorHAnsi"/>
        </w:rPr>
      </w:pPr>
      <w:r>
        <w:rPr>
          <w:rFonts w:asciiTheme="majorHAnsi" w:hAnsiTheme="majorHAnsi" w:cstheme="majorHAnsi"/>
        </w:rPr>
        <w:tab/>
        <w:t xml:space="preserve">Par là même, les actionnaires de la cible deviennent actionnaires de l’initiatrice et la cible devient une filiale de l’initiatrice. </w:t>
      </w:r>
    </w:p>
    <w:p w14:paraId="7B32BEDD" w14:textId="64D10B29" w:rsidR="00D81863" w:rsidRDefault="00D81863" w:rsidP="004A1FEC">
      <w:pPr>
        <w:spacing w:after="0"/>
        <w:jc w:val="both"/>
        <w:rPr>
          <w:rFonts w:asciiTheme="majorHAnsi" w:hAnsiTheme="majorHAnsi" w:cstheme="majorHAnsi"/>
        </w:rPr>
      </w:pPr>
    </w:p>
    <w:p w14:paraId="42A60CDF" w14:textId="382F1A7B" w:rsidR="00D81863" w:rsidRDefault="00D81863" w:rsidP="004A1FEC">
      <w:pPr>
        <w:spacing w:after="0"/>
        <w:jc w:val="both"/>
        <w:rPr>
          <w:rFonts w:asciiTheme="majorHAnsi" w:hAnsiTheme="majorHAnsi" w:cstheme="majorHAnsi"/>
        </w:rPr>
      </w:pPr>
      <w:r>
        <w:rPr>
          <w:rFonts w:asciiTheme="majorHAnsi" w:hAnsiTheme="majorHAnsi" w:cstheme="majorHAnsi"/>
        </w:rPr>
        <w:tab/>
        <w:t>Afin de réaliser l’opération</w:t>
      </w:r>
      <w:r w:rsidR="00AA48FA">
        <w:rPr>
          <w:rFonts w:asciiTheme="majorHAnsi" w:hAnsiTheme="majorHAnsi" w:cstheme="majorHAnsi"/>
        </w:rPr>
        <w:t>, une parité d’échange doit être déterminée. Elle va permettre de déterminer le nombre d’actions que l’initiatrice va devoir émettre en échange du nombre d’actions qu’elle va recevoir des actionnaires de la cible.</w:t>
      </w:r>
    </w:p>
    <w:p w14:paraId="0217BFB2" w14:textId="6421CF6D" w:rsidR="00AA48FA" w:rsidRDefault="00AA48FA" w:rsidP="004A1FEC">
      <w:pPr>
        <w:spacing w:after="0"/>
        <w:jc w:val="both"/>
        <w:rPr>
          <w:rFonts w:asciiTheme="majorHAnsi" w:hAnsiTheme="majorHAnsi" w:cstheme="majorHAnsi"/>
        </w:rPr>
      </w:pPr>
    </w:p>
    <w:p w14:paraId="001F788C" w14:textId="43564710" w:rsidR="00AA48FA" w:rsidRDefault="00AA48FA" w:rsidP="004A1FEC">
      <w:pPr>
        <w:spacing w:after="0"/>
        <w:jc w:val="both"/>
        <w:rPr>
          <w:rFonts w:asciiTheme="majorHAnsi" w:hAnsiTheme="majorHAnsi" w:cstheme="majorHAnsi"/>
        </w:rPr>
      </w:pPr>
      <w:r>
        <w:rPr>
          <w:rFonts w:asciiTheme="majorHAnsi" w:hAnsiTheme="majorHAnsi" w:cstheme="majorHAnsi"/>
        </w:rPr>
        <w:t>Si l’initiatrice est la société I et la cible, la société C, alors :</w:t>
      </w:r>
    </w:p>
    <w:p w14:paraId="5CF2D123" w14:textId="6A4E25D8" w:rsidR="00AA48FA" w:rsidRDefault="00AA48FA" w:rsidP="004A1FEC">
      <w:pPr>
        <w:spacing w:after="0"/>
        <w:jc w:val="both"/>
        <w:rPr>
          <w:rFonts w:asciiTheme="majorHAnsi" w:hAnsiTheme="majorHAnsi" w:cstheme="majorHAnsi"/>
        </w:rPr>
      </w:pPr>
    </w:p>
    <w:p w14:paraId="530ED284" w14:textId="29E3D1E0" w:rsidR="00AA48FA" w:rsidRPr="004A1FEC" w:rsidRDefault="00AA48FA" w:rsidP="00AA48FA">
      <w:pPr>
        <w:pBdr>
          <w:top w:val="single" w:sz="4" w:space="1" w:color="auto"/>
          <w:left w:val="single" w:sz="4" w:space="4" w:color="auto"/>
          <w:bottom w:val="single" w:sz="4" w:space="1" w:color="auto"/>
          <w:right w:val="single" w:sz="4" w:space="4" w:color="auto"/>
        </w:pBdr>
        <w:spacing w:after="0"/>
        <w:jc w:val="center"/>
        <w:rPr>
          <w:rFonts w:asciiTheme="majorHAnsi" w:hAnsiTheme="majorHAnsi" w:cstheme="majorHAnsi"/>
        </w:rPr>
      </w:pPr>
      <w:r>
        <w:rPr>
          <w:rFonts w:asciiTheme="majorHAnsi" w:hAnsiTheme="majorHAnsi" w:cstheme="majorHAnsi"/>
        </w:rPr>
        <w:t>Parité d’échange = cours de l’action C majoré de la prime de contrôle / cours de l’action A</w:t>
      </w:r>
    </w:p>
    <w:p w14:paraId="67A6CE9F" w14:textId="77777777" w:rsidR="00AA48FA" w:rsidRDefault="00AA48FA" w:rsidP="00BC0F8A">
      <w:pPr>
        <w:spacing w:after="0"/>
        <w:jc w:val="both"/>
        <w:rPr>
          <w:rFonts w:asciiTheme="majorHAnsi" w:hAnsiTheme="majorHAnsi" w:cstheme="majorHAnsi"/>
        </w:rPr>
      </w:pPr>
    </w:p>
    <w:p w14:paraId="50BAF4C2" w14:textId="1D149E86" w:rsidR="00AA48FA" w:rsidRDefault="00AA48FA" w:rsidP="00AA48FA">
      <w:pPr>
        <w:spacing w:after="0"/>
        <w:jc w:val="both"/>
        <w:rPr>
          <w:rFonts w:asciiTheme="majorHAnsi" w:hAnsiTheme="majorHAnsi" w:cstheme="majorHAnsi"/>
        </w:rPr>
      </w:pPr>
      <w:r>
        <w:rPr>
          <w:rFonts w:asciiTheme="majorHAnsi" w:hAnsiTheme="majorHAnsi" w:cstheme="majorHAnsi"/>
        </w:rPr>
        <w:t>Prime de contrôle = % de prime de contrôle x VCP</w:t>
      </w:r>
      <w:r w:rsidR="002C37AD">
        <w:rPr>
          <w:rFonts w:asciiTheme="majorHAnsi" w:hAnsiTheme="majorHAnsi" w:cstheme="majorHAnsi"/>
        </w:rPr>
        <w:t xml:space="preserve"> de</w:t>
      </w:r>
      <w:r>
        <w:rPr>
          <w:rFonts w:asciiTheme="majorHAnsi" w:hAnsiTheme="majorHAnsi" w:cstheme="majorHAnsi"/>
        </w:rPr>
        <w:t xml:space="preserve"> C</w:t>
      </w:r>
      <w:r>
        <w:rPr>
          <w:rFonts w:asciiTheme="majorHAnsi" w:hAnsiTheme="majorHAnsi" w:cstheme="majorHAnsi"/>
        </w:rPr>
        <w:tab/>
      </w:r>
      <w:r>
        <w:rPr>
          <w:rFonts w:asciiTheme="majorHAnsi" w:hAnsiTheme="majorHAnsi" w:cstheme="majorHAnsi"/>
        </w:rPr>
        <w:tab/>
        <w:t>VCP : valeur des capitaux propres</w:t>
      </w:r>
    </w:p>
    <w:p w14:paraId="25F87CAD" w14:textId="2F4CA599" w:rsidR="00AA48FA" w:rsidRDefault="00AA48FA" w:rsidP="00BC0F8A">
      <w:pPr>
        <w:spacing w:after="0"/>
        <w:jc w:val="both"/>
        <w:rPr>
          <w:rFonts w:asciiTheme="majorHAnsi" w:hAnsiTheme="majorHAnsi" w:cstheme="majorHAnsi"/>
        </w:rPr>
      </w:pPr>
    </w:p>
    <w:p w14:paraId="2A79B760" w14:textId="0D52B808" w:rsidR="00AA48FA" w:rsidRDefault="002C37AD" w:rsidP="00BC0F8A">
      <w:pPr>
        <w:spacing w:after="0"/>
        <w:jc w:val="both"/>
        <w:rPr>
          <w:rFonts w:asciiTheme="majorHAnsi" w:hAnsiTheme="majorHAnsi" w:cstheme="majorHAnsi"/>
        </w:rPr>
      </w:pPr>
      <w:r>
        <w:rPr>
          <w:rFonts w:asciiTheme="majorHAnsi" w:hAnsiTheme="majorHAnsi" w:cstheme="majorHAnsi"/>
        </w:rPr>
        <w:lastRenderedPageBreak/>
        <w:t xml:space="preserve">La prime de contrôle est égale au prix payé par I moins VCP de C. </w:t>
      </w:r>
    </w:p>
    <w:p w14:paraId="396AB517" w14:textId="4DB2174F" w:rsidR="002C37AD" w:rsidRDefault="002C37AD" w:rsidP="00BC0F8A">
      <w:pPr>
        <w:spacing w:after="0"/>
        <w:jc w:val="both"/>
        <w:rPr>
          <w:rFonts w:asciiTheme="majorHAnsi" w:hAnsiTheme="majorHAnsi" w:cstheme="majorHAnsi"/>
        </w:rPr>
      </w:pPr>
    </w:p>
    <w:p w14:paraId="44351761" w14:textId="5FA40CBA" w:rsidR="002C37AD" w:rsidRDefault="002C37AD" w:rsidP="002C37AD">
      <w:pPr>
        <w:pBdr>
          <w:top w:val="single" w:sz="4" w:space="1" w:color="auto"/>
          <w:left w:val="single" w:sz="4" w:space="4" w:color="auto"/>
          <w:bottom w:val="single" w:sz="4" w:space="1" w:color="auto"/>
          <w:right w:val="single" w:sz="4" w:space="4" w:color="auto"/>
        </w:pBdr>
        <w:spacing w:after="0"/>
        <w:jc w:val="center"/>
        <w:rPr>
          <w:rFonts w:asciiTheme="majorHAnsi" w:hAnsiTheme="majorHAnsi" w:cstheme="majorHAnsi"/>
        </w:rPr>
      </w:pPr>
      <w:r>
        <w:rPr>
          <w:rFonts w:asciiTheme="majorHAnsi" w:hAnsiTheme="majorHAnsi" w:cstheme="majorHAnsi"/>
        </w:rPr>
        <w:t>Nombre d’actions à émettre par I = Nb d’actions C x parité d’échange</w:t>
      </w:r>
    </w:p>
    <w:p w14:paraId="0DE2F23A" w14:textId="567356DD" w:rsidR="00AA48FA" w:rsidRDefault="00AA48FA" w:rsidP="00BC0F8A">
      <w:pPr>
        <w:spacing w:after="0"/>
        <w:jc w:val="both"/>
        <w:rPr>
          <w:rFonts w:asciiTheme="majorHAnsi" w:hAnsiTheme="majorHAnsi" w:cstheme="majorHAnsi"/>
        </w:rPr>
      </w:pPr>
    </w:p>
    <w:p w14:paraId="399D14E6" w14:textId="0536736F" w:rsidR="00AA48FA" w:rsidRDefault="003F2C34" w:rsidP="00BC0F8A">
      <w:pPr>
        <w:spacing w:after="0"/>
        <w:jc w:val="both"/>
        <w:rPr>
          <w:rFonts w:asciiTheme="majorHAnsi" w:hAnsiTheme="majorHAnsi" w:cstheme="majorHAnsi"/>
        </w:rPr>
      </w:pPr>
      <w:r>
        <w:rPr>
          <w:rFonts w:asciiTheme="majorHAnsi" w:hAnsiTheme="majorHAnsi" w:cstheme="majorHAnsi"/>
        </w:rPr>
        <w:tab/>
        <w:t>Cette modalité de prise de contrôle présente des avantages et des inconvénients :</w:t>
      </w:r>
    </w:p>
    <w:p w14:paraId="14F710E4" w14:textId="654FAAB5" w:rsidR="003F2C34" w:rsidRDefault="003F2C34" w:rsidP="00BC0F8A">
      <w:pPr>
        <w:spacing w:after="0"/>
        <w:jc w:val="both"/>
        <w:rPr>
          <w:rFonts w:asciiTheme="majorHAnsi" w:hAnsiTheme="majorHAnsi" w:cstheme="majorHAnsi"/>
        </w:rPr>
      </w:pPr>
    </w:p>
    <w:tbl>
      <w:tblPr>
        <w:tblStyle w:val="Grilledutableau"/>
        <w:tblW w:w="0" w:type="auto"/>
        <w:tblLook w:val="04A0" w:firstRow="1" w:lastRow="0" w:firstColumn="1" w:lastColumn="0" w:noHBand="0" w:noVBand="1"/>
      </w:tblPr>
      <w:tblGrid>
        <w:gridCol w:w="4531"/>
        <w:gridCol w:w="4531"/>
      </w:tblGrid>
      <w:tr w:rsidR="003F2C34" w14:paraId="00C77553" w14:textId="77777777" w:rsidTr="003F2C34">
        <w:tc>
          <w:tcPr>
            <w:tcW w:w="4531" w:type="dxa"/>
            <w:shd w:val="clear" w:color="auto" w:fill="9CC2E5" w:themeFill="accent1" w:themeFillTint="99"/>
          </w:tcPr>
          <w:p w14:paraId="6B91DDB7" w14:textId="05FAF9FB" w:rsidR="003F2C34" w:rsidRPr="003F2C34" w:rsidRDefault="003F2C34" w:rsidP="003F2C34">
            <w:pPr>
              <w:jc w:val="center"/>
              <w:rPr>
                <w:rFonts w:asciiTheme="majorHAnsi" w:hAnsiTheme="majorHAnsi" w:cstheme="majorHAnsi"/>
                <w:b/>
              </w:rPr>
            </w:pPr>
            <w:r w:rsidRPr="003F2C34">
              <w:rPr>
                <w:rFonts w:asciiTheme="majorHAnsi" w:hAnsiTheme="majorHAnsi" w:cstheme="majorHAnsi"/>
                <w:b/>
              </w:rPr>
              <w:t>Avantages</w:t>
            </w:r>
          </w:p>
        </w:tc>
        <w:tc>
          <w:tcPr>
            <w:tcW w:w="4531" w:type="dxa"/>
            <w:shd w:val="clear" w:color="auto" w:fill="9CC2E5" w:themeFill="accent1" w:themeFillTint="99"/>
          </w:tcPr>
          <w:p w14:paraId="55F3B083" w14:textId="6AD5A912" w:rsidR="003F2C34" w:rsidRPr="003F2C34" w:rsidRDefault="003F2C34" w:rsidP="003F2C34">
            <w:pPr>
              <w:jc w:val="center"/>
              <w:rPr>
                <w:rFonts w:asciiTheme="majorHAnsi" w:hAnsiTheme="majorHAnsi" w:cstheme="majorHAnsi"/>
                <w:b/>
              </w:rPr>
            </w:pPr>
            <w:r w:rsidRPr="003F2C34">
              <w:rPr>
                <w:rFonts w:asciiTheme="majorHAnsi" w:hAnsiTheme="majorHAnsi" w:cstheme="majorHAnsi"/>
                <w:b/>
              </w:rPr>
              <w:t>Inconvénients</w:t>
            </w:r>
          </w:p>
        </w:tc>
      </w:tr>
      <w:tr w:rsidR="003F2C34" w14:paraId="0D03AB22" w14:textId="77777777" w:rsidTr="006742E4">
        <w:tc>
          <w:tcPr>
            <w:tcW w:w="4531" w:type="dxa"/>
          </w:tcPr>
          <w:p w14:paraId="5687A886" w14:textId="77777777" w:rsidR="003F2C34" w:rsidRPr="006742E4" w:rsidRDefault="003F2C34" w:rsidP="003F2C34">
            <w:pPr>
              <w:pStyle w:val="Paragraphedeliste"/>
              <w:numPr>
                <w:ilvl w:val="0"/>
                <w:numId w:val="24"/>
              </w:numPr>
              <w:jc w:val="both"/>
              <w:rPr>
                <w:rFonts w:asciiTheme="majorHAnsi" w:hAnsiTheme="majorHAnsi" w:cstheme="majorHAnsi"/>
                <w:color w:val="FFFFFF" w:themeColor="background1"/>
              </w:rPr>
            </w:pPr>
            <w:r w:rsidRPr="006742E4">
              <w:rPr>
                <w:rFonts w:asciiTheme="majorHAnsi" w:hAnsiTheme="majorHAnsi" w:cstheme="majorHAnsi"/>
                <w:color w:val="FFFFFF" w:themeColor="background1"/>
              </w:rPr>
              <w:t>Pas de sortie de liquidité</w:t>
            </w:r>
          </w:p>
          <w:p w14:paraId="266D47C5" w14:textId="77777777" w:rsidR="003F2C34" w:rsidRPr="006742E4" w:rsidRDefault="003F2C34" w:rsidP="003F2C34">
            <w:pPr>
              <w:pStyle w:val="Paragraphedeliste"/>
              <w:numPr>
                <w:ilvl w:val="0"/>
                <w:numId w:val="24"/>
              </w:numPr>
              <w:jc w:val="both"/>
              <w:rPr>
                <w:rFonts w:asciiTheme="majorHAnsi" w:hAnsiTheme="majorHAnsi" w:cstheme="majorHAnsi"/>
                <w:color w:val="FFFFFF" w:themeColor="background1"/>
              </w:rPr>
            </w:pPr>
            <w:r w:rsidRPr="006742E4">
              <w:rPr>
                <w:rFonts w:asciiTheme="majorHAnsi" w:hAnsiTheme="majorHAnsi" w:cstheme="majorHAnsi"/>
                <w:color w:val="FFFFFF" w:themeColor="background1"/>
              </w:rPr>
              <w:t>Bénéfice du régime spécial des fusions</w:t>
            </w:r>
          </w:p>
          <w:p w14:paraId="7EEC9B8F" w14:textId="4166F981" w:rsidR="003F2C34" w:rsidRPr="003F2C34" w:rsidRDefault="003F2C34" w:rsidP="003F2C34">
            <w:pPr>
              <w:pStyle w:val="Paragraphedeliste"/>
              <w:numPr>
                <w:ilvl w:val="0"/>
                <w:numId w:val="24"/>
              </w:numPr>
              <w:jc w:val="both"/>
              <w:rPr>
                <w:rFonts w:asciiTheme="majorHAnsi" w:hAnsiTheme="majorHAnsi" w:cstheme="majorHAnsi"/>
              </w:rPr>
            </w:pPr>
            <w:r w:rsidRPr="006742E4">
              <w:rPr>
                <w:rFonts w:asciiTheme="majorHAnsi" w:hAnsiTheme="majorHAnsi" w:cstheme="majorHAnsi"/>
                <w:color w:val="FFFFFF" w:themeColor="background1"/>
              </w:rPr>
              <w:t>Moins de lourdeur administrative qu’une fusion</w:t>
            </w:r>
          </w:p>
        </w:tc>
        <w:tc>
          <w:tcPr>
            <w:tcW w:w="4531" w:type="dxa"/>
            <w:shd w:val="clear" w:color="auto" w:fill="auto"/>
          </w:tcPr>
          <w:p w14:paraId="7740832B" w14:textId="77777777" w:rsidR="003F2C34" w:rsidRPr="006742E4" w:rsidRDefault="003F2C34" w:rsidP="003F2C34">
            <w:pPr>
              <w:pStyle w:val="Paragraphedeliste"/>
              <w:numPr>
                <w:ilvl w:val="0"/>
                <w:numId w:val="24"/>
              </w:numPr>
              <w:jc w:val="both"/>
              <w:rPr>
                <w:rFonts w:asciiTheme="majorHAnsi" w:hAnsiTheme="majorHAnsi" w:cstheme="majorHAnsi"/>
                <w:color w:val="FFFFFF" w:themeColor="background1"/>
              </w:rPr>
            </w:pPr>
            <w:r w:rsidRPr="006742E4">
              <w:rPr>
                <w:rFonts w:asciiTheme="majorHAnsi" w:hAnsiTheme="majorHAnsi" w:cstheme="majorHAnsi"/>
                <w:color w:val="FFFFFF" w:themeColor="background1"/>
              </w:rPr>
              <w:t>Modification de la répartition du pouvoir</w:t>
            </w:r>
          </w:p>
          <w:p w14:paraId="53C1AA33" w14:textId="77777777" w:rsidR="003F2C34" w:rsidRPr="006742E4" w:rsidRDefault="003F2C34" w:rsidP="003F2C34">
            <w:pPr>
              <w:pStyle w:val="Paragraphedeliste"/>
              <w:numPr>
                <w:ilvl w:val="0"/>
                <w:numId w:val="24"/>
              </w:numPr>
              <w:jc w:val="both"/>
              <w:rPr>
                <w:rFonts w:asciiTheme="majorHAnsi" w:hAnsiTheme="majorHAnsi" w:cstheme="majorHAnsi"/>
                <w:color w:val="FFFFFF" w:themeColor="background1"/>
              </w:rPr>
            </w:pPr>
            <w:r w:rsidRPr="006742E4">
              <w:rPr>
                <w:rFonts w:asciiTheme="majorHAnsi" w:hAnsiTheme="majorHAnsi" w:cstheme="majorHAnsi"/>
                <w:color w:val="FFFFFF" w:themeColor="background1"/>
              </w:rPr>
              <w:t>Effet de dilution : baisse des ratios de performance si la cible est moins performante que l’initiatrice</w:t>
            </w:r>
          </w:p>
          <w:p w14:paraId="5618B5CF" w14:textId="5AB43531" w:rsidR="003F2C34" w:rsidRPr="003F2C34" w:rsidRDefault="003F2C34" w:rsidP="003F2C34">
            <w:pPr>
              <w:pStyle w:val="Paragraphedeliste"/>
              <w:numPr>
                <w:ilvl w:val="0"/>
                <w:numId w:val="24"/>
              </w:numPr>
              <w:jc w:val="both"/>
              <w:rPr>
                <w:rFonts w:asciiTheme="majorHAnsi" w:hAnsiTheme="majorHAnsi" w:cstheme="majorHAnsi"/>
              </w:rPr>
            </w:pPr>
            <w:r w:rsidRPr="006742E4">
              <w:rPr>
                <w:rFonts w:asciiTheme="majorHAnsi" w:hAnsiTheme="majorHAnsi" w:cstheme="majorHAnsi"/>
                <w:color w:val="FFFFFF" w:themeColor="background1"/>
              </w:rPr>
              <w:t>Prime de risque exigée par les actionnaires de la cible pouvant être élevée</w:t>
            </w:r>
          </w:p>
        </w:tc>
      </w:tr>
    </w:tbl>
    <w:p w14:paraId="3C54BE37" w14:textId="77777777" w:rsidR="003F2C34" w:rsidRDefault="003F2C34" w:rsidP="00BC0F8A">
      <w:pPr>
        <w:spacing w:after="0"/>
        <w:jc w:val="both"/>
        <w:rPr>
          <w:rFonts w:asciiTheme="majorHAnsi" w:hAnsiTheme="majorHAnsi" w:cstheme="majorHAnsi"/>
        </w:rPr>
      </w:pPr>
    </w:p>
    <w:p w14:paraId="12EB6A64" w14:textId="1D63000E" w:rsidR="00BC0F8A" w:rsidRDefault="00BC0F8A" w:rsidP="00BC0F8A">
      <w:pPr>
        <w:spacing w:after="0"/>
        <w:jc w:val="both"/>
        <w:rPr>
          <w:rFonts w:asciiTheme="majorHAnsi" w:hAnsiTheme="majorHAnsi" w:cstheme="majorHAnsi"/>
        </w:rPr>
      </w:pPr>
    </w:p>
    <w:p w14:paraId="01541460" w14:textId="314029CE" w:rsidR="00F10F80" w:rsidRDefault="00F10F80" w:rsidP="00BC0F8A">
      <w:pPr>
        <w:spacing w:after="0"/>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t>1.2.2. Les opérations de fusions</w:t>
      </w:r>
    </w:p>
    <w:p w14:paraId="7EF8AE24" w14:textId="253D8DF2" w:rsidR="00F10F80" w:rsidRDefault="00F10F80" w:rsidP="00BC0F8A">
      <w:pPr>
        <w:spacing w:after="0"/>
        <w:jc w:val="both"/>
        <w:rPr>
          <w:rFonts w:asciiTheme="majorHAnsi" w:hAnsiTheme="majorHAnsi" w:cstheme="majorHAnsi"/>
        </w:rPr>
      </w:pPr>
    </w:p>
    <w:p w14:paraId="457B41EC" w14:textId="0D6CF001" w:rsidR="00F10F80" w:rsidRDefault="00F10F80" w:rsidP="00BC0F8A">
      <w:pPr>
        <w:spacing w:after="0"/>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t>1.2.2.1. Définition</w:t>
      </w:r>
    </w:p>
    <w:p w14:paraId="307EDBAC" w14:textId="0DBE2955" w:rsidR="00F10F80" w:rsidRDefault="00F10F80" w:rsidP="00BC0F8A">
      <w:pPr>
        <w:spacing w:after="0"/>
        <w:jc w:val="both"/>
        <w:rPr>
          <w:rFonts w:asciiTheme="majorHAnsi" w:hAnsiTheme="majorHAnsi" w:cstheme="majorHAnsi"/>
        </w:rPr>
      </w:pPr>
    </w:p>
    <w:p w14:paraId="53445F2B" w14:textId="6D46A733" w:rsidR="00F10F80" w:rsidRDefault="00F10F80" w:rsidP="00BC0F8A">
      <w:pPr>
        <w:spacing w:after="0"/>
        <w:jc w:val="both"/>
        <w:rPr>
          <w:rFonts w:asciiTheme="majorHAnsi" w:hAnsiTheme="majorHAnsi" w:cstheme="majorHAnsi"/>
        </w:rPr>
      </w:pPr>
      <w:r>
        <w:rPr>
          <w:rFonts w:asciiTheme="majorHAnsi" w:hAnsiTheme="majorHAnsi" w:cstheme="majorHAnsi"/>
        </w:rPr>
        <w:tab/>
        <w:t xml:space="preserve">Une fusion est une opération par laquelle deux sociétés se réunissent pour n’en former qu’une : l’ensemble des éléments d’actif et de passif du patrimoine d’une société sont transmis au profit d’une société qui les recueille. Ainsi, au sens strict, une fusion se traduit in fine par une confusion des patrimoines. </w:t>
      </w:r>
    </w:p>
    <w:p w14:paraId="4A894504" w14:textId="0F297D1A" w:rsidR="001A11C5" w:rsidRDefault="001A11C5" w:rsidP="00BC0F8A">
      <w:pPr>
        <w:spacing w:after="0"/>
        <w:jc w:val="both"/>
        <w:rPr>
          <w:rFonts w:asciiTheme="majorHAnsi" w:hAnsiTheme="majorHAnsi" w:cstheme="majorHAnsi"/>
        </w:rPr>
      </w:pPr>
    </w:p>
    <w:p w14:paraId="45B10F55" w14:textId="561548B7" w:rsidR="001A11C5" w:rsidRDefault="001A11C5" w:rsidP="00BC0F8A">
      <w:pPr>
        <w:spacing w:after="0"/>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t>1.2.2.2. Etapes d’une fusion</w:t>
      </w:r>
    </w:p>
    <w:p w14:paraId="592F3265" w14:textId="77777777" w:rsidR="001A11C5" w:rsidRDefault="001A11C5" w:rsidP="00BC0F8A">
      <w:pPr>
        <w:spacing w:after="0"/>
        <w:jc w:val="both"/>
        <w:rPr>
          <w:rFonts w:asciiTheme="majorHAnsi" w:hAnsiTheme="majorHAnsi" w:cstheme="majorHAnsi"/>
        </w:rPr>
      </w:pPr>
      <w:r>
        <w:rPr>
          <w:rFonts w:asciiTheme="majorHAnsi" w:hAnsiTheme="majorHAnsi" w:cstheme="majorHAnsi"/>
        </w:rPr>
        <w:tab/>
      </w:r>
    </w:p>
    <w:p w14:paraId="099371C5" w14:textId="531BED82" w:rsidR="001A11C5" w:rsidRDefault="001A11C5" w:rsidP="001A11C5">
      <w:pPr>
        <w:spacing w:after="0"/>
        <w:ind w:firstLine="708"/>
        <w:jc w:val="both"/>
        <w:rPr>
          <w:rFonts w:asciiTheme="majorHAnsi" w:hAnsiTheme="majorHAnsi" w:cstheme="majorHAnsi"/>
        </w:rPr>
      </w:pPr>
      <w:r>
        <w:rPr>
          <w:rFonts w:asciiTheme="majorHAnsi" w:hAnsiTheme="majorHAnsi" w:cstheme="majorHAnsi"/>
        </w:rPr>
        <w:t>D’une façon simplifiée, une fusion suit trois étapes :</w:t>
      </w:r>
    </w:p>
    <w:p w14:paraId="71737DF3" w14:textId="76B3B86D" w:rsidR="001A11C5" w:rsidRDefault="001A11C5" w:rsidP="001A11C5">
      <w:pPr>
        <w:spacing w:after="0"/>
        <w:ind w:firstLine="708"/>
        <w:jc w:val="both"/>
        <w:rPr>
          <w:rFonts w:asciiTheme="majorHAnsi" w:hAnsiTheme="majorHAnsi" w:cstheme="majorHAnsi"/>
        </w:rPr>
      </w:pPr>
    </w:p>
    <w:p w14:paraId="67B73631" w14:textId="6D3C0F74" w:rsidR="001A11C5" w:rsidRPr="00027159" w:rsidRDefault="001A11C5" w:rsidP="000F0D50">
      <w:pPr>
        <w:spacing w:after="0"/>
        <w:jc w:val="center"/>
        <w:rPr>
          <w:rFonts w:asciiTheme="majorHAnsi" w:hAnsiTheme="majorHAnsi" w:cstheme="majorHAnsi"/>
        </w:rPr>
      </w:pPr>
      <w:r>
        <w:rPr>
          <w:rFonts w:asciiTheme="majorHAnsi" w:hAnsiTheme="majorHAnsi" w:cstheme="majorHAnsi"/>
          <w:noProof/>
          <w:lang w:eastAsia="fr-FR"/>
        </w:rPr>
        <w:drawing>
          <wp:inline distT="0" distB="0" distL="0" distR="0" wp14:anchorId="3429C95B" wp14:editId="350569AD">
            <wp:extent cx="6000750" cy="1371600"/>
            <wp:effectExtent l="19050" t="0" r="19050" b="0"/>
            <wp:docPr id="2"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E53CAC9" w14:textId="77777777" w:rsidR="000F0D50" w:rsidRDefault="000F0D50" w:rsidP="00BC0F8A">
      <w:pPr>
        <w:spacing w:after="0"/>
        <w:jc w:val="both"/>
        <w:rPr>
          <w:rFonts w:asciiTheme="majorHAnsi" w:hAnsiTheme="majorHAnsi" w:cstheme="majorHAnsi"/>
        </w:rPr>
      </w:pPr>
    </w:p>
    <w:p w14:paraId="05646562" w14:textId="1DBA4119" w:rsidR="00F27E07" w:rsidRDefault="000F0D50" w:rsidP="00BC0F8A">
      <w:pPr>
        <w:spacing w:after="0"/>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t>1.2.2.3. Typologies des fusions</w:t>
      </w:r>
    </w:p>
    <w:p w14:paraId="0D601BB3" w14:textId="3B135DAC" w:rsidR="000F0D50" w:rsidRDefault="000F0D50" w:rsidP="00BC0F8A">
      <w:pPr>
        <w:spacing w:after="0"/>
        <w:jc w:val="both"/>
        <w:rPr>
          <w:rFonts w:asciiTheme="majorHAnsi" w:hAnsiTheme="majorHAnsi" w:cstheme="majorHAnsi"/>
        </w:rPr>
      </w:pPr>
    </w:p>
    <w:p w14:paraId="70FD5970" w14:textId="2A976A85" w:rsidR="000F0D50" w:rsidRDefault="000F0D50" w:rsidP="000F0D50">
      <w:pPr>
        <w:pStyle w:val="Paragraphedeliste"/>
        <w:numPr>
          <w:ilvl w:val="0"/>
          <w:numId w:val="20"/>
        </w:numPr>
        <w:spacing w:after="0"/>
        <w:jc w:val="both"/>
        <w:rPr>
          <w:rFonts w:asciiTheme="majorHAnsi" w:hAnsiTheme="majorHAnsi" w:cstheme="majorHAnsi"/>
        </w:rPr>
      </w:pPr>
      <w:r>
        <w:rPr>
          <w:rFonts w:asciiTheme="majorHAnsi" w:hAnsiTheme="majorHAnsi" w:cstheme="majorHAnsi"/>
        </w:rPr>
        <w:t>La fusion absorption : opération au terme de laquelle la société absorbée disparait, son patrimoine est transmis en totalité à l’absorbante.</w:t>
      </w:r>
    </w:p>
    <w:p w14:paraId="05EFB441" w14:textId="0DDE36E7" w:rsidR="000F0D50" w:rsidRDefault="000F0D50" w:rsidP="000F0D50">
      <w:pPr>
        <w:spacing w:after="0"/>
        <w:jc w:val="both"/>
        <w:rPr>
          <w:rFonts w:asciiTheme="majorHAnsi" w:hAnsiTheme="majorHAnsi" w:cstheme="majorHAnsi"/>
        </w:rPr>
      </w:pPr>
    </w:p>
    <w:p w14:paraId="20ECF371" w14:textId="7F2DAC21" w:rsidR="000F0D50" w:rsidRDefault="000F0D50" w:rsidP="000F0D50">
      <w:pPr>
        <w:spacing w:after="0"/>
        <w:ind w:left="360"/>
        <w:jc w:val="both"/>
        <w:rPr>
          <w:rFonts w:asciiTheme="majorHAnsi" w:hAnsiTheme="majorHAnsi" w:cstheme="majorHAnsi"/>
        </w:rPr>
      </w:pPr>
      <w:r>
        <w:rPr>
          <w:rFonts w:asciiTheme="majorHAnsi" w:hAnsiTheme="majorHAnsi" w:cstheme="majorHAnsi"/>
        </w:rPr>
        <w:t>Pour réaliser ce type de fusion, l’absorbante doit augment</w:t>
      </w:r>
      <w:r w:rsidR="00F345E6">
        <w:rPr>
          <w:rFonts w:asciiTheme="majorHAnsi" w:hAnsiTheme="majorHAnsi" w:cstheme="majorHAnsi"/>
        </w:rPr>
        <w:t>er son capital afin d’échanger s</w:t>
      </w:r>
      <w:r>
        <w:rPr>
          <w:rFonts w:asciiTheme="majorHAnsi" w:hAnsiTheme="majorHAnsi" w:cstheme="majorHAnsi"/>
        </w:rPr>
        <w:t>es titres avec l’absorbée. Puis le patrimoine de l’absorbée fait l’objet d’une TUP dans l’absorbante. Pour finir, l’absorbée, vidée de son patrimoine est dissoute.</w:t>
      </w:r>
    </w:p>
    <w:p w14:paraId="33764A5B" w14:textId="5C0F54DB" w:rsidR="000F0D50" w:rsidRDefault="000F0D50" w:rsidP="000F0D50">
      <w:pPr>
        <w:spacing w:after="0"/>
        <w:ind w:left="360"/>
        <w:jc w:val="both"/>
        <w:rPr>
          <w:rFonts w:asciiTheme="majorHAnsi" w:hAnsiTheme="majorHAnsi" w:cstheme="majorHAnsi"/>
        </w:rPr>
      </w:pPr>
    </w:p>
    <w:p w14:paraId="5337408E" w14:textId="76454A42" w:rsidR="000F0D50" w:rsidRDefault="000F0D50" w:rsidP="00592F61">
      <w:pPr>
        <w:spacing w:after="0"/>
        <w:jc w:val="both"/>
        <w:rPr>
          <w:rFonts w:asciiTheme="majorHAnsi" w:hAnsiTheme="majorHAnsi" w:cstheme="majorHAnsi"/>
        </w:rPr>
      </w:pPr>
      <w:r w:rsidRPr="00592F61">
        <w:rPr>
          <w:rFonts w:asciiTheme="majorHAnsi" w:hAnsiTheme="majorHAnsi" w:cstheme="majorHAnsi"/>
        </w:rPr>
        <w:lastRenderedPageBreak/>
        <w:t xml:space="preserve">La fusion par apport : opération au terme de laquelle </w:t>
      </w:r>
      <w:r w:rsidR="00592F61" w:rsidRPr="00592F61">
        <w:rPr>
          <w:rFonts w:asciiTheme="majorHAnsi" w:hAnsiTheme="majorHAnsi" w:cstheme="majorHAnsi"/>
        </w:rPr>
        <w:t>les sociétés concernées</w:t>
      </w:r>
      <w:r w:rsidRPr="00592F61">
        <w:rPr>
          <w:rFonts w:asciiTheme="majorHAnsi" w:hAnsiTheme="majorHAnsi" w:cstheme="majorHAnsi"/>
        </w:rPr>
        <w:t xml:space="preserve"> disparaissent </w:t>
      </w:r>
      <w:r w:rsidR="00592F61" w:rsidRPr="00592F61">
        <w:rPr>
          <w:rFonts w:asciiTheme="majorHAnsi" w:hAnsiTheme="majorHAnsi" w:cstheme="majorHAnsi"/>
        </w:rPr>
        <w:t>au profit d’une nouvelle entité créée à cet effet.</w:t>
      </w:r>
    </w:p>
    <w:p w14:paraId="5B3EC4AE" w14:textId="120C270C" w:rsidR="00592F61" w:rsidRDefault="00592F61" w:rsidP="00592F61">
      <w:pPr>
        <w:spacing w:after="0"/>
        <w:jc w:val="both"/>
        <w:rPr>
          <w:rFonts w:asciiTheme="majorHAnsi" w:hAnsiTheme="majorHAnsi" w:cstheme="majorHAnsi"/>
        </w:rPr>
      </w:pPr>
    </w:p>
    <w:p w14:paraId="7742B70C" w14:textId="2D95589B" w:rsidR="00592F61" w:rsidRDefault="00592F61" w:rsidP="00592F61">
      <w:pPr>
        <w:spacing w:after="0"/>
        <w:jc w:val="both"/>
        <w:rPr>
          <w:rFonts w:asciiTheme="majorHAnsi" w:hAnsiTheme="majorHAnsi" w:cstheme="majorHAnsi"/>
        </w:rPr>
      </w:pPr>
      <w:r>
        <w:rPr>
          <w:rFonts w:asciiTheme="majorHAnsi" w:hAnsiTheme="majorHAnsi" w:cstheme="majorHAnsi"/>
        </w:rPr>
        <w:t>Pour se faire, une nouvelle entité doit être créée. Réalisation d’une augmentation de capital grâce à laquelle les sociétés participantes vont pouvoir réaliser un échange d’actions. Puis les anciennes structures seront dissoutes.</w:t>
      </w:r>
    </w:p>
    <w:p w14:paraId="5574FCB6" w14:textId="040FBA1F" w:rsidR="00592F61" w:rsidRDefault="00592F61" w:rsidP="00592F61">
      <w:pPr>
        <w:spacing w:after="0"/>
        <w:jc w:val="both"/>
        <w:rPr>
          <w:rFonts w:asciiTheme="majorHAnsi" w:hAnsiTheme="majorHAnsi" w:cstheme="majorHAnsi"/>
        </w:rPr>
      </w:pPr>
    </w:p>
    <w:p w14:paraId="6A63EF3B" w14:textId="16DD9E93" w:rsidR="00592F61" w:rsidRDefault="00592F61" w:rsidP="00592F61">
      <w:pPr>
        <w:spacing w:after="0"/>
        <w:jc w:val="both"/>
        <w:rPr>
          <w:rFonts w:asciiTheme="majorHAnsi" w:hAnsiTheme="majorHAnsi" w:cstheme="majorHAnsi"/>
        </w:rPr>
      </w:pPr>
    </w:p>
    <w:p w14:paraId="4F1935B5" w14:textId="3A8FA695" w:rsidR="00592F61" w:rsidRDefault="00592F61" w:rsidP="00592F61">
      <w:pPr>
        <w:spacing w:after="0"/>
        <w:jc w:val="both"/>
        <w:rPr>
          <w:rFonts w:asciiTheme="majorHAnsi" w:hAnsiTheme="majorHAnsi" w:cstheme="majorHAnsi"/>
        </w:rPr>
      </w:pPr>
      <w:r>
        <w:rPr>
          <w:rFonts w:asciiTheme="majorHAnsi" w:hAnsiTheme="majorHAnsi" w:cstheme="majorHAnsi"/>
        </w:rPr>
        <w:tab/>
        <w:t>Dans les deux cas cela va modifier les pourcentages de contrôle des actionnaires. Cela va impacter les équipes dirigeantes et faire l’objet de négociation dans la répartition des postes clés. Cela peut impacter les salariés (plan social, changement de convention collective…).</w:t>
      </w:r>
    </w:p>
    <w:p w14:paraId="33F67D9E" w14:textId="123DE7EC" w:rsidR="00592F61" w:rsidRDefault="00592F61" w:rsidP="00592F61">
      <w:pPr>
        <w:spacing w:after="0"/>
        <w:jc w:val="both"/>
        <w:rPr>
          <w:rFonts w:asciiTheme="majorHAnsi" w:hAnsiTheme="majorHAnsi" w:cstheme="majorHAnsi"/>
        </w:rPr>
      </w:pPr>
    </w:p>
    <w:p w14:paraId="6BF7142F" w14:textId="2DC843B7" w:rsidR="00592F61" w:rsidRDefault="00592F61" w:rsidP="00592F61">
      <w:pPr>
        <w:spacing w:after="0"/>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t>1.2.2.4. Les impacts financiers</w:t>
      </w:r>
    </w:p>
    <w:p w14:paraId="76DA863D" w14:textId="385CCC4B" w:rsidR="00592F61" w:rsidRDefault="00592F61" w:rsidP="00592F61">
      <w:pPr>
        <w:spacing w:after="0"/>
        <w:jc w:val="both"/>
        <w:rPr>
          <w:rFonts w:asciiTheme="majorHAnsi" w:hAnsiTheme="majorHAnsi" w:cstheme="majorHAnsi"/>
        </w:rPr>
      </w:pPr>
    </w:p>
    <w:p w14:paraId="5B163615" w14:textId="6032108F" w:rsidR="00592F61" w:rsidRDefault="00592F61" w:rsidP="00592F61">
      <w:pPr>
        <w:spacing w:after="0"/>
        <w:jc w:val="both"/>
        <w:rPr>
          <w:rFonts w:asciiTheme="majorHAnsi" w:hAnsiTheme="majorHAnsi" w:cstheme="majorHAnsi"/>
        </w:rPr>
      </w:pPr>
      <w:r>
        <w:rPr>
          <w:rFonts w:asciiTheme="majorHAnsi" w:hAnsiTheme="majorHAnsi" w:cstheme="majorHAnsi"/>
        </w:rPr>
        <w:tab/>
      </w:r>
      <w:r w:rsidR="00475456">
        <w:rPr>
          <w:rFonts w:asciiTheme="majorHAnsi" w:hAnsiTheme="majorHAnsi" w:cstheme="majorHAnsi"/>
        </w:rPr>
        <w:t>Une opération de fusion n’est réalisée que s’il y a un intérêt. Comme vu précédemment celui-ci peut être stratégique, mais, dans le mesure du possible, doit être financier. La détermination de ce gain se fait de la manière suivante :</w:t>
      </w:r>
    </w:p>
    <w:p w14:paraId="7BB233A9" w14:textId="7E74C1F1" w:rsidR="00475456" w:rsidRDefault="00475456" w:rsidP="00592F61">
      <w:pPr>
        <w:spacing w:after="0"/>
        <w:jc w:val="both"/>
        <w:rPr>
          <w:rFonts w:asciiTheme="majorHAnsi" w:hAnsiTheme="majorHAnsi" w:cstheme="majorHAnsi"/>
        </w:rPr>
      </w:pPr>
    </w:p>
    <w:p w14:paraId="60413BF3" w14:textId="6A43CC81" w:rsidR="00475456" w:rsidRPr="00592F61" w:rsidRDefault="00475456" w:rsidP="00475456">
      <w:pPr>
        <w:pBdr>
          <w:top w:val="single" w:sz="4" w:space="1" w:color="auto"/>
          <w:left w:val="single" w:sz="4" w:space="4" w:color="auto"/>
          <w:bottom w:val="single" w:sz="4" w:space="1" w:color="auto"/>
          <w:right w:val="single" w:sz="4" w:space="4" w:color="auto"/>
        </w:pBdr>
        <w:spacing w:after="0"/>
        <w:jc w:val="center"/>
        <w:rPr>
          <w:rFonts w:asciiTheme="majorHAnsi" w:hAnsiTheme="majorHAnsi" w:cstheme="majorHAnsi"/>
        </w:rPr>
      </w:pPr>
      <w:r>
        <w:rPr>
          <w:rFonts w:asciiTheme="majorHAnsi" w:hAnsiTheme="majorHAnsi" w:cstheme="majorHAnsi"/>
        </w:rPr>
        <w:t xml:space="preserve">Gain = [VCP après fusion – </w:t>
      </w:r>
      <w:proofErr w:type="gramStart"/>
      <w:r>
        <w:rPr>
          <w:rFonts w:asciiTheme="majorHAnsi" w:hAnsiTheme="majorHAnsi" w:cstheme="majorHAnsi"/>
        </w:rPr>
        <w:t>( VCP</w:t>
      </w:r>
      <w:proofErr w:type="gramEnd"/>
      <w:r>
        <w:rPr>
          <w:rFonts w:asciiTheme="majorHAnsi" w:hAnsiTheme="majorHAnsi" w:cstheme="majorHAnsi"/>
        </w:rPr>
        <w:t xml:space="preserve"> de I + VCP de C)] – prime de contrôle – coûts associés</w:t>
      </w:r>
    </w:p>
    <w:p w14:paraId="3AD3EC88" w14:textId="46095F88" w:rsidR="00F27E07" w:rsidRDefault="00F27E07" w:rsidP="00BC0F8A">
      <w:pPr>
        <w:spacing w:after="0"/>
        <w:jc w:val="both"/>
        <w:rPr>
          <w:rFonts w:asciiTheme="majorHAnsi" w:hAnsiTheme="majorHAnsi" w:cstheme="majorHAnsi"/>
        </w:rPr>
      </w:pPr>
    </w:p>
    <w:p w14:paraId="70A2C91B" w14:textId="300A15CF" w:rsidR="00475456" w:rsidRDefault="00475456" w:rsidP="00BC0F8A">
      <w:pPr>
        <w:spacing w:after="0"/>
        <w:jc w:val="both"/>
        <w:rPr>
          <w:rFonts w:asciiTheme="majorHAnsi" w:hAnsiTheme="majorHAnsi" w:cstheme="majorHAnsi"/>
        </w:rPr>
      </w:pPr>
    </w:p>
    <w:p w14:paraId="0DF36990" w14:textId="79E223C9" w:rsidR="00475456" w:rsidRDefault="00475456" w:rsidP="00BC0F8A">
      <w:pPr>
        <w:spacing w:after="0"/>
        <w:jc w:val="both"/>
        <w:rPr>
          <w:rFonts w:asciiTheme="majorHAnsi" w:hAnsiTheme="majorHAnsi" w:cstheme="majorHAnsi"/>
        </w:rPr>
      </w:pPr>
      <w:r>
        <w:rPr>
          <w:rFonts w:asciiTheme="majorHAnsi" w:hAnsiTheme="majorHAnsi" w:cstheme="majorHAnsi"/>
        </w:rPr>
        <w:tab/>
        <w:t xml:space="preserve">S’agissant d’une opération d’investissement, la société absorbante peut avoir recours aux méthodes relatives aux choix d’investissements. Les décideurs pourront appréhender les flux nets de trésorerie marginaux actualisés et calculer la VAN de l’investissement afin de trancher la pertinence financière de l’opération. Rappelons encore une fois que dans ce type d’opération les éléments d’ordres stratégiques sont déterminants. </w:t>
      </w:r>
    </w:p>
    <w:p w14:paraId="7383C4D6" w14:textId="21233876" w:rsidR="00967F0D" w:rsidRDefault="00967F0D" w:rsidP="00BC0F8A">
      <w:pPr>
        <w:spacing w:after="0"/>
        <w:jc w:val="both"/>
        <w:rPr>
          <w:rFonts w:asciiTheme="majorHAnsi" w:hAnsiTheme="majorHAnsi" w:cstheme="majorHAnsi"/>
        </w:rPr>
      </w:pPr>
    </w:p>
    <w:p w14:paraId="5F39BDF0" w14:textId="77777777" w:rsidR="00967F0D" w:rsidRPr="00027159" w:rsidRDefault="00967F0D" w:rsidP="00BC0F8A">
      <w:pPr>
        <w:spacing w:after="0"/>
        <w:jc w:val="both"/>
        <w:rPr>
          <w:rFonts w:asciiTheme="majorHAnsi" w:hAnsiTheme="majorHAnsi" w:cstheme="majorHAnsi"/>
        </w:rPr>
      </w:pPr>
    </w:p>
    <w:p w14:paraId="0B32D6B0" w14:textId="48CD15E8" w:rsidR="00027159" w:rsidRDefault="00027159" w:rsidP="00027159">
      <w:pPr>
        <w:spacing w:after="0"/>
        <w:jc w:val="both"/>
        <w:rPr>
          <w:rFonts w:asciiTheme="majorHAnsi" w:hAnsiTheme="majorHAnsi" w:cstheme="majorHAnsi"/>
        </w:rPr>
      </w:pPr>
    </w:p>
    <w:p w14:paraId="7ECE3FCB" w14:textId="497238C5" w:rsidR="00027159" w:rsidRDefault="00027159" w:rsidP="00027159">
      <w:pPr>
        <w:spacing w:after="0"/>
        <w:jc w:val="both"/>
        <w:rPr>
          <w:rFonts w:asciiTheme="majorHAnsi" w:hAnsiTheme="majorHAnsi" w:cstheme="majorHAnsi"/>
        </w:rPr>
      </w:pPr>
    </w:p>
    <w:p w14:paraId="09C360E8" w14:textId="27B7608F" w:rsidR="00027159" w:rsidRDefault="00962D6B" w:rsidP="00027159">
      <w:pPr>
        <w:pStyle w:val="Paragraphedeliste"/>
        <w:numPr>
          <w:ilvl w:val="0"/>
          <w:numId w:val="6"/>
        </w:numPr>
        <w:spacing w:after="0"/>
        <w:jc w:val="both"/>
        <w:rPr>
          <w:rFonts w:asciiTheme="majorHAnsi" w:hAnsiTheme="majorHAnsi" w:cstheme="majorHAnsi"/>
          <w:b/>
          <w:u w:val="single"/>
        </w:rPr>
      </w:pPr>
      <w:r>
        <w:rPr>
          <w:rFonts w:asciiTheme="majorHAnsi" w:hAnsiTheme="majorHAnsi" w:cstheme="majorHAnsi"/>
          <w:b/>
          <w:u w:val="single"/>
        </w:rPr>
        <w:t xml:space="preserve">Les </w:t>
      </w:r>
      <w:r w:rsidR="009501F4">
        <w:rPr>
          <w:rFonts w:asciiTheme="majorHAnsi" w:hAnsiTheme="majorHAnsi" w:cstheme="majorHAnsi"/>
          <w:b/>
          <w:u w:val="single"/>
        </w:rPr>
        <w:t>holdings et les opérations à effet de levier (</w:t>
      </w:r>
      <w:proofErr w:type="spellStart"/>
      <w:r w:rsidR="009501F4">
        <w:rPr>
          <w:rFonts w:asciiTheme="majorHAnsi" w:hAnsiTheme="majorHAnsi" w:cstheme="majorHAnsi"/>
          <w:b/>
          <w:u w:val="single"/>
        </w:rPr>
        <w:t>Leverage-Buy</w:t>
      </w:r>
      <w:proofErr w:type="spellEnd"/>
      <w:r w:rsidR="009501F4">
        <w:rPr>
          <w:rFonts w:asciiTheme="majorHAnsi" w:hAnsiTheme="majorHAnsi" w:cstheme="majorHAnsi"/>
          <w:b/>
          <w:u w:val="single"/>
        </w:rPr>
        <w:t xml:space="preserve"> Out)</w:t>
      </w:r>
    </w:p>
    <w:p w14:paraId="2A08974C" w14:textId="4B39457F" w:rsidR="00962D6B" w:rsidRDefault="00962D6B" w:rsidP="00962D6B">
      <w:pPr>
        <w:spacing w:after="0"/>
        <w:jc w:val="both"/>
        <w:rPr>
          <w:rFonts w:asciiTheme="majorHAnsi" w:hAnsiTheme="majorHAnsi" w:cstheme="majorHAnsi"/>
          <w:b/>
          <w:u w:val="single"/>
        </w:rPr>
      </w:pPr>
    </w:p>
    <w:p w14:paraId="6F2C06C1" w14:textId="266BE98C" w:rsidR="00962D6B" w:rsidRPr="00962D6B" w:rsidRDefault="009501F4" w:rsidP="009501F4">
      <w:pPr>
        <w:spacing w:after="0"/>
        <w:ind w:firstLine="708"/>
        <w:jc w:val="both"/>
        <w:rPr>
          <w:rFonts w:asciiTheme="majorHAnsi" w:hAnsiTheme="majorHAnsi" w:cstheme="majorHAnsi"/>
        </w:rPr>
      </w:pPr>
      <w:r>
        <w:rPr>
          <w:rFonts w:asciiTheme="majorHAnsi" w:hAnsiTheme="majorHAnsi" w:cstheme="majorHAnsi"/>
        </w:rPr>
        <w:t xml:space="preserve">Les sociétés holdings constituent la tête des groupes, elles recouvrent des réalités très diverses selon qu’elles soient actives ou passives. Elles sont au cœur des stratégies de croissance des groupes de sociétés et présentent bien des intérêts dans leur gestion. </w:t>
      </w:r>
    </w:p>
    <w:p w14:paraId="3DF8B84E" w14:textId="06AD25EB" w:rsidR="00027159" w:rsidRDefault="00027159" w:rsidP="00027159">
      <w:pPr>
        <w:spacing w:after="0"/>
        <w:jc w:val="both"/>
        <w:rPr>
          <w:rFonts w:asciiTheme="majorHAnsi" w:hAnsiTheme="majorHAnsi" w:cstheme="majorHAnsi"/>
        </w:rPr>
      </w:pPr>
    </w:p>
    <w:p w14:paraId="3B9456E7" w14:textId="25DEF711" w:rsidR="00962D6B" w:rsidRDefault="00962D6B" w:rsidP="00962D6B">
      <w:pPr>
        <w:pStyle w:val="Paragraphedeliste"/>
        <w:numPr>
          <w:ilvl w:val="1"/>
          <w:numId w:val="6"/>
        </w:numPr>
        <w:spacing w:after="0"/>
        <w:jc w:val="both"/>
        <w:rPr>
          <w:rFonts w:asciiTheme="majorHAnsi" w:hAnsiTheme="majorHAnsi" w:cstheme="majorHAnsi"/>
          <w:b/>
        </w:rPr>
      </w:pPr>
      <w:r w:rsidRPr="00962D6B">
        <w:rPr>
          <w:rFonts w:asciiTheme="majorHAnsi" w:hAnsiTheme="majorHAnsi" w:cstheme="majorHAnsi"/>
          <w:b/>
        </w:rPr>
        <w:t xml:space="preserve">Les </w:t>
      </w:r>
      <w:r w:rsidR="005A5EC7">
        <w:rPr>
          <w:rFonts w:asciiTheme="majorHAnsi" w:hAnsiTheme="majorHAnsi" w:cstheme="majorHAnsi"/>
          <w:b/>
        </w:rPr>
        <w:t>holdings</w:t>
      </w:r>
    </w:p>
    <w:p w14:paraId="75B91F23" w14:textId="77777777" w:rsidR="005A5EC7" w:rsidRDefault="005A5EC7" w:rsidP="005A5EC7">
      <w:pPr>
        <w:pStyle w:val="Paragraphedeliste"/>
        <w:spacing w:after="0"/>
        <w:ind w:left="1080"/>
        <w:jc w:val="both"/>
        <w:rPr>
          <w:rFonts w:asciiTheme="majorHAnsi" w:hAnsiTheme="majorHAnsi" w:cstheme="majorHAnsi"/>
          <w:b/>
        </w:rPr>
      </w:pPr>
    </w:p>
    <w:p w14:paraId="74A0BB6F" w14:textId="460E18EC" w:rsidR="005A5EC7" w:rsidRPr="005A5EC7" w:rsidRDefault="005A5EC7" w:rsidP="005A5EC7">
      <w:pPr>
        <w:pStyle w:val="Paragraphedeliste"/>
        <w:spacing w:after="0"/>
        <w:ind w:left="1080"/>
        <w:jc w:val="both"/>
        <w:rPr>
          <w:rFonts w:asciiTheme="majorHAnsi" w:hAnsiTheme="majorHAnsi" w:cstheme="majorHAnsi"/>
        </w:rPr>
      </w:pPr>
      <w:r>
        <w:rPr>
          <w:rFonts w:asciiTheme="majorHAnsi" w:hAnsiTheme="majorHAnsi" w:cstheme="majorHAnsi"/>
        </w:rPr>
        <w:t>2.1.1. Les caractéristiques</w:t>
      </w:r>
    </w:p>
    <w:p w14:paraId="22BC5358" w14:textId="6A297FCB" w:rsidR="00962D6B" w:rsidRDefault="00962D6B" w:rsidP="00962D6B">
      <w:pPr>
        <w:spacing w:after="0"/>
        <w:jc w:val="both"/>
        <w:rPr>
          <w:rFonts w:asciiTheme="majorHAnsi" w:hAnsiTheme="majorHAnsi" w:cstheme="majorHAnsi"/>
          <w:b/>
        </w:rPr>
      </w:pPr>
    </w:p>
    <w:p w14:paraId="5E6D91D3" w14:textId="15A75322" w:rsidR="00962D6B" w:rsidRDefault="009501F4" w:rsidP="009501F4">
      <w:pPr>
        <w:spacing w:after="0"/>
        <w:ind w:left="708"/>
        <w:jc w:val="both"/>
        <w:rPr>
          <w:rFonts w:asciiTheme="majorHAnsi" w:hAnsiTheme="majorHAnsi" w:cstheme="majorHAnsi"/>
        </w:rPr>
      </w:pPr>
      <w:r>
        <w:rPr>
          <w:rFonts w:asciiTheme="majorHAnsi" w:hAnsiTheme="majorHAnsi" w:cstheme="majorHAnsi"/>
        </w:rPr>
        <w:t>Comme évoqué précédemment, il faut distinguer :</w:t>
      </w:r>
    </w:p>
    <w:p w14:paraId="4F2D0688" w14:textId="7E80FF7F" w:rsidR="009501F4" w:rsidRDefault="009501F4" w:rsidP="009501F4">
      <w:pPr>
        <w:pStyle w:val="Paragraphedeliste"/>
        <w:numPr>
          <w:ilvl w:val="0"/>
          <w:numId w:val="25"/>
        </w:numPr>
        <w:spacing w:after="0"/>
        <w:jc w:val="both"/>
        <w:rPr>
          <w:rFonts w:asciiTheme="majorHAnsi" w:hAnsiTheme="majorHAnsi" w:cstheme="majorHAnsi"/>
        </w:rPr>
      </w:pPr>
      <w:r>
        <w:rPr>
          <w:rFonts w:asciiTheme="majorHAnsi" w:hAnsiTheme="majorHAnsi" w:cstheme="majorHAnsi"/>
        </w:rPr>
        <w:t>Les holdings pure (ou passive) dont l’objet est exclusivement la détention des titres des sociétés du groupe ;</w:t>
      </w:r>
    </w:p>
    <w:p w14:paraId="35D6B0A9" w14:textId="47AAD01E" w:rsidR="009501F4" w:rsidRPr="009501F4" w:rsidRDefault="009501F4" w:rsidP="009501F4">
      <w:pPr>
        <w:pStyle w:val="Paragraphedeliste"/>
        <w:numPr>
          <w:ilvl w:val="0"/>
          <w:numId w:val="25"/>
        </w:numPr>
        <w:spacing w:after="0"/>
        <w:jc w:val="both"/>
        <w:rPr>
          <w:rFonts w:asciiTheme="majorHAnsi" w:hAnsiTheme="majorHAnsi" w:cstheme="majorHAnsi"/>
        </w:rPr>
      </w:pPr>
      <w:r>
        <w:rPr>
          <w:rFonts w:asciiTheme="majorHAnsi" w:hAnsiTheme="majorHAnsi" w:cstheme="majorHAnsi"/>
        </w:rPr>
        <w:t xml:space="preserve">Des holdings animatrices (ou actives) qui rajoutent des fonctions de gestion et de conduite de la politique du groupe. </w:t>
      </w:r>
    </w:p>
    <w:p w14:paraId="4AA6EA65" w14:textId="517DA7ED" w:rsidR="00962D6B" w:rsidRDefault="00962D6B" w:rsidP="00962D6B">
      <w:pPr>
        <w:spacing w:after="0"/>
        <w:ind w:firstLine="708"/>
        <w:jc w:val="both"/>
        <w:rPr>
          <w:rFonts w:asciiTheme="majorHAnsi" w:hAnsiTheme="majorHAnsi" w:cstheme="majorHAnsi"/>
        </w:rPr>
      </w:pPr>
    </w:p>
    <w:p w14:paraId="5CA01633" w14:textId="77777777" w:rsidR="005A5EC7" w:rsidRDefault="005A5EC7" w:rsidP="00962D6B">
      <w:pPr>
        <w:spacing w:after="0"/>
        <w:ind w:firstLine="708"/>
        <w:jc w:val="both"/>
        <w:rPr>
          <w:rFonts w:asciiTheme="majorHAnsi" w:hAnsiTheme="majorHAnsi" w:cstheme="majorHAnsi"/>
        </w:rPr>
      </w:pPr>
    </w:p>
    <w:p w14:paraId="091BFDBD" w14:textId="534B3A7B" w:rsidR="00962D6B" w:rsidRDefault="005A5EC7" w:rsidP="00962D6B">
      <w:pPr>
        <w:spacing w:after="0"/>
        <w:ind w:firstLine="708"/>
        <w:jc w:val="both"/>
        <w:rPr>
          <w:rFonts w:asciiTheme="majorHAnsi" w:hAnsiTheme="majorHAnsi" w:cstheme="majorHAnsi"/>
        </w:rPr>
      </w:pPr>
      <w:r>
        <w:rPr>
          <w:rFonts w:asciiTheme="majorHAnsi" w:hAnsiTheme="majorHAnsi" w:cstheme="majorHAnsi"/>
        </w:rPr>
        <w:lastRenderedPageBreak/>
        <w:t>Il existe globalement deux voies de création pour une holding :</w:t>
      </w:r>
    </w:p>
    <w:p w14:paraId="080F640B" w14:textId="048079F9" w:rsidR="005A5EC7" w:rsidRDefault="005A5EC7" w:rsidP="005A5EC7">
      <w:pPr>
        <w:spacing w:after="0"/>
        <w:jc w:val="both"/>
        <w:rPr>
          <w:rFonts w:asciiTheme="majorHAnsi" w:hAnsiTheme="majorHAnsi" w:cstheme="majorHAnsi"/>
        </w:rPr>
      </w:pPr>
    </w:p>
    <w:p w14:paraId="4FD3F7F5" w14:textId="04D583A5" w:rsidR="005A5EC7" w:rsidRDefault="005A5EC7" w:rsidP="005A5EC7">
      <w:pPr>
        <w:pStyle w:val="Paragraphedeliste"/>
        <w:numPr>
          <w:ilvl w:val="0"/>
          <w:numId w:val="25"/>
        </w:numPr>
        <w:spacing w:after="0"/>
        <w:jc w:val="both"/>
        <w:rPr>
          <w:rFonts w:asciiTheme="majorHAnsi" w:hAnsiTheme="majorHAnsi" w:cstheme="majorHAnsi"/>
        </w:rPr>
      </w:pPr>
      <w:r>
        <w:rPr>
          <w:rFonts w:asciiTheme="majorHAnsi" w:hAnsiTheme="majorHAnsi" w:cstheme="majorHAnsi"/>
        </w:rPr>
        <w:t>« </w:t>
      </w:r>
      <w:proofErr w:type="gramStart"/>
      <w:r>
        <w:rPr>
          <w:rFonts w:asciiTheme="majorHAnsi" w:hAnsiTheme="majorHAnsi" w:cstheme="majorHAnsi"/>
        </w:rPr>
        <w:t>par</w:t>
      </w:r>
      <w:proofErr w:type="gramEnd"/>
      <w:r>
        <w:rPr>
          <w:rFonts w:asciiTheme="majorHAnsi" w:hAnsiTheme="majorHAnsi" w:cstheme="majorHAnsi"/>
        </w:rPr>
        <w:t xml:space="preserve"> le bas » : </w:t>
      </w:r>
      <w:r w:rsidR="00C068C1">
        <w:rPr>
          <w:rFonts w:asciiTheme="majorHAnsi" w:hAnsiTheme="majorHAnsi" w:cstheme="majorHAnsi"/>
        </w:rPr>
        <w:t xml:space="preserve">il s’agit d’apporter à une société une partie ou la totalité des branches d’activités par voie de scission ou d’apport partiel d’actif. L’apporteuse se voit rémunérer par des parts ce qui en fait une holding de fait. Cette opération peut bénéficier du régime de faveur des fusions des sociétés. </w:t>
      </w:r>
    </w:p>
    <w:p w14:paraId="0E27F2F6" w14:textId="3AB7DE99" w:rsidR="00C068C1" w:rsidRDefault="00C068C1" w:rsidP="005A5EC7">
      <w:pPr>
        <w:pStyle w:val="Paragraphedeliste"/>
        <w:numPr>
          <w:ilvl w:val="0"/>
          <w:numId w:val="25"/>
        </w:numPr>
        <w:spacing w:after="0"/>
        <w:jc w:val="both"/>
        <w:rPr>
          <w:rFonts w:asciiTheme="majorHAnsi" w:hAnsiTheme="majorHAnsi" w:cstheme="majorHAnsi"/>
        </w:rPr>
      </w:pPr>
      <w:r>
        <w:rPr>
          <w:rFonts w:asciiTheme="majorHAnsi" w:hAnsiTheme="majorHAnsi" w:cstheme="majorHAnsi"/>
        </w:rPr>
        <w:t>« </w:t>
      </w:r>
      <w:proofErr w:type="gramStart"/>
      <w:r>
        <w:rPr>
          <w:rFonts w:asciiTheme="majorHAnsi" w:hAnsiTheme="majorHAnsi" w:cstheme="majorHAnsi"/>
        </w:rPr>
        <w:t>par</w:t>
      </w:r>
      <w:proofErr w:type="gramEnd"/>
      <w:r>
        <w:rPr>
          <w:rFonts w:asciiTheme="majorHAnsi" w:hAnsiTheme="majorHAnsi" w:cstheme="majorHAnsi"/>
        </w:rPr>
        <w:t xml:space="preserve"> le haut » : c’est le</w:t>
      </w:r>
      <w:r w:rsidR="00C2084D">
        <w:rPr>
          <w:rFonts w:asciiTheme="majorHAnsi" w:hAnsiTheme="majorHAnsi" w:cstheme="majorHAnsi"/>
        </w:rPr>
        <w:t xml:space="preserve"> cas de figure le plus fréquent. Des personnes physiques ou morales apportent leurs titres à une société, préexistante ou créée ad hoc. En contrepartie de ces apports, les associés reçoivent des titres de la holding.</w:t>
      </w:r>
    </w:p>
    <w:p w14:paraId="3AE3542C" w14:textId="77777777" w:rsidR="00C2084D" w:rsidRDefault="00C2084D" w:rsidP="00C2084D">
      <w:pPr>
        <w:pStyle w:val="Paragraphedeliste"/>
        <w:spacing w:after="0"/>
        <w:ind w:left="1068"/>
        <w:jc w:val="both"/>
        <w:rPr>
          <w:rFonts w:asciiTheme="majorHAnsi" w:hAnsiTheme="majorHAnsi" w:cstheme="majorHAnsi"/>
        </w:rPr>
      </w:pPr>
    </w:p>
    <w:p w14:paraId="6544EAB8" w14:textId="58BBC8C4" w:rsidR="00C2084D" w:rsidRDefault="00C2084D" w:rsidP="00C2084D">
      <w:pPr>
        <w:spacing w:after="0"/>
        <w:jc w:val="both"/>
        <w:rPr>
          <w:rFonts w:asciiTheme="majorHAnsi" w:hAnsiTheme="majorHAnsi" w:cstheme="majorHAnsi"/>
        </w:rPr>
      </w:pPr>
    </w:p>
    <w:p w14:paraId="3711FF77" w14:textId="4B6D9EB7" w:rsidR="00C2084D" w:rsidRDefault="00C2084D" w:rsidP="00C2084D">
      <w:pPr>
        <w:spacing w:after="0"/>
        <w:ind w:left="1068"/>
        <w:jc w:val="both"/>
        <w:rPr>
          <w:rFonts w:asciiTheme="majorHAnsi" w:hAnsiTheme="majorHAnsi" w:cstheme="majorHAnsi"/>
        </w:rPr>
      </w:pPr>
      <w:r>
        <w:rPr>
          <w:rFonts w:asciiTheme="majorHAnsi" w:hAnsiTheme="majorHAnsi" w:cstheme="majorHAnsi"/>
        </w:rPr>
        <w:t>2.1.2. Différentes formes selon leur objet</w:t>
      </w:r>
    </w:p>
    <w:p w14:paraId="0FA7C4D9" w14:textId="13E99CE0" w:rsidR="00C2084D" w:rsidRDefault="00C2084D" w:rsidP="00C2084D">
      <w:pPr>
        <w:spacing w:after="0"/>
        <w:jc w:val="both"/>
        <w:rPr>
          <w:rFonts w:asciiTheme="majorHAnsi" w:hAnsiTheme="majorHAnsi" w:cstheme="majorHAnsi"/>
        </w:rPr>
      </w:pPr>
    </w:p>
    <w:tbl>
      <w:tblPr>
        <w:tblStyle w:val="Grilledutableau"/>
        <w:tblW w:w="0" w:type="auto"/>
        <w:tblLook w:val="04A0" w:firstRow="1" w:lastRow="0" w:firstColumn="1" w:lastColumn="0" w:noHBand="0" w:noVBand="1"/>
      </w:tblPr>
      <w:tblGrid>
        <w:gridCol w:w="1860"/>
        <w:gridCol w:w="7202"/>
      </w:tblGrid>
      <w:tr w:rsidR="00C2084D" w:rsidRPr="00027159" w14:paraId="7B2C22F6" w14:textId="77777777" w:rsidTr="00C737C1">
        <w:tc>
          <w:tcPr>
            <w:tcW w:w="1838" w:type="dxa"/>
            <w:shd w:val="clear" w:color="auto" w:fill="9CC2E5" w:themeFill="accent1" w:themeFillTint="99"/>
          </w:tcPr>
          <w:p w14:paraId="2B7DBB28" w14:textId="39F3D49E" w:rsidR="00C2084D" w:rsidRPr="00027159" w:rsidRDefault="00C2084D" w:rsidP="00324506">
            <w:pPr>
              <w:jc w:val="both"/>
              <w:rPr>
                <w:rFonts w:asciiTheme="majorHAnsi" w:hAnsiTheme="majorHAnsi" w:cstheme="majorHAnsi"/>
              </w:rPr>
            </w:pPr>
            <w:r>
              <w:rPr>
                <w:rFonts w:asciiTheme="majorHAnsi" w:hAnsiTheme="majorHAnsi" w:cstheme="majorHAnsi"/>
              </w:rPr>
              <w:t xml:space="preserve">Holding </w:t>
            </w:r>
            <w:r w:rsidR="00324506">
              <w:rPr>
                <w:rFonts w:asciiTheme="majorHAnsi" w:hAnsiTheme="majorHAnsi" w:cstheme="majorHAnsi"/>
              </w:rPr>
              <w:t>___________</w:t>
            </w:r>
          </w:p>
        </w:tc>
        <w:tc>
          <w:tcPr>
            <w:tcW w:w="7224" w:type="dxa"/>
          </w:tcPr>
          <w:p w14:paraId="32FCE94F" w14:textId="2E675124" w:rsidR="0016474F" w:rsidRDefault="0016474F" w:rsidP="00C737C1">
            <w:pPr>
              <w:pStyle w:val="Paragraphedeliste"/>
              <w:numPr>
                <w:ilvl w:val="0"/>
                <w:numId w:val="22"/>
              </w:numPr>
              <w:jc w:val="both"/>
              <w:rPr>
                <w:rFonts w:asciiTheme="majorHAnsi" w:hAnsiTheme="majorHAnsi" w:cstheme="majorHAnsi"/>
              </w:rPr>
            </w:pPr>
            <w:r>
              <w:rPr>
                <w:rFonts w:asciiTheme="majorHAnsi" w:hAnsiTheme="majorHAnsi" w:cstheme="majorHAnsi"/>
              </w:rPr>
              <w:t>Gestion de trésorerie : la holding s’assure que les différentes sociétés de groupe bénéficient de la juste trésorerie pour assurer leur activité. Elle cherchera également à optimiser les excédents de trésorerie ;</w:t>
            </w:r>
          </w:p>
          <w:p w14:paraId="3999A6E5" w14:textId="62ACD23F" w:rsidR="00C2084D" w:rsidRDefault="0016474F" w:rsidP="00C737C1">
            <w:pPr>
              <w:pStyle w:val="Paragraphedeliste"/>
              <w:numPr>
                <w:ilvl w:val="0"/>
                <w:numId w:val="22"/>
              </w:numPr>
              <w:jc w:val="both"/>
              <w:rPr>
                <w:rFonts w:asciiTheme="majorHAnsi" w:hAnsiTheme="majorHAnsi" w:cstheme="majorHAnsi"/>
              </w:rPr>
            </w:pPr>
            <w:r>
              <w:rPr>
                <w:rFonts w:asciiTheme="majorHAnsi" w:hAnsiTheme="majorHAnsi" w:cstheme="majorHAnsi"/>
              </w:rPr>
              <w:t xml:space="preserve"> Gestion des risques financiers ;</w:t>
            </w:r>
          </w:p>
          <w:p w14:paraId="1B0AA417" w14:textId="53F11A8A" w:rsidR="0016474F" w:rsidRPr="003F3218" w:rsidRDefault="0016474F" w:rsidP="00C737C1">
            <w:pPr>
              <w:pStyle w:val="Paragraphedeliste"/>
              <w:numPr>
                <w:ilvl w:val="0"/>
                <w:numId w:val="22"/>
              </w:numPr>
              <w:jc w:val="both"/>
              <w:rPr>
                <w:rFonts w:asciiTheme="majorHAnsi" w:hAnsiTheme="majorHAnsi" w:cstheme="majorHAnsi"/>
              </w:rPr>
            </w:pPr>
            <w:r>
              <w:rPr>
                <w:rFonts w:asciiTheme="majorHAnsi" w:hAnsiTheme="majorHAnsi" w:cstheme="majorHAnsi"/>
              </w:rPr>
              <w:t xml:space="preserve">Accessibilité aux marchés financiers et monétaires : la société mère, tête de groupe est l’entité cotée </w:t>
            </w:r>
            <w:r w:rsidR="00A622D4">
              <w:rPr>
                <w:rFonts w:asciiTheme="majorHAnsi" w:hAnsiTheme="majorHAnsi" w:cstheme="majorHAnsi"/>
              </w:rPr>
              <w:t xml:space="preserve">chargée des levées de fonds sur les marchés financiers. </w:t>
            </w:r>
          </w:p>
          <w:p w14:paraId="56A4610D" w14:textId="77777777" w:rsidR="00C2084D" w:rsidRPr="00027159" w:rsidRDefault="00C2084D" w:rsidP="00C737C1">
            <w:pPr>
              <w:jc w:val="both"/>
              <w:rPr>
                <w:rFonts w:asciiTheme="majorHAnsi" w:hAnsiTheme="majorHAnsi" w:cstheme="majorHAnsi"/>
              </w:rPr>
            </w:pPr>
          </w:p>
        </w:tc>
      </w:tr>
      <w:tr w:rsidR="00C2084D" w:rsidRPr="003F3218" w14:paraId="2EBD78CE" w14:textId="77777777" w:rsidTr="00C737C1">
        <w:tc>
          <w:tcPr>
            <w:tcW w:w="1838" w:type="dxa"/>
            <w:shd w:val="clear" w:color="auto" w:fill="9CC2E5" w:themeFill="accent1" w:themeFillTint="99"/>
          </w:tcPr>
          <w:p w14:paraId="67461F24" w14:textId="09F7C845" w:rsidR="00C2084D" w:rsidRPr="00027159" w:rsidRDefault="00A622D4" w:rsidP="00324506">
            <w:pPr>
              <w:jc w:val="both"/>
              <w:rPr>
                <w:rFonts w:asciiTheme="majorHAnsi" w:hAnsiTheme="majorHAnsi" w:cstheme="majorHAnsi"/>
              </w:rPr>
            </w:pPr>
            <w:r>
              <w:rPr>
                <w:rFonts w:asciiTheme="majorHAnsi" w:hAnsiTheme="majorHAnsi" w:cstheme="majorHAnsi"/>
              </w:rPr>
              <w:t xml:space="preserve">Holding </w:t>
            </w:r>
            <w:r w:rsidR="00324506">
              <w:rPr>
                <w:rFonts w:asciiTheme="majorHAnsi" w:hAnsiTheme="majorHAnsi" w:cstheme="majorHAnsi"/>
              </w:rPr>
              <w:t>_______________</w:t>
            </w:r>
          </w:p>
        </w:tc>
        <w:tc>
          <w:tcPr>
            <w:tcW w:w="7224" w:type="dxa"/>
          </w:tcPr>
          <w:p w14:paraId="06449966" w14:textId="77777777" w:rsidR="00C2084D" w:rsidRDefault="00A622D4" w:rsidP="00C737C1">
            <w:pPr>
              <w:pStyle w:val="Paragraphedeliste"/>
              <w:numPr>
                <w:ilvl w:val="0"/>
                <w:numId w:val="23"/>
              </w:numPr>
              <w:jc w:val="both"/>
              <w:rPr>
                <w:rFonts w:asciiTheme="majorHAnsi" w:hAnsiTheme="majorHAnsi" w:cstheme="majorHAnsi"/>
              </w:rPr>
            </w:pPr>
            <w:r>
              <w:rPr>
                <w:rFonts w:asciiTheme="majorHAnsi" w:hAnsiTheme="majorHAnsi" w:cstheme="majorHAnsi"/>
              </w:rPr>
              <w:t>La holding peut garder une activité propre ;</w:t>
            </w:r>
          </w:p>
          <w:p w14:paraId="53F956F9" w14:textId="20CADCF4" w:rsidR="00A622D4" w:rsidRDefault="00A622D4" w:rsidP="00C737C1">
            <w:pPr>
              <w:pStyle w:val="Paragraphedeliste"/>
              <w:numPr>
                <w:ilvl w:val="0"/>
                <w:numId w:val="23"/>
              </w:numPr>
              <w:jc w:val="both"/>
              <w:rPr>
                <w:rFonts w:asciiTheme="majorHAnsi" w:hAnsiTheme="majorHAnsi" w:cstheme="majorHAnsi"/>
              </w:rPr>
            </w:pPr>
            <w:r>
              <w:rPr>
                <w:rFonts w:asciiTheme="majorHAnsi" w:hAnsiTheme="majorHAnsi" w:cstheme="majorHAnsi"/>
              </w:rPr>
              <w:t>Elle gère et anime le groupe ou les entreprises dont elle détient les participations ;</w:t>
            </w:r>
          </w:p>
          <w:p w14:paraId="1664A93E" w14:textId="21F86650" w:rsidR="00A622D4" w:rsidRPr="003F3218" w:rsidRDefault="00A622D4" w:rsidP="00C737C1">
            <w:pPr>
              <w:pStyle w:val="Paragraphedeliste"/>
              <w:numPr>
                <w:ilvl w:val="0"/>
                <w:numId w:val="23"/>
              </w:numPr>
              <w:jc w:val="both"/>
              <w:rPr>
                <w:rFonts w:asciiTheme="majorHAnsi" w:hAnsiTheme="majorHAnsi" w:cstheme="majorHAnsi"/>
              </w:rPr>
            </w:pPr>
            <w:r>
              <w:rPr>
                <w:rFonts w:asciiTheme="majorHAnsi" w:hAnsiTheme="majorHAnsi" w:cstheme="majorHAnsi"/>
              </w:rPr>
              <w:t>Elle remplit des fonctions de gestion effective et emploie du personnel à cet effet.</w:t>
            </w:r>
          </w:p>
        </w:tc>
      </w:tr>
      <w:tr w:rsidR="00C2084D" w14:paraId="649BF213" w14:textId="77777777" w:rsidTr="00C737C1">
        <w:tc>
          <w:tcPr>
            <w:tcW w:w="1838" w:type="dxa"/>
            <w:shd w:val="clear" w:color="auto" w:fill="9CC2E5" w:themeFill="accent1" w:themeFillTint="99"/>
          </w:tcPr>
          <w:p w14:paraId="35D0430A" w14:textId="1CC3C46D" w:rsidR="00C2084D" w:rsidRDefault="00A622D4" w:rsidP="00324506">
            <w:pPr>
              <w:jc w:val="both"/>
              <w:rPr>
                <w:rFonts w:asciiTheme="majorHAnsi" w:hAnsiTheme="majorHAnsi" w:cstheme="majorHAnsi"/>
              </w:rPr>
            </w:pPr>
            <w:r>
              <w:rPr>
                <w:rFonts w:asciiTheme="majorHAnsi" w:hAnsiTheme="majorHAnsi" w:cstheme="majorHAnsi"/>
              </w:rPr>
              <w:t xml:space="preserve">Holding </w:t>
            </w:r>
            <w:r w:rsidR="00324506">
              <w:rPr>
                <w:rFonts w:asciiTheme="majorHAnsi" w:hAnsiTheme="majorHAnsi" w:cstheme="majorHAnsi"/>
              </w:rPr>
              <w:t>________</w:t>
            </w:r>
          </w:p>
        </w:tc>
        <w:tc>
          <w:tcPr>
            <w:tcW w:w="7224" w:type="dxa"/>
          </w:tcPr>
          <w:p w14:paraId="0DF7559C" w14:textId="6B4FE80F" w:rsidR="00C2084D" w:rsidRDefault="00A622D4" w:rsidP="00C737C1">
            <w:pPr>
              <w:pStyle w:val="Paragraphedeliste"/>
              <w:numPr>
                <w:ilvl w:val="0"/>
                <w:numId w:val="23"/>
              </w:numPr>
              <w:jc w:val="both"/>
              <w:rPr>
                <w:rFonts w:asciiTheme="majorHAnsi" w:hAnsiTheme="majorHAnsi" w:cstheme="majorHAnsi"/>
              </w:rPr>
            </w:pPr>
            <w:r>
              <w:rPr>
                <w:rFonts w:asciiTheme="majorHAnsi" w:hAnsiTheme="majorHAnsi" w:cstheme="majorHAnsi"/>
              </w:rPr>
              <w:t>Elle cumule les fonctions des deux cas de figures vus précédemment.</w:t>
            </w:r>
          </w:p>
        </w:tc>
      </w:tr>
    </w:tbl>
    <w:p w14:paraId="0433E790" w14:textId="77777777" w:rsidR="00C2084D" w:rsidRPr="00C2084D" w:rsidRDefault="00C2084D" w:rsidP="00C2084D">
      <w:pPr>
        <w:spacing w:after="0"/>
        <w:jc w:val="both"/>
        <w:rPr>
          <w:rFonts w:asciiTheme="majorHAnsi" w:hAnsiTheme="majorHAnsi" w:cstheme="majorHAnsi"/>
        </w:rPr>
      </w:pPr>
    </w:p>
    <w:p w14:paraId="277CD3A2" w14:textId="73867AB0" w:rsidR="00962D6B" w:rsidRDefault="00962D6B" w:rsidP="00962D6B">
      <w:pPr>
        <w:spacing w:after="0"/>
        <w:ind w:firstLine="708"/>
        <w:jc w:val="both"/>
        <w:rPr>
          <w:rFonts w:asciiTheme="majorHAnsi" w:hAnsiTheme="majorHAnsi" w:cstheme="majorHAnsi"/>
        </w:rPr>
      </w:pPr>
    </w:p>
    <w:p w14:paraId="091D99DE" w14:textId="4FA48ABA" w:rsidR="00A622D4" w:rsidRDefault="00A622D4" w:rsidP="00962D6B">
      <w:pPr>
        <w:spacing w:after="0"/>
        <w:ind w:firstLine="708"/>
        <w:jc w:val="both"/>
        <w:rPr>
          <w:rFonts w:asciiTheme="majorHAnsi" w:hAnsiTheme="majorHAnsi" w:cstheme="majorHAnsi"/>
        </w:rPr>
      </w:pPr>
    </w:p>
    <w:p w14:paraId="766ADA6F" w14:textId="3F4C2CE3" w:rsidR="00A622D4" w:rsidRDefault="00A622D4" w:rsidP="00962D6B">
      <w:pPr>
        <w:spacing w:after="0"/>
        <w:ind w:firstLine="708"/>
        <w:jc w:val="both"/>
        <w:rPr>
          <w:rFonts w:asciiTheme="majorHAnsi" w:hAnsiTheme="majorHAnsi" w:cstheme="majorHAnsi"/>
        </w:rPr>
      </w:pPr>
      <w:r>
        <w:rPr>
          <w:rFonts w:asciiTheme="majorHAnsi" w:hAnsiTheme="majorHAnsi" w:cstheme="majorHAnsi"/>
        </w:rPr>
        <w:t>2.1.3. L’intérêt des holdings</w:t>
      </w:r>
    </w:p>
    <w:p w14:paraId="0A210676" w14:textId="30019630" w:rsidR="00A622D4" w:rsidRDefault="00A622D4" w:rsidP="00962D6B">
      <w:pPr>
        <w:spacing w:after="0"/>
        <w:ind w:firstLine="708"/>
        <w:jc w:val="both"/>
        <w:rPr>
          <w:rFonts w:asciiTheme="majorHAnsi" w:hAnsiTheme="majorHAnsi" w:cstheme="majorHAnsi"/>
        </w:rPr>
      </w:pPr>
    </w:p>
    <w:p w14:paraId="47EB878E" w14:textId="3E2F0EA4" w:rsidR="00A622D4" w:rsidRDefault="00A622D4" w:rsidP="00962D6B">
      <w:pPr>
        <w:spacing w:after="0"/>
        <w:ind w:firstLine="708"/>
        <w:jc w:val="both"/>
        <w:rPr>
          <w:rFonts w:asciiTheme="majorHAnsi" w:hAnsiTheme="majorHAnsi" w:cstheme="majorHAnsi"/>
        </w:rPr>
      </w:pPr>
      <w:r>
        <w:rPr>
          <w:rFonts w:asciiTheme="majorHAnsi" w:hAnsiTheme="majorHAnsi" w:cstheme="majorHAnsi"/>
        </w:rPr>
        <w:t xml:space="preserve">Les </w:t>
      </w:r>
      <w:r w:rsidR="00D8114A">
        <w:rPr>
          <w:rFonts w:asciiTheme="majorHAnsi" w:hAnsiTheme="majorHAnsi" w:cstheme="majorHAnsi"/>
        </w:rPr>
        <w:t xml:space="preserve">motivations quant à la création sont diverses et dépendent de la stratégie du groupe et de ses associés. Mais, globalement, nous pouvons distinguer trois grands type de cas de figure. </w:t>
      </w:r>
    </w:p>
    <w:p w14:paraId="2E518C56" w14:textId="09818228" w:rsidR="00D8114A" w:rsidRDefault="00D8114A" w:rsidP="00962D6B">
      <w:pPr>
        <w:spacing w:after="0"/>
        <w:ind w:firstLine="708"/>
        <w:jc w:val="both"/>
        <w:rPr>
          <w:rFonts w:asciiTheme="majorHAnsi" w:hAnsiTheme="majorHAnsi" w:cstheme="majorHAnsi"/>
        </w:rPr>
      </w:pPr>
    </w:p>
    <w:p w14:paraId="486AF3E0" w14:textId="392E7D00" w:rsidR="00D8114A" w:rsidRDefault="00D8114A" w:rsidP="00D8114A">
      <w:pPr>
        <w:pStyle w:val="Paragraphedeliste"/>
        <w:numPr>
          <w:ilvl w:val="0"/>
          <w:numId w:val="20"/>
        </w:numPr>
        <w:spacing w:after="0"/>
        <w:jc w:val="both"/>
        <w:rPr>
          <w:rFonts w:asciiTheme="majorHAnsi" w:hAnsiTheme="majorHAnsi" w:cstheme="majorHAnsi"/>
        </w:rPr>
      </w:pPr>
      <w:r>
        <w:rPr>
          <w:rFonts w:asciiTheme="majorHAnsi" w:hAnsiTheme="majorHAnsi" w:cstheme="majorHAnsi"/>
        </w:rPr>
        <w:t xml:space="preserve">Effet de </w:t>
      </w:r>
      <w:r w:rsidR="00324506">
        <w:rPr>
          <w:rFonts w:asciiTheme="majorHAnsi" w:hAnsiTheme="majorHAnsi" w:cstheme="majorHAnsi"/>
        </w:rPr>
        <w:t>_________________________</w:t>
      </w:r>
    </w:p>
    <w:p w14:paraId="3A93B7A3" w14:textId="45A82AA7" w:rsidR="00D8114A" w:rsidRDefault="00D8114A" w:rsidP="00D8114A">
      <w:pPr>
        <w:spacing w:after="0"/>
        <w:ind w:left="360"/>
        <w:jc w:val="both"/>
        <w:rPr>
          <w:rFonts w:asciiTheme="majorHAnsi" w:hAnsiTheme="majorHAnsi" w:cstheme="majorHAnsi"/>
        </w:rPr>
      </w:pPr>
    </w:p>
    <w:p w14:paraId="5F7928F3" w14:textId="5FFE26CC" w:rsidR="00D8114A" w:rsidRDefault="00D8114A" w:rsidP="00D8114A">
      <w:pPr>
        <w:spacing w:after="0"/>
        <w:ind w:left="360"/>
        <w:jc w:val="both"/>
        <w:rPr>
          <w:rFonts w:asciiTheme="majorHAnsi" w:hAnsiTheme="majorHAnsi" w:cstheme="majorHAnsi"/>
        </w:rPr>
      </w:pPr>
      <w:r>
        <w:rPr>
          <w:rFonts w:asciiTheme="majorHAnsi" w:hAnsiTheme="majorHAnsi" w:cstheme="majorHAnsi"/>
        </w:rPr>
        <w:t xml:space="preserve">La constitution de holding permet la prise de contrôle de sociétés tout en réduisant l’apport à effectuer.  Ce type de montage peut être réalisé en créant une ou plusieurs holdings (montage en « cascade »). </w:t>
      </w:r>
    </w:p>
    <w:p w14:paraId="544C09C6" w14:textId="37B3442F" w:rsidR="00D8114A" w:rsidRPr="00D8114A" w:rsidRDefault="00D8114A" w:rsidP="00C737C1">
      <w:pPr>
        <w:spacing w:after="0"/>
        <w:jc w:val="both"/>
        <w:rPr>
          <w:rFonts w:asciiTheme="majorHAnsi" w:hAnsiTheme="majorHAnsi" w:cstheme="majorHAnsi"/>
        </w:rPr>
      </w:pPr>
    </w:p>
    <w:p w14:paraId="651A7ED3" w14:textId="77777777" w:rsidR="00962D6B" w:rsidRPr="00962D6B" w:rsidRDefault="00962D6B" w:rsidP="00962D6B">
      <w:pPr>
        <w:pBdr>
          <w:top w:val="single" w:sz="4" w:space="1" w:color="auto"/>
        </w:pBdr>
        <w:spacing w:after="0"/>
        <w:ind w:firstLine="708"/>
        <w:jc w:val="both"/>
        <w:rPr>
          <w:rFonts w:asciiTheme="majorHAnsi" w:hAnsiTheme="majorHAnsi" w:cstheme="majorHAnsi"/>
        </w:rPr>
      </w:pPr>
      <w:r w:rsidRPr="00962D6B">
        <w:rPr>
          <w:rFonts w:asciiTheme="majorHAnsi" w:hAnsiTheme="majorHAnsi" w:cstheme="majorHAnsi"/>
        </w:rPr>
        <w:t xml:space="preserve">Exemple </w:t>
      </w:r>
    </w:p>
    <w:p w14:paraId="44804FA6" w14:textId="77777777" w:rsidR="00962D6B" w:rsidRPr="00962D6B" w:rsidRDefault="00962D6B" w:rsidP="00962D6B">
      <w:pPr>
        <w:spacing w:after="0"/>
        <w:ind w:firstLine="708"/>
        <w:jc w:val="both"/>
        <w:rPr>
          <w:rFonts w:asciiTheme="majorHAnsi" w:hAnsiTheme="majorHAnsi" w:cstheme="majorHAnsi"/>
        </w:rPr>
      </w:pPr>
    </w:p>
    <w:p w14:paraId="5C0FC651" w14:textId="77777777" w:rsidR="00C737C1" w:rsidRPr="00C737C1" w:rsidRDefault="00C737C1" w:rsidP="00C737C1">
      <w:pPr>
        <w:spacing w:after="0"/>
        <w:ind w:firstLine="708"/>
        <w:jc w:val="both"/>
        <w:rPr>
          <w:rFonts w:asciiTheme="majorHAnsi" w:hAnsiTheme="majorHAnsi" w:cstheme="majorHAnsi"/>
        </w:rPr>
      </w:pPr>
      <w:r w:rsidRPr="00C737C1">
        <w:rPr>
          <w:rFonts w:asciiTheme="majorHAnsi" w:hAnsiTheme="majorHAnsi" w:cstheme="majorHAnsi"/>
        </w:rPr>
        <w:t>Une personne A dispose de 100 000 euros et souhaite acquérir une société cible valorisée à 530 000 euros. D’autres investisseurs sont intéressés par le projet et souhaite y investir 75 000 euros.</w:t>
      </w:r>
    </w:p>
    <w:p w14:paraId="64380111" w14:textId="77777777" w:rsidR="00C737C1" w:rsidRPr="00C737C1" w:rsidRDefault="00C737C1" w:rsidP="00C737C1">
      <w:pPr>
        <w:spacing w:after="0"/>
        <w:ind w:firstLine="708"/>
        <w:jc w:val="both"/>
        <w:rPr>
          <w:rFonts w:asciiTheme="majorHAnsi" w:hAnsiTheme="majorHAnsi" w:cstheme="majorHAnsi"/>
        </w:rPr>
      </w:pPr>
      <w:r w:rsidRPr="00C737C1">
        <w:rPr>
          <w:rFonts w:asciiTheme="majorHAnsi" w:hAnsiTheme="majorHAnsi" w:cstheme="majorHAnsi"/>
        </w:rPr>
        <w:t>A créé une holding 1 et apporte 100 000 euros. D’autres investisseurs apportent 75 000 euros (soit 175 000 euros au total).</w:t>
      </w:r>
    </w:p>
    <w:p w14:paraId="538DDBBE" w14:textId="77777777" w:rsidR="00C737C1" w:rsidRPr="00C737C1" w:rsidRDefault="00C737C1" w:rsidP="00C737C1">
      <w:pPr>
        <w:spacing w:after="0"/>
        <w:ind w:firstLine="708"/>
        <w:jc w:val="both"/>
        <w:rPr>
          <w:rFonts w:asciiTheme="majorHAnsi" w:hAnsiTheme="majorHAnsi" w:cstheme="majorHAnsi"/>
        </w:rPr>
      </w:pPr>
      <w:r w:rsidRPr="00C737C1">
        <w:rPr>
          <w:rFonts w:asciiTheme="majorHAnsi" w:hAnsiTheme="majorHAnsi" w:cstheme="majorHAnsi"/>
        </w:rPr>
        <w:lastRenderedPageBreak/>
        <w:t>La holding 1 contracte un emprunt de 50 000 euros et apporte 225 000 euros à une nouvelle holding 2.</w:t>
      </w:r>
    </w:p>
    <w:p w14:paraId="0433D774" w14:textId="1144C2F9" w:rsidR="00C737C1" w:rsidRPr="00C737C1" w:rsidRDefault="00C737C1" w:rsidP="00C737C1">
      <w:pPr>
        <w:spacing w:after="0"/>
        <w:ind w:firstLine="708"/>
        <w:jc w:val="both"/>
        <w:rPr>
          <w:rFonts w:asciiTheme="majorHAnsi" w:hAnsiTheme="majorHAnsi" w:cstheme="majorHAnsi"/>
        </w:rPr>
      </w:pPr>
      <w:r w:rsidRPr="00C737C1">
        <w:rPr>
          <w:rFonts w:asciiTheme="majorHAnsi" w:hAnsiTheme="majorHAnsi" w:cstheme="majorHAnsi"/>
        </w:rPr>
        <w:t xml:space="preserve">Cette holding 2 va pouvoir conclure, à son tour, un emprunt de 305 000 euros pour acquérir </w:t>
      </w:r>
      <w:r>
        <w:rPr>
          <w:rFonts w:asciiTheme="majorHAnsi" w:hAnsiTheme="majorHAnsi" w:cstheme="majorHAnsi"/>
        </w:rPr>
        <w:t>la société cible, valorisée à 530 000 €.</w:t>
      </w:r>
    </w:p>
    <w:p w14:paraId="53DD1EEF" w14:textId="15F883C8" w:rsidR="00C737C1" w:rsidRDefault="00C737C1" w:rsidP="00C737C1">
      <w:pPr>
        <w:pBdr>
          <w:bottom w:val="single" w:sz="4" w:space="1" w:color="auto"/>
        </w:pBdr>
        <w:spacing w:after="0"/>
        <w:ind w:firstLine="708"/>
        <w:jc w:val="both"/>
        <w:rPr>
          <w:rFonts w:asciiTheme="majorHAnsi" w:hAnsiTheme="majorHAnsi" w:cstheme="majorHAnsi"/>
        </w:rPr>
      </w:pPr>
      <w:r w:rsidRPr="00C737C1">
        <w:rPr>
          <w:rFonts w:asciiTheme="majorHAnsi" w:hAnsiTheme="majorHAnsi" w:cstheme="majorHAnsi"/>
        </w:rPr>
        <w:t>L’emprunt sera remboursé grâce aux dividendes versés par cette dernière.</w:t>
      </w:r>
    </w:p>
    <w:p w14:paraId="79E44168" w14:textId="75404063" w:rsidR="00C737C1" w:rsidRDefault="00C737C1" w:rsidP="00C737C1">
      <w:pPr>
        <w:pBdr>
          <w:bottom w:val="single" w:sz="4" w:space="1" w:color="auto"/>
        </w:pBdr>
        <w:spacing w:after="0"/>
        <w:ind w:firstLine="708"/>
        <w:jc w:val="both"/>
        <w:rPr>
          <w:rFonts w:asciiTheme="majorHAnsi" w:hAnsiTheme="majorHAnsi" w:cstheme="majorHAnsi"/>
        </w:rPr>
      </w:pPr>
    </w:p>
    <w:p w14:paraId="67A7D928" w14:textId="686ADFF1" w:rsidR="00C737C1" w:rsidRDefault="00C737C1" w:rsidP="00C737C1">
      <w:pPr>
        <w:pBdr>
          <w:bottom w:val="single" w:sz="4" w:space="1" w:color="auto"/>
        </w:pBd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62688" behindDoc="0" locked="0" layoutInCell="1" allowOverlap="1" wp14:anchorId="0B569029" wp14:editId="07CA7596">
                <wp:simplePos x="0" y="0"/>
                <wp:positionH relativeFrom="column">
                  <wp:posOffset>3091180</wp:posOffset>
                </wp:positionH>
                <wp:positionV relativeFrom="paragraph">
                  <wp:posOffset>10795</wp:posOffset>
                </wp:positionV>
                <wp:extent cx="400050" cy="419100"/>
                <wp:effectExtent l="0" t="0" r="19050" b="19050"/>
                <wp:wrapNone/>
                <wp:docPr id="59" name="Émoticône 59"/>
                <wp:cNvGraphicFramePr/>
                <a:graphic xmlns:a="http://schemas.openxmlformats.org/drawingml/2006/main">
                  <a:graphicData uri="http://schemas.microsoft.com/office/word/2010/wordprocessingShape">
                    <wps:wsp>
                      <wps:cNvSpPr/>
                      <wps:spPr>
                        <a:xfrm>
                          <a:off x="0" y="0"/>
                          <a:ext cx="400050" cy="41910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DAF1362"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Émoticône 59" o:spid="_x0000_s1026" type="#_x0000_t96" style="position:absolute;margin-left:243.4pt;margin-top:.85pt;width:31.5pt;height:33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" fillcolor="#5b9bd5 [3204]" strokecolor="#1f4d78 [1604]" strokeweight="1pt">
                <v:stroke joinstyle="miter"/>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64736" behindDoc="0" locked="0" layoutInCell="1" allowOverlap="1" wp14:anchorId="370F39C2" wp14:editId="240DC0B0">
                <wp:simplePos x="0" y="0"/>
                <wp:positionH relativeFrom="column">
                  <wp:posOffset>3624580</wp:posOffset>
                </wp:positionH>
                <wp:positionV relativeFrom="paragraph">
                  <wp:posOffset>10795</wp:posOffset>
                </wp:positionV>
                <wp:extent cx="400050" cy="419100"/>
                <wp:effectExtent l="0" t="0" r="19050" b="19050"/>
                <wp:wrapNone/>
                <wp:docPr id="60" name="Émoticône 60"/>
                <wp:cNvGraphicFramePr/>
                <a:graphic xmlns:a="http://schemas.openxmlformats.org/drawingml/2006/main">
                  <a:graphicData uri="http://schemas.microsoft.com/office/word/2010/wordprocessingShape">
                    <wps:wsp>
                      <wps:cNvSpPr/>
                      <wps:spPr>
                        <a:xfrm>
                          <a:off x="0" y="0"/>
                          <a:ext cx="400050" cy="41910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4097CD" id="Émoticône 60" o:spid="_x0000_s1026" type="#_x0000_t96" style="position:absolute;margin-left:285.4pt;margin-top:.85pt;width:31.5pt;height:33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" fillcolor="#5b9bd5 [3204]" strokecolor="#1f4d78 [1604]" strokeweight="1pt">
                <v:stroke joinstyle="miter"/>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60640" behindDoc="0" locked="0" layoutInCell="1" allowOverlap="1" wp14:anchorId="4E4877D2" wp14:editId="289FBC9E">
                <wp:simplePos x="0" y="0"/>
                <wp:positionH relativeFrom="column">
                  <wp:posOffset>52705</wp:posOffset>
                </wp:positionH>
                <wp:positionV relativeFrom="paragraph">
                  <wp:posOffset>39370</wp:posOffset>
                </wp:positionV>
                <wp:extent cx="400050" cy="419100"/>
                <wp:effectExtent l="0" t="0" r="19050" b="19050"/>
                <wp:wrapNone/>
                <wp:docPr id="4" name="Émoticône 4"/>
                <wp:cNvGraphicFramePr/>
                <a:graphic xmlns:a="http://schemas.openxmlformats.org/drawingml/2006/main">
                  <a:graphicData uri="http://schemas.microsoft.com/office/word/2010/wordprocessingShape">
                    <wps:wsp>
                      <wps:cNvSpPr/>
                      <wps:spPr>
                        <a:xfrm>
                          <a:off x="0" y="0"/>
                          <a:ext cx="400050" cy="41910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CA117A" id="Émoticône 4" o:spid="_x0000_s1026" type="#_x0000_t96" style="position:absolute;margin-left:4.15pt;margin-top:3.1pt;width:31.5pt;height:33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" fillcolor="#5b9bd5 [3204]" strokecolor="#1f4d78 [1604]" strokeweight="1pt">
                <v:stroke joinstyle="miter"/>
              </v:shape>
            </w:pict>
          </mc:Fallback>
        </mc:AlternateContent>
      </w:r>
    </w:p>
    <w:p w14:paraId="75C4DBDB" w14:textId="03BB8740" w:rsidR="00C737C1" w:rsidRDefault="00C737C1" w:rsidP="00C737C1">
      <w:pPr>
        <w:pBdr>
          <w:bottom w:val="single" w:sz="4" w:space="1" w:color="auto"/>
        </w:pBd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73952" behindDoc="0" locked="0" layoutInCell="1" allowOverlap="1" wp14:anchorId="2687DAFF" wp14:editId="29FB2C3C">
                <wp:simplePos x="0" y="0"/>
                <wp:positionH relativeFrom="column">
                  <wp:posOffset>509905</wp:posOffset>
                </wp:positionH>
                <wp:positionV relativeFrom="paragraph">
                  <wp:posOffset>8255</wp:posOffset>
                </wp:positionV>
                <wp:extent cx="914400" cy="285750"/>
                <wp:effectExtent l="0" t="0" r="0" b="0"/>
                <wp:wrapNone/>
                <wp:docPr id="66" name="Zone de texte 66"/>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43E1C3DD" w14:textId="6E11B770" w:rsidR="00BF43B9" w:rsidRDefault="00BF43B9" w:rsidP="00C737C1">
                            <w: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687DAFF" id="_x0000_t202" coordsize="21600,21600" o:spt="202" path="m,l,21600r21600,l21600,xe">
                <v:stroke joinstyle="miter"/>
                <v:path gradientshapeok="t" o:connecttype="rect"/>
              </v:shapetype>
              <v:shape id="Zone de texte 66" o:spid="_x0000_s1026" type="#_x0000_t202" style="position:absolute;left:0;text-align:left;margin-left:40.15pt;margin-top:.65pt;width:1in;height:22.5pt;z-index:2517739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" filled="f" stroked="f" strokeweight=".5pt">
                <v:textbox>
                  <w:txbxContent>
                    <w:p w14:paraId="43E1C3DD" w14:textId="6E11B770" w:rsidR="00BF43B9" w:rsidRDefault="00BF43B9" w:rsidP="00C737C1">
                      <w:r>
                        <w:t>A</w:t>
                      </w:r>
                    </w:p>
                  </w:txbxContent>
                </v:textbox>
              </v:shape>
            </w:pict>
          </mc:Fallback>
        </mc:AlternateContent>
      </w:r>
    </w:p>
    <w:p w14:paraId="7A16CA61" w14:textId="10907FF9" w:rsidR="00C737C1" w:rsidRDefault="00C737C1" w:rsidP="00C737C1">
      <w:pPr>
        <w:pBdr>
          <w:bottom w:val="single" w:sz="4" w:space="1" w:color="auto"/>
        </w:pBdr>
        <w:spacing w:after="0"/>
        <w:jc w:val="both"/>
        <w:rPr>
          <w:rFonts w:asciiTheme="majorHAnsi" w:hAnsiTheme="majorHAnsi" w:cstheme="majorHAnsi"/>
        </w:rPr>
      </w:pPr>
    </w:p>
    <w:p w14:paraId="6ECBC7C2" w14:textId="593A158F" w:rsidR="00C737C1" w:rsidRDefault="00C737C1" w:rsidP="00C737C1">
      <w:pPr>
        <w:pBdr>
          <w:bottom w:val="single" w:sz="4" w:space="1" w:color="auto"/>
        </w:pBd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69856" behindDoc="0" locked="0" layoutInCell="1" allowOverlap="1" wp14:anchorId="1B7FEE5E" wp14:editId="3BF9790A">
                <wp:simplePos x="0" y="0"/>
                <wp:positionH relativeFrom="column">
                  <wp:posOffset>1719580</wp:posOffset>
                </wp:positionH>
                <wp:positionV relativeFrom="paragraph">
                  <wp:posOffset>106680</wp:posOffset>
                </wp:positionV>
                <wp:extent cx="914400" cy="285750"/>
                <wp:effectExtent l="0" t="0" r="0" b="0"/>
                <wp:wrapNone/>
                <wp:docPr id="64" name="Zone de texte 64"/>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3627046B" w14:textId="0FDE5FFF" w:rsidR="00BF43B9" w:rsidRDefault="00BF43B9">
                            <w:r>
                              <w:t>H1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7FEE5E" id="Zone de texte 64" o:spid="_x0000_s1027" type="#_x0000_t202" style="position:absolute;left:0;text-align:left;margin-left:135.4pt;margin-top:8.4pt;width:1in;height:22.5pt;z-index:2517698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" filled="f" stroked="f" strokeweight=".5pt">
                <v:textbox>
                  <w:txbxContent>
                    <w:p w14:paraId="3627046B" w14:textId="0FDE5FFF" w:rsidR="00BF43B9" w:rsidRDefault="00BF43B9">
                      <w:r>
                        <w:t>H1</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68832" behindDoc="0" locked="0" layoutInCell="1" allowOverlap="1" wp14:anchorId="51FD5395" wp14:editId="3BFD9692">
                <wp:simplePos x="0" y="0"/>
                <wp:positionH relativeFrom="column">
                  <wp:posOffset>1271905</wp:posOffset>
                </wp:positionH>
                <wp:positionV relativeFrom="paragraph">
                  <wp:posOffset>11430</wp:posOffset>
                </wp:positionV>
                <wp:extent cx="1266825" cy="466725"/>
                <wp:effectExtent l="0" t="0" r="28575" b="28575"/>
                <wp:wrapNone/>
                <wp:docPr id="63" name="Ellipse 63"/>
                <wp:cNvGraphicFramePr/>
                <a:graphic xmlns:a="http://schemas.openxmlformats.org/drawingml/2006/main">
                  <a:graphicData uri="http://schemas.microsoft.com/office/word/2010/wordprocessingShape">
                    <wps:wsp>
                      <wps:cNvSpPr/>
                      <wps:spPr>
                        <a:xfrm>
                          <a:off x="0" y="0"/>
                          <a:ext cx="1266825" cy="46672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5B5457" id="Ellipse 63" o:spid="_x0000_s1026" style="position:absolute;margin-left:100.15pt;margin-top:.9pt;width:99.75pt;height:36.7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" filled="f" strokecolor="#1f4d78 [1604]" strokeweight="1pt">
                <v:stroke joinstyle="miter"/>
              </v:oval>
            </w:pict>
          </mc:Fallback>
        </mc:AlternateContent>
      </w:r>
      <w:r>
        <w:rPr>
          <w:rFonts w:asciiTheme="majorHAnsi" w:hAnsiTheme="majorHAnsi" w:cstheme="majorHAnsi"/>
          <w:noProof/>
          <w:lang w:eastAsia="fr-FR"/>
        </w:rPr>
        <mc:AlternateContent>
          <mc:Choice Requires="wps">
            <w:drawing>
              <wp:anchor distT="0" distB="0" distL="114300" distR="114300" simplePos="0" relativeHeight="251767808" behindDoc="0" locked="0" layoutInCell="1" allowOverlap="1" wp14:anchorId="7FE9B0C1" wp14:editId="2A84EBD4">
                <wp:simplePos x="0" y="0"/>
                <wp:positionH relativeFrom="column">
                  <wp:posOffset>2614930</wp:posOffset>
                </wp:positionH>
                <wp:positionV relativeFrom="paragraph">
                  <wp:posOffset>11429</wp:posOffset>
                </wp:positionV>
                <wp:extent cx="952500" cy="352425"/>
                <wp:effectExtent l="19050" t="0" r="19050" b="47625"/>
                <wp:wrapNone/>
                <wp:docPr id="62" name="Virage 62"/>
                <wp:cNvGraphicFramePr/>
                <a:graphic xmlns:a="http://schemas.openxmlformats.org/drawingml/2006/main">
                  <a:graphicData uri="http://schemas.microsoft.com/office/word/2010/wordprocessingShape">
                    <wps:wsp>
                      <wps:cNvSpPr/>
                      <wps:spPr>
                        <a:xfrm flipH="1" flipV="1">
                          <a:off x="0" y="0"/>
                          <a:ext cx="952500" cy="352425"/>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CA80E" id="Virage 62" o:spid="_x0000_s1026" style="position:absolute;margin-left:205.9pt;margin-top:.9pt;width:75pt;height:27.75pt;flip:x 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525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" path="m,352425l,198239c,113084,69031,44053,154186,44053r710208,l864394,r88106,88106l864394,176213r,-44054l154186,132159v-36495,,-66080,29585,-66080,66080l88106,352425,,352425xe" fillcolor="#5b9bd5 [3204]" strokecolor="#1f4d78 [1604]" strokeweight="1pt">
                <v:stroke joinstyle="miter"/>
                <v:path arrowok="t" o:connecttype="custom" o:connectlocs="0,352425;0,198239;154186,44053;864394,44053;864394,0;952500,88106;864394,176213;864394,132159;154186,132159;88106,198239;88106,352425;0,352425" o:connectangles="0,0,0,0,0,0,0,0,0,0,0,0"/>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65760" behindDoc="0" locked="0" layoutInCell="1" allowOverlap="1" wp14:anchorId="0AEDC906" wp14:editId="434457E6">
                <wp:simplePos x="0" y="0"/>
                <wp:positionH relativeFrom="column">
                  <wp:posOffset>243205</wp:posOffset>
                </wp:positionH>
                <wp:positionV relativeFrom="paragraph">
                  <wp:posOffset>11430</wp:posOffset>
                </wp:positionV>
                <wp:extent cx="962025" cy="342900"/>
                <wp:effectExtent l="0" t="0" r="47625" b="38100"/>
                <wp:wrapNone/>
                <wp:docPr id="61" name="Virage 61"/>
                <wp:cNvGraphicFramePr/>
                <a:graphic xmlns:a="http://schemas.openxmlformats.org/drawingml/2006/main">
                  <a:graphicData uri="http://schemas.microsoft.com/office/word/2010/wordprocessingShape">
                    <wps:wsp>
                      <wps:cNvSpPr/>
                      <wps:spPr>
                        <a:xfrm flipV="1">
                          <a:off x="0" y="0"/>
                          <a:ext cx="962025" cy="342900"/>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B12C9" id="Virage 61" o:spid="_x0000_s1026" style="position:absolute;margin-left:19.15pt;margin-top:.9pt;width:75.75pt;height:27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62025,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" path="m,342900l,192881c,110028,67166,42862,150019,42862r726281,1l876300,r85725,85725l876300,171450r,-42862l150019,128588v-35509,,-64294,28785,-64294,64294l85725,342900,,342900xe" fillcolor="#5b9bd5 [3204]" strokecolor="#1f4d78 [1604]" strokeweight="1pt">
                <v:stroke joinstyle="miter"/>
                <v:path arrowok="t" o:connecttype="custom" o:connectlocs="0,342900;0,192881;150019,42862;876300,42863;876300,0;962025,85725;876300,171450;876300,128588;150019,128588;85725,192882;85725,342900;0,342900" o:connectangles="0,0,0,0,0,0,0,0,0,0,0,0"/>
              </v:shape>
            </w:pict>
          </mc:Fallback>
        </mc:AlternateContent>
      </w:r>
    </w:p>
    <w:p w14:paraId="2078D45F" w14:textId="29F6DE9E" w:rsidR="00C737C1" w:rsidRDefault="00C737C1" w:rsidP="00C737C1">
      <w:pPr>
        <w:pBdr>
          <w:bottom w:val="single" w:sz="4" w:space="1" w:color="auto"/>
        </w:pBd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71904" behindDoc="0" locked="0" layoutInCell="1" allowOverlap="1" wp14:anchorId="0622250E" wp14:editId="5AD00C01">
                <wp:simplePos x="0" y="0"/>
                <wp:positionH relativeFrom="column">
                  <wp:posOffset>3043555</wp:posOffset>
                </wp:positionH>
                <wp:positionV relativeFrom="paragraph">
                  <wp:posOffset>170180</wp:posOffset>
                </wp:positionV>
                <wp:extent cx="914400" cy="285750"/>
                <wp:effectExtent l="0" t="0" r="0" b="0"/>
                <wp:wrapNone/>
                <wp:docPr id="65" name="Zone de texte 65"/>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4CED2F68" w14:textId="4E6CF3C4" w:rsidR="00BF43B9" w:rsidRDefault="00BF43B9" w:rsidP="00C737C1">
                            <w:r>
                              <w:t>75 K€ - 43 %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22250E" id="Zone de texte 65" o:spid="_x0000_s1028" type="#_x0000_t202" style="position:absolute;left:0;text-align:left;margin-left:239.65pt;margin-top:13.4pt;width:1in;height:22.5pt;z-index:2517719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" filled="f" stroked="f" strokeweight=".5pt">
                <v:textbox>
                  <w:txbxContent>
                    <w:p w14:paraId="4CED2F68" w14:textId="4E6CF3C4" w:rsidR="00BF43B9" w:rsidRDefault="00BF43B9" w:rsidP="00C737C1">
                      <w:r>
                        <w:t>75 K€ - 43 %</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76000" behindDoc="0" locked="0" layoutInCell="1" allowOverlap="1" wp14:anchorId="64F494DF" wp14:editId="23F140F5">
                <wp:simplePos x="0" y="0"/>
                <wp:positionH relativeFrom="margin">
                  <wp:align>left</wp:align>
                </wp:positionH>
                <wp:positionV relativeFrom="paragraph">
                  <wp:posOffset>170180</wp:posOffset>
                </wp:positionV>
                <wp:extent cx="914400" cy="285750"/>
                <wp:effectExtent l="0" t="0" r="0" b="0"/>
                <wp:wrapNone/>
                <wp:docPr id="67" name="Zone de texte 67"/>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407A9897" w14:textId="1E90C7D3" w:rsidR="00BF43B9" w:rsidRDefault="00BF43B9" w:rsidP="00C737C1">
                            <w:r>
                              <w:t>100 K€ - 57%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F494DF" id="Zone de texte 67" o:spid="_x0000_s1029" type="#_x0000_t202" style="position:absolute;left:0;text-align:left;margin-left:0;margin-top:13.4pt;width:1in;height:22.5pt;z-index:251776000;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" filled="f" stroked="f" strokeweight=".5pt">
                <v:textbox>
                  <w:txbxContent>
                    <w:p w14:paraId="407A9897" w14:textId="1E90C7D3" w:rsidR="00BF43B9" w:rsidRDefault="00BF43B9" w:rsidP="00C737C1">
                      <w:r>
                        <w:t>100 K€ - 57%</w:t>
                      </w:r>
                    </w:p>
                  </w:txbxContent>
                </v:textbox>
                <w10:wrap anchorx="margin"/>
              </v:shape>
            </w:pict>
          </mc:Fallback>
        </mc:AlternateContent>
      </w:r>
    </w:p>
    <w:p w14:paraId="566179D8" w14:textId="7D8525C2" w:rsidR="00C737C1" w:rsidRDefault="00C737C1" w:rsidP="00C737C1">
      <w:pPr>
        <w:pBdr>
          <w:bottom w:val="single" w:sz="4" w:space="1" w:color="auto"/>
        </w:pBdr>
        <w:spacing w:after="0"/>
        <w:jc w:val="both"/>
        <w:rPr>
          <w:rFonts w:asciiTheme="majorHAnsi" w:hAnsiTheme="majorHAnsi" w:cstheme="majorHAnsi"/>
        </w:rPr>
      </w:pPr>
    </w:p>
    <w:p w14:paraId="4190576A" w14:textId="2E20FD30" w:rsidR="00C737C1" w:rsidRDefault="00C737C1" w:rsidP="00C737C1">
      <w:pPr>
        <w:pBdr>
          <w:bottom w:val="single" w:sz="4" w:space="1" w:color="auto"/>
        </w:pBd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84192" behindDoc="0" locked="0" layoutInCell="1" allowOverlap="1" wp14:anchorId="0D88D337" wp14:editId="35090A51">
                <wp:simplePos x="0" y="0"/>
                <wp:positionH relativeFrom="column">
                  <wp:posOffset>3824605</wp:posOffset>
                </wp:positionH>
                <wp:positionV relativeFrom="paragraph">
                  <wp:posOffset>97790</wp:posOffset>
                </wp:positionV>
                <wp:extent cx="1457325" cy="504825"/>
                <wp:effectExtent l="0" t="0" r="28575" b="28575"/>
                <wp:wrapNone/>
                <wp:docPr id="72" name="Rectangle à coins arrondis 72"/>
                <wp:cNvGraphicFramePr/>
                <a:graphic xmlns:a="http://schemas.openxmlformats.org/drawingml/2006/main">
                  <a:graphicData uri="http://schemas.microsoft.com/office/word/2010/wordprocessingShape">
                    <wps:wsp>
                      <wps:cNvSpPr/>
                      <wps:spPr>
                        <a:xfrm>
                          <a:off x="0" y="0"/>
                          <a:ext cx="1457325" cy="5048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0D2948" id="Rectangle à coins arrondis 72" o:spid="_x0000_s1026" style="position:absolute;margin-left:301.15pt;margin-top:7.7pt;width:114.75pt;height:39.75pt;z-index:251784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" filled="f" strokecolor="#1f4d78 [1604]" strokeweight="1pt">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81120" behindDoc="0" locked="0" layoutInCell="1" allowOverlap="1" wp14:anchorId="30483B64" wp14:editId="0FABDE37">
                <wp:simplePos x="0" y="0"/>
                <wp:positionH relativeFrom="column">
                  <wp:posOffset>1786255</wp:posOffset>
                </wp:positionH>
                <wp:positionV relativeFrom="paragraph">
                  <wp:posOffset>12065</wp:posOffset>
                </wp:positionV>
                <wp:extent cx="190500" cy="704850"/>
                <wp:effectExtent l="19050" t="0" r="38100" b="38100"/>
                <wp:wrapNone/>
                <wp:docPr id="70" name="Flèche vers le bas 70"/>
                <wp:cNvGraphicFramePr/>
                <a:graphic xmlns:a="http://schemas.openxmlformats.org/drawingml/2006/main">
                  <a:graphicData uri="http://schemas.microsoft.com/office/word/2010/wordprocessingShape">
                    <wps:wsp>
                      <wps:cNvSpPr/>
                      <wps:spPr>
                        <a:xfrm>
                          <a:off x="0" y="0"/>
                          <a:ext cx="190500" cy="7048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30E08E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vers le bas 70" o:spid="_x0000_s1026" type="#_x0000_t67" style="position:absolute;margin-left:140.65pt;margin-top:.95pt;width:15pt;height:55.5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" adj="18681" fillcolor="#5b9bd5 [3204]" strokecolor="#1f4d78 [1604]" strokeweight="1pt"/>
            </w:pict>
          </mc:Fallback>
        </mc:AlternateContent>
      </w:r>
    </w:p>
    <w:p w14:paraId="2A63D5A1" w14:textId="3923BC0C" w:rsidR="00C737C1" w:rsidRDefault="00767B91" w:rsidP="00C737C1">
      <w:pPr>
        <w:pBdr>
          <w:bottom w:val="single" w:sz="4" w:space="1" w:color="auto"/>
        </w:pBd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87264" behindDoc="0" locked="0" layoutInCell="1" allowOverlap="1" wp14:anchorId="326FA5CB" wp14:editId="308FA39C">
                <wp:simplePos x="0" y="0"/>
                <wp:positionH relativeFrom="margin">
                  <wp:align>center</wp:align>
                </wp:positionH>
                <wp:positionV relativeFrom="paragraph">
                  <wp:posOffset>27940</wp:posOffset>
                </wp:positionV>
                <wp:extent cx="1633855" cy="171450"/>
                <wp:effectExtent l="19050" t="19050" r="23495" b="38100"/>
                <wp:wrapNone/>
                <wp:docPr id="74" name="Flèche gauche 74"/>
                <wp:cNvGraphicFramePr/>
                <a:graphic xmlns:a="http://schemas.openxmlformats.org/drawingml/2006/main">
                  <a:graphicData uri="http://schemas.microsoft.com/office/word/2010/wordprocessingShape">
                    <wps:wsp>
                      <wps:cNvSpPr/>
                      <wps:spPr>
                        <a:xfrm>
                          <a:off x="0" y="0"/>
                          <a:ext cx="1633855" cy="1714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6BA5A7C"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gauche 74" o:spid="_x0000_s1026" type="#_x0000_t66" style="position:absolute;margin-left:0;margin-top:2.2pt;width:128.65pt;height:13.5pt;z-index:251787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" adj="1133" fillcolor="#5b9bd5 [3204]" strokecolor="#1f4d78 [1604]" strokeweight="1pt">
                <w10:wrap anchorx="margin"/>
              </v:shape>
            </w:pict>
          </mc:Fallback>
        </mc:AlternateContent>
      </w:r>
      <w:r w:rsidR="00C737C1">
        <w:rPr>
          <w:rFonts w:asciiTheme="majorHAnsi" w:hAnsiTheme="majorHAnsi" w:cstheme="majorHAnsi"/>
          <w:noProof/>
          <w:lang w:eastAsia="fr-FR"/>
        </w:rPr>
        <mc:AlternateContent>
          <mc:Choice Requires="wps">
            <w:drawing>
              <wp:anchor distT="0" distB="0" distL="114300" distR="114300" simplePos="0" relativeHeight="251786240" behindDoc="0" locked="0" layoutInCell="1" allowOverlap="1" wp14:anchorId="6AEB262B" wp14:editId="51040464">
                <wp:simplePos x="0" y="0"/>
                <wp:positionH relativeFrom="column">
                  <wp:posOffset>4319905</wp:posOffset>
                </wp:positionH>
                <wp:positionV relativeFrom="paragraph">
                  <wp:posOffset>8890</wp:posOffset>
                </wp:positionV>
                <wp:extent cx="914400" cy="285750"/>
                <wp:effectExtent l="0" t="0" r="0" b="0"/>
                <wp:wrapNone/>
                <wp:docPr id="73" name="Zone de texte 73"/>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3B55C614" w14:textId="0470E789" w:rsidR="00BF43B9" w:rsidRDefault="00BF43B9" w:rsidP="00C737C1">
                            <w:r>
                              <w:t>Banque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EB262B" id="Zone de texte 73" o:spid="_x0000_s1030" type="#_x0000_t202" style="position:absolute;left:0;text-align:left;margin-left:340.15pt;margin-top:.7pt;width:1in;height:22.5pt;z-index:2517862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" filled="f" stroked="f" strokeweight=".5pt">
                <v:textbox>
                  <w:txbxContent>
                    <w:p w14:paraId="3B55C614" w14:textId="0470E789" w:rsidR="00BF43B9" w:rsidRDefault="00BF43B9" w:rsidP="00C737C1">
                      <w:r>
                        <w:t>Banque</w:t>
                      </w:r>
                    </w:p>
                  </w:txbxContent>
                </v:textbox>
              </v:shape>
            </w:pict>
          </mc:Fallback>
        </mc:AlternateContent>
      </w:r>
    </w:p>
    <w:p w14:paraId="59285B24" w14:textId="0EFE5625" w:rsidR="00C737C1" w:rsidRDefault="00767B91" w:rsidP="00C737C1">
      <w:pPr>
        <w:pBdr>
          <w:bottom w:val="single" w:sz="4" w:space="1" w:color="auto"/>
        </w:pBd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89312" behindDoc="0" locked="0" layoutInCell="1" allowOverlap="1" wp14:anchorId="106C6F61" wp14:editId="34BC5F18">
                <wp:simplePos x="0" y="0"/>
                <wp:positionH relativeFrom="margin">
                  <wp:align>center</wp:align>
                </wp:positionH>
                <wp:positionV relativeFrom="paragraph">
                  <wp:posOffset>5715</wp:posOffset>
                </wp:positionV>
                <wp:extent cx="914400" cy="285750"/>
                <wp:effectExtent l="0" t="0" r="0" b="0"/>
                <wp:wrapNone/>
                <wp:docPr id="75" name="Zone de texte 75"/>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2C3A4759" w14:textId="15178308" w:rsidR="00BF43B9" w:rsidRDefault="00BF43B9" w:rsidP="00767B91">
                            <w:r>
                              <w:t>50 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6C6F61" id="Zone de texte 75" o:spid="_x0000_s1031" type="#_x0000_t202" style="position:absolute;left:0;text-align:left;margin-left:0;margin-top:.45pt;width:1in;height:22.5pt;z-index:25178931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" filled="f" stroked="f" strokeweight=".5pt">
                <v:textbox>
                  <w:txbxContent>
                    <w:p w14:paraId="2C3A4759" w14:textId="15178308" w:rsidR="00BF43B9" w:rsidRDefault="00BF43B9" w:rsidP="00767B91">
                      <w:r>
                        <w:t>50 K€</w:t>
                      </w:r>
                    </w:p>
                  </w:txbxContent>
                </v:textbox>
                <w10:wrap anchorx="margin"/>
              </v:shape>
            </w:pict>
          </mc:Fallback>
        </mc:AlternateContent>
      </w:r>
      <w:r w:rsidR="00C737C1">
        <w:rPr>
          <w:rFonts w:asciiTheme="majorHAnsi" w:hAnsiTheme="majorHAnsi" w:cstheme="majorHAnsi"/>
          <w:noProof/>
          <w:lang w:eastAsia="fr-FR"/>
        </w:rPr>
        <mc:AlternateContent>
          <mc:Choice Requires="wps">
            <w:drawing>
              <wp:anchor distT="0" distB="0" distL="114300" distR="114300" simplePos="0" relativeHeight="251783168" behindDoc="0" locked="0" layoutInCell="1" allowOverlap="1" wp14:anchorId="00EE0BED" wp14:editId="1D1728F3">
                <wp:simplePos x="0" y="0"/>
                <wp:positionH relativeFrom="column">
                  <wp:posOffset>780415</wp:posOffset>
                </wp:positionH>
                <wp:positionV relativeFrom="paragraph">
                  <wp:posOffset>100965</wp:posOffset>
                </wp:positionV>
                <wp:extent cx="914400" cy="285750"/>
                <wp:effectExtent l="0" t="0" r="0" b="0"/>
                <wp:wrapNone/>
                <wp:docPr id="71" name="Zone de texte 71"/>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573A78D1" w14:textId="0A5CEF13" w:rsidR="00BF43B9" w:rsidRDefault="00BF43B9" w:rsidP="00C737C1">
                            <w:r>
                              <w:t>225 K€ - 100 %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EE0BED" id="Zone de texte 71" o:spid="_x0000_s1032" type="#_x0000_t202" style="position:absolute;left:0;text-align:left;margin-left:61.45pt;margin-top:7.95pt;width:1in;height:22.5pt;z-index:2517831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" filled="f" stroked="f" strokeweight=".5pt">
                <v:textbox>
                  <w:txbxContent>
                    <w:p w14:paraId="573A78D1" w14:textId="0A5CEF13" w:rsidR="00BF43B9" w:rsidRDefault="00BF43B9" w:rsidP="00C737C1">
                      <w:r>
                        <w:t>225 K€ - 100 %</w:t>
                      </w:r>
                    </w:p>
                  </w:txbxContent>
                </v:textbox>
              </v:shape>
            </w:pict>
          </mc:Fallback>
        </mc:AlternateContent>
      </w:r>
    </w:p>
    <w:p w14:paraId="2391D3AA" w14:textId="74DEC9DB" w:rsidR="00C737C1" w:rsidRDefault="00C737C1" w:rsidP="00C737C1">
      <w:pPr>
        <w:pBdr>
          <w:bottom w:val="single" w:sz="4" w:space="1" w:color="auto"/>
        </w:pBdr>
        <w:spacing w:after="0"/>
        <w:jc w:val="both"/>
        <w:rPr>
          <w:rFonts w:asciiTheme="majorHAnsi" w:hAnsiTheme="majorHAnsi" w:cstheme="majorHAnsi"/>
        </w:rPr>
      </w:pPr>
    </w:p>
    <w:p w14:paraId="29DE85D2" w14:textId="6366AD70" w:rsidR="00C737C1" w:rsidRDefault="00C737C1" w:rsidP="00C737C1">
      <w:pPr>
        <w:pBdr>
          <w:bottom w:val="single" w:sz="4" w:space="1" w:color="auto"/>
        </w:pBd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80096" behindDoc="0" locked="0" layoutInCell="1" allowOverlap="1" wp14:anchorId="3F2A6144" wp14:editId="4A417971">
                <wp:simplePos x="0" y="0"/>
                <wp:positionH relativeFrom="column">
                  <wp:posOffset>1719580</wp:posOffset>
                </wp:positionH>
                <wp:positionV relativeFrom="paragraph">
                  <wp:posOffset>123190</wp:posOffset>
                </wp:positionV>
                <wp:extent cx="914400" cy="285750"/>
                <wp:effectExtent l="0" t="0" r="0" b="0"/>
                <wp:wrapNone/>
                <wp:docPr id="69" name="Zone de texte 69"/>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09BF1A20" w14:textId="61E33AFD" w:rsidR="00BF43B9" w:rsidRDefault="00BF43B9" w:rsidP="00C737C1">
                            <w:r>
                              <w:t>H2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2A6144" id="Zone de texte 69" o:spid="_x0000_s1033" type="#_x0000_t202" style="position:absolute;left:0;text-align:left;margin-left:135.4pt;margin-top:9.7pt;width:1in;height:22.5pt;z-index:2517800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" filled="f" stroked="f" strokeweight=".5pt">
                <v:textbox>
                  <w:txbxContent>
                    <w:p w14:paraId="09BF1A20" w14:textId="61E33AFD" w:rsidR="00BF43B9" w:rsidRDefault="00BF43B9" w:rsidP="00C737C1">
                      <w:r>
                        <w:t>H2</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78048" behindDoc="0" locked="0" layoutInCell="1" allowOverlap="1" wp14:anchorId="2DCB3ACD" wp14:editId="46EFE569">
                <wp:simplePos x="0" y="0"/>
                <wp:positionH relativeFrom="column">
                  <wp:posOffset>1233805</wp:posOffset>
                </wp:positionH>
                <wp:positionV relativeFrom="paragraph">
                  <wp:posOffset>8890</wp:posOffset>
                </wp:positionV>
                <wp:extent cx="1266825" cy="466725"/>
                <wp:effectExtent l="0" t="0" r="28575" b="28575"/>
                <wp:wrapNone/>
                <wp:docPr id="68" name="Ellipse 68"/>
                <wp:cNvGraphicFramePr/>
                <a:graphic xmlns:a="http://schemas.openxmlformats.org/drawingml/2006/main">
                  <a:graphicData uri="http://schemas.microsoft.com/office/word/2010/wordprocessingShape">
                    <wps:wsp>
                      <wps:cNvSpPr/>
                      <wps:spPr>
                        <a:xfrm>
                          <a:off x="0" y="0"/>
                          <a:ext cx="1266825" cy="46672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4BF516" id="Ellipse 68" o:spid="_x0000_s1026" style="position:absolute;margin-left:97.15pt;margin-top:.7pt;width:99.75pt;height:36.75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" filled="f" strokecolor="#1f4d78 [1604]" strokeweight="1pt">
                <v:stroke joinstyle="miter"/>
              </v:oval>
            </w:pict>
          </mc:Fallback>
        </mc:AlternateContent>
      </w:r>
    </w:p>
    <w:p w14:paraId="6BE3D859" w14:textId="09B52A28" w:rsidR="00C737C1" w:rsidRDefault="00C737C1" w:rsidP="00C737C1">
      <w:pPr>
        <w:pBdr>
          <w:bottom w:val="single" w:sz="4" w:space="1" w:color="auto"/>
        </w:pBdr>
        <w:spacing w:after="0"/>
        <w:jc w:val="both"/>
        <w:rPr>
          <w:rFonts w:asciiTheme="majorHAnsi" w:hAnsiTheme="majorHAnsi" w:cstheme="majorHAnsi"/>
        </w:rPr>
      </w:pPr>
    </w:p>
    <w:p w14:paraId="6C63C286" w14:textId="6F0FFA7D" w:rsidR="00C737C1" w:rsidRDefault="00C737C1" w:rsidP="00C737C1">
      <w:pPr>
        <w:pBdr>
          <w:bottom w:val="single" w:sz="4" w:space="1" w:color="auto"/>
        </w:pBdr>
        <w:spacing w:after="0"/>
        <w:jc w:val="both"/>
        <w:rPr>
          <w:rFonts w:asciiTheme="majorHAnsi" w:hAnsiTheme="majorHAnsi" w:cstheme="majorHAnsi"/>
        </w:rPr>
      </w:pPr>
    </w:p>
    <w:p w14:paraId="56088BDF" w14:textId="071B04C4" w:rsidR="00C737C1" w:rsidRDefault="00767B91" w:rsidP="00C737C1">
      <w:pPr>
        <w:pBdr>
          <w:bottom w:val="single" w:sz="4" w:space="1" w:color="auto"/>
        </w:pBd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801600" behindDoc="0" locked="0" layoutInCell="1" allowOverlap="1" wp14:anchorId="03087038" wp14:editId="381DABB7">
                <wp:simplePos x="0" y="0"/>
                <wp:positionH relativeFrom="column">
                  <wp:posOffset>4319905</wp:posOffset>
                </wp:positionH>
                <wp:positionV relativeFrom="paragraph">
                  <wp:posOffset>133350</wp:posOffset>
                </wp:positionV>
                <wp:extent cx="914400" cy="285750"/>
                <wp:effectExtent l="0" t="0" r="0" b="0"/>
                <wp:wrapNone/>
                <wp:docPr id="95" name="Zone de texte 95"/>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60C877CC" w14:textId="77777777" w:rsidR="00BF43B9" w:rsidRDefault="00BF43B9" w:rsidP="00767B91">
                            <w:r>
                              <w:t>Banque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087038" id="Zone de texte 95" o:spid="_x0000_s1034" type="#_x0000_t202" style="position:absolute;left:0;text-align:left;margin-left:340.15pt;margin-top:10.5pt;width:1in;height:22.5pt;z-index:251801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" filled="f" stroked="f" strokeweight=".5pt">
                <v:textbox>
                  <w:txbxContent>
                    <w:p w14:paraId="60C877CC" w14:textId="77777777" w:rsidR="00BF43B9" w:rsidRDefault="00BF43B9" w:rsidP="00767B91">
                      <w:r>
                        <w:t>Banque</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99552" behindDoc="0" locked="0" layoutInCell="1" allowOverlap="1" wp14:anchorId="1A574CD6" wp14:editId="057C122E">
                <wp:simplePos x="0" y="0"/>
                <wp:positionH relativeFrom="column">
                  <wp:posOffset>3834130</wp:posOffset>
                </wp:positionH>
                <wp:positionV relativeFrom="paragraph">
                  <wp:posOffset>9525</wp:posOffset>
                </wp:positionV>
                <wp:extent cx="1457325" cy="504825"/>
                <wp:effectExtent l="0" t="0" r="28575" b="28575"/>
                <wp:wrapNone/>
                <wp:docPr id="94" name="Rectangle à coins arrondis 94"/>
                <wp:cNvGraphicFramePr/>
                <a:graphic xmlns:a="http://schemas.openxmlformats.org/drawingml/2006/main">
                  <a:graphicData uri="http://schemas.microsoft.com/office/word/2010/wordprocessingShape">
                    <wps:wsp>
                      <wps:cNvSpPr/>
                      <wps:spPr>
                        <a:xfrm>
                          <a:off x="0" y="0"/>
                          <a:ext cx="1457325" cy="5048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D7440F" id="Rectangle à coins arrondis 94" o:spid="_x0000_s1026" style="position:absolute;margin-left:301.9pt;margin-top:.75pt;width:114.75pt;height:39.75pt;z-index:251799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" filled="f" strokecolor="#1f4d78 [1604]" strokeweight="1pt">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91360" behindDoc="0" locked="0" layoutInCell="1" allowOverlap="1" wp14:anchorId="0DD61F05" wp14:editId="2ECA8B84">
                <wp:simplePos x="0" y="0"/>
                <wp:positionH relativeFrom="column">
                  <wp:posOffset>1803400</wp:posOffset>
                </wp:positionH>
                <wp:positionV relativeFrom="paragraph">
                  <wp:posOffset>9525</wp:posOffset>
                </wp:positionV>
                <wp:extent cx="190500" cy="704850"/>
                <wp:effectExtent l="19050" t="0" r="38100" b="38100"/>
                <wp:wrapNone/>
                <wp:docPr id="76" name="Flèche vers le bas 76"/>
                <wp:cNvGraphicFramePr/>
                <a:graphic xmlns:a="http://schemas.openxmlformats.org/drawingml/2006/main">
                  <a:graphicData uri="http://schemas.microsoft.com/office/word/2010/wordprocessingShape">
                    <wps:wsp>
                      <wps:cNvSpPr/>
                      <wps:spPr>
                        <a:xfrm>
                          <a:off x="0" y="0"/>
                          <a:ext cx="190500" cy="7048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A36BF7" id="Flèche vers le bas 76" o:spid="_x0000_s1026" type="#_x0000_t67" style="position:absolute;margin-left:142pt;margin-top:.75pt;width:15pt;height:55.5pt;z-index:25179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" adj="18681" fillcolor="#5b9bd5 [3204]" strokecolor="#1f4d78 [1604]" strokeweight="1pt"/>
            </w:pict>
          </mc:Fallback>
        </mc:AlternateContent>
      </w:r>
    </w:p>
    <w:p w14:paraId="6A4E4985" w14:textId="652420DA" w:rsidR="00C737C1" w:rsidRDefault="00767B91" w:rsidP="00C737C1">
      <w:pPr>
        <w:pBdr>
          <w:bottom w:val="single" w:sz="4" w:space="1" w:color="auto"/>
        </w:pBd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803648" behindDoc="0" locked="0" layoutInCell="1" allowOverlap="1" wp14:anchorId="12588BF5" wp14:editId="34DEF313">
                <wp:simplePos x="0" y="0"/>
                <wp:positionH relativeFrom="margin">
                  <wp:posOffset>2119630</wp:posOffset>
                </wp:positionH>
                <wp:positionV relativeFrom="paragraph">
                  <wp:posOffset>25400</wp:posOffset>
                </wp:positionV>
                <wp:extent cx="1633855" cy="171450"/>
                <wp:effectExtent l="19050" t="19050" r="23495" b="38100"/>
                <wp:wrapNone/>
                <wp:docPr id="96" name="Flèche gauche 96"/>
                <wp:cNvGraphicFramePr/>
                <a:graphic xmlns:a="http://schemas.openxmlformats.org/drawingml/2006/main">
                  <a:graphicData uri="http://schemas.microsoft.com/office/word/2010/wordprocessingShape">
                    <wps:wsp>
                      <wps:cNvSpPr/>
                      <wps:spPr>
                        <a:xfrm>
                          <a:off x="0" y="0"/>
                          <a:ext cx="1633855" cy="1714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822A16" id="Flèche gauche 96" o:spid="_x0000_s1026" type="#_x0000_t66" style="position:absolute;margin-left:166.9pt;margin-top:2pt;width:128.65pt;height:13.5pt;z-index:251803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" adj="1133" fillcolor="#5b9bd5 [3204]" strokecolor="#1f4d78 [1604]" strokeweight="1pt">
                <w10:wrap anchorx="margin"/>
              </v:shape>
            </w:pict>
          </mc:Fallback>
        </mc:AlternateContent>
      </w:r>
    </w:p>
    <w:p w14:paraId="4EAEE103" w14:textId="4E3B73A0" w:rsidR="00C737C1" w:rsidRDefault="00767B91" w:rsidP="00C737C1">
      <w:pPr>
        <w:pBdr>
          <w:bottom w:val="single" w:sz="4" w:space="1" w:color="auto"/>
        </w:pBd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805696" behindDoc="0" locked="0" layoutInCell="1" allowOverlap="1" wp14:anchorId="557FD18D" wp14:editId="2DFBFCDA">
                <wp:simplePos x="0" y="0"/>
                <wp:positionH relativeFrom="margin">
                  <wp:posOffset>2738755</wp:posOffset>
                </wp:positionH>
                <wp:positionV relativeFrom="paragraph">
                  <wp:posOffset>12700</wp:posOffset>
                </wp:positionV>
                <wp:extent cx="914400" cy="285750"/>
                <wp:effectExtent l="0" t="0" r="0" b="0"/>
                <wp:wrapNone/>
                <wp:docPr id="97" name="Zone de texte 97"/>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5AB68157" w14:textId="312B180B" w:rsidR="00BF43B9" w:rsidRDefault="00BF43B9" w:rsidP="00767B91">
                            <w:r>
                              <w:t>305 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7FD18D" id="Zone de texte 97" o:spid="_x0000_s1035" type="#_x0000_t202" style="position:absolute;left:0;text-align:left;margin-left:215.65pt;margin-top:1pt;width:1in;height:22.5pt;z-index:25180569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" filled="f" stroked="f" strokeweight=".5pt">
                <v:textbox>
                  <w:txbxContent>
                    <w:p w14:paraId="5AB68157" w14:textId="312B180B" w:rsidR="00BF43B9" w:rsidRDefault="00BF43B9" w:rsidP="00767B91">
                      <w:r>
                        <w:t>305 K€</w:t>
                      </w:r>
                    </w:p>
                  </w:txbxContent>
                </v:textbox>
                <w10:wrap anchorx="margin"/>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97504" behindDoc="0" locked="0" layoutInCell="1" allowOverlap="1" wp14:anchorId="3A3D5245" wp14:editId="38DADCC7">
                <wp:simplePos x="0" y="0"/>
                <wp:positionH relativeFrom="column">
                  <wp:posOffset>776605</wp:posOffset>
                </wp:positionH>
                <wp:positionV relativeFrom="paragraph">
                  <wp:posOffset>165100</wp:posOffset>
                </wp:positionV>
                <wp:extent cx="914400" cy="285750"/>
                <wp:effectExtent l="0" t="0" r="0" b="0"/>
                <wp:wrapNone/>
                <wp:docPr id="88" name="Zone de texte 88"/>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7B3A8A07" w14:textId="6D9F905D" w:rsidR="00BF43B9" w:rsidRDefault="00BF43B9" w:rsidP="00767B91">
                            <w:r>
                              <w:t>530 K€ - 100 %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3D5245" id="Zone de texte 88" o:spid="_x0000_s1036" type="#_x0000_t202" style="position:absolute;left:0;text-align:left;margin-left:61.15pt;margin-top:13pt;width:1in;height:22.5pt;z-index:251797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" filled="f" stroked="f" strokeweight=".5pt">
                <v:textbox>
                  <w:txbxContent>
                    <w:p w14:paraId="7B3A8A07" w14:textId="6D9F905D" w:rsidR="00BF43B9" w:rsidRDefault="00BF43B9" w:rsidP="00767B91">
                      <w:r>
                        <w:t>530 K€ - 100 %</w:t>
                      </w:r>
                    </w:p>
                  </w:txbxContent>
                </v:textbox>
              </v:shape>
            </w:pict>
          </mc:Fallback>
        </mc:AlternateContent>
      </w:r>
    </w:p>
    <w:p w14:paraId="2DFA5BA1" w14:textId="297BE5CF" w:rsidR="00C737C1" w:rsidRDefault="00C737C1" w:rsidP="00C737C1">
      <w:pPr>
        <w:pBdr>
          <w:bottom w:val="single" w:sz="4" w:space="1" w:color="auto"/>
        </w:pBdr>
        <w:spacing w:after="0"/>
        <w:jc w:val="both"/>
        <w:rPr>
          <w:rFonts w:asciiTheme="majorHAnsi" w:hAnsiTheme="majorHAnsi" w:cstheme="majorHAnsi"/>
        </w:rPr>
      </w:pPr>
    </w:p>
    <w:p w14:paraId="4773380D" w14:textId="4DEA3752" w:rsidR="00C737C1" w:rsidRDefault="00767B91" w:rsidP="00C737C1">
      <w:pPr>
        <w:pBdr>
          <w:bottom w:val="single" w:sz="4" w:space="1" w:color="auto"/>
        </w:pBd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95456" behindDoc="0" locked="0" layoutInCell="1" allowOverlap="1" wp14:anchorId="28A2FAE7" wp14:editId="7EA5A3A1">
                <wp:simplePos x="0" y="0"/>
                <wp:positionH relativeFrom="column">
                  <wp:posOffset>1681480</wp:posOffset>
                </wp:positionH>
                <wp:positionV relativeFrom="paragraph">
                  <wp:posOffset>149860</wp:posOffset>
                </wp:positionV>
                <wp:extent cx="914400" cy="285750"/>
                <wp:effectExtent l="0" t="0" r="0" b="0"/>
                <wp:wrapNone/>
                <wp:docPr id="87" name="Zone de texte 87"/>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700DF624" w14:textId="7B0F6BED" w:rsidR="00BF43B9" w:rsidRDefault="00BF43B9" w:rsidP="00767B91">
                            <w:r>
                              <w:t>Cible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A2FAE7" id="Zone de texte 87" o:spid="_x0000_s1037" type="#_x0000_t202" style="position:absolute;left:0;text-align:left;margin-left:132.4pt;margin-top:11.8pt;width:1in;height:22.5pt;z-index:251795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" filled="f" stroked="f" strokeweight=".5pt">
                <v:textbox>
                  <w:txbxContent>
                    <w:p w14:paraId="700DF624" w14:textId="7B0F6BED" w:rsidR="00BF43B9" w:rsidRDefault="00BF43B9" w:rsidP="00767B91">
                      <w:r>
                        <w:t>Cible</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93408" behindDoc="0" locked="0" layoutInCell="1" allowOverlap="1" wp14:anchorId="7995FD9A" wp14:editId="5948DE21">
                <wp:simplePos x="0" y="0"/>
                <wp:positionH relativeFrom="column">
                  <wp:posOffset>1281430</wp:posOffset>
                </wp:positionH>
                <wp:positionV relativeFrom="paragraph">
                  <wp:posOffset>54610</wp:posOffset>
                </wp:positionV>
                <wp:extent cx="1266825" cy="466725"/>
                <wp:effectExtent l="0" t="0" r="28575" b="28575"/>
                <wp:wrapNone/>
                <wp:docPr id="85" name="Ellipse 85"/>
                <wp:cNvGraphicFramePr/>
                <a:graphic xmlns:a="http://schemas.openxmlformats.org/drawingml/2006/main">
                  <a:graphicData uri="http://schemas.microsoft.com/office/word/2010/wordprocessingShape">
                    <wps:wsp>
                      <wps:cNvSpPr/>
                      <wps:spPr>
                        <a:xfrm>
                          <a:off x="0" y="0"/>
                          <a:ext cx="1266825" cy="46672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C7672C" id="Ellipse 85" o:spid="_x0000_s1026" style="position:absolute;margin-left:100.9pt;margin-top:4.3pt;width:99.75pt;height:36.75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" filled="f" strokecolor="#1f4d78 [1604]" strokeweight="1pt">
                <v:stroke joinstyle="miter"/>
              </v:oval>
            </w:pict>
          </mc:Fallback>
        </mc:AlternateContent>
      </w:r>
    </w:p>
    <w:p w14:paraId="13B078F4" w14:textId="51120FF2" w:rsidR="00C737C1" w:rsidRDefault="00C737C1" w:rsidP="00C737C1">
      <w:pPr>
        <w:pBdr>
          <w:bottom w:val="single" w:sz="4" w:space="1" w:color="auto"/>
        </w:pBdr>
        <w:spacing w:after="0"/>
        <w:jc w:val="both"/>
        <w:rPr>
          <w:rFonts w:asciiTheme="majorHAnsi" w:hAnsiTheme="majorHAnsi" w:cstheme="majorHAnsi"/>
        </w:rPr>
      </w:pPr>
    </w:p>
    <w:p w14:paraId="104C6F15" w14:textId="5D9F9394" w:rsidR="00C737C1" w:rsidRDefault="00C737C1" w:rsidP="00C737C1">
      <w:pPr>
        <w:pBdr>
          <w:bottom w:val="single" w:sz="4" w:space="1" w:color="auto"/>
        </w:pBdr>
        <w:spacing w:after="0"/>
        <w:jc w:val="both"/>
        <w:rPr>
          <w:rFonts w:asciiTheme="majorHAnsi" w:hAnsiTheme="majorHAnsi" w:cstheme="majorHAnsi"/>
        </w:rPr>
      </w:pPr>
    </w:p>
    <w:p w14:paraId="56A84657" w14:textId="2949E6FA" w:rsidR="00C737C1" w:rsidRDefault="00C737C1" w:rsidP="00C737C1">
      <w:pPr>
        <w:pBdr>
          <w:bottom w:val="single" w:sz="4" w:space="1" w:color="auto"/>
        </w:pBdr>
        <w:spacing w:after="0"/>
        <w:jc w:val="both"/>
        <w:rPr>
          <w:rFonts w:asciiTheme="majorHAnsi" w:hAnsiTheme="majorHAnsi" w:cstheme="majorHAnsi"/>
        </w:rPr>
      </w:pPr>
    </w:p>
    <w:p w14:paraId="5F5F9A0B" w14:textId="77777777" w:rsidR="00767B91" w:rsidRPr="00767B91" w:rsidRDefault="00767B91" w:rsidP="00767B91">
      <w:pPr>
        <w:spacing w:after="0"/>
        <w:ind w:firstLine="708"/>
        <w:jc w:val="both"/>
        <w:rPr>
          <w:rFonts w:asciiTheme="majorHAnsi" w:hAnsiTheme="majorHAnsi" w:cstheme="majorHAnsi"/>
        </w:rPr>
      </w:pPr>
      <w:r>
        <w:rPr>
          <w:rFonts w:asciiTheme="majorHAnsi" w:hAnsiTheme="majorHAnsi" w:cstheme="majorHAnsi"/>
        </w:rPr>
        <w:tab/>
      </w:r>
      <w:r w:rsidRPr="00767B91">
        <w:rPr>
          <w:rFonts w:asciiTheme="majorHAnsi" w:hAnsiTheme="majorHAnsi" w:cstheme="majorHAnsi"/>
        </w:rPr>
        <w:t>Dans ce schéma, on constate qu’avec un investissement de 100 000 euros, A se retrouve majoritaire d’une société valorisée 530 000 euros.</w:t>
      </w:r>
    </w:p>
    <w:p w14:paraId="71A590C7" w14:textId="77777777" w:rsidR="00767B91" w:rsidRPr="00767B91" w:rsidRDefault="00767B91" w:rsidP="00767B91">
      <w:pPr>
        <w:spacing w:after="0"/>
        <w:ind w:firstLine="708"/>
        <w:jc w:val="both"/>
        <w:rPr>
          <w:rFonts w:asciiTheme="majorHAnsi" w:hAnsiTheme="majorHAnsi" w:cstheme="majorHAnsi"/>
        </w:rPr>
      </w:pPr>
      <w:r w:rsidRPr="00767B91">
        <w:rPr>
          <w:rFonts w:asciiTheme="majorHAnsi" w:hAnsiTheme="majorHAnsi" w:cstheme="majorHAnsi"/>
        </w:rPr>
        <w:t>Pour une acquisition directe de la société cible, il lui aurait fallu, en principe, investir au moins 265 000 euros pour bénéficier d’au moins la moitié du capital.</w:t>
      </w:r>
    </w:p>
    <w:p w14:paraId="1086193E" w14:textId="17BDAF4C" w:rsidR="00C737C1" w:rsidRPr="00C737C1" w:rsidRDefault="00C737C1" w:rsidP="00C737C1">
      <w:pPr>
        <w:pBdr>
          <w:bottom w:val="single" w:sz="4" w:space="1" w:color="auto"/>
        </w:pBdr>
        <w:spacing w:after="0"/>
        <w:jc w:val="both"/>
        <w:rPr>
          <w:rFonts w:ascii="Times New Roman" w:eastAsia="Times New Roman" w:hAnsi="Times New Roman" w:cs="Times New Roman"/>
          <w:sz w:val="24"/>
          <w:szCs w:val="24"/>
          <w:lang w:eastAsia="fr-FR"/>
        </w:rPr>
      </w:pPr>
    </w:p>
    <w:p w14:paraId="03E5A2FA" w14:textId="63FC2831" w:rsidR="00962D6B" w:rsidRDefault="00962D6B" w:rsidP="00C737C1">
      <w:pPr>
        <w:spacing w:after="0"/>
        <w:jc w:val="both"/>
        <w:rPr>
          <w:rFonts w:asciiTheme="majorHAnsi" w:hAnsiTheme="majorHAnsi" w:cstheme="majorHAnsi"/>
        </w:rPr>
      </w:pPr>
    </w:p>
    <w:p w14:paraId="631AB8CC" w14:textId="4584770D" w:rsidR="00962D6B" w:rsidRDefault="00962D6B" w:rsidP="00962D6B">
      <w:pPr>
        <w:spacing w:after="0"/>
        <w:ind w:firstLine="708"/>
        <w:jc w:val="both"/>
        <w:rPr>
          <w:rFonts w:asciiTheme="majorHAnsi" w:hAnsiTheme="majorHAnsi" w:cstheme="majorHAnsi"/>
        </w:rPr>
      </w:pPr>
    </w:p>
    <w:p w14:paraId="0FE4A867" w14:textId="4E38477C" w:rsidR="00C32D9B" w:rsidRDefault="00C32D9B" w:rsidP="00C32D9B">
      <w:pPr>
        <w:pStyle w:val="Paragraphedeliste"/>
        <w:numPr>
          <w:ilvl w:val="0"/>
          <w:numId w:val="20"/>
        </w:numPr>
        <w:spacing w:after="0"/>
        <w:jc w:val="both"/>
        <w:rPr>
          <w:rFonts w:asciiTheme="majorHAnsi" w:hAnsiTheme="majorHAnsi" w:cstheme="majorHAnsi"/>
        </w:rPr>
      </w:pPr>
      <w:r>
        <w:rPr>
          <w:rFonts w:asciiTheme="majorHAnsi" w:hAnsiTheme="majorHAnsi" w:cstheme="majorHAnsi"/>
        </w:rPr>
        <w:t xml:space="preserve">Effet de </w:t>
      </w:r>
      <w:r w:rsidR="00324506">
        <w:rPr>
          <w:rFonts w:asciiTheme="majorHAnsi" w:hAnsiTheme="majorHAnsi" w:cstheme="majorHAnsi"/>
        </w:rPr>
        <w:t>_______________________</w:t>
      </w:r>
    </w:p>
    <w:p w14:paraId="67B7F71C" w14:textId="178FE6DC" w:rsidR="00C32D9B" w:rsidRDefault="00C32D9B" w:rsidP="00C32D9B">
      <w:pPr>
        <w:pStyle w:val="Paragraphedeliste"/>
        <w:spacing w:after="0"/>
        <w:jc w:val="both"/>
        <w:rPr>
          <w:rFonts w:asciiTheme="majorHAnsi" w:hAnsiTheme="majorHAnsi" w:cstheme="majorHAnsi"/>
        </w:rPr>
      </w:pPr>
    </w:p>
    <w:p w14:paraId="069838CD" w14:textId="25CA3E01" w:rsidR="00C32D9B" w:rsidRDefault="00C32D9B" w:rsidP="00C32D9B">
      <w:pPr>
        <w:pStyle w:val="Paragraphedeliste"/>
        <w:spacing w:after="0"/>
        <w:jc w:val="both"/>
        <w:rPr>
          <w:rFonts w:asciiTheme="majorHAnsi" w:hAnsiTheme="majorHAnsi" w:cstheme="majorHAnsi"/>
        </w:rPr>
      </w:pPr>
      <w:r>
        <w:rPr>
          <w:rFonts w:asciiTheme="majorHAnsi" w:hAnsiTheme="majorHAnsi" w:cstheme="majorHAnsi"/>
        </w:rPr>
        <w:t>Il s’agit d’utiliser le montage en holding afin de décupler la rentabilité des capitaux propres par le recours à l’emprunt bancaire. L’objectif est de bénéficier d’un coût de l’endettement inférieur à la rentabilité économique (cf. chapitre Analyse de la Rentabilité).</w:t>
      </w:r>
    </w:p>
    <w:p w14:paraId="5AB981C8" w14:textId="19B4B232" w:rsidR="00C32D9B" w:rsidRDefault="00C32D9B" w:rsidP="00C32D9B">
      <w:pPr>
        <w:pStyle w:val="Paragraphedeliste"/>
        <w:spacing w:after="0"/>
        <w:jc w:val="both"/>
        <w:rPr>
          <w:rFonts w:asciiTheme="majorHAnsi" w:hAnsiTheme="majorHAnsi" w:cstheme="majorHAnsi"/>
        </w:rPr>
      </w:pPr>
    </w:p>
    <w:p w14:paraId="4424E827" w14:textId="5C9F150E" w:rsidR="00C32D9B" w:rsidRDefault="00C32D9B" w:rsidP="00C32D9B">
      <w:pPr>
        <w:spacing w:after="0"/>
        <w:jc w:val="both"/>
        <w:rPr>
          <w:rFonts w:asciiTheme="majorHAnsi" w:hAnsiTheme="majorHAnsi" w:cstheme="majorHAnsi"/>
        </w:rPr>
      </w:pPr>
    </w:p>
    <w:p w14:paraId="5DF79C04" w14:textId="03AAFF01" w:rsidR="00C32D9B" w:rsidRDefault="00C32D9B" w:rsidP="00912E90">
      <w:pPr>
        <w:pBdr>
          <w:top w:val="single" w:sz="4" w:space="1" w:color="auto"/>
        </w:pBdr>
        <w:spacing w:after="0"/>
        <w:jc w:val="both"/>
        <w:rPr>
          <w:rFonts w:asciiTheme="majorHAnsi" w:hAnsiTheme="majorHAnsi" w:cstheme="majorHAnsi"/>
        </w:rPr>
      </w:pPr>
      <w:r>
        <w:rPr>
          <w:rFonts w:asciiTheme="majorHAnsi" w:hAnsiTheme="majorHAnsi" w:cstheme="majorHAnsi"/>
        </w:rPr>
        <w:tab/>
        <w:t xml:space="preserve">Exemple </w:t>
      </w:r>
    </w:p>
    <w:p w14:paraId="52057293" w14:textId="145682CB" w:rsidR="00C32D9B" w:rsidRDefault="00C32D9B" w:rsidP="00912E90">
      <w:pPr>
        <w:pBdr>
          <w:bottom w:val="single" w:sz="4" w:space="1" w:color="auto"/>
        </w:pBdr>
        <w:spacing w:after="0"/>
        <w:jc w:val="both"/>
        <w:rPr>
          <w:rFonts w:asciiTheme="majorHAnsi" w:hAnsiTheme="majorHAnsi" w:cstheme="majorHAnsi"/>
        </w:rPr>
      </w:pPr>
      <w:r>
        <w:rPr>
          <w:rFonts w:asciiTheme="majorHAnsi" w:hAnsiTheme="majorHAnsi" w:cstheme="majorHAnsi"/>
        </w:rPr>
        <w:tab/>
        <w:t xml:space="preserve">Dans l’exemple précédent, la personne A prend le contrôle de la cible valant 530 K€ grâce à un investissement initial de 100 K€. Elle bénéficie, notamment de deux prêts de 355 K€.  Si le coût de l’endettement est inférieur à </w:t>
      </w:r>
      <w:r w:rsidR="00912E90">
        <w:rPr>
          <w:rFonts w:asciiTheme="majorHAnsi" w:hAnsiTheme="majorHAnsi" w:cstheme="majorHAnsi"/>
        </w:rPr>
        <w:t>celui de la rentabilité économique de l’opération, alors l’investisseur A aura bénéficié d’un effet de levier financier.</w:t>
      </w:r>
    </w:p>
    <w:p w14:paraId="55E47339" w14:textId="38252481" w:rsidR="00912E90" w:rsidRDefault="00912E90" w:rsidP="00C32D9B">
      <w:pPr>
        <w:spacing w:after="0"/>
        <w:jc w:val="both"/>
        <w:rPr>
          <w:rFonts w:asciiTheme="majorHAnsi" w:hAnsiTheme="majorHAnsi" w:cstheme="majorHAnsi"/>
        </w:rPr>
      </w:pPr>
    </w:p>
    <w:p w14:paraId="03F637B1" w14:textId="0B2B393E" w:rsidR="00912E90" w:rsidRDefault="00912E90" w:rsidP="00912E90">
      <w:pPr>
        <w:pStyle w:val="Paragraphedeliste"/>
        <w:numPr>
          <w:ilvl w:val="0"/>
          <w:numId w:val="20"/>
        </w:numPr>
        <w:spacing w:after="0"/>
        <w:jc w:val="both"/>
        <w:rPr>
          <w:rFonts w:asciiTheme="majorHAnsi" w:hAnsiTheme="majorHAnsi" w:cstheme="majorHAnsi"/>
        </w:rPr>
      </w:pPr>
      <w:r>
        <w:rPr>
          <w:rFonts w:asciiTheme="majorHAnsi" w:hAnsiTheme="majorHAnsi" w:cstheme="majorHAnsi"/>
        </w:rPr>
        <w:lastRenderedPageBreak/>
        <w:t xml:space="preserve">Effet de </w:t>
      </w:r>
      <w:r w:rsidR="00324506">
        <w:rPr>
          <w:rFonts w:asciiTheme="majorHAnsi" w:hAnsiTheme="majorHAnsi" w:cstheme="majorHAnsi"/>
        </w:rPr>
        <w:t>__________________</w:t>
      </w:r>
    </w:p>
    <w:p w14:paraId="69198C1E" w14:textId="14214DEB" w:rsidR="00912E90" w:rsidRDefault="00912E90" w:rsidP="00912E90">
      <w:pPr>
        <w:pStyle w:val="Paragraphedeliste"/>
        <w:spacing w:after="0"/>
        <w:jc w:val="both"/>
        <w:rPr>
          <w:rFonts w:asciiTheme="majorHAnsi" w:hAnsiTheme="majorHAnsi" w:cstheme="majorHAnsi"/>
        </w:rPr>
      </w:pPr>
    </w:p>
    <w:p w14:paraId="3380C344" w14:textId="63CE1FC4" w:rsidR="00912E90" w:rsidRPr="00912E90" w:rsidRDefault="00912E90" w:rsidP="00912E90">
      <w:pPr>
        <w:pStyle w:val="Paragraphedeliste"/>
        <w:spacing w:after="0"/>
        <w:jc w:val="both"/>
        <w:rPr>
          <w:rFonts w:asciiTheme="majorHAnsi" w:hAnsiTheme="majorHAnsi" w:cstheme="majorHAnsi"/>
        </w:rPr>
      </w:pPr>
      <w:r w:rsidRPr="00912E90">
        <w:rPr>
          <w:rFonts w:asciiTheme="majorHAnsi" w:hAnsiTheme="majorHAnsi" w:cstheme="majorHAnsi"/>
        </w:rPr>
        <w:t xml:space="preserve">L’effet de levier </w:t>
      </w:r>
      <w:r w:rsidR="00324506">
        <w:rPr>
          <w:rFonts w:asciiTheme="majorHAnsi" w:hAnsiTheme="majorHAnsi" w:cstheme="majorHAnsi"/>
        </w:rPr>
        <w:t>____________</w:t>
      </w:r>
      <w:r w:rsidRPr="00912E90">
        <w:rPr>
          <w:rFonts w:asciiTheme="majorHAnsi" w:hAnsiTheme="majorHAnsi" w:cstheme="majorHAnsi"/>
        </w:rPr>
        <w:t xml:space="preserve"> trouve sa consistance dans trois dispositifs qui peuvent être appliqués à un tel montage :</w:t>
      </w:r>
    </w:p>
    <w:p w14:paraId="6DCFC943" w14:textId="1F208BD6" w:rsidR="00912E90" w:rsidRPr="00912E90" w:rsidRDefault="00912E90" w:rsidP="00912E90">
      <w:pPr>
        <w:pStyle w:val="Paragraphedeliste"/>
        <w:numPr>
          <w:ilvl w:val="0"/>
          <w:numId w:val="25"/>
        </w:numPr>
        <w:spacing w:after="0"/>
        <w:jc w:val="both"/>
        <w:rPr>
          <w:rFonts w:asciiTheme="majorHAnsi" w:hAnsiTheme="majorHAnsi" w:cstheme="majorHAnsi"/>
        </w:rPr>
      </w:pPr>
      <w:r w:rsidRPr="00912E90">
        <w:rPr>
          <w:rFonts w:asciiTheme="majorHAnsi" w:hAnsiTheme="majorHAnsi" w:cstheme="majorHAnsi"/>
        </w:rPr>
        <w:t>Le régime mère-fille : permet une quasi-exonération fiscale lors de la remontée des dividendes de la société cible vers la holding de reprise</w:t>
      </w:r>
    </w:p>
    <w:p w14:paraId="57690D12" w14:textId="3CAD327D" w:rsidR="00912E90" w:rsidRPr="00912E90" w:rsidRDefault="00912E90" w:rsidP="00912E90">
      <w:pPr>
        <w:pStyle w:val="Paragraphedeliste"/>
        <w:numPr>
          <w:ilvl w:val="0"/>
          <w:numId w:val="25"/>
        </w:numPr>
        <w:spacing w:after="0"/>
        <w:jc w:val="both"/>
        <w:rPr>
          <w:rFonts w:asciiTheme="majorHAnsi" w:hAnsiTheme="majorHAnsi" w:cstheme="majorHAnsi"/>
        </w:rPr>
      </w:pPr>
      <w:r w:rsidRPr="00912E90">
        <w:rPr>
          <w:rFonts w:asciiTheme="majorHAnsi" w:hAnsiTheme="majorHAnsi" w:cstheme="majorHAnsi"/>
        </w:rPr>
        <w:t>La déduction fiscale des intérêts d’emprunt au niveau de la holding</w:t>
      </w:r>
    </w:p>
    <w:p w14:paraId="74273D95" w14:textId="51F4C547" w:rsidR="00912E90" w:rsidRPr="00912E90" w:rsidRDefault="00912E90" w:rsidP="00912E90">
      <w:pPr>
        <w:pStyle w:val="Paragraphedeliste"/>
        <w:numPr>
          <w:ilvl w:val="0"/>
          <w:numId w:val="25"/>
        </w:numPr>
        <w:spacing w:after="0"/>
        <w:jc w:val="both"/>
        <w:rPr>
          <w:rFonts w:asciiTheme="majorHAnsi" w:hAnsiTheme="majorHAnsi" w:cstheme="majorHAnsi"/>
        </w:rPr>
      </w:pPr>
      <w:r w:rsidRPr="00912E90">
        <w:rPr>
          <w:rFonts w:asciiTheme="majorHAnsi" w:hAnsiTheme="majorHAnsi" w:cstheme="majorHAnsi"/>
        </w:rPr>
        <w:t>Le régime de l’intégration fiscale : permet, en cas de détention de la société cible par la holding de reprise à plus de 95%, de rendre la société tête de groupe seule redevable de l’impôt. Ce régime permet également d’exonérer totalement la remontée des dividendes et de procéder à l’imputation des déficits du groupe.</w:t>
      </w:r>
    </w:p>
    <w:p w14:paraId="5CB6DCE1" w14:textId="6B177604" w:rsidR="00912E90" w:rsidRDefault="00912E90" w:rsidP="00912E90">
      <w:pPr>
        <w:pStyle w:val="Paragraphedeliste"/>
        <w:spacing w:after="0"/>
        <w:jc w:val="both"/>
        <w:rPr>
          <w:rFonts w:asciiTheme="majorHAnsi" w:hAnsiTheme="majorHAnsi" w:cstheme="majorHAnsi"/>
        </w:rPr>
      </w:pPr>
    </w:p>
    <w:p w14:paraId="7E176EBC" w14:textId="4426906C" w:rsidR="00912E90" w:rsidRDefault="00912E90" w:rsidP="00912E90">
      <w:pPr>
        <w:spacing w:after="0"/>
        <w:jc w:val="both"/>
        <w:rPr>
          <w:rFonts w:asciiTheme="majorHAnsi" w:hAnsiTheme="majorHAnsi" w:cstheme="majorHAnsi"/>
        </w:rPr>
      </w:pPr>
    </w:p>
    <w:p w14:paraId="2E526208" w14:textId="18AE7237" w:rsidR="00912E90" w:rsidRDefault="00912E90" w:rsidP="00912E90">
      <w:pPr>
        <w:pStyle w:val="Paragraphedeliste"/>
        <w:numPr>
          <w:ilvl w:val="1"/>
          <w:numId w:val="6"/>
        </w:numPr>
        <w:spacing w:after="0"/>
        <w:jc w:val="both"/>
        <w:rPr>
          <w:rFonts w:asciiTheme="majorHAnsi" w:hAnsiTheme="majorHAnsi" w:cstheme="majorHAnsi"/>
          <w:b/>
        </w:rPr>
      </w:pPr>
      <w:r>
        <w:rPr>
          <w:rFonts w:asciiTheme="majorHAnsi" w:hAnsiTheme="majorHAnsi" w:cstheme="majorHAnsi"/>
          <w:b/>
        </w:rPr>
        <w:t>La mise en place d’une opération à effet de levier (</w:t>
      </w:r>
      <w:proofErr w:type="spellStart"/>
      <w:r>
        <w:rPr>
          <w:rFonts w:asciiTheme="majorHAnsi" w:hAnsiTheme="majorHAnsi" w:cstheme="majorHAnsi"/>
          <w:b/>
        </w:rPr>
        <w:t>leverage</w:t>
      </w:r>
      <w:r w:rsidR="001923E8">
        <w:rPr>
          <w:rFonts w:asciiTheme="majorHAnsi" w:hAnsiTheme="majorHAnsi" w:cstheme="majorHAnsi"/>
          <w:b/>
        </w:rPr>
        <w:t>d</w:t>
      </w:r>
      <w:proofErr w:type="spellEnd"/>
      <w:r>
        <w:rPr>
          <w:rFonts w:asciiTheme="majorHAnsi" w:hAnsiTheme="majorHAnsi" w:cstheme="majorHAnsi"/>
          <w:b/>
        </w:rPr>
        <w:t xml:space="preserve"> </w:t>
      </w:r>
      <w:proofErr w:type="spellStart"/>
      <w:r>
        <w:rPr>
          <w:rFonts w:asciiTheme="majorHAnsi" w:hAnsiTheme="majorHAnsi" w:cstheme="majorHAnsi"/>
          <w:b/>
        </w:rPr>
        <w:t>buy</w:t>
      </w:r>
      <w:proofErr w:type="spellEnd"/>
      <w:r>
        <w:rPr>
          <w:rFonts w:asciiTheme="majorHAnsi" w:hAnsiTheme="majorHAnsi" w:cstheme="majorHAnsi"/>
          <w:b/>
        </w:rPr>
        <w:t>-out – LBO)</w:t>
      </w:r>
    </w:p>
    <w:p w14:paraId="499120DC" w14:textId="26CDFAF5" w:rsidR="00912E90" w:rsidRDefault="00912E90" w:rsidP="00912E90">
      <w:pPr>
        <w:spacing w:after="0"/>
        <w:jc w:val="both"/>
        <w:rPr>
          <w:rFonts w:asciiTheme="majorHAnsi" w:hAnsiTheme="majorHAnsi" w:cstheme="majorHAnsi"/>
          <w:b/>
        </w:rPr>
      </w:pPr>
    </w:p>
    <w:p w14:paraId="47215FC5" w14:textId="599E0A5F" w:rsidR="00912E90" w:rsidRPr="00912E90" w:rsidRDefault="001923E8" w:rsidP="00912E90">
      <w:pPr>
        <w:pStyle w:val="Paragraphedeliste"/>
        <w:numPr>
          <w:ilvl w:val="2"/>
          <w:numId w:val="6"/>
        </w:numPr>
        <w:spacing w:after="0"/>
        <w:jc w:val="both"/>
        <w:rPr>
          <w:rFonts w:asciiTheme="majorHAnsi" w:hAnsiTheme="majorHAnsi" w:cstheme="majorHAnsi"/>
        </w:rPr>
      </w:pPr>
      <w:r>
        <w:rPr>
          <w:rFonts w:asciiTheme="majorHAnsi" w:hAnsiTheme="majorHAnsi" w:cstheme="majorHAnsi"/>
        </w:rPr>
        <w:t>Définition du</w:t>
      </w:r>
      <w:r w:rsidR="00912E90" w:rsidRPr="00912E90">
        <w:rPr>
          <w:rFonts w:asciiTheme="majorHAnsi" w:hAnsiTheme="majorHAnsi" w:cstheme="majorHAnsi"/>
        </w:rPr>
        <w:t xml:space="preserve"> LBO</w:t>
      </w:r>
    </w:p>
    <w:p w14:paraId="11447700" w14:textId="4FD3DAD8" w:rsidR="00912E90" w:rsidRDefault="00912E90" w:rsidP="00912E90">
      <w:pPr>
        <w:spacing w:after="0"/>
        <w:jc w:val="both"/>
        <w:rPr>
          <w:rFonts w:asciiTheme="majorHAnsi" w:hAnsiTheme="majorHAnsi" w:cstheme="majorHAnsi"/>
        </w:rPr>
      </w:pPr>
    </w:p>
    <w:p w14:paraId="347C0109" w14:textId="77777777" w:rsidR="00EA01CA" w:rsidRDefault="00912E90" w:rsidP="00912E90">
      <w:pPr>
        <w:spacing w:after="0"/>
        <w:ind w:left="708"/>
        <w:jc w:val="both"/>
        <w:rPr>
          <w:rFonts w:asciiTheme="majorHAnsi" w:hAnsiTheme="majorHAnsi" w:cstheme="majorHAnsi"/>
        </w:rPr>
      </w:pPr>
      <w:r>
        <w:rPr>
          <w:rFonts w:asciiTheme="majorHAnsi" w:hAnsiTheme="majorHAnsi" w:cstheme="majorHAnsi"/>
          <w:u w:val="single"/>
        </w:rPr>
        <w:t>Définition :</w:t>
      </w:r>
      <w:r w:rsidR="00EA01CA">
        <w:rPr>
          <w:rFonts w:asciiTheme="majorHAnsi" w:hAnsiTheme="majorHAnsi" w:cstheme="majorHAnsi"/>
        </w:rPr>
        <w:t xml:space="preserve"> un LBO est un montage qui vise à racheter une société cible en profitant de divers effets de leviers (financier principalement mais aussi juridique et fiscal) en utilisant une société holding. </w:t>
      </w:r>
    </w:p>
    <w:p w14:paraId="0BCE54E2" w14:textId="77777777" w:rsidR="00EA01CA" w:rsidRDefault="00EA01CA" w:rsidP="00912E90">
      <w:pPr>
        <w:spacing w:after="0"/>
        <w:ind w:left="708"/>
        <w:jc w:val="both"/>
        <w:rPr>
          <w:rFonts w:asciiTheme="majorHAnsi" w:hAnsiTheme="majorHAnsi" w:cstheme="majorHAnsi"/>
        </w:rPr>
      </w:pPr>
    </w:p>
    <w:p w14:paraId="0D7F7E04" w14:textId="441A505B" w:rsidR="00912E90" w:rsidRDefault="00EA01CA" w:rsidP="00EA01CA">
      <w:pPr>
        <w:spacing w:after="0"/>
        <w:ind w:firstLine="708"/>
        <w:jc w:val="both"/>
        <w:rPr>
          <w:rFonts w:asciiTheme="majorHAnsi" w:hAnsiTheme="majorHAnsi" w:cstheme="majorHAnsi"/>
        </w:rPr>
      </w:pPr>
      <w:r>
        <w:rPr>
          <w:rFonts w:asciiTheme="majorHAnsi" w:hAnsiTheme="majorHAnsi" w:cstheme="majorHAnsi"/>
        </w:rPr>
        <w:t xml:space="preserve">Dans ce type d’opération un ou des repreneurs, à l’origine de l’opération, créent ou utilisent une société holding afin de racheter une société cible. Ils font appel à des investisseurs pour financer l’opération car ils ne financent pas en totalité le montant de l’acquisition. </w:t>
      </w:r>
    </w:p>
    <w:p w14:paraId="40898302" w14:textId="77777777" w:rsidR="00EA01CA" w:rsidRDefault="00EA01CA" w:rsidP="00EA01CA">
      <w:pPr>
        <w:spacing w:after="0"/>
        <w:ind w:firstLine="708"/>
        <w:jc w:val="both"/>
        <w:rPr>
          <w:rFonts w:asciiTheme="majorHAnsi" w:hAnsiTheme="majorHAnsi" w:cstheme="majorHAnsi"/>
        </w:rPr>
      </w:pPr>
    </w:p>
    <w:p w14:paraId="04844A93" w14:textId="5EA71D62" w:rsidR="00EA01CA" w:rsidRDefault="00EA01CA" w:rsidP="00EA01CA">
      <w:pPr>
        <w:spacing w:after="0"/>
        <w:ind w:firstLine="708"/>
        <w:jc w:val="both"/>
        <w:rPr>
          <w:rFonts w:asciiTheme="majorHAnsi" w:hAnsiTheme="majorHAnsi" w:cstheme="majorHAnsi"/>
        </w:rPr>
      </w:pPr>
      <w:r>
        <w:rPr>
          <w:rFonts w:asciiTheme="majorHAnsi" w:hAnsiTheme="majorHAnsi" w:cstheme="majorHAnsi"/>
        </w:rPr>
        <w:t>En effet, le prix d’acquisition est financé par :</w:t>
      </w:r>
    </w:p>
    <w:p w14:paraId="4C1F107E" w14:textId="26D67445" w:rsidR="00EA01CA" w:rsidRDefault="00EA01CA" w:rsidP="00EA01CA">
      <w:pPr>
        <w:pStyle w:val="Paragraphedeliste"/>
        <w:numPr>
          <w:ilvl w:val="0"/>
          <w:numId w:val="25"/>
        </w:numPr>
        <w:spacing w:after="0"/>
        <w:jc w:val="both"/>
        <w:rPr>
          <w:rFonts w:asciiTheme="majorHAnsi" w:hAnsiTheme="majorHAnsi" w:cstheme="majorHAnsi"/>
        </w:rPr>
      </w:pPr>
      <w:r>
        <w:rPr>
          <w:rFonts w:asciiTheme="majorHAnsi" w:hAnsiTheme="majorHAnsi" w:cstheme="majorHAnsi"/>
        </w:rPr>
        <w:t>Les fonds propres de la holding ;</w:t>
      </w:r>
    </w:p>
    <w:p w14:paraId="0C37416D" w14:textId="1035528F" w:rsidR="00EA01CA" w:rsidRDefault="00EA01CA" w:rsidP="00EA01CA">
      <w:pPr>
        <w:pStyle w:val="Paragraphedeliste"/>
        <w:numPr>
          <w:ilvl w:val="0"/>
          <w:numId w:val="25"/>
        </w:numPr>
        <w:spacing w:after="0"/>
        <w:jc w:val="both"/>
        <w:rPr>
          <w:rFonts w:asciiTheme="majorHAnsi" w:hAnsiTheme="majorHAnsi" w:cstheme="majorHAnsi"/>
        </w:rPr>
      </w:pPr>
      <w:r>
        <w:rPr>
          <w:rFonts w:asciiTheme="majorHAnsi" w:hAnsiTheme="majorHAnsi" w:cstheme="majorHAnsi"/>
        </w:rPr>
        <w:t>Et surtout par la contraction d’un emprunt bancaire (</w:t>
      </w:r>
      <w:r w:rsidR="00324506">
        <w:rPr>
          <w:rFonts w:asciiTheme="majorHAnsi" w:hAnsiTheme="majorHAnsi" w:cstheme="majorHAnsi"/>
        </w:rPr>
        <w:t>______________</w:t>
      </w:r>
      <w:r>
        <w:rPr>
          <w:rFonts w:asciiTheme="majorHAnsi" w:hAnsiTheme="majorHAnsi" w:cstheme="majorHAnsi"/>
        </w:rPr>
        <w:t>). Ce dernier pouvant s’élever à des montants très importants et dont le remboursement s’opère en priorité sur les autres dettes.</w:t>
      </w:r>
    </w:p>
    <w:p w14:paraId="27AC61C9" w14:textId="7673B64B" w:rsidR="00EA01CA" w:rsidRDefault="00EA01CA" w:rsidP="00EA01CA">
      <w:pPr>
        <w:spacing w:after="0"/>
        <w:ind w:left="708"/>
        <w:jc w:val="both"/>
        <w:rPr>
          <w:rFonts w:asciiTheme="majorHAnsi" w:hAnsiTheme="majorHAnsi" w:cstheme="majorHAnsi"/>
        </w:rPr>
      </w:pPr>
    </w:p>
    <w:p w14:paraId="502561E4" w14:textId="0C0997F5" w:rsidR="00EA01CA" w:rsidRDefault="00EA01CA" w:rsidP="00EA01CA">
      <w:pPr>
        <w:spacing w:after="0"/>
        <w:ind w:firstLine="708"/>
        <w:jc w:val="both"/>
        <w:rPr>
          <w:rFonts w:asciiTheme="majorHAnsi" w:hAnsiTheme="majorHAnsi" w:cstheme="majorHAnsi"/>
        </w:rPr>
      </w:pPr>
      <w:r>
        <w:rPr>
          <w:rFonts w:asciiTheme="majorHAnsi" w:hAnsiTheme="majorHAnsi" w:cstheme="majorHAnsi"/>
        </w:rPr>
        <w:t xml:space="preserve">Le remboursement de cette dette s’effectue grâce </w:t>
      </w:r>
      <w:r w:rsidR="00426F2A">
        <w:rPr>
          <w:rFonts w:asciiTheme="majorHAnsi" w:hAnsiTheme="majorHAnsi" w:cstheme="majorHAnsi"/>
        </w:rPr>
        <w:t>_______________________________</w:t>
      </w:r>
      <w:r>
        <w:rPr>
          <w:rFonts w:asciiTheme="majorHAnsi" w:hAnsiTheme="majorHAnsi" w:cstheme="majorHAnsi"/>
        </w:rPr>
        <w:t xml:space="preserve"> de la société cible, ce qui met une pression financière importante sur celle-ci. </w:t>
      </w:r>
    </w:p>
    <w:p w14:paraId="167F57A7" w14:textId="77777777" w:rsidR="00912E90" w:rsidRPr="00912E90" w:rsidRDefault="00912E90" w:rsidP="00912E90">
      <w:pPr>
        <w:spacing w:after="0"/>
        <w:jc w:val="both"/>
        <w:rPr>
          <w:rFonts w:asciiTheme="majorHAnsi" w:hAnsiTheme="majorHAnsi" w:cstheme="majorHAnsi"/>
        </w:rPr>
      </w:pPr>
    </w:p>
    <w:p w14:paraId="7726422E" w14:textId="77777777" w:rsidR="00912E90" w:rsidRPr="00912E90" w:rsidRDefault="00912E90" w:rsidP="00912E90">
      <w:pPr>
        <w:pStyle w:val="Paragraphedeliste"/>
        <w:spacing w:after="0"/>
        <w:jc w:val="both"/>
        <w:rPr>
          <w:rFonts w:asciiTheme="majorHAnsi" w:hAnsiTheme="majorHAnsi" w:cstheme="majorHAnsi"/>
          <w:b/>
        </w:rPr>
      </w:pPr>
    </w:p>
    <w:p w14:paraId="295B7E2D" w14:textId="3558855C" w:rsidR="00962D6B" w:rsidRDefault="00962D6B" w:rsidP="001923E8">
      <w:pPr>
        <w:spacing w:after="0"/>
        <w:ind w:firstLine="708"/>
        <w:jc w:val="both"/>
        <w:rPr>
          <w:rFonts w:asciiTheme="majorHAnsi" w:hAnsiTheme="majorHAnsi" w:cstheme="majorHAnsi"/>
        </w:rPr>
      </w:pPr>
      <w:r>
        <w:rPr>
          <w:rFonts w:asciiTheme="majorHAnsi" w:hAnsiTheme="majorHAnsi" w:cstheme="majorHAnsi"/>
        </w:rPr>
        <w:t>2.</w:t>
      </w:r>
      <w:r w:rsidR="001923E8">
        <w:rPr>
          <w:rFonts w:asciiTheme="majorHAnsi" w:hAnsiTheme="majorHAnsi" w:cstheme="majorHAnsi"/>
        </w:rPr>
        <w:t>2</w:t>
      </w:r>
      <w:r>
        <w:rPr>
          <w:rFonts w:asciiTheme="majorHAnsi" w:hAnsiTheme="majorHAnsi" w:cstheme="majorHAnsi"/>
        </w:rPr>
        <w:t xml:space="preserve">.2. Les </w:t>
      </w:r>
      <w:r w:rsidR="001923E8">
        <w:rPr>
          <w:rFonts w:asciiTheme="majorHAnsi" w:hAnsiTheme="majorHAnsi" w:cstheme="majorHAnsi"/>
        </w:rPr>
        <w:t xml:space="preserve">conditions </w:t>
      </w:r>
      <w:r w:rsidR="00716182">
        <w:rPr>
          <w:rFonts w:asciiTheme="majorHAnsi" w:hAnsiTheme="majorHAnsi" w:cstheme="majorHAnsi"/>
        </w:rPr>
        <w:t>optimales de la configuration de la cible</w:t>
      </w:r>
    </w:p>
    <w:p w14:paraId="2000D8D7" w14:textId="5B8B6F58" w:rsidR="00716182" w:rsidRDefault="00716182" w:rsidP="001923E8">
      <w:pPr>
        <w:spacing w:after="0"/>
        <w:ind w:firstLine="708"/>
        <w:jc w:val="both"/>
        <w:rPr>
          <w:rFonts w:asciiTheme="majorHAnsi" w:hAnsiTheme="majorHAnsi" w:cstheme="majorHAnsi"/>
        </w:rPr>
      </w:pPr>
    </w:p>
    <w:p w14:paraId="0F3B6880" w14:textId="3E28E88A" w:rsidR="00716182" w:rsidRDefault="00716182" w:rsidP="00716182">
      <w:pPr>
        <w:spacing w:after="0"/>
        <w:jc w:val="both"/>
        <w:rPr>
          <w:rFonts w:asciiTheme="majorHAnsi" w:hAnsiTheme="majorHAnsi" w:cstheme="majorHAnsi"/>
        </w:rPr>
      </w:pPr>
      <w:r>
        <w:rPr>
          <w:rFonts w:asciiTheme="majorHAnsi" w:hAnsiTheme="majorHAnsi" w:cstheme="majorHAnsi"/>
        </w:rPr>
        <w:tab/>
        <w:t>Afin d’attirer d’éventuels repreneurs, les opérations de LBO doivent présenter une opportunité de retour sur investissement rapide. Certains critères sont particulièrement observés :</w:t>
      </w:r>
    </w:p>
    <w:p w14:paraId="426DC183" w14:textId="2DCC5811" w:rsidR="00716182" w:rsidRDefault="00716182" w:rsidP="00716182">
      <w:pPr>
        <w:pStyle w:val="Paragraphedeliste"/>
        <w:numPr>
          <w:ilvl w:val="0"/>
          <w:numId w:val="25"/>
        </w:numPr>
        <w:spacing w:after="0"/>
        <w:jc w:val="both"/>
        <w:rPr>
          <w:rFonts w:asciiTheme="majorHAnsi" w:hAnsiTheme="majorHAnsi" w:cstheme="majorHAnsi"/>
        </w:rPr>
      </w:pPr>
      <w:r>
        <w:rPr>
          <w:rFonts w:asciiTheme="majorHAnsi" w:hAnsiTheme="majorHAnsi" w:cstheme="majorHAnsi"/>
        </w:rPr>
        <w:t xml:space="preserve">La société cible doit être capable de dégager régulièrement des résultats élevés et une </w:t>
      </w:r>
      <w:r w:rsidR="0041708E">
        <w:rPr>
          <w:rFonts w:asciiTheme="majorHAnsi" w:hAnsiTheme="majorHAnsi" w:cstheme="majorHAnsi"/>
        </w:rPr>
        <w:t>__________________</w:t>
      </w:r>
      <w:r>
        <w:rPr>
          <w:rFonts w:asciiTheme="majorHAnsi" w:hAnsiTheme="majorHAnsi" w:cstheme="majorHAnsi"/>
        </w:rPr>
        <w:t xml:space="preserve"> suffisante afin de pouvoir verser à la holding des dividendes pour que cette dernière puisse rembourser ses dettes ;</w:t>
      </w:r>
    </w:p>
    <w:p w14:paraId="0080D991" w14:textId="7EBBE4C7" w:rsidR="00716182" w:rsidRDefault="00FC282E" w:rsidP="00716182">
      <w:pPr>
        <w:pStyle w:val="Paragraphedeliste"/>
        <w:numPr>
          <w:ilvl w:val="0"/>
          <w:numId w:val="25"/>
        </w:numPr>
        <w:spacing w:after="0"/>
        <w:jc w:val="both"/>
        <w:rPr>
          <w:rFonts w:asciiTheme="majorHAnsi" w:hAnsiTheme="majorHAnsi" w:cstheme="majorHAnsi"/>
        </w:rPr>
      </w:pPr>
      <w:r>
        <w:rPr>
          <w:rFonts w:asciiTheme="majorHAnsi" w:hAnsiTheme="majorHAnsi" w:cstheme="majorHAnsi"/>
        </w:rPr>
        <w:t xml:space="preserve">Son endettement doit être </w:t>
      </w:r>
      <w:r w:rsidR="0041708E">
        <w:rPr>
          <w:rFonts w:asciiTheme="majorHAnsi" w:hAnsiTheme="majorHAnsi" w:cstheme="majorHAnsi"/>
        </w:rPr>
        <w:t>________________</w:t>
      </w:r>
      <w:r>
        <w:rPr>
          <w:rFonts w:asciiTheme="majorHAnsi" w:hAnsiTheme="majorHAnsi" w:cstheme="majorHAnsi"/>
        </w:rPr>
        <w:t> ;</w:t>
      </w:r>
    </w:p>
    <w:p w14:paraId="77A5F453" w14:textId="63037416" w:rsidR="00FC282E" w:rsidRDefault="00FC282E" w:rsidP="00716182">
      <w:pPr>
        <w:pStyle w:val="Paragraphedeliste"/>
        <w:numPr>
          <w:ilvl w:val="0"/>
          <w:numId w:val="25"/>
        </w:numPr>
        <w:spacing w:after="0"/>
        <w:jc w:val="both"/>
        <w:rPr>
          <w:rFonts w:asciiTheme="majorHAnsi" w:hAnsiTheme="majorHAnsi" w:cstheme="majorHAnsi"/>
        </w:rPr>
      </w:pPr>
      <w:r>
        <w:rPr>
          <w:rFonts w:asciiTheme="majorHAnsi" w:hAnsiTheme="majorHAnsi" w:cstheme="majorHAnsi"/>
        </w:rPr>
        <w:t xml:space="preserve">La cible doit intervenir sur un marché </w:t>
      </w:r>
      <w:r w:rsidR="0041708E">
        <w:rPr>
          <w:rFonts w:asciiTheme="majorHAnsi" w:hAnsiTheme="majorHAnsi" w:cstheme="majorHAnsi"/>
        </w:rPr>
        <w:t>______________</w:t>
      </w:r>
      <w:r>
        <w:rPr>
          <w:rFonts w:asciiTheme="majorHAnsi" w:hAnsiTheme="majorHAnsi" w:cstheme="majorHAnsi"/>
        </w:rPr>
        <w:t> ;</w:t>
      </w:r>
    </w:p>
    <w:p w14:paraId="300F83C1" w14:textId="43C0DA92" w:rsidR="00FC282E" w:rsidRDefault="00FC282E" w:rsidP="00716182">
      <w:pPr>
        <w:pStyle w:val="Paragraphedeliste"/>
        <w:numPr>
          <w:ilvl w:val="0"/>
          <w:numId w:val="25"/>
        </w:numPr>
        <w:spacing w:after="0"/>
        <w:jc w:val="both"/>
        <w:rPr>
          <w:rFonts w:asciiTheme="majorHAnsi" w:hAnsiTheme="majorHAnsi" w:cstheme="majorHAnsi"/>
        </w:rPr>
      </w:pPr>
      <w:r>
        <w:rPr>
          <w:rFonts w:asciiTheme="majorHAnsi" w:hAnsiTheme="majorHAnsi" w:cstheme="majorHAnsi"/>
        </w:rPr>
        <w:t xml:space="preserve">Elle doit encadrer ses investissements réalisés et maîtriser l’évolution de son </w:t>
      </w:r>
      <w:r w:rsidR="0041708E">
        <w:rPr>
          <w:rFonts w:asciiTheme="majorHAnsi" w:hAnsiTheme="majorHAnsi" w:cstheme="majorHAnsi"/>
        </w:rPr>
        <w:t>_______________________________________________________</w:t>
      </w:r>
      <w:r>
        <w:rPr>
          <w:rFonts w:asciiTheme="majorHAnsi" w:hAnsiTheme="majorHAnsi" w:cstheme="majorHAnsi"/>
        </w:rPr>
        <w:t> ;</w:t>
      </w:r>
    </w:p>
    <w:p w14:paraId="6AD7338E" w14:textId="3D28556A" w:rsidR="00FC282E" w:rsidRDefault="00FC282E" w:rsidP="00716182">
      <w:pPr>
        <w:pStyle w:val="Paragraphedeliste"/>
        <w:numPr>
          <w:ilvl w:val="0"/>
          <w:numId w:val="25"/>
        </w:numPr>
        <w:spacing w:after="0"/>
        <w:jc w:val="both"/>
        <w:rPr>
          <w:rFonts w:asciiTheme="majorHAnsi" w:hAnsiTheme="majorHAnsi" w:cstheme="majorHAnsi"/>
        </w:rPr>
      </w:pPr>
      <w:r>
        <w:rPr>
          <w:rFonts w:asciiTheme="majorHAnsi" w:hAnsiTheme="majorHAnsi" w:cstheme="majorHAnsi"/>
        </w:rPr>
        <w:t>Sa croissance ne doit pas être trop importante dans le sens où elle est consommatrice de trésorerie, à la fois en matière de réalisation d’investissements et d’évolution de son BFR ;</w:t>
      </w:r>
    </w:p>
    <w:p w14:paraId="4F618B97" w14:textId="7F81D4F4" w:rsidR="00FC282E" w:rsidRDefault="00FC282E" w:rsidP="00716182">
      <w:pPr>
        <w:pStyle w:val="Paragraphedeliste"/>
        <w:numPr>
          <w:ilvl w:val="0"/>
          <w:numId w:val="25"/>
        </w:numPr>
        <w:spacing w:after="0"/>
        <w:jc w:val="both"/>
        <w:rPr>
          <w:rFonts w:asciiTheme="majorHAnsi" w:hAnsiTheme="majorHAnsi" w:cstheme="majorHAnsi"/>
        </w:rPr>
      </w:pPr>
      <w:r>
        <w:rPr>
          <w:rFonts w:asciiTheme="majorHAnsi" w:hAnsiTheme="majorHAnsi" w:cstheme="majorHAnsi"/>
        </w:rPr>
        <w:lastRenderedPageBreak/>
        <w:t>La valeur de la cible doit pouvoir être augmentée, aussi bien en interne (nouveaux produits, baisse des coûts…) qu’en externe (croissance externe, cession d’actifs…).</w:t>
      </w:r>
    </w:p>
    <w:p w14:paraId="32D39239" w14:textId="326C2C15" w:rsidR="00FC282E" w:rsidRDefault="00FC282E" w:rsidP="00FC282E">
      <w:pPr>
        <w:spacing w:after="0"/>
        <w:jc w:val="both"/>
        <w:rPr>
          <w:rFonts w:asciiTheme="majorHAnsi" w:hAnsiTheme="majorHAnsi" w:cstheme="majorHAnsi"/>
        </w:rPr>
      </w:pPr>
    </w:p>
    <w:p w14:paraId="7AE3E955" w14:textId="1F0D4F03" w:rsidR="00FC282E" w:rsidRDefault="00FC282E" w:rsidP="00FC282E">
      <w:pPr>
        <w:spacing w:after="0"/>
        <w:ind w:left="708"/>
        <w:jc w:val="both"/>
        <w:rPr>
          <w:rFonts w:asciiTheme="majorHAnsi" w:hAnsiTheme="majorHAnsi" w:cstheme="majorHAnsi"/>
        </w:rPr>
      </w:pPr>
      <w:r>
        <w:rPr>
          <w:rFonts w:asciiTheme="majorHAnsi" w:hAnsiTheme="majorHAnsi" w:cstheme="majorHAnsi"/>
        </w:rPr>
        <w:t>2.2.3. Le financement par emprunt</w:t>
      </w:r>
    </w:p>
    <w:p w14:paraId="58F3FBDC" w14:textId="2312191D" w:rsidR="00FC282E" w:rsidRDefault="00FC282E" w:rsidP="00FC282E">
      <w:pPr>
        <w:spacing w:after="0"/>
        <w:ind w:left="708"/>
        <w:jc w:val="both"/>
        <w:rPr>
          <w:rFonts w:asciiTheme="majorHAnsi" w:hAnsiTheme="majorHAnsi" w:cstheme="majorHAnsi"/>
        </w:rPr>
      </w:pPr>
    </w:p>
    <w:p w14:paraId="085A407C" w14:textId="4403FF28" w:rsidR="00FC282E" w:rsidRDefault="00120026" w:rsidP="00120026">
      <w:pPr>
        <w:spacing w:after="0"/>
        <w:ind w:firstLine="708"/>
        <w:jc w:val="both"/>
        <w:rPr>
          <w:rFonts w:asciiTheme="majorHAnsi" w:hAnsiTheme="majorHAnsi" w:cstheme="majorHAnsi"/>
        </w:rPr>
      </w:pPr>
      <w:r>
        <w:rPr>
          <w:rFonts w:asciiTheme="majorHAnsi" w:hAnsiTheme="majorHAnsi" w:cstheme="majorHAnsi"/>
        </w:rPr>
        <w:t xml:space="preserve">Dans la plupart des cas, les repreneurs contractent des emprunts afin de financer l’opération d’acquisition de la cible. Ces emprunts prennent généralement trois formes, une dette senior, une dette junior et une dette mezzanine. </w:t>
      </w:r>
    </w:p>
    <w:p w14:paraId="6860834F" w14:textId="599A6F79" w:rsidR="00120026" w:rsidRDefault="00120026" w:rsidP="00120026">
      <w:pPr>
        <w:spacing w:after="0"/>
        <w:ind w:firstLine="708"/>
        <w:jc w:val="both"/>
        <w:rPr>
          <w:rFonts w:asciiTheme="majorHAnsi" w:hAnsiTheme="majorHAnsi" w:cstheme="majorHAnsi"/>
        </w:rPr>
      </w:pPr>
    </w:p>
    <w:p w14:paraId="14B365E0" w14:textId="413699C4" w:rsidR="00120026" w:rsidRDefault="00120026" w:rsidP="00120026">
      <w:pPr>
        <w:spacing w:after="0"/>
        <w:ind w:firstLine="708"/>
        <w:jc w:val="both"/>
        <w:rPr>
          <w:rFonts w:asciiTheme="majorHAnsi" w:hAnsiTheme="majorHAnsi" w:cstheme="majorHAnsi"/>
        </w:rPr>
      </w:pPr>
      <w:r>
        <w:rPr>
          <w:rFonts w:asciiTheme="majorHAnsi" w:hAnsiTheme="majorHAnsi" w:cstheme="majorHAnsi"/>
        </w:rPr>
        <w:tab/>
        <w:t>2.2.3.1. La dette senior</w:t>
      </w:r>
    </w:p>
    <w:p w14:paraId="66B5C25A" w14:textId="65EDE1D7" w:rsidR="00120026" w:rsidRDefault="00120026" w:rsidP="00120026">
      <w:pPr>
        <w:spacing w:after="0"/>
        <w:ind w:firstLine="708"/>
        <w:jc w:val="both"/>
        <w:rPr>
          <w:rFonts w:asciiTheme="majorHAnsi" w:hAnsiTheme="majorHAnsi" w:cstheme="majorHAnsi"/>
        </w:rPr>
      </w:pPr>
    </w:p>
    <w:p w14:paraId="71FDEB90" w14:textId="38839E44" w:rsidR="00120026" w:rsidRDefault="00120026" w:rsidP="00120026">
      <w:pPr>
        <w:spacing w:after="0"/>
        <w:ind w:firstLine="708"/>
        <w:jc w:val="both"/>
        <w:rPr>
          <w:rFonts w:asciiTheme="majorHAnsi" w:hAnsiTheme="majorHAnsi" w:cstheme="majorHAnsi"/>
        </w:rPr>
      </w:pPr>
      <w:r>
        <w:rPr>
          <w:rFonts w:asciiTheme="majorHAnsi" w:hAnsiTheme="majorHAnsi" w:cstheme="majorHAnsi"/>
        </w:rPr>
        <w:t xml:space="preserve">Il s’agit de la dette principale contractée pour réaliser l’opération. Elle fait l’objet de </w:t>
      </w:r>
      <w:r w:rsidR="00E8443E">
        <w:rPr>
          <w:rFonts w:asciiTheme="majorHAnsi" w:hAnsiTheme="majorHAnsi" w:cstheme="majorHAnsi"/>
        </w:rPr>
        <w:t>________________</w:t>
      </w:r>
      <w:r>
        <w:rPr>
          <w:rFonts w:asciiTheme="majorHAnsi" w:hAnsiTheme="majorHAnsi" w:cstheme="majorHAnsi"/>
        </w:rPr>
        <w:t xml:space="preserve">(critères) qui doivent donner des garanties aux établissements prêteurs que l’opération se déroule dans les conditions prévues. </w:t>
      </w:r>
    </w:p>
    <w:p w14:paraId="0F34103F" w14:textId="5869B1DD" w:rsidR="00120026" w:rsidRDefault="00120026" w:rsidP="00120026">
      <w:pPr>
        <w:spacing w:after="0"/>
        <w:ind w:firstLine="708"/>
        <w:jc w:val="both"/>
        <w:rPr>
          <w:rFonts w:asciiTheme="majorHAnsi" w:hAnsiTheme="majorHAnsi" w:cstheme="majorHAnsi"/>
        </w:rPr>
      </w:pPr>
      <w:r>
        <w:rPr>
          <w:rFonts w:asciiTheme="majorHAnsi" w:hAnsiTheme="majorHAnsi" w:cstheme="majorHAnsi"/>
        </w:rPr>
        <w:t>Son taux d’intérêt est généralement faible</w:t>
      </w:r>
      <w:r w:rsidR="002C0090">
        <w:rPr>
          <w:rFonts w:asciiTheme="majorHAnsi" w:hAnsiTheme="majorHAnsi" w:cstheme="majorHAnsi"/>
        </w:rPr>
        <w:t xml:space="preserve"> et variable. </w:t>
      </w:r>
    </w:p>
    <w:p w14:paraId="0FF6787A" w14:textId="77777777" w:rsidR="005B6EB4" w:rsidRDefault="002C0090" w:rsidP="00120026">
      <w:pPr>
        <w:spacing w:after="0"/>
        <w:ind w:firstLine="708"/>
        <w:jc w:val="both"/>
        <w:rPr>
          <w:rFonts w:asciiTheme="majorHAnsi" w:hAnsiTheme="majorHAnsi" w:cstheme="majorHAnsi"/>
        </w:rPr>
      </w:pPr>
      <w:r>
        <w:rPr>
          <w:rFonts w:asciiTheme="majorHAnsi" w:hAnsiTheme="majorHAnsi" w:cstheme="majorHAnsi"/>
        </w:rPr>
        <w:t xml:space="preserve">Elle </w:t>
      </w:r>
      <w:r w:rsidR="0061391F">
        <w:rPr>
          <w:rFonts w:asciiTheme="majorHAnsi" w:hAnsiTheme="majorHAnsi" w:cstheme="majorHAnsi"/>
        </w:rPr>
        <w:t>est constituée dans la plupart des cas de plusieurs tran</w:t>
      </w:r>
      <w:r>
        <w:rPr>
          <w:rFonts w:asciiTheme="majorHAnsi" w:hAnsiTheme="majorHAnsi" w:cstheme="majorHAnsi"/>
        </w:rPr>
        <w:t>ches</w:t>
      </w:r>
      <w:r w:rsidR="0061391F">
        <w:rPr>
          <w:rFonts w:asciiTheme="majorHAnsi" w:hAnsiTheme="majorHAnsi" w:cstheme="majorHAnsi"/>
        </w:rPr>
        <w:t xml:space="preserve"> ayant chacune des taux d’intérêts et des échéances de remboursement spécifiques.</w:t>
      </w:r>
      <w:r w:rsidR="005B6EB4">
        <w:rPr>
          <w:rFonts w:asciiTheme="majorHAnsi" w:hAnsiTheme="majorHAnsi" w:cstheme="majorHAnsi"/>
        </w:rPr>
        <w:t xml:space="preserve"> Des remboursements </w:t>
      </w:r>
      <w:r w:rsidR="005B6EB4">
        <w:rPr>
          <w:rFonts w:asciiTheme="majorHAnsi" w:hAnsiTheme="majorHAnsi" w:cstheme="majorHAnsi"/>
          <w:i/>
        </w:rPr>
        <w:t>in fine</w:t>
      </w:r>
      <w:r w:rsidR="005B6EB4">
        <w:rPr>
          <w:rFonts w:asciiTheme="majorHAnsi" w:hAnsiTheme="majorHAnsi" w:cstheme="majorHAnsi"/>
        </w:rPr>
        <w:t xml:space="preserve"> sont souvent prévus car, comme nous le verrons ultérieurement, une opération de LBO peut connaitre un terme. </w:t>
      </w:r>
    </w:p>
    <w:p w14:paraId="17F2B1F4" w14:textId="77777777" w:rsidR="005B6EB4" w:rsidRDefault="005B6EB4" w:rsidP="00120026">
      <w:pPr>
        <w:spacing w:after="0"/>
        <w:ind w:firstLine="708"/>
        <w:jc w:val="both"/>
        <w:rPr>
          <w:rFonts w:asciiTheme="majorHAnsi" w:hAnsiTheme="majorHAnsi" w:cstheme="majorHAnsi"/>
        </w:rPr>
      </w:pPr>
    </w:p>
    <w:p w14:paraId="31542486" w14:textId="77777777" w:rsidR="005B6EB4" w:rsidRDefault="005B6EB4" w:rsidP="005B6EB4">
      <w:pPr>
        <w:spacing w:after="0"/>
        <w:ind w:firstLine="708"/>
        <w:jc w:val="both"/>
        <w:rPr>
          <w:rFonts w:asciiTheme="majorHAnsi" w:hAnsiTheme="majorHAnsi" w:cstheme="majorHAnsi"/>
        </w:rPr>
      </w:pPr>
      <w:r>
        <w:rPr>
          <w:rFonts w:asciiTheme="majorHAnsi" w:hAnsiTheme="majorHAnsi" w:cstheme="majorHAnsi"/>
        </w:rPr>
        <w:tab/>
        <w:t>2.2.3.2. La dette junior (ou subordonnée)</w:t>
      </w:r>
    </w:p>
    <w:p w14:paraId="0CC7F43F" w14:textId="77777777" w:rsidR="005B6EB4" w:rsidRDefault="005B6EB4" w:rsidP="005B6EB4">
      <w:pPr>
        <w:spacing w:after="0"/>
        <w:ind w:firstLine="708"/>
        <w:jc w:val="both"/>
        <w:rPr>
          <w:rFonts w:asciiTheme="majorHAnsi" w:hAnsiTheme="majorHAnsi" w:cstheme="majorHAnsi"/>
        </w:rPr>
      </w:pPr>
    </w:p>
    <w:p w14:paraId="0EF82CA7" w14:textId="77777777" w:rsidR="005B6EB4" w:rsidRDefault="005B6EB4" w:rsidP="005B6EB4">
      <w:pPr>
        <w:spacing w:after="0"/>
        <w:ind w:firstLine="708"/>
        <w:jc w:val="both"/>
        <w:rPr>
          <w:rFonts w:asciiTheme="majorHAnsi" w:hAnsiTheme="majorHAnsi" w:cstheme="majorHAnsi"/>
        </w:rPr>
      </w:pPr>
      <w:r>
        <w:rPr>
          <w:rFonts w:asciiTheme="majorHAnsi" w:hAnsiTheme="majorHAnsi" w:cstheme="majorHAnsi"/>
        </w:rPr>
        <w:t>Elle représente la partie de la dette ne se remboursant qu’après la dette senior, elle est donc subordonnée au remboursement de cette dernière. Elle peut prendre la forme d’un emprunt obligataire à haut rendement ou d’un financement mezzanine qui s’interpose entre la dette senior et les capitaux propres.</w:t>
      </w:r>
    </w:p>
    <w:p w14:paraId="5E633EFE" w14:textId="77777777" w:rsidR="005B6EB4" w:rsidRDefault="005B6EB4" w:rsidP="005B6EB4">
      <w:pPr>
        <w:spacing w:after="0"/>
        <w:ind w:firstLine="708"/>
        <w:jc w:val="both"/>
        <w:rPr>
          <w:rFonts w:asciiTheme="majorHAnsi" w:hAnsiTheme="majorHAnsi" w:cstheme="majorHAnsi"/>
        </w:rPr>
      </w:pPr>
    </w:p>
    <w:p w14:paraId="5FE92D3B" w14:textId="79DBBF5F" w:rsidR="005B6EB4" w:rsidRDefault="005B6EB4" w:rsidP="005B6EB4">
      <w:pPr>
        <w:spacing w:after="0"/>
        <w:ind w:firstLine="708"/>
        <w:jc w:val="both"/>
        <w:rPr>
          <w:rFonts w:asciiTheme="majorHAnsi" w:hAnsiTheme="majorHAnsi" w:cstheme="majorHAnsi"/>
        </w:rPr>
      </w:pPr>
      <w:r>
        <w:rPr>
          <w:rFonts w:asciiTheme="majorHAnsi" w:hAnsiTheme="majorHAnsi" w:cstheme="majorHAnsi"/>
        </w:rPr>
        <w:tab/>
        <w:t>2.2.3.3. La dette mezzanine</w:t>
      </w:r>
    </w:p>
    <w:p w14:paraId="3191B0D8" w14:textId="77777777" w:rsidR="005B6EB4" w:rsidRDefault="005B6EB4" w:rsidP="005B6EB4">
      <w:pPr>
        <w:spacing w:after="0"/>
        <w:ind w:firstLine="708"/>
        <w:jc w:val="both"/>
        <w:rPr>
          <w:rFonts w:asciiTheme="majorHAnsi" w:hAnsiTheme="majorHAnsi" w:cstheme="majorHAnsi"/>
        </w:rPr>
      </w:pPr>
    </w:p>
    <w:p w14:paraId="69D9499E" w14:textId="35D23090" w:rsidR="002C0090" w:rsidRDefault="0061391F" w:rsidP="005B6EB4">
      <w:pPr>
        <w:spacing w:after="0"/>
        <w:ind w:firstLine="708"/>
        <w:jc w:val="both"/>
        <w:rPr>
          <w:rFonts w:asciiTheme="majorHAnsi" w:hAnsiTheme="majorHAnsi" w:cstheme="majorHAnsi"/>
        </w:rPr>
      </w:pPr>
      <w:r>
        <w:rPr>
          <w:rFonts w:asciiTheme="majorHAnsi" w:hAnsiTheme="majorHAnsi" w:cstheme="majorHAnsi"/>
        </w:rPr>
        <w:t xml:space="preserve"> </w:t>
      </w:r>
      <w:r w:rsidR="008F1282">
        <w:rPr>
          <w:rFonts w:asciiTheme="majorHAnsi" w:hAnsiTheme="majorHAnsi" w:cstheme="majorHAnsi"/>
        </w:rPr>
        <w:t>La dette mezzanine est octroyée par des banques ou des fonds d’investissement (</w:t>
      </w:r>
      <w:proofErr w:type="spellStart"/>
      <w:r w:rsidR="008F1282">
        <w:rPr>
          <w:rFonts w:asciiTheme="majorHAnsi" w:hAnsiTheme="majorHAnsi" w:cstheme="majorHAnsi"/>
        </w:rPr>
        <w:t>private</w:t>
      </w:r>
      <w:proofErr w:type="spellEnd"/>
      <w:r w:rsidR="008F1282">
        <w:rPr>
          <w:rFonts w:asciiTheme="majorHAnsi" w:hAnsiTheme="majorHAnsi" w:cstheme="majorHAnsi"/>
        </w:rPr>
        <w:t xml:space="preserve"> </w:t>
      </w:r>
      <w:proofErr w:type="spellStart"/>
      <w:r w:rsidR="008F1282">
        <w:rPr>
          <w:rFonts w:asciiTheme="majorHAnsi" w:hAnsiTheme="majorHAnsi" w:cstheme="majorHAnsi"/>
        </w:rPr>
        <w:t>equity</w:t>
      </w:r>
      <w:proofErr w:type="spellEnd"/>
      <w:r w:rsidR="008F1282">
        <w:rPr>
          <w:rFonts w:asciiTheme="majorHAnsi" w:hAnsiTheme="majorHAnsi" w:cstheme="majorHAnsi"/>
        </w:rPr>
        <w:t xml:space="preserve">), rassemblant des investisseurs qui apportent leurs fonds dans des sociétés, en espérant y retirer un rendement élevé. Son remboursement n’a lieu qu’après celui de la dette senior. Elle désigne la dette la plus risquée et est donc mieux </w:t>
      </w:r>
      <w:r w:rsidR="00E8443E">
        <w:rPr>
          <w:rFonts w:asciiTheme="majorHAnsi" w:hAnsiTheme="majorHAnsi" w:cstheme="majorHAnsi"/>
        </w:rPr>
        <w:t>________________</w:t>
      </w:r>
      <w:r w:rsidR="008F1282">
        <w:rPr>
          <w:rFonts w:asciiTheme="majorHAnsi" w:hAnsiTheme="majorHAnsi" w:cstheme="majorHAnsi"/>
        </w:rPr>
        <w:t xml:space="preserve">. Les titres hybrides (OBSA, BSA…) sont généralement utilisés comme supports, permettant aux </w:t>
      </w:r>
      <w:proofErr w:type="spellStart"/>
      <w:r w:rsidR="008F1282">
        <w:rPr>
          <w:rFonts w:asciiTheme="majorHAnsi" w:hAnsiTheme="majorHAnsi" w:cstheme="majorHAnsi"/>
        </w:rPr>
        <w:t>mezzaneurs</w:t>
      </w:r>
      <w:proofErr w:type="spellEnd"/>
      <w:r w:rsidR="008F1282">
        <w:rPr>
          <w:rFonts w:asciiTheme="majorHAnsi" w:hAnsiTheme="majorHAnsi" w:cstheme="majorHAnsi"/>
        </w:rPr>
        <w:t xml:space="preserve"> de rentrer dans le capital de la cible en vue de réaliser une plus-value à terme. </w:t>
      </w:r>
    </w:p>
    <w:p w14:paraId="0C6ABFE6" w14:textId="76509B5D" w:rsidR="008F1282" w:rsidRDefault="008F1282" w:rsidP="005B6EB4">
      <w:pPr>
        <w:spacing w:after="0"/>
        <w:ind w:firstLine="708"/>
        <w:jc w:val="both"/>
        <w:rPr>
          <w:rFonts w:asciiTheme="majorHAnsi" w:hAnsiTheme="majorHAnsi" w:cstheme="majorHAnsi"/>
        </w:rPr>
      </w:pPr>
    </w:p>
    <w:p w14:paraId="0D654390" w14:textId="1CF72B7E" w:rsidR="008F1282" w:rsidRDefault="008F1282" w:rsidP="005B6EB4">
      <w:pPr>
        <w:spacing w:after="0"/>
        <w:ind w:firstLine="708"/>
        <w:jc w:val="both"/>
        <w:rPr>
          <w:rFonts w:asciiTheme="majorHAnsi" w:hAnsiTheme="majorHAnsi" w:cstheme="majorHAnsi"/>
        </w:rPr>
      </w:pPr>
      <w:r>
        <w:rPr>
          <w:rFonts w:asciiTheme="majorHAnsi" w:hAnsiTheme="majorHAnsi" w:cstheme="majorHAnsi"/>
        </w:rPr>
        <w:t xml:space="preserve">Dans le cas des montages LBO, les objectifs de la substitution de la dette mezzanine par des obligations à haut rendement (High </w:t>
      </w:r>
      <w:proofErr w:type="spellStart"/>
      <w:r>
        <w:rPr>
          <w:rFonts w:asciiTheme="majorHAnsi" w:hAnsiTheme="majorHAnsi" w:cstheme="majorHAnsi"/>
        </w:rPr>
        <w:t>Yield</w:t>
      </w:r>
      <w:proofErr w:type="spellEnd"/>
      <w:r>
        <w:rPr>
          <w:rFonts w:asciiTheme="majorHAnsi" w:hAnsiTheme="majorHAnsi" w:cstheme="majorHAnsi"/>
        </w:rPr>
        <w:t xml:space="preserve"> bonds) sont :</w:t>
      </w:r>
    </w:p>
    <w:p w14:paraId="514C3260" w14:textId="30002763" w:rsidR="008F1282" w:rsidRDefault="008F1282" w:rsidP="008F1282">
      <w:pPr>
        <w:pStyle w:val="Paragraphedeliste"/>
        <w:numPr>
          <w:ilvl w:val="0"/>
          <w:numId w:val="25"/>
        </w:numPr>
        <w:spacing w:after="0"/>
        <w:jc w:val="both"/>
        <w:rPr>
          <w:rFonts w:asciiTheme="majorHAnsi" w:hAnsiTheme="majorHAnsi" w:cstheme="majorHAnsi"/>
        </w:rPr>
      </w:pPr>
      <w:r>
        <w:rPr>
          <w:rFonts w:asciiTheme="majorHAnsi" w:hAnsiTheme="majorHAnsi" w:cstheme="majorHAnsi"/>
        </w:rPr>
        <w:t>De permettre à l’émetteur de réaliser une économie sur ses frais financiers ;</w:t>
      </w:r>
    </w:p>
    <w:p w14:paraId="10F3CBF9" w14:textId="5F5494BC" w:rsidR="008F1282" w:rsidRDefault="008F1282" w:rsidP="008F1282">
      <w:pPr>
        <w:pStyle w:val="Paragraphedeliste"/>
        <w:numPr>
          <w:ilvl w:val="0"/>
          <w:numId w:val="25"/>
        </w:numPr>
        <w:spacing w:after="0"/>
        <w:jc w:val="both"/>
        <w:rPr>
          <w:rFonts w:asciiTheme="majorHAnsi" w:hAnsiTheme="majorHAnsi" w:cstheme="majorHAnsi"/>
        </w:rPr>
      </w:pPr>
      <w:r>
        <w:rPr>
          <w:rFonts w:asciiTheme="majorHAnsi" w:hAnsiTheme="majorHAnsi" w:cstheme="majorHAnsi"/>
        </w:rPr>
        <w:t xml:space="preserve">D’éviter de </w:t>
      </w:r>
      <w:r w:rsidR="00E8443E">
        <w:rPr>
          <w:rFonts w:asciiTheme="majorHAnsi" w:hAnsiTheme="majorHAnsi" w:cstheme="majorHAnsi"/>
        </w:rPr>
        <w:t>__________</w:t>
      </w:r>
      <w:r>
        <w:rPr>
          <w:rFonts w:asciiTheme="majorHAnsi" w:hAnsiTheme="majorHAnsi" w:cstheme="majorHAnsi"/>
        </w:rPr>
        <w:t xml:space="preserve"> le capital puisque les porteurs de High </w:t>
      </w:r>
      <w:proofErr w:type="spellStart"/>
      <w:r>
        <w:rPr>
          <w:rFonts w:asciiTheme="majorHAnsi" w:hAnsiTheme="majorHAnsi" w:cstheme="majorHAnsi"/>
        </w:rPr>
        <w:t>Yield</w:t>
      </w:r>
      <w:proofErr w:type="spellEnd"/>
      <w:r>
        <w:rPr>
          <w:rFonts w:asciiTheme="majorHAnsi" w:hAnsiTheme="majorHAnsi" w:cstheme="majorHAnsi"/>
        </w:rPr>
        <w:t xml:space="preserve"> ne reçoivent pas de bons de souscription donnant accès au capital ;</w:t>
      </w:r>
    </w:p>
    <w:p w14:paraId="503A2CCB" w14:textId="50FFEA0E" w:rsidR="008F1282" w:rsidRDefault="008F1282" w:rsidP="008F1282">
      <w:pPr>
        <w:pStyle w:val="Paragraphedeliste"/>
        <w:numPr>
          <w:ilvl w:val="0"/>
          <w:numId w:val="25"/>
        </w:numPr>
        <w:spacing w:after="0"/>
        <w:jc w:val="both"/>
        <w:rPr>
          <w:rFonts w:asciiTheme="majorHAnsi" w:hAnsiTheme="majorHAnsi" w:cstheme="majorHAnsi"/>
        </w:rPr>
      </w:pPr>
      <w:r>
        <w:rPr>
          <w:rFonts w:asciiTheme="majorHAnsi" w:hAnsiTheme="majorHAnsi" w:cstheme="majorHAnsi"/>
        </w:rPr>
        <w:t xml:space="preserve">D’entraîner des engagements contractuels beaucoup plus souples que ceux du financement bancaire. </w:t>
      </w:r>
    </w:p>
    <w:p w14:paraId="04C2EC03" w14:textId="6E593102" w:rsidR="008F1282" w:rsidRDefault="008F1282" w:rsidP="008F1282">
      <w:pPr>
        <w:spacing w:after="0"/>
        <w:jc w:val="both"/>
        <w:rPr>
          <w:rFonts w:asciiTheme="majorHAnsi" w:hAnsiTheme="majorHAnsi" w:cstheme="majorHAnsi"/>
        </w:rPr>
      </w:pPr>
    </w:p>
    <w:p w14:paraId="6EBA0625" w14:textId="718AB359" w:rsidR="008F1282" w:rsidRDefault="008F1282" w:rsidP="008F1282">
      <w:pPr>
        <w:spacing w:after="0"/>
        <w:jc w:val="both"/>
        <w:rPr>
          <w:rFonts w:asciiTheme="majorHAnsi" w:hAnsiTheme="majorHAnsi" w:cstheme="majorHAnsi"/>
        </w:rPr>
      </w:pPr>
    </w:p>
    <w:p w14:paraId="710F4B8D" w14:textId="4D00952B" w:rsidR="008F1282" w:rsidRDefault="008F1282" w:rsidP="008F1282">
      <w:pPr>
        <w:spacing w:after="0"/>
        <w:ind w:firstLine="708"/>
        <w:jc w:val="both"/>
        <w:rPr>
          <w:rFonts w:asciiTheme="majorHAnsi" w:hAnsiTheme="majorHAnsi" w:cstheme="majorHAnsi"/>
        </w:rPr>
      </w:pPr>
      <w:r>
        <w:rPr>
          <w:rFonts w:asciiTheme="majorHAnsi" w:hAnsiTheme="majorHAnsi" w:cstheme="majorHAnsi"/>
        </w:rPr>
        <w:t>La combinaison (dette senior à deux tranches / dette mezzanine) est la situation de financement de LBO classique pour les acquisitions de PME. Pour les opérations plus importantes</w:t>
      </w:r>
      <w:r w:rsidR="00836864">
        <w:rPr>
          <w:rFonts w:asciiTheme="majorHAnsi" w:hAnsiTheme="majorHAnsi" w:cstheme="majorHAnsi"/>
        </w:rPr>
        <w:t>, le financement est fréquemment structuré de la manière suivante :</w:t>
      </w:r>
    </w:p>
    <w:p w14:paraId="2A6782A4" w14:textId="2FCAAEFD" w:rsidR="00836864" w:rsidRDefault="00836864" w:rsidP="00836864">
      <w:pPr>
        <w:pStyle w:val="Paragraphedeliste"/>
        <w:numPr>
          <w:ilvl w:val="0"/>
          <w:numId w:val="25"/>
        </w:numPr>
        <w:spacing w:after="0"/>
        <w:jc w:val="both"/>
        <w:rPr>
          <w:rFonts w:asciiTheme="majorHAnsi" w:hAnsiTheme="majorHAnsi" w:cstheme="majorHAnsi"/>
        </w:rPr>
      </w:pPr>
      <w:r>
        <w:rPr>
          <w:rFonts w:asciiTheme="majorHAnsi" w:hAnsiTheme="majorHAnsi" w:cstheme="majorHAnsi"/>
        </w:rPr>
        <w:lastRenderedPageBreak/>
        <w:t>Dette senior à quatre tranche (par exemple, tranche A à sept ans remboursable par échéances successives, tranche B à huit ans remboursable in fine, tranche C à neuf ans remboursable in fine, tranche D correspondant au crédit revolving accordé à la cible pour ses besoins en fonds de roulement, remboursable par refinancement) ;</w:t>
      </w:r>
    </w:p>
    <w:p w14:paraId="0DA7E0CD" w14:textId="47AF15F1" w:rsidR="00836864" w:rsidRDefault="00836864" w:rsidP="00836864">
      <w:pPr>
        <w:pStyle w:val="Paragraphedeliste"/>
        <w:numPr>
          <w:ilvl w:val="0"/>
          <w:numId w:val="25"/>
        </w:numPr>
        <w:spacing w:after="0"/>
        <w:jc w:val="both"/>
        <w:rPr>
          <w:rFonts w:asciiTheme="majorHAnsi" w:hAnsiTheme="majorHAnsi" w:cstheme="majorHAnsi"/>
        </w:rPr>
      </w:pPr>
      <w:r>
        <w:rPr>
          <w:rFonts w:asciiTheme="majorHAnsi" w:hAnsiTheme="majorHAnsi" w:cstheme="majorHAnsi"/>
        </w:rPr>
        <w:t>Une dette junior subordonnée au remboursement de la dette senior ;</w:t>
      </w:r>
    </w:p>
    <w:p w14:paraId="22E991A6" w14:textId="5DE2187B" w:rsidR="00836864" w:rsidRDefault="00836864" w:rsidP="00836864">
      <w:pPr>
        <w:pStyle w:val="Paragraphedeliste"/>
        <w:numPr>
          <w:ilvl w:val="0"/>
          <w:numId w:val="25"/>
        </w:numPr>
        <w:spacing w:after="0"/>
        <w:jc w:val="both"/>
        <w:rPr>
          <w:rFonts w:asciiTheme="majorHAnsi" w:hAnsiTheme="majorHAnsi" w:cstheme="majorHAnsi"/>
        </w:rPr>
      </w:pPr>
      <w:r>
        <w:rPr>
          <w:rFonts w:asciiTheme="majorHAnsi" w:hAnsiTheme="majorHAnsi" w:cstheme="majorHAnsi"/>
        </w:rPr>
        <w:t xml:space="preserve">Une dette mezzanine. </w:t>
      </w:r>
    </w:p>
    <w:p w14:paraId="45D220E4" w14:textId="5E64380E" w:rsidR="00836864" w:rsidRDefault="00836864" w:rsidP="00836864">
      <w:pPr>
        <w:spacing w:after="0"/>
        <w:jc w:val="both"/>
        <w:rPr>
          <w:rFonts w:asciiTheme="majorHAnsi" w:hAnsiTheme="majorHAnsi" w:cstheme="majorHAnsi"/>
        </w:rPr>
      </w:pPr>
    </w:p>
    <w:p w14:paraId="45C7612E" w14:textId="0CE7F15D" w:rsidR="00836864" w:rsidRDefault="00836864" w:rsidP="00836864">
      <w:pPr>
        <w:spacing w:after="0"/>
        <w:jc w:val="both"/>
        <w:rPr>
          <w:rFonts w:asciiTheme="majorHAnsi" w:hAnsiTheme="majorHAnsi" w:cstheme="majorHAnsi"/>
        </w:rPr>
      </w:pPr>
    </w:p>
    <w:p w14:paraId="3923337C" w14:textId="0ACE68D1" w:rsidR="00836864" w:rsidRDefault="00836864" w:rsidP="00836864">
      <w:pPr>
        <w:spacing w:after="0"/>
        <w:ind w:left="708"/>
        <w:jc w:val="both"/>
        <w:rPr>
          <w:rFonts w:asciiTheme="majorHAnsi" w:hAnsiTheme="majorHAnsi" w:cstheme="majorHAnsi"/>
        </w:rPr>
      </w:pPr>
      <w:r>
        <w:rPr>
          <w:rFonts w:asciiTheme="majorHAnsi" w:hAnsiTheme="majorHAnsi" w:cstheme="majorHAnsi"/>
        </w:rPr>
        <w:t>2.2.4. Le financement par fonds propres</w:t>
      </w:r>
    </w:p>
    <w:p w14:paraId="2B97BE7E" w14:textId="7773B3D3" w:rsidR="00836864" w:rsidRDefault="00836864" w:rsidP="00836864">
      <w:pPr>
        <w:spacing w:after="0"/>
        <w:ind w:left="708"/>
        <w:jc w:val="both"/>
        <w:rPr>
          <w:rFonts w:asciiTheme="majorHAnsi" w:hAnsiTheme="majorHAnsi" w:cstheme="majorHAnsi"/>
        </w:rPr>
      </w:pPr>
    </w:p>
    <w:p w14:paraId="2CC68D81" w14:textId="37A2A680" w:rsidR="00836864" w:rsidRDefault="00836864" w:rsidP="00836864">
      <w:pPr>
        <w:spacing w:after="0"/>
        <w:ind w:firstLine="708"/>
        <w:jc w:val="both"/>
        <w:rPr>
          <w:rFonts w:asciiTheme="majorHAnsi" w:hAnsiTheme="majorHAnsi" w:cstheme="majorHAnsi"/>
        </w:rPr>
      </w:pPr>
      <w:r>
        <w:rPr>
          <w:rFonts w:asciiTheme="majorHAnsi" w:hAnsiTheme="majorHAnsi" w:cstheme="majorHAnsi"/>
        </w:rPr>
        <w:t xml:space="preserve">Les capitaux propres sont fixés à un niveau permettant d’assurer aux investisseurs un taux de rentabilité minimum. </w:t>
      </w:r>
    </w:p>
    <w:p w14:paraId="75DA4208" w14:textId="51241C53" w:rsidR="002D1809" w:rsidRDefault="002D1809" w:rsidP="00836864">
      <w:pPr>
        <w:spacing w:after="0"/>
        <w:ind w:firstLine="708"/>
        <w:jc w:val="both"/>
        <w:rPr>
          <w:rFonts w:asciiTheme="majorHAnsi" w:hAnsiTheme="majorHAnsi" w:cstheme="majorHAnsi"/>
        </w:rPr>
      </w:pPr>
    </w:p>
    <w:p w14:paraId="715F79E3" w14:textId="5A5D135D" w:rsidR="002D1809" w:rsidRDefault="00AE671A" w:rsidP="00AE671A">
      <w:pPr>
        <w:spacing w:after="0"/>
        <w:ind w:firstLine="708"/>
        <w:jc w:val="both"/>
        <w:rPr>
          <w:rFonts w:asciiTheme="majorHAnsi" w:hAnsiTheme="majorHAnsi" w:cstheme="majorHAnsi"/>
        </w:rPr>
      </w:pPr>
      <w:r>
        <w:rPr>
          <w:rFonts w:asciiTheme="majorHAnsi" w:hAnsiTheme="majorHAnsi" w:cstheme="majorHAnsi"/>
        </w:rPr>
        <w:t xml:space="preserve">La rémunération des investisseurs est déterminée par le TRI des fonds investis. Compte tenu du risque encouru, le TRI des </w:t>
      </w:r>
      <w:proofErr w:type="spellStart"/>
      <w:r>
        <w:rPr>
          <w:rFonts w:asciiTheme="majorHAnsi" w:hAnsiTheme="majorHAnsi" w:cstheme="majorHAnsi"/>
        </w:rPr>
        <w:t>mezzaneurs</w:t>
      </w:r>
      <w:proofErr w:type="spellEnd"/>
      <w:r>
        <w:rPr>
          <w:rFonts w:asciiTheme="majorHAnsi" w:hAnsiTheme="majorHAnsi" w:cstheme="majorHAnsi"/>
        </w:rPr>
        <w:t xml:space="preserve"> est</w:t>
      </w:r>
      <w:r w:rsidR="00F6270D">
        <w:rPr>
          <w:rFonts w:asciiTheme="majorHAnsi" w:hAnsiTheme="majorHAnsi" w:cstheme="majorHAnsi"/>
        </w:rPr>
        <w:t xml:space="preserve"> supér</w:t>
      </w:r>
      <w:r w:rsidR="00F32C28">
        <w:rPr>
          <w:rFonts w:asciiTheme="majorHAnsi" w:hAnsiTheme="majorHAnsi" w:cstheme="majorHAnsi"/>
        </w:rPr>
        <w:t>i</w:t>
      </w:r>
      <w:r w:rsidR="00F6270D">
        <w:rPr>
          <w:rFonts w:asciiTheme="majorHAnsi" w:hAnsiTheme="majorHAnsi" w:cstheme="majorHAnsi"/>
        </w:rPr>
        <w:t>eur</w:t>
      </w:r>
      <w:r>
        <w:rPr>
          <w:rFonts w:asciiTheme="majorHAnsi" w:hAnsiTheme="majorHAnsi" w:cstheme="majorHAnsi"/>
        </w:rPr>
        <w:t xml:space="preserve"> au TRI des créanciers seniors. </w:t>
      </w:r>
    </w:p>
    <w:p w14:paraId="3A7FDE06" w14:textId="56754D84" w:rsidR="00AE671A" w:rsidRDefault="00AE671A" w:rsidP="00AE671A">
      <w:pPr>
        <w:spacing w:after="0"/>
        <w:ind w:firstLine="708"/>
        <w:jc w:val="both"/>
        <w:rPr>
          <w:rFonts w:asciiTheme="majorHAnsi" w:hAnsiTheme="majorHAnsi" w:cstheme="majorHAnsi"/>
        </w:rPr>
      </w:pPr>
    </w:p>
    <w:p w14:paraId="6D2BA9C6" w14:textId="199EAFEE" w:rsidR="00AE671A" w:rsidRDefault="00AE671A" w:rsidP="00AE671A">
      <w:pPr>
        <w:spacing w:after="0"/>
        <w:ind w:firstLine="708"/>
        <w:jc w:val="both"/>
        <w:rPr>
          <w:rFonts w:asciiTheme="majorHAnsi" w:hAnsiTheme="majorHAnsi" w:cstheme="majorHAnsi"/>
        </w:rPr>
      </w:pPr>
      <w:r>
        <w:rPr>
          <w:rFonts w:asciiTheme="majorHAnsi" w:hAnsiTheme="majorHAnsi" w:cstheme="majorHAnsi"/>
        </w:rPr>
        <w:t>La rentabilité (t) du LBO est obtenue par la résolution des équations suivantes :</w:t>
      </w:r>
    </w:p>
    <w:p w14:paraId="77D0035E" w14:textId="021E190D" w:rsidR="00AE671A" w:rsidRDefault="00AE671A" w:rsidP="00AE671A">
      <w:pPr>
        <w:spacing w:after="0"/>
        <w:ind w:firstLine="708"/>
        <w:jc w:val="both"/>
        <w:rPr>
          <w:rFonts w:asciiTheme="majorHAnsi" w:hAnsiTheme="majorHAnsi" w:cstheme="majorHAnsi"/>
        </w:rPr>
      </w:pPr>
    </w:p>
    <w:p w14:paraId="3524EA95" w14:textId="5C756A3F" w:rsidR="00AE671A" w:rsidRDefault="00AE671A" w:rsidP="00AE671A">
      <w:pPr>
        <w:spacing w:after="0"/>
        <w:ind w:firstLine="708"/>
        <w:jc w:val="both"/>
        <w:rPr>
          <w:rFonts w:asciiTheme="majorHAnsi" w:hAnsiTheme="majorHAnsi" w:cstheme="majorHAnsi"/>
        </w:rPr>
      </w:pPr>
      <w:r>
        <w:rPr>
          <w:rFonts w:asciiTheme="majorHAnsi" w:hAnsiTheme="majorHAnsi" w:cstheme="majorHAnsi"/>
        </w:rPr>
        <w:t>Rentabilité pour les investisseurs :</w:t>
      </w:r>
    </w:p>
    <w:p w14:paraId="1F79D7EF" w14:textId="0B90F931" w:rsidR="00AE671A" w:rsidRPr="00AE671A" w:rsidRDefault="00AE671A" w:rsidP="004F4B7A">
      <w:pPr>
        <w:pBdr>
          <w:top w:val="single" w:sz="4" w:space="1" w:color="auto"/>
          <w:left w:val="single" w:sz="4" w:space="4" w:color="auto"/>
          <w:bottom w:val="single" w:sz="4" w:space="1" w:color="auto"/>
          <w:right w:val="single" w:sz="4" w:space="4" w:color="auto"/>
        </w:pBdr>
        <w:spacing w:after="0"/>
        <w:jc w:val="center"/>
        <w:rPr>
          <w:rFonts w:asciiTheme="majorHAnsi" w:hAnsiTheme="majorHAnsi" w:cstheme="majorHAnsi"/>
        </w:rPr>
      </w:pPr>
      <w:r>
        <w:rPr>
          <w:rFonts w:asciiTheme="majorHAnsi" w:hAnsiTheme="majorHAnsi" w:cstheme="majorHAnsi"/>
        </w:rPr>
        <w:t xml:space="preserve">-capitaux propres </w:t>
      </w:r>
      <w:r w:rsidR="004F4B7A">
        <w:rPr>
          <w:rFonts w:asciiTheme="majorHAnsi" w:hAnsiTheme="majorHAnsi" w:cstheme="majorHAnsi"/>
        </w:rPr>
        <w:t>+ (prix de vente net à l’issue de n périodes) (1+</w:t>
      </w:r>
      <w:proofErr w:type="gramStart"/>
      <w:r w:rsidR="004F4B7A">
        <w:rPr>
          <w:rFonts w:asciiTheme="majorHAnsi" w:hAnsiTheme="majorHAnsi" w:cstheme="majorHAnsi"/>
        </w:rPr>
        <w:t>t)</w:t>
      </w:r>
      <w:r w:rsidR="004F4B7A" w:rsidRPr="004F4B7A">
        <w:rPr>
          <w:rFonts w:asciiTheme="majorHAnsi" w:hAnsiTheme="majorHAnsi" w:cstheme="majorHAnsi"/>
          <w:vertAlign w:val="superscript"/>
        </w:rPr>
        <w:t>-</w:t>
      </w:r>
      <w:proofErr w:type="gramEnd"/>
      <w:r w:rsidR="004F4B7A" w:rsidRPr="004F4B7A">
        <w:rPr>
          <w:rFonts w:asciiTheme="majorHAnsi" w:hAnsiTheme="majorHAnsi" w:cstheme="majorHAnsi"/>
          <w:vertAlign w:val="superscript"/>
        </w:rPr>
        <w:t>n</w:t>
      </w:r>
      <w:r w:rsidR="004F4B7A">
        <w:rPr>
          <w:rFonts w:asciiTheme="majorHAnsi" w:hAnsiTheme="majorHAnsi" w:cstheme="majorHAnsi"/>
          <w:vertAlign w:val="superscript"/>
        </w:rPr>
        <w:t xml:space="preserve"> </w:t>
      </w:r>
      <w:r w:rsidR="004F4B7A">
        <w:rPr>
          <w:rFonts w:asciiTheme="majorHAnsi" w:hAnsiTheme="majorHAnsi" w:cstheme="majorHAnsi"/>
        </w:rPr>
        <w:t xml:space="preserve"> = 0</w:t>
      </w:r>
    </w:p>
    <w:p w14:paraId="0D7AE8D8" w14:textId="77777777" w:rsidR="004F4B7A" w:rsidRDefault="004F4B7A" w:rsidP="00962D6B">
      <w:pPr>
        <w:spacing w:after="0"/>
        <w:ind w:firstLine="708"/>
        <w:jc w:val="both"/>
        <w:rPr>
          <w:rFonts w:asciiTheme="majorHAnsi" w:hAnsiTheme="majorHAnsi" w:cstheme="majorHAnsi"/>
        </w:rPr>
      </w:pPr>
    </w:p>
    <w:p w14:paraId="13DBE1BD" w14:textId="0FB3B6E6" w:rsidR="004F4B7A" w:rsidRDefault="004F4B7A" w:rsidP="00962D6B">
      <w:pPr>
        <w:spacing w:after="0"/>
        <w:ind w:firstLine="708"/>
        <w:jc w:val="both"/>
        <w:rPr>
          <w:rFonts w:asciiTheme="majorHAnsi" w:hAnsiTheme="majorHAnsi" w:cstheme="majorHAnsi"/>
        </w:rPr>
      </w:pPr>
      <w:r>
        <w:rPr>
          <w:rFonts w:asciiTheme="majorHAnsi" w:hAnsiTheme="majorHAnsi" w:cstheme="majorHAnsi"/>
        </w:rPr>
        <w:t xml:space="preserve">Le prix de vente net correspond au prix de vente perçu après paiement de la dette mezzanine, au prorata de la participation des actionnaires. </w:t>
      </w:r>
    </w:p>
    <w:p w14:paraId="7C7C5311" w14:textId="488BB840" w:rsidR="004F4B7A" w:rsidRDefault="004F4B7A" w:rsidP="00962D6B">
      <w:pPr>
        <w:spacing w:after="0"/>
        <w:ind w:firstLine="708"/>
        <w:jc w:val="both"/>
        <w:rPr>
          <w:rFonts w:asciiTheme="majorHAnsi" w:hAnsiTheme="majorHAnsi" w:cstheme="majorHAnsi"/>
        </w:rPr>
      </w:pPr>
    </w:p>
    <w:p w14:paraId="33283981" w14:textId="1E97C7C1" w:rsidR="004F4B7A" w:rsidRDefault="004F4B7A" w:rsidP="00962D6B">
      <w:pPr>
        <w:spacing w:after="0"/>
        <w:ind w:firstLine="708"/>
        <w:jc w:val="both"/>
        <w:rPr>
          <w:rFonts w:asciiTheme="majorHAnsi" w:hAnsiTheme="majorHAnsi" w:cstheme="majorHAnsi"/>
        </w:rPr>
      </w:pPr>
      <w:r>
        <w:rPr>
          <w:rFonts w:asciiTheme="majorHAnsi" w:hAnsiTheme="majorHAnsi" w:cstheme="majorHAnsi"/>
        </w:rPr>
        <w:t xml:space="preserve">Rentabilité du LBO pour les </w:t>
      </w:r>
      <w:proofErr w:type="spellStart"/>
      <w:r>
        <w:rPr>
          <w:rFonts w:asciiTheme="majorHAnsi" w:hAnsiTheme="majorHAnsi" w:cstheme="majorHAnsi"/>
        </w:rPr>
        <w:t>mezzaneurs</w:t>
      </w:r>
      <w:proofErr w:type="spellEnd"/>
      <w:r>
        <w:rPr>
          <w:rFonts w:asciiTheme="majorHAnsi" w:hAnsiTheme="majorHAnsi" w:cstheme="majorHAnsi"/>
        </w:rPr>
        <w:t> :</w:t>
      </w:r>
    </w:p>
    <w:p w14:paraId="3FD70111" w14:textId="5F33EE01" w:rsidR="004F4B7A" w:rsidRDefault="004F4B7A" w:rsidP="004F4B7A">
      <w:pPr>
        <w:pBdr>
          <w:top w:val="single" w:sz="4" w:space="1" w:color="auto"/>
          <w:left w:val="single" w:sz="4" w:space="4" w:color="auto"/>
          <w:bottom w:val="single" w:sz="4" w:space="1" w:color="auto"/>
          <w:right w:val="single" w:sz="4" w:space="4" w:color="auto"/>
        </w:pBdr>
        <w:spacing w:after="0"/>
        <w:ind w:firstLine="708"/>
        <w:jc w:val="center"/>
        <w:rPr>
          <w:rFonts w:asciiTheme="majorHAnsi" w:hAnsiTheme="majorHAnsi" w:cstheme="majorHAnsi"/>
        </w:rPr>
      </w:pPr>
      <w:r>
        <w:rPr>
          <w:rFonts w:asciiTheme="majorHAnsi" w:hAnsiTheme="majorHAnsi" w:cstheme="majorHAnsi"/>
        </w:rPr>
        <w:t>-dette mezzanine + intérêts perçus [1-(1+</w:t>
      </w:r>
      <w:proofErr w:type="gramStart"/>
      <w:r>
        <w:rPr>
          <w:rFonts w:asciiTheme="majorHAnsi" w:hAnsiTheme="majorHAnsi" w:cstheme="majorHAnsi"/>
        </w:rPr>
        <w:t>t)</w:t>
      </w:r>
      <w:r w:rsidRPr="004F4B7A">
        <w:rPr>
          <w:rFonts w:asciiTheme="majorHAnsi" w:hAnsiTheme="majorHAnsi" w:cstheme="majorHAnsi"/>
          <w:vertAlign w:val="superscript"/>
        </w:rPr>
        <w:t>-</w:t>
      </w:r>
      <w:proofErr w:type="gramEnd"/>
      <w:r w:rsidRPr="004F4B7A">
        <w:rPr>
          <w:rFonts w:asciiTheme="majorHAnsi" w:hAnsiTheme="majorHAnsi" w:cstheme="majorHAnsi"/>
          <w:vertAlign w:val="superscript"/>
        </w:rPr>
        <w:t>n</w:t>
      </w:r>
      <w:r>
        <w:rPr>
          <w:rFonts w:asciiTheme="majorHAnsi" w:hAnsiTheme="majorHAnsi" w:cstheme="majorHAnsi"/>
        </w:rPr>
        <w:t>] / t + (montant de la dette remboursée) (1+t)</w:t>
      </w:r>
      <w:r w:rsidRPr="004F4B7A">
        <w:rPr>
          <w:rFonts w:asciiTheme="majorHAnsi" w:hAnsiTheme="majorHAnsi" w:cstheme="majorHAnsi"/>
          <w:vertAlign w:val="superscript"/>
        </w:rPr>
        <w:t>-n</w:t>
      </w:r>
      <w:r w:rsidR="00F6270D">
        <w:rPr>
          <w:rFonts w:asciiTheme="majorHAnsi" w:hAnsiTheme="majorHAnsi" w:cstheme="majorHAnsi"/>
        </w:rPr>
        <w:t xml:space="preserve"> +(pr</w:t>
      </w:r>
      <w:r>
        <w:rPr>
          <w:rFonts w:asciiTheme="majorHAnsi" w:hAnsiTheme="majorHAnsi" w:cstheme="majorHAnsi"/>
        </w:rPr>
        <w:t xml:space="preserve">ix de vente perçu après le paiement de la dette </w:t>
      </w:r>
      <w:proofErr w:type="spellStart"/>
      <w:r>
        <w:rPr>
          <w:rFonts w:asciiTheme="majorHAnsi" w:hAnsiTheme="majorHAnsi" w:cstheme="majorHAnsi"/>
        </w:rPr>
        <w:t>mezzanie</w:t>
      </w:r>
      <w:proofErr w:type="spellEnd"/>
      <w:r>
        <w:rPr>
          <w:rFonts w:asciiTheme="majorHAnsi" w:hAnsiTheme="majorHAnsi" w:cstheme="majorHAnsi"/>
        </w:rPr>
        <w:t>) (1+t)</w:t>
      </w:r>
      <w:r w:rsidRPr="004F4B7A">
        <w:rPr>
          <w:rFonts w:asciiTheme="majorHAnsi" w:hAnsiTheme="majorHAnsi" w:cstheme="majorHAnsi"/>
          <w:vertAlign w:val="superscript"/>
        </w:rPr>
        <w:t>-n</w:t>
      </w:r>
    </w:p>
    <w:p w14:paraId="13528E73" w14:textId="77777777" w:rsidR="004F4B7A" w:rsidRDefault="004F4B7A" w:rsidP="00962D6B">
      <w:pPr>
        <w:spacing w:after="0"/>
        <w:ind w:firstLine="708"/>
        <w:jc w:val="both"/>
        <w:rPr>
          <w:rFonts w:asciiTheme="majorHAnsi" w:hAnsiTheme="majorHAnsi" w:cstheme="majorHAnsi"/>
        </w:rPr>
      </w:pPr>
    </w:p>
    <w:p w14:paraId="7925E89E" w14:textId="7AFE6AD6" w:rsidR="004F4B7A" w:rsidRDefault="004F4B7A" w:rsidP="00962D6B">
      <w:pPr>
        <w:spacing w:after="0"/>
        <w:ind w:firstLine="708"/>
        <w:jc w:val="both"/>
        <w:rPr>
          <w:rFonts w:asciiTheme="majorHAnsi" w:hAnsiTheme="majorHAnsi" w:cstheme="majorHAnsi"/>
        </w:rPr>
      </w:pPr>
      <w:r>
        <w:rPr>
          <w:rFonts w:asciiTheme="majorHAnsi" w:hAnsiTheme="majorHAnsi" w:cstheme="majorHAnsi"/>
        </w:rPr>
        <w:t xml:space="preserve">Le </w:t>
      </w:r>
      <w:proofErr w:type="spellStart"/>
      <w:r>
        <w:rPr>
          <w:rFonts w:asciiTheme="majorHAnsi" w:hAnsiTheme="majorHAnsi" w:cstheme="majorHAnsi"/>
        </w:rPr>
        <w:t>mezzaneur</w:t>
      </w:r>
      <w:proofErr w:type="spellEnd"/>
      <w:r>
        <w:rPr>
          <w:rFonts w:asciiTheme="majorHAnsi" w:hAnsiTheme="majorHAnsi" w:cstheme="majorHAnsi"/>
        </w:rPr>
        <w:t xml:space="preserve"> apporte le prêt, encaisse les intérêts annuels pendant n années, est remboursé à l’issu de n périodes et encaisse le prix de vente net, au prorata de sa participation. </w:t>
      </w:r>
    </w:p>
    <w:p w14:paraId="77312592" w14:textId="5D4BEE64" w:rsidR="004F4B7A" w:rsidRDefault="004F4B7A" w:rsidP="00E8443E">
      <w:pPr>
        <w:spacing w:after="0"/>
        <w:jc w:val="both"/>
        <w:rPr>
          <w:rFonts w:asciiTheme="majorHAnsi" w:hAnsiTheme="majorHAnsi" w:cstheme="majorHAnsi"/>
        </w:rPr>
      </w:pPr>
    </w:p>
    <w:p w14:paraId="1C9C0260" w14:textId="77777777" w:rsidR="004F4B7A" w:rsidRDefault="004F4B7A" w:rsidP="00962D6B">
      <w:pPr>
        <w:spacing w:after="0"/>
        <w:ind w:firstLine="708"/>
        <w:jc w:val="both"/>
        <w:rPr>
          <w:rFonts w:asciiTheme="majorHAnsi" w:hAnsiTheme="majorHAnsi" w:cstheme="majorHAnsi"/>
        </w:rPr>
      </w:pPr>
    </w:p>
    <w:p w14:paraId="4B05EC4D" w14:textId="4ADB8B81" w:rsidR="00C527C9" w:rsidRDefault="00C527C9" w:rsidP="00C527C9">
      <w:pPr>
        <w:spacing w:after="0"/>
        <w:jc w:val="both"/>
        <w:rPr>
          <w:rFonts w:asciiTheme="majorHAnsi" w:hAnsiTheme="majorHAnsi" w:cstheme="majorHAnsi"/>
        </w:rPr>
      </w:pPr>
    </w:p>
    <w:p w14:paraId="6383BF3C" w14:textId="504C45CD" w:rsidR="00C527C9" w:rsidRPr="00C527C9" w:rsidRDefault="00C527C9" w:rsidP="00C527C9">
      <w:pPr>
        <w:spacing w:after="0"/>
        <w:jc w:val="both"/>
        <w:rPr>
          <w:rFonts w:asciiTheme="majorHAnsi" w:hAnsiTheme="majorHAnsi" w:cstheme="majorHAnsi"/>
          <w:b/>
        </w:rPr>
      </w:pPr>
    </w:p>
    <w:p w14:paraId="191E9D9F" w14:textId="3CFF9D86" w:rsidR="00C527C9" w:rsidRPr="00F24B28" w:rsidRDefault="00C527C9" w:rsidP="00912E90">
      <w:pPr>
        <w:pStyle w:val="Paragraphedeliste"/>
        <w:numPr>
          <w:ilvl w:val="0"/>
          <w:numId w:val="6"/>
        </w:numPr>
        <w:spacing w:after="0"/>
        <w:jc w:val="both"/>
        <w:rPr>
          <w:rFonts w:asciiTheme="majorHAnsi" w:hAnsiTheme="majorHAnsi" w:cstheme="majorHAnsi"/>
          <w:b/>
        </w:rPr>
      </w:pPr>
      <w:r w:rsidRPr="00C527C9">
        <w:rPr>
          <w:rFonts w:asciiTheme="majorHAnsi" w:hAnsiTheme="majorHAnsi" w:cstheme="majorHAnsi"/>
          <w:b/>
          <w:u w:val="single"/>
        </w:rPr>
        <w:t xml:space="preserve">Les </w:t>
      </w:r>
      <w:r w:rsidR="00471D2B">
        <w:rPr>
          <w:rFonts w:asciiTheme="majorHAnsi" w:hAnsiTheme="majorHAnsi" w:cstheme="majorHAnsi"/>
          <w:b/>
          <w:u w:val="single"/>
        </w:rPr>
        <w:t>offres publiques</w:t>
      </w:r>
    </w:p>
    <w:p w14:paraId="4660DEE7" w14:textId="74A6FC2B" w:rsidR="00F24B28" w:rsidRDefault="00F24B28" w:rsidP="00F24B28">
      <w:pPr>
        <w:spacing w:after="0"/>
        <w:jc w:val="both"/>
        <w:rPr>
          <w:rFonts w:asciiTheme="majorHAnsi" w:hAnsiTheme="majorHAnsi" w:cstheme="majorHAnsi"/>
          <w:b/>
        </w:rPr>
      </w:pPr>
    </w:p>
    <w:p w14:paraId="4524FF52" w14:textId="3B5F5159" w:rsidR="00F24B28" w:rsidRDefault="007179AA" w:rsidP="00F24B28">
      <w:pPr>
        <w:spacing w:after="0"/>
        <w:ind w:firstLine="708"/>
        <w:jc w:val="both"/>
        <w:rPr>
          <w:rFonts w:asciiTheme="majorHAnsi" w:hAnsiTheme="majorHAnsi" w:cstheme="majorHAnsi"/>
        </w:rPr>
      </w:pPr>
      <w:r>
        <w:rPr>
          <w:rFonts w:asciiTheme="majorHAnsi" w:hAnsiTheme="majorHAnsi" w:cstheme="majorHAnsi"/>
        </w:rPr>
        <w:t xml:space="preserve">Les offres publiques tiennent une place importante dans la vie des sociétés et peuvent entraîner des modifications conséquentes au niveau de la structure financière des sociétés et du cours de bourse. </w:t>
      </w:r>
      <w:r w:rsidR="00BE5476">
        <w:rPr>
          <w:rFonts w:asciiTheme="majorHAnsi" w:hAnsiTheme="majorHAnsi" w:cstheme="majorHAnsi"/>
        </w:rPr>
        <w:t>Leur objectif est la prise de contrôle significative, voire majoritaire d’une société cotée.</w:t>
      </w:r>
    </w:p>
    <w:p w14:paraId="6CCF0A7D" w14:textId="395F202B" w:rsidR="007179AA" w:rsidRDefault="007179AA" w:rsidP="00F24B28">
      <w:pPr>
        <w:spacing w:after="0"/>
        <w:ind w:firstLine="708"/>
        <w:jc w:val="both"/>
        <w:rPr>
          <w:rFonts w:asciiTheme="majorHAnsi" w:hAnsiTheme="majorHAnsi" w:cstheme="majorHAnsi"/>
        </w:rPr>
      </w:pPr>
      <w:r>
        <w:rPr>
          <w:rFonts w:asciiTheme="majorHAnsi" w:hAnsiTheme="majorHAnsi" w:cstheme="majorHAnsi"/>
        </w:rPr>
        <w:t xml:space="preserve">Les principales formes d’offres publiques, et les plus connues, sont les Offres Publiques d’Achat (OPA) et les Offres Publiques d’Echange (OPE). </w:t>
      </w:r>
      <w:r w:rsidR="00BE5476">
        <w:rPr>
          <w:rFonts w:asciiTheme="majorHAnsi" w:hAnsiTheme="majorHAnsi" w:cstheme="majorHAnsi"/>
        </w:rPr>
        <w:t xml:space="preserve">Mais il en existe d’autres </w:t>
      </w:r>
      <w:r w:rsidR="008C4279">
        <w:rPr>
          <w:rFonts w:asciiTheme="majorHAnsi" w:hAnsiTheme="majorHAnsi" w:cstheme="majorHAnsi"/>
        </w:rPr>
        <w:t>types d’offres publiques dont l’objectif est la réduction du capital de l’entité.</w:t>
      </w:r>
    </w:p>
    <w:p w14:paraId="1161F521" w14:textId="7605AEDA" w:rsidR="008C4279" w:rsidRDefault="008C4279" w:rsidP="00F24B28">
      <w:pPr>
        <w:spacing w:after="0"/>
        <w:ind w:firstLine="708"/>
        <w:jc w:val="both"/>
        <w:rPr>
          <w:rFonts w:asciiTheme="majorHAnsi" w:hAnsiTheme="majorHAnsi" w:cstheme="majorHAnsi"/>
        </w:rPr>
      </w:pPr>
    </w:p>
    <w:p w14:paraId="5311E66B" w14:textId="70C16F35" w:rsidR="008C4279" w:rsidRDefault="008C4279" w:rsidP="00F24B28">
      <w:pPr>
        <w:spacing w:after="0"/>
        <w:ind w:firstLine="708"/>
        <w:jc w:val="both"/>
        <w:rPr>
          <w:rFonts w:asciiTheme="majorHAnsi" w:hAnsiTheme="majorHAnsi" w:cstheme="majorHAnsi"/>
        </w:rPr>
      </w:pPr>
    </w:p>
    <w:p w14:paraId="47D44A60" w14:textId="782ACE6A" w:rsidR="008C4279" w:rsidRDefault="008C4279" w:rsidP="00F24B28">
      <w:pPr>
        <w:spacing w:after="0"/>
        <w:ind w:firstLine="708"/>
        <w:jc w:val="both"/>
        <w:rPr>
          <w:rFonts w:asciiTheme="majorHAnsi" w:hAnsiTheme="majorHAnsi" w:cstheme="majorHAnsi"/>
        </w:rPr>
      </w:pPr>
    </w:p>
    <w:p w14:paraId="5AF2F430" w14:textId="72B9EDB6" w:rsidR="00E8443E" w:rsidRDefault="00E8443E" w:rsidP="00F24B28">
      <w:pPr>
        <w:spacing w:after="0"/>
        <w:ind w:firstLine="708"/>
        <w:jc w:val="both"/>
        <w:rPr>
          <w:rFonts w:asciiTheme="majorHAnsi" w:hAnsiTheme="majorHAnsi" w:cstheme="majorHAnsi"/>
        </w:rPr>
      </w:pPr>
    </w:p>
    <w:p w14:paraId="56141AD7" w14:textId="09D41B3E" w:rsidR="008C4279" w:rsidRDefault="008C4279" w:rsidP="00F24B28">
      <w:pPr>
        <w:spacing w:after="0"/>
        <w:ind w:firstLine="708"/>
        <w:jc w:val="both"/>
        <w:rPr>
          <w:rFonts w:asciiTheme="majorHAnsi" w:hAnsiTheme="majorHAnsi" w:cstheme="majorHAnsi"/>
        </w:rPr>
      </w:pPr>
    </w:p>
    <w:p w14:paraId="7F865BC5" w14:textId="1FA852EB" w:rsidR="008C4279" w:rsidRDefault="009A07CF" w:rsidP="00F24B28">
      <w:pPr>
        <w:spacing w:after="0"/>
        <w:ind w:firstLine="708"/>
        <w:jc w:val="both"/>
        <w:rPr>
          <w:rFonts w:asciiTheme="majorHAnsi" w:hAnsiTheme="majorHAnsi" w:cstheme="majorHAnsi"/>
        </w:rPr>
      </w:pPr>
      <w:r>
        <w:rPr>
          <w:rFonts w:asciiTheme="majorHAnsi" w:hAnsiTheme="majorHAnsi" w:cstheme="majorHAnsi"/>
          <w:noProof/>
          <w:lang w:eastAsia="fr-FR"/>
        </w:rPr>
        <w:lastRenderedPageBreak/>
        <mc:AlternateContent>
          <mc:Choice Requires="wps">
            <w:drawing>
              <wp:anchor distT="0" distB="0" distL="114300" distR="114300" simplePos="0" relativeHeight="251806720" behindDoc="0" locked="0" layoutInCell="1" allowOverlap="1" wp14:anchorId="56FCA31B" wp14:editId="6F6336CF">
                <wp:simplePos x="0" y="0"/>
                <wp:positionH relativeFrom="margin">
                  <wp:align>center</wp:align>
                </wp:positionH>
                <wp:positionV relativeFrom="paragraph">
                  <wp:posOffset>36195</wp:posOffset>
                </wp:positionV>
                <wp:extent cx="4610100" cy="1095375"/>
                <wp:effectExtent l="0" t="0" r="19050" b="28575"/>
                <wp:wrapNone/>
                <wp:docPr id="98" name="Zone de texte 98"/>
                <wp:cNvGraphicFramePr/>
                <a:graphic xmlns:a="http://schemas.openxmlformats.org/drawingml/2006/main">
                  <a:graphicData uri="http://schemas.microsoft.com/office/word/2010/wordprocessingShape">
                    <wps:wsp>
                      <wps:cNvSpPr txBox="1"/>
                      <wps:spPr>
                        <a:xfrm>
                          <a:off x="0" y="0"/>
                          <a:ext cx="4610100" cy="109537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017F3CCE" w14:textId="4E1F5BEE" w:rsidR="00BF43B9" w:rsidRPr="009A07CF" w:rsidRDefault="00BF43B9" w:rsidP="009A07CF">
                            <w:pPr>
                              <w:jc w:val="center"/>
                              <w:rPr>
                                <w:b/>
                              </w:rPr>
                            </w:pPr>
                            <w:r w:rsidRPr="009A07CF">
                              <w:rPr>
                                <w:b/>
                              </w:rPr>
                              <w:t>Offres publiques</w:t>
                            </w:r>
                          </w:p>
                          <w:p w14:paraId="24169879" w14:textId="46C7D9D7" w:rsidR="00BF43B9" w:rsidRDefault="00BF43B9" w:rsidP="009A07CF">
                            <w:pPr>
                              <w:jc w:val="both"/>
                            </w:pPr>
                            <w:r>
                              <w:t>L’initiateur de l’offre propose à tous les actionnaires de la société concernée le rachat ou l’échange de leurs actions sous certaines conditions qui doivent être identiques pour tous les actionnaires.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FCA31B" id="Zone de texte 98" o:spid="_x0000_s1038" style="position:absolute;left:0;text-align:left;margin-left:0;margin-top:2.85pt;width:363pt;height:86.25pt;z-index:251806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" fillcolor="white [3201]" strokecolor="#5b9bd5 [3204]" strokeweight="1pt">
                <v:stroke joinstyle="miter"/>
                <v:textbox>
                  <w:txbxContent>
                    <w:p w14:paraId="017F3CCE" w14:textId="4E1F5BEE" w:rsidR="00BF43B9" w:rsidRPr="009A07CF" w:rsidRDefault="00BF43B9" w:rsidP="009A07CF">
                      <w:pPr>
                        <w:jc w:val="center"/>
                        <w:rPr>
                          <w:b/>
                        </w:rPr>
                      </w:pPr>
                      <w:r w:rsidRPr="009A07CF">
                        <w:rPr>
                          <w:b/>
                        </w:rPr>
                        <w:t>Offres publiques</w:t>
                      </w:r>
                    </w:p>
                    <w:p w14:paraId="24169879" w14:textId="46C7D9D7" w:rsidR="00BF43B9" w:rsidRDefault="00BF43B9" w:rsidP="009A07CF">
                      <w:pPr>
                        <w:jc w:val="both"/>
                      </w:pPr>
                      <w:r>
                        <w:t>L’initiateur de l’offre propose à tous les actionnaires de la société concernée le rachat ou l’échange de leurs actions sous certaines conditions qui doivent être identiques pour tous les actionnaires.</w:t>
                      </w:r>
                    </w:p>
                  </w:txbxContent>
                </v:textbox>
                <w10:wrap anchorx="margin"/>
              </v:roundrect>
            </w:pict>
          </mc:Fallback>
        </mc:AlternateContent>
      </w:r>
    </w:p>
    <w:p w14:paraId="05FA3AA4" w14:textId="77777777" w:rsidR="007179AA" w:rsidRDefault="007179AA" w:rsidP="00F24B28">
      <w:pPr>
        <w:spacing w:after="0"/>
        <w:ind w:firstLine="708"/>
        <w:jc w:val="both"/>
        <w:rPr>
          <w:rFonts w:asciiTheme="majorHAnsi" w:hAnsiTheme="majorHAnsi" w:cstheme="majorHAnsi"/>
        </w:rPr>
      </w:pPr>
    </w:p>
    <w:p w14:paraId="468884BA" w14:textId="2C29797F" w:rsidR="00F24B28" w:rsidRDefault="00F24B28" w:rsidP="00F24B28">
      <w:pPr>
        <w:spacing w:after="0"/>
        <w:jc w:val="both"/>
        <w:rPr>
          <w:rFonts w:asciiTheme="majorHAnsi" w:hAnsiTheme="majorHAnsi" w:cstheme="majorHAnsi"/>
        </w:rPr>
      </w:pPr>
    </w:p>
    <w:p w14:paraId="1013C11E" w14:textId="302E8EFD" w:rsidR="009A07CF" w:rsidRDefault="009A07CF" w:rsidP="00F24B28">
      <w:pPr>
        <w:spacing w:after="0"/>
        <w:jc w:val="both"/>
        <w:rPr>
          <w:rFonts w:asciiTheme="majorHAnsi" w:hAnsiTheme="majorHAnsi" w:cstheme="majorHAnsi"/>
        </w:rPr>
      </w:pPr>
    </w:p>
    <w:p w14:paraId="33F0AE97" w14:textId="77777777" w:rsidR="009A07CF" w:rsidRDefault="009A07CF" w:rsidP="00F24B28">
      <w:pPr>
        <w:spacing w:after="0"/>
        <w:jc w:val="both"/>
        <w:rPr>
          <w:rFonts w:asciiTheme="majorHAnsi" w:hAnsiTheme="majorHAnsi" w:cstheme="majorHAnsi"/>
        </w:rPr>
      </w:pPr>
    </w:p>
    <w:p w14:paraId="014E3F9D" w14:textId="2C5CA9E8" w:rsidR="009A07CF" w:rsidRDefault="009A07CF" w:rsidP="00F24B28">
      <w:pPr>
        <w:spacing w:after="0"/>
        <w:jc w:val="both"/>
        <w:rPr>
          <w:rFonts w:asciiTheme="majorHAnsi" w:hAnsiTheme="majorHAnsi" w:cstheme="majorHAnsi"/>
        </w:rPr>
      </w:pPr>
    </w:p>
    <w:p w14:paraId="235C61D3" w14:textId="7EDA8363" w:rsidR="009A07CF" w:rsidRDefault="0005268D" w:rsidP="00F24B28">
      <w:pP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817984" behindDoc="0" locked="0" layoutInCell="1" allowOverlap="1" wp14:anchorId="3618705A" wp14:editId="3C2B1FC0">
                <wp:simplePos x="0" y="0"/>
                <wp:positionH relativeFrom="column">
                  <wp:posOffset>4329430</wp:posOffset>
                </wp:positionH>
                <wp:positionV relativeFrom="paragraph">
                  <wp:posOffset>113030</wp:posOffset>
                </wp:positionV>
                <wp:extent cx="514350" cy="933450"/>
                <wp:effectExtent l="19050" t="0" r="19050" b="38100"/>
                <wp:wrapNone/>
                <wp:docPr id="104" name="Flèche vers le bas 104"/>
                <wp:cNvGraphicFramePr/>
                <a:graphic xmlns:a="http://schemas.openxmlformats.org/drawingml/2006/main">
                  <a:graphicData uri="http://schemas.microsoft.com/office/word/2010/wordprocessingShape">
                    <wps:wsp>
                      <wps:cNvSpPr/>
                      <wps:spPr>
                        <a:xfrm>
                          <a:off x="0" y="0"/>
                          <a:ext cx="514350" cy="9334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C2890E" id="Flèche vers le bas 104" o:spid="_x0000_s1026" type="#_x0000_t67" style="position:absolute;margin-left:340.9pt;margin-top:8.9pt;width:40.5pt;height:73.5pt;z-index:25181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" adj="15649" fillcolor="#5b9bd5 [3204]" strokecolor="#1f4d78 [1604]" strokeweight="1pt"/>
            </w:pict>
          </mc:Fallback>
        </mc:AlternateContent>
      </w:r>
      <w:r>
        <w:rPr>
          <w:rFonts w:asciiTheme="majorHAnsi" w:hAnsiTheme="majorHAnsi" w:cstheme="majorHAnsi"/>
          <w:noProof/>
          <w:lang w:eastAsia="fr-FR"/>
        </w:rPr>
        <mc:AlternateContent>
          <mc:Choice Requires="wps">
            <w:drawing>
              <wp:anchor distT="0" distB="0" distL="114300" distR="114300" simplePos="0" relativeHeight="251815936" behindDoc="0" locked="0" layoutInCell="1" allowOverlap="1" wp14:anchorId="7AD4CE36" wp14:editId="7C19AEE4">
                <wp:simplePos x="0" y="0"/>
                <wp:positionH relativeFrom="column">
                  <wp:posOffset>1081405</wp:posOffset>
                </wp:positionH>
                <wp:positionV relativeFrom="paragraph">
                  <wp:posOffset>84455</wp:posOffset>
                </wp:positionV>
                <wp:extent cx="514350" cy="933450"/>
                <wp:effectExtent l="19050" t="0" r="19050" b="38100"/>
                <wp:wrapNone/>
                <wp:docPr id="103" name="Flèche vers le bas 103"/>
                <wp:cNvGraphicFramePr/>
                <a:graphic xmlns:a="http://schemas.openxmlformats.org/drawingml/2006/main">
                  <a:graphicData uri="http://schemas.microsoft.com/office/word/2010/wordprocessingShape">
                    <wps:wsp>
                      <wps:cNvSpPr/>
                      <wps:spPr>
                        <a:xfrm>
                          <a:off x="0" y="0"/>
                          <a:ext cx="514350" cy="9334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D011F2" id="Flèche vers le bas 103" o:spid="_x0000_s1026" type="#_x0000_t67" style="position:absolute;margin-left:85.15pt;margin-top:6.65pt;width:40.5pt;height:73.5pt;z-index:251815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" adj="15649" fillcolor="#5b9bd5 [3204]" strokecolor="#1f4d78 [1604]" strokeweight="1pt"/>
            </w:pict>
          </mc:Fallback>
        </mc:AlternateContent>
      </w:r>
    </w:p>
    <w:p w14:paraId="69B3EA96" w14:textId="551CDB25" w:rsidR="009A07CF" w:rsidRDefault="009A07CF" w:rsidP="00F24B28">
      <w:pPr>
        <w:spacing w:after="0"/>
        <w:jc w:val="both"/>
        <w:rPr>
          <w:rFonts w:asciiTheme="majorHAnsi" w:hAnsiTheme="majorHAnsi" w:cstheme="majorHAnsi"/>
        </w:rPr>
      </w:pPr>
    </w:p>
    <w:p w14:paraId="20D15565" w14:textId="4440A3D9" w:rsidR="009A07CF" w:rsidRDefault="009A07CF" w:rsidP="00F24B28">
      <w:pPr>
        <w:spacing w:after="0"/>
        <w:jc w:val="both"/>
        <w:rPr>
          <w:rFonts w:asciiTheme="majorHAnsi" w:hAnsiTheme="majorHAnsi" w:cstheme="majorHAnsi"/>
        </w:rPr>
      </w:pPr>
    </w:p>
    <w:p w14:paraId="5360E3A7" w14:textId="74512258" w:rsidR="009A07CF" w:rsidRDefault="009A07CF" w:rsidP="00F24B28">
      <w:pPr>
        <w:spacing w:after="0"/>
        <w:jc w:val="both"/>
        <w:rPr>
          <w:rFonts w:asciiTheme="majorHAnsi" w:hAnsiTheme="majorHAnsi" w:cstheme="majorHAnsi"/>
        </w:rPr>
      </w:pPr>
    </w:p>
    <w:p w14:paraId="71FCF135" w14:textId="4F9B032A" w:rsidR="009A07CF" w:rsidRDefault="009A07CF" w:rsidP="00F24B28">
      <w:pPr>
        <w:spacing w:after="0"/>
        <w:jc w:val="both"/>
        <w:rPr>
          <w:rFonts w:asciiTheme="majorHAnsi" w:hAnsiTheme="majorHAnsi" w:cstheme="majorHAnsi"/>
        </w:rPr>
      </w:pPr>
    </w:p>
    <w:p w14:paraId="186DF29E" w14:textId="17BEA818" w:rsidR="009A07CF" w:rsidRDefault="009A07CF" w:rsidP="00F24B28">
      <w:pP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808768" behindDoc="0" locked="0" layoutInCell="1" allowOverlap="1" wp14:anchorId="1D562874" wp14:editId="1D23CFC2">
                <wp:simplePos x="0" y="0"/>
                <wp:positionH relativeFrom="margin">
                  <wp:posOffset>-166370</wp:posOffset>
                </wp:positionH>
                <wp:positionV relativeFrom="paragraph">
                  <wp:posOffset>193040</wp:posOffset>
                </wp:positionV>
                <wp:extent cx="1476375" cy="2219325"/>
                <wp:effectExtent l="0" t="0" r="28575" b="28575"/>
                <wp:wrapNone/>
                <wp:docPr id="99" name="Zone de texte 99"/>
                <wp:cNvGraphicFramePr/>
                <a:graphic xmlns:a="http://schemas.openxmlformats.org/drawingml/2006/main">
                  <a:graphicData uri="http://schemas.microsoft.com/office/word/2010/wordprocessingShape">
                    <wps:wsp>
                      <wps:cNvSpPr txBox="1"/>
                      <wps:spPr>
                        <a:xfrm>
                          <a:off x="0" y="0"/>
                          <a:ext cx="1476375" cy="2219325"/>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022C55BF" w14:textId="66E1D423" w:rsidR="00BF43B9" w:rsidRPr="009A07CF" w:rsidRDefault="00BF43B9" w:rsidP="009A07CF">
                            <w:pPr>
                              <w:jc w:val="center"/>
                              <w:rPr>
                                <w:b/>
                              </w:rPr>
                            </w:pPr>
                            <w:r w:rsidRPr="009A07CF">
                              <w:rPr>
                                <w:b/>
                              </w:rPr>
                              <w:t>Offres publiques</w:t>
                            </w:r>
                            <w:r>
                              <w:rPr>
                                <w:b/>
                              </w:rPr>
                              <w:t xml:space="preserve"> d’achat (OPA)</w:t>
                            </w:r>
                          </w:p>
                          <w:p w14:paraId="79E22B78" w14:textId="21E5A10B" w:rsidR="00BF43B9" w:rsidRDefault="00BF43B9" w:rsidP="009A07CF">
                            <w:pPr>
                              <w:jc w:val="both"/>
                            </w:pPr>
                            <w:r>
                              <w:t>L’initiatrice propose aux actionnaires de la société cible le rachat de leurs actions.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562874" id="Zone de texte 99" o:spid="_x0000_s1039" style="position:absolute;left:0;text-align:left;margin-left:-13.1pt;margin-top:15.2pt;width:116.25pt;height:174.75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" fillcolor="white [3201]" strokecolor="#5b9bd5 [3204]" strokeweight="1pt">
                <v:stroke joinstyle="miter"/>
                <v:textbox>
                  <w:txbxContent>
                    <w:p w14:paraId="022C55BF" w14:textId="66E1D423" w:rsidR="00BF43B9" w:rsidRPr="009A07CF" w:rsidRDefault="00BF43B9" w:rsidP="009A07CF">
                      <w:pPr>
                        <w:jc w:val="center"/>
                        <w:rPr>
                          <w:b/>
                        </w:rPr>
                      </w:pPr>
                      <w:r w:rsidRPr="009A07CF">
                        <w:rPr>
                          <w:b/>
                        </w:rPr>
                        <w:t>Offres publiques</w:t>
                      </w:r>
                      <w:r>
                        <w:rPr>
                          <w:b/>
                        </w:rPr>
                        <w:t xml:space="preserve"> d’achat (OPA)</w:t>
                      </w:r>
                    </w:p>
                    <w:p w14:paraId="79E22B78" w14:textId="21E5A10B" w:rsidR="00BF43B9" w:rsidRDefault="00BF43B9" w:rsidP="009A07CF">
                      <w:pPr>
                        <w:jc w:val="both"/>
                      </w:pPr>
                      <w:r>
                        <w:t>L’initiatrice propose aux actionnaires de la société cible le rachat de leurs actions.</w:t>
                      </w:r>
                    </w:p>
                  </w:txbxContent>
                </v:textbox>
                <w10:wrap anchorx="margin"/>
              </v:roundrect>
            </w:pict>
          </mc:Fallback>
        </mc:AlternateContent>
      </w:r>
    </w:p>
    <w:p w14:paraId="481208FC" w14:textId="1214CFB1" w:rsidR="009A07CF" w:rsidRDefault="0005268D" w:rsidP="00F24B28">
      <w:pP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812864" behindDoc="0" locked="0" layoutInCell="1" allowOverlap="1" wp14:anchorId="57DB07BC" wp14:editId="1ECD32BD">
                <wp:simplePos x="0" y="0"/>
                <wp:positionH relativeFrom="margin">
                  <wp:posOffset>3053080</wp:posOffset>
                </wp:positionH>
                <wp:positionV relativeFrom="paragraph">
                  <wp:posOffset>8890</wp:posOffset>
                </wp:positionV>
                <wp:extent cx="1476375" cy="2190750"/>
                <wp:effectExtent l="0" t="0" r="28575" b="19050"/>
                <wp:wrapNone/>
                <wp:docPr id="101" name="Zone de texte 101"/>
                <wp:cNvGraphicFramePr/>
                <a:graphic xmlns:a="http://schemas.openxmlformats.org/drawingml/2006/main">
                  <a:graphicData uri="http://schemas.microsoft.com/office/word/2010/wordprocessingShape">
                    <wps:wsp>
                      <wps:cNvSpPr txBox="1"/>
                      <wps:spPr>
                        <a:xfrm>
                          <a:off x="0" y="0"/>
                          <a:ext cx="1476375" cy="219075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6B708AF6" w14:textId="0930F6E7" w:rsidR="00BF43B9" w:rsidRPr="009A07CF" w:rsidRDefault="00BF43B9" w:rsidP="0005268D">
                            <w:pPr>
                              <w:jc w:val="center"/>
                              <w:rPr>
                                <w:b/>
                              </w:rPr>
                            </w:pPr>
                            <w:r w:rsidRPr="009A07CF">
                              <w:rPr>
                                <w:b/>
                              </w:rPr>
                              <w:t>Offres publiques</w:t>
                            </w:r>
                            <w:r>
                              <w:rPr>
                                <w:b/>
                              </w:rPr>
                              <w:t xml:space="preserve"> de rachat (OPRA)</w:t>
                            </w:r>
                          </w:p>
                          <w:p w14:paraId="578FE15F" w14:textId="3EE87CEF" w:rsidR="00BF43B9" w:rsidRDefault="00BF43B9" w:rsidP="0005268D">
                            <w:pPr>
                              <w:jc w:val="both"/>
                            </w:pPr>
                            <w:r>
                              <w:t>La société propose à ses actionnaires de racheter leurs actions pour les annuler.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DB07BC" id="Zone de texte 101" o:spid="_x0000_s1040" style="position:absolute;left:0;text-align:left;margin-left:240.4pt;margin-top:.7pt;width:116.25pt;height:172.5pt;z-index:25181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" fillcolor="white [3201]" strokecolor="#5b9bd5 [3204]" strokeweight="1pt">
                <v:stroke joinstyle="miter"/>
                <v:textbox>
                  <w:txbxContent>
                    <w:p w14:paraId="6B708AF6" w14:textId="0930F6E7" w:rsidR="00BF43B9" w:rsidRPr="009A07CF" w:rsidRDefault="00BF43B9" w:rsidP="0005268D">
                      <w:pPr>
                        <w:jc w:val="center"/>
                        <w:rPr>
                          <w:b/>
                        </w:rPr>
                      </w:pPr>
                      <w:r w:rsidRPr="009A07CF">
                        <w:rPr>
                          <w:b/>
                        </w:rPr>
                        <w:t>Offres publiques</w:t>
                      </w:r>
                      <w:r>
                        <w:rPr>
                          <w:b/>
                        </w:rPr>
                        <w:t xml:space="preserve"> de rachat (OPRA)</w:t>
                      </w:r>
                    </w:p>
                    <w:p w14:paraId="578FE15F" w14:textId="3EE87CEF" w:rsidR="00BF43B9" w:rsidRDefault="00BF43B9" w:rsidP="0005268D">
                      <w:pPr>
                        <w:jc w:val="both"/>
                      </w:pPr>
                      <w:r>
                        <w:t>La société propose à ses actionnaires de racheter leurs actions pour les annuler.</w:t>
                      </w:r>
                    </w:p>
                  </w:txbxContent>
                </v:textbox>
                <w10:wrap anchorx="margin"/>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814912" behindDoc="0" locked="0" layoutInCell="1" allowOverlap="1" wp14:anchorId="037CBF4F" wp14:editId="562D429C">
                <wp:simplePos x="0" y="0"/>
                <wp:positionH relativeFrom="margin">
                  <wp:posOffset>4560570</wp:posOffset>
                </wp:positionH>
                <wp:positionV relativeFrom="paragraph">
                  <wp:posOffset>8890</wp:posOffset>
                </wp:positionV>
                <wp:extent cx="1476375" cy="2190750"/>
                <wp:effectExtent l="0" t="0" r="28575" b="19050"/>
                <wp:wrapNone/>
                <wp:docPr id="102" name="Zone de texte 102"/>
                <wp:cNvGraphicFramePr/>
                <a:graphic xmlns:a="http://schemas.openxmlformats.org/drawingml/2006/main">
                  <a:graphicData uri="http://schemas.microsoft.com/office/word/2010/wordprocessingShape">
                    <wps:wsp>
                      <wps:cNvSpPr txBox="1"/>
                      <wps:spPr>
                        <a:xfrm>
                          <a:off x="0" y="0"/>
                          <a:ext cx="1476375" cy="219075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7B9B73DF" w14:textId="59DEBE23" w:rsidR="00BF43B9" w:rsidRPr="009A07CF" w:rsidRDefault="00BF43B9" w:rsidP="0005268D">
                            <w:pPr>
                              <w:jc w:val="center"/>
                              <w:rPr>
                                <w:b/>
                              </w:rPr>
                            </w:pPr>
                            <w:r w:rsidRPr="009A07CF">
                              <w:rPr>
                                <w:b/>
                              </w:rPr>
                              <w:t>Offres publiques</w:t>
                            </w:r>
                            <w:r>
                              <w:rPr>
                                <w:b/>
                              </w:rPr>
                              <w:t xml:space="preserve"> de retrait (OPR)</w:t>
                            </w:r>
                          </w:p>
                          <w:p w14:paraId="15B91F43" w14:textId="756ACFF1" w:rsidR="00BF43B9" w:rsidRDefault="00BF43B9" w:rsidP="0005268D">
                            <w:pPr>
                              <w:jc w:val="both"/>
                            </w:pPr>
                            <w:r>
                              <w:t>L’actionnaire majoritaire propose aux minoritaires de racheter leurs actions pour les retirer de la cote.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7CBF4F" id="Zone de texte 102" o:spid="_x0000_s1041" style="position:absolute;left:0;text-align:left;margin-left:359.1pt;margin-top:.7pt;width:116.25pt;height:172.5pt;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" fillcolor="white [3201]" strokecolor="#5b9bd5 [3204]" strokeweight="1pt">
                <v:stroke joinstyle="miter"/>
                <v:textbox>
                  <w:txbxContent>
                    <w:p w14:paraId="7B9B73DF" w14:textId="59DEBE23" w:rsidR="00BF43B9" w:rsidRPr="009A07CF" w:rsidRDefault="00BF43B9" w:rsidP="0005268D">
                      <w:pPr>
                        <w:jc w:val="center"/>
                        <w:rPr>
                          <w:b/>
                        </w:rPr>
                      </w:pPr>
                      <w:r w:rsidRPr="009A07CF">
                        <w:rPr>
                          <w:b/>
                        </w:rPr>
                        <w:t>Offres publiques</w:t>
                      </w:r>
                      <w:r>
                        <w:rPr>
                          <w:b/>
                        </w:rPr>
                        <w:t xml:space="preserve"> de retrait (OPR)</w:t>
                      </w:r>
                    </w:p>
                    <w:p w14:paraId="15B91F43" w14:textId="756ACFF1" w:rsidR="00BF43B9" w:rsidRDefault="00BF43B9" w:rsidP="0005268D">
                      <w:pPr>
                        <w:jc w:val="both"/>
                      </w:pPr>
                      <w:r>
                        <w:t>L’actionnaire majoritaire propose aux minoritaires de racheter leurs actions pour les retirer de la cote.</w:t>
                      </w:r>
                    </w:p>
                  </w:txbxContent>
                </v:textbox>
                <w10:wrap anchorx="margin"/>
              </v:roundrect>
            </w:pict>
          </mc:Fallback>
        </mc:AlternateContent>
      </w:r>
      <w:r w:rsidR="009A07CF">
        <w:rPr>
          <w:rFonts w:asciiTheme="majorHAnsi" w:hAnsiTheme="majorHAnsi" w:cstheme="majorHAnsi"/>
          <w:noProof/>
          <w:lang w:eastAsia="fr-FR"/>
        </w:rPr>
        <mc:AlternateContent>
          <mc:Choice Requires="wps">
            <w:drawing>
              <wp:anchor distT="0" distB="0" distL="114300" distR="114300" simplePos="0" relativeHeight="251810816" behindDoc="0" locked="0" layoutInCell="1" allowOverlap="1" wp14:anchorId="6D5604D3" wp14:editId="08DB6272">
                <wp:simplePos x="0" y="0"/>
                <wp:positionH relativeFrom="margin">
                  <wp:posOffset>1348105</wp:posOffset>
                </wp:positionH>
                <wp:positionV relativeFrom="paragraph">
                  <wp:posOffset>8890</wp:posOffset>
                </wp:positionV>
                <wp:extent cx="1476375" cy="2190750"/>
                <wp:effectExtent l="0" t="0" r="28575" b="19050"/>
                <wp:wrapNone/>
                <wp:docPr id="100" name="Zone de texte 100"/>
                <wp:cNvGraphicFramePr/>
                <a:graphic xmlns:a="http://schemas.openxmlformats.org/drawingml/2006/main">
                  <a:graphicData uri="http://schemas.microsoft.com/office/word/2010/wordprocessingShape">
                    <wps:wsp>
                      <wps:cNvSpPr txBox="1"/>
                      <wps:spPr>
                        <a:xfrm>
                          <a:off x="0" y="0"/>
                          <a:ext cx="1476375" cy="219075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4DF9B023" w14:textId="127AAF2E" w:rsidR="00BF43B9" w:rsidRPr="009A07CF" w:rsidRDefault="00BF43B9" w:rsidP="009A07CF">
                            <w:pPr>
                              <w:jc w:val="center"/>
                              <w:rPr>
                                <w:b/>
                              </w:rPr>
                            </w:pPr>
                            <w:r w:rsidRPr="009A07CF">
                              <w:rPr>
                                <w:b/>
                              </w:rPr>
                              <w:t>Offres publiques</w:t>
                            </w:r>
                            <w:r>
                              <w:rPr>
                                <w:b/>
                              </w:rPr>
                              <w:t xml:space="preserve"> d’échange (OPE)</w:t>
                            </w:r>
                          </w:p>
                          <w:p w14:paraId="7EE70807" w14:textId="1DB8357B" w:rsidR="00BF43B9" w:rsidRDefault="00BF43B9" w:rsidP="009A07CF">
                            <w:pPr>
                              <w:jc w:val="both"/>
                            </w:pPr>
                            <w:r>
                              <w:t>L’initiatrice propose aux actionnaires de la société cible de racheter leurs actions en les payant avec ses propres titres.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5604D3" id="Zone de texte 100" o:spid="_x0000_s1042" style="position:absolute;left:0;text-align:left;margin-left:106.15pt;margin-top:.7pt;width:116.25pt;height:172.5pt;z-index:25181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" fillcolor="white [3201]" strokecolor="#5b9bd5 [3204]" strokeweight="1pt">
                <v:stroke joinstyle="miter"/>
                <v:textbox>
                  <w:txbxContent>
                    <w:p w14:paraId="4DF9B023" w14:textId="127AAF2E" w:rsidR="00BF43B9" w:rsidRPr="009A07CF" w:rsidRDefault="00BF43B9" w:rsidP="009A07CF">
                      <w:pPr>
                        <w:jc w:val="center"/>
                        <w:rPr>
                          <w:b/>
                        </w:rPr>
                      </w:pPr>
                      <w:r w:rsidRPr="009A07CF">
                        <w:rPr>
                          <w:b/>
                        </w:rPr>
                        <w:t>Offres publiques</w:t>
                      </w:r>
                      <w:r>
                        <w:rPr>
                          <w:b/>
                        </w:rPr>
                        <w:t xml:space="preserve"> d’échange (OPE)</w:t>
                      </w:r>
                    </w:p>
                    <w:p w14:paraId="7EE70807" w14:textId="1DB8357B" w:rsidR="00BF43B9" w:rsidRDefault="00BF43B9" w:rsidP="009A07CF">
                      <w:pPr>
                        <w:jc w:val="both"/>
                      </w:pPr>
                      <w:r>
                        <w:t>L’initiatrice propose aux actionnaires de la société cible de racheter leurs actions en les payant avec ses propres titres.</w:t>
                      </w:r>
                    </w:p>
                  </w:txbxContent>
                </v:textbox>
                <w10:wrap anchorx="margin"/>
              </v:roundrect>
            </w:pict>
          </mc:Fallback>
        </mc:AlternateContent>
      </w:r>
    </w:p>
    <w:p w14:paraId="5C02ADF9" w14:textId="7E6310D3" w:rsidR="009A07CF" w:rsidRDefault="009A07CF" w:rsidP="00F24B28">
      <w:pPr>
        <w:spacing w:after="0"/>
        <w:jc w:val="both"/>
        <w:rPr>
          <w:rFonts w:asciiTheme="majorHAnsi" w:hAnsiTheme="majorHAnsi" w:cstheme="majorHAnsi"/>
        </w:rPr>
      </w:pPr>
    </w:p>
    <w:p w14:paraId="3D7C5CF3" w14:textId="77777777" w:rsidR="009A07CF" w:rsidRDefault="009A07CF" w:rsidP="00F24B28">
      <w:pPr>
        <w:spacing w:after="0"/>
        <w:jc w:val="both"/>
        <w:rPr>
          <w:rFonts w:asciiTheme="majorHAnsi" w:hAnsiTheme="majorHAnsi" w:cstheme="majorHAnsi"/>
        </w:rPr>
      </w:pPr>
    </w:p>
    <w:p w14:paraId="04BC564D" w14:textId="77777777" w:rsidR="009A07CF" w:rsidRDefault="009A07CF" w:rsidP="00F24B28">
      <w:pPr>
        <w:spacing w:after="0"/>
        <w:jc w:val="both"/>
        <w:rPr>
          <w:rFonts w:asciiTheme="majorHAnsi" w:hAnsiTheme="majorHAnsi" w:cstheme="majorHAnsi"/>
        </w:rPr>
      </w:pPr>
    </w:p>
    <w:p w14:paraId="798B7A1E" w14:textId="77777777" w:rsidR="009A07CF" w:rsidRDefault="009A07CF" w:rsidP="00F24B28">
      <w:pPr>
        <w:spacing w:after="0"/>
        <w:jc w:val="both"/>
        <w:rPr>
          <w:rFonts w:asciiTheme="majorHAnsi" w:hAnsiTheme="majorHAnsi" w:cstheme="majorHAnsi"/>
        </w:rPr>
      </w:pPr>
    </w:p>
    <w:p w14:paraId="772B2091" w14:textId="77777777" w:rsidR="009A07CF" w:rsidRDefault="009A07CF" w:rsidP="00F24B28">
      <w:pPr>
        <w:spacing w:after="0"/>
        <w:jc w:val="both"/>
        <w:rPr>
          <w:rFonts w:asciiTheme="majorHAnsi" w:hAnsiTheme="majorHAnsi" w:cstheme="majorHAnsi"/>
        </w:rPr>
      </w:pPr>
    </w:p>
    <w:p w14:paraId="66D5B09F" w14:textId="77777777" w:rsidR="009A07CF" w:rsidRDefault="009A07CF" w:rsidP="00F24B28">
      <w:pPr>
        <w:spacing w:after="0"/>
        <w:jc w:val="both"/>
        <w:rPr>
          <w:rFonts w:asciiTheme="majorHAnsi" w:hAnsiTheme="majorHAnsi" w:cstheme="majorHAnsi"/>
        </w:rPr>
      </w:pPr>
    </w:p>
    <w:p w14:paraId="4E26D421" w14:textId="4C8D612C" w:rsidR="00F24B28" w:rsidRDefault="00F24B28" w:rsidP="00F24B28">
      <w:pPr>
        <w:spacing w:after="0"/>
        <w:jc w:val="both"/>
        <w:rPr>
          <w:rFonts w:asciiTheme="majorHAnsi" w:hAnsiTheme="majorHAnsi" w:cstheme="majorHAnsi"/>
        </w:rPr>
      </w:pPr>
      <w:r>
        <w:rPr>
          <w:rFonts w:asciiTheme="majorHAnsi" w:hAnsiTheme="majorHAnsi" w:cstheme="majorHAnsi"/>
        </w:rPr>
        <w:tab/>
      </w:r>
    </w:p>
    <w:p w14:paraId="3670FECE" w14:textId="77777777" w:rsidR="009A07CF" w:rsidRDefault="009A07CF" w:rsidP="00F24B28">
      <w:pPr>
        <w:spacing w:after="0"/>
        <w:jc w:val="both"/>
        <w:rPr>
          <w:rFonts w:asciiTheme="majorHAnsi" w:hAnsiTheme="majorHAnsi" w:cstheme="majorHAnsi"/>
        </w:rPr>
      </w:pPr>
    </w:p>
    <w:p w14:paraId="2381E56D" w14:textId="39EACBA1" w:rsidR="009A07CF" w:rsidRDefault="009A07CF" w:rsidP="00F24B28">
      <w:pPr>
        <w:spacing w:after="0"/>
        <w:jc w:val="both"/>
        <w:rPr>
          <w:rFonts w:asciiTheme="majorHAnsi" w:hAnsiTheme="majorHAnsi" w:cstheme="majorHAnsi"/>
        </w:rPr>
      </w:pPr>
    </w:p>
    <w:p w14:paraId="6A412B8F" w14:textId="4612F182" w:rsidR="009A07CF" w:rsidRDefault="009A07CF" w:rsidP="00F24B28">
      <w:pPr>
        <w:spacing w:after="0"/>
        <w:jc w:val="both"/>
        <w:rPr>
          <w:rFonts w:asciiTheme="majorHAnsi" w:hAnsiTheme="majorHAnsi" w:cstheme="majorHAnsi"/>
        </w:rPr>
      </w:pPr>
    </w:p>
    <w:p w14:paraId="2DA7F2D2" w14:textId="5FC7D241" w:rsidR="009A07CF" w:rsidRDefault="0005268D" w:rsidP="00F24B28">
      <w:pP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821056" behindDoc="0" locked="0" layoutInCell="1" allowOverlap="1" wp14:anchorId="68743243" wp14:editId="08D54ED9">
                <wp:simplePos x="0" y="0"/>
                <wp:positionH relativeFrom="margin">
                  <wp:posOffset>3157855</wp:posOffset>
                </wp:positionH>
                <wp:positionV relativeFrom="paragraph">
                  <wp:posOffset>13335</wp:posOffset>
                </wp:positionV>
                <wp:extent cx="2676525" cy="533400"/>
                <wp:effectExtent l="0" t="0" r="28575" b="19050"/>
                <wp:wrapNone/>
                <wp:docPr id="107" name="Arc plein 107"/>
                <wp:cNvGraphicFramePr/>
                <a:graphic xmlns:a="http://schemas.openxmlformats.org/drawingml/2006/main">
                  <a:graphicData uri="http://schemas.microsoft.com/office/word/2010/wordprocessingShape">
                    <wps:wsp>
                      <wps:cNvSpPr/>
                      <wps:spPr>
                        <a:xfrm flipV="1">
                          <a:off x="0" y="0"/>
                          <a:ext cx="2676525" cy="533400"/>
                        </a:xfrm>
                        <a:prstGeom prst="blockArc">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1C3A71E" id="Arc plein 107" o:spid="_x0000_s1026" style="position:absolute;margin-left:248.65pt;margin-top:1.05pt;width:210.75pt;height:42pt;flip:y;z-index:2518210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coordsize="2676525,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" path="m,266700c,119406,599161,,1338263,v739102,,1338263,119406,1338263,266700l2543175,266700v,-73647,-539458,-133350,-1204913,-133350c672807,133350,133349,193053,133349,266700l,266700xe" fillcolor="#5b9bd5 [3204]" strokecolor="#1f4d78 [1604]" strokeweight="1pt">
                <v:stroke joinstyle="miter"/>
                <v:path arrowok="t" o:connecttype="custom" o:connectlocs="0,266700;1338263,0;2676526,266700;2543175,266700;1338262,133350;133349,266700;0,266700" o:connectangles="0,0,0,0,0,0,0"/>
                <w10:wrap anchorx="margin"/>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819008" behindDoc="0" locked="0" layoutInCell="1" allowOverlap="1" wp14:anchorId="5ED6D099" wp14:editId="1E5E57A4">
                <wp:simplePos x="0" y="0"/>
                <wp:positionH relativeFrom="margin">
                  <wp:align>left</wp:align>
                </wp:positionH>
                <wp:positionV relativeFrom="paragraph">
                  <wp:posOffset>32385</wp:posOffset>
                </wp:positionV>
                <wp:extent cx="2676525" cy="533400"/>
                <wp:effectExtent l="0" t="0" r="28575" b="19050"/>
                <wp:wrapNone/>
                <wp:docPr id="106" name="Arc plein 106"/>
                <wp:cNvGraphicFramePr/>
                <a:graphic xmlns:a="http://schemas.openxmlformats.org/drawingml/2006/main">
                  <a:graphicData uri="http://schemas.microsoft.com/office/word/2010/wordprocessingShape">
                    <wps:wsp>
                      <wps:cNvSpPr/>
                      <wps:spPr>
                        <a:xfrm flipV="1">
                          <a:off x="0" y="0"/>
                          <a:ext cx="2676525" cy="533400"/>
                        </a:xfrm>
                        <a:prstGeom prst="blockArc">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E19B133" id="Arc plein 106" o:spid="_x0000_s1026" style="position:absolute;margin-left:0;margin-top:2.55pt;width:210.75pt;height:42pt;flip:y;z-index:2518190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coordsize="2676525,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" path="m,266700c,119406,599161,,1338263,v739102,,1338263,119406,1338263,266700l2543175,266700v,-73647,-539458,-133350,-1204913,-133350c672807,133350,133349,193053,133349,266700l,266700xe" fillcolor="#5b9bd5 [3204]" strokecolor="#1f4d78 [1604]" strokeweight="1pt">
                <v:stroke joinstyle="miter"/>
                <v:path arrowok="t" o:connecttype="custom" o:connectlocs="0,266700;1338263,0;2676526,266700;2543175,266700;1338262,133350;133349,266700;0,266700" o:connectangles="0,0,0,0,0,0,0"/>
                <w10:wrap anchorx="margin"/>
              </v:shape>
            </w:pict>
          </mc:Fallback>
        </mc:AlternateContent>
      </w:r>
    </w:p>
    <w:p w14:paraId="71F5BA22" w14:textId="689B933D" w:rsidR="009A07CF" w:rsidRDefault="009A07CF" w:rsidP="00F24B28">
      <w:pPr>
        <w:spacing w:after="0"/>
        <w:jc w:val="both"/>
        <w:rPr>
          <w:rFonts w:asciiTheme="majorHAnsi" w:hAnsiTheme="majorHAnsi" w:cstheme="majorHAnsi"/>
        </w:rPr>
      </w:pPr>
    </w:p>
    <w:p w14:paraId="48BCCFD2" w14:textId="1DA7CFA3" w:rsidR="009A07CF" w:rsidRDefault="009A07CF" w:rsidP="00F24B28">
      <w:pPr>
        <w:spacing w:after="0"/>
        <w:jc w:val="both"/>
        <w:rPr>
          <w:rFonts w:asciiTheme="majorHAnsi" w:hAnsiTheme="majorHAnsi" w:cstheme="majorHAnsi"/>
        </w:rPr>
      </w:pPr>
    </w:p>
    <w:p w14:paraId="00D09002" w14:textId="7A3E8191" w:rsidR="009A07CF" w:rsidRDefault="009A07CF" w:rsidP="00F24B28">
      <w:pPr>
        <w:spacing w:after="0"/>
        <w:jc w:val="both"/>
        <w:rPr>
          <w:rFonts w:asciiTheme="majorHAnsi" w:hAnsiTheme="majorHAnsi" w:cstheme="majorHAnsi"/>
        </w:rPr>
      </w:pPr>
    </w:p>
    <w:p w14:paraId="4AFD945B" w14:textId="2E9709CA" w:rsidR="0005268D" w:rsidRPr="0005268D" w:rsidRDefault="0005268D" w:rsidP="00F24B28">
      <w:pPr>
        <w:spacing w:after="0"/>
        <w:jc w:val="both"/>
        <w:rPr>
          <w:rFonts w:asciiTheme="majorHAnsi" w:hAnsiTheme="majorHAnsi" w:cstheme="majorHAnsi"/>
          <w:b/>
        </w:rPr>
      </w:pPr>
    </w:p>
    <w:p w14:paraId="735F577B" w14:textId="1E4455B5" w:rsidR="0005268D" w:rsidRPr="0005268D" w:rsidRDefault="0005268D" w:rsidP="00F24B28">
      <w:pPr>
        <w:spacing w:after="0"/>
        <w:jc w:val="both"/>
        <w:rPr>
          <w:rFonts w:asciiTheme="majorHAnsi" w:hAnsiTheme="majorHAnsi" w:cstheme="majorHAnsi"/>
          <w:b/>
        </w:rPr>
      </w:pPr>
      <w:r w:rsidRPr="0005268D">
        <w:rPr>
          <w:rFonts w:asciiTheme="majorHAnsi" w:hAnsiTheme="majorHAnsi" w:cstheme="majorHAnsi"/>
          <w:b/>
        </w:rPr>
        <w:tab/>
        <w:t>Instruments de prise de contrôle</w:t>
      </w:r>
      <w:r w:rsidRPr="0005268D">
        <w:rPr>
          <w:rFonts w:asciiTheme="majorHAnsi" w:hAnsiTheme="majorHAnsi" w:cstheme="majorHAnsi"/>
          <w:b/>
        </w:rPr>
        <w:tab/>
      </w:r>
      <w:r w:rsidRPr="0005268D">
        <w:rPr>
          <w:rFonts w:asciiTheme="majorHAnsi" w:hAnsiTheme="majorHAnsi" w:cstheme="majorHAnsi"/>
          <w:b/>
        </w:rPr>
        <w:tab/>
      </w:r>
      <w:r w:rsidRPr="0005268D">
        <w:rPr>
          <w:rFonts w:asciiTheme="majorHAnsi" w:hAnsiTheme="majorHAnsi" w:cstheme="majorHAnsi"/>
          <w:b/>
        </w:rPr>
        <w:tab/>
        <w:t>Instruments de fermeture de capital</w:t>
      </w:r>
    </w:p>
    <w:p w14:paraId="017D0138" w14:textId="33A4763F" w:rsidR="0005268D" w:rsidRDefault="0005268D" w:rsidP="00F24B28">
      <w:pPr>
        <w:spacing w:after="0"/>
        <w:jc w:val="both"/>
        <w:rPr>
          <w:rFonts w:asciiTheme="majorHAnsi" w:hAnsiTheme="majorHAnsi" w:cstheme="majorHAnsi"/>
        </w:rPr>
      </w:pPr>
    </w:p>
    <w:p w14:paraId="47590B81" w14:textId="3E1B372E" w:rsidR="0005268D" w:rsidRDefault="0005268D" w:rsidP="00F24B28">
      <w:pPr>
        <w:spacing w:after="0"/>
        <w:jc w:val="both"/>
        <w:rPr>
          <w:rFonts w:asciiTheme="majorHAnsi" w:hAnsiTheme="majorHAnsi" w:cstheme="majorHAnsi"/>
        </w:rPr>
      </w:pPr>
    </w:p>
    <w:p w14:paraId="3520C3AB" w14:textId="77777777" w:rsidR="0005268D" w:rsidRDefault="0005268D" w:rsidP="00F24B28">
      <w:pPr>
        <w:spacing w:after="0"/>
        <w:jc w:val="both"/>
        <w:rPr>
          <w:rFonts w:asciiTheme="majorHAnsi" w:hAnsiTheme="majorHAnsi" w:cstheme="majorHAnsi"/>
        </w:rPr>
      </w:pPr>
    </w:p>
    <w:p w14:paraId="1F9CD6C8" w14:textId="288A3B93" w:rsidR="00F24B28" w:rsidRDefault="00F24B28" w:rsidP="00F24B28">
      <w:pPr>
        <w:spacing w:after="0"/>
        <w:jc w:val="both"/>
        <w:rPr>
          <w:rFonts w:asciiTheme="majorHAnsi" w:hAnsiTheme="majorHAnsi" w:cstheme="majorHAnsi"/>
          <w:b/>
        </w:rPr>
      </w:pPr>
      <w:r>
        <w:rPr>
          <w:rFonts w:asciiTheme="majorHAnsi" w:hAnsiTheme="majorHAnsi" w:cstheme="majorHAnsi"/>
        </w:rPr>
        <w:tab/>
      </w:r>
      <w:r>
        <w:rPr>
          <w:rFonts w:asciiTheme="majorHAnsi" w:hAnsiTheme="majorHAnsi" w:cstheme="majorHAnsi"/>
          <w:b/>
        </w:rPr>
        <w:t xml:space="preserve">3.1. Les </w:t>
      </w:r>
      <w:r w:rsidR="0005268D">
        <w:rPr>
          <w:rFonts w:asciiTheme="majorHAnsi" w:hAnsiTheme="majorHAnsi" w:cstheme="majorHAnsi"/>
          <w:b/>
        </w:rPr>
        <w:t>offres publiques d’achat (OPA) et d’échange (OPE)</w:t>
      </w:r>
    </w:p>
    <w:p w14:paraId="30B36BE9" w14:textId="23C19E6B" w:rsidR="00F24B28" w:rsidRDefault="00F24B28" w:rsidP="00F24B28">
      <w:pPr>
        <w:spacing w:after="0"/>
        <w:jc w:val="both"/>
        <w:rPr>
          <w:rFonts w:asciiTheme="majorHAnsi" w:hAnsiTheme="majorHAnsi" w:cstheme="majorHAnsi"/>
          <w:b/>
        </w:rPr>
      </w:pPr>
    </w:p>
    <w:p w14:paraId="55E7378D" w14:textId="77D74138" w:rsidR="00BF43B9" w:rsidRDefault="00BF43B9" w:rsidP="00F24B28">
      <w:pPr>
        <w:spacing w:after="0"/>
        <w:jc w:val="both"/>
        <w:rPr>
          <w:rFonts w:asciiTheme="majorHAnsi" w:hAnsiTheme="majorHAnsi" w:cstheme="majorHAnsi"/>
        </w:rPr>
      </w:pPr>
      <w:r>
        <w:rPr>
          <w:rFonts w:asciiTheme="majorHAnsi" w:hAnsiTheme="majorHAnsi" w:cstheme="majorHAnsi"/>
          <w:b/>
        </w:rPr>
        <w:tab/>
      </w:r>
      <w:r>
        <w:rPr>
          <w:rFonts w:asciiTheme="majorHAnsi" w:hAnsiTheme="majorHAnsi" w:cstheme="majorHAnsi"/>
          <w:b/>
        </w:rPr>
        <w:tab/>
      </w:r>
      <w:r>
        <w:rPr>
          <w:rFonts w:asciiTheme="majorHAnsi" w:hAnsiTheme="majorHAnsi" w:cstheme="majorHAnsi"/>
        </w:rPr>
        <w:t>3.1.1. Approche générale</w:t>
      </w:r>
    </w:p>
    <w:p w14:paraId="17EDFCAE" w14:textId="20035217" w:rsidR="00BF43B9" w:rsidRDefault="00BF43B9" w:rsidP="00F24B28">
      <w:pPr>
        <w:spacing w:after="0"/>
        <w:jc w:val="both"/>
        <w:rPr>
          <w:rFonts w:asciiTheme="majorHAnsi" w:hAnsiTheme="majorHAnsi" w:cstheme="majorHAnsi"/>
        </w:rPr>
      </w:pPr>
    </w:p>
    <w:p w14:paraId="3A70FCA5" w14:textId="6F8C2F1F" w:rsidR="00BF43B9" w:rsidRDefault="00BF43B9" w:rsidP="00F24B28">
      <w:pPr>
        <w:spacing w:after="0"/>
        <w:jc w:val="both"/>
        <w:rPr>
          <w:rFonts w:asciiTheme="majorHAnsi" w:hAnsiTheme="majorHAnsi" w:cstheme="majorHAnsi"/>
        </w:rPr>
      </w:pPr>
      <w:r>
        <w:rPr>
          <w:rFonts w:asciiTheme="majorHAnsi" w:hAnsiTheme="majorHAnsi" w:cstheme="majorHAnsi"/>
        </w:rPr>
        <w:tab/>
        <w:t xml:space="preserve">Offres Publiques d’Achat (OPA) et d’Echange (OPE) sont les deux procédures les plus connues des marchés financiers afin de procéder à des prises de contrôle. L’AMF </w:t>
      </w:r>
      <w:r w:rsidR="005108DA">
        <w:rPr>
          <w:rFonts w:asciiTheme="majorHAnsi" w:hAnsiTheme="majorHAnsi" w:cstheme="majorHAnsi"/>
        </w:rPr>
        <w:t xml:space="preserve">encadre ces procédures afin de sécuriser les actionnaires quant aux démarches entamées par les initiateurs envers la société cible dont ils sont actionnaires. Les offres publiques s’adressent à l’intégralité des porteurs de titres donnant accès au capital. </w:t>
      </w:r>
    </w:p>
    <w:p w14:paraId="6FF89937" w14:textId="2F1AD4FB" w:rsidR="005108DA" w:rsidRDefault="005108DA" w:rsidP="00F24B28">
      <w:pPr>
        <w:spacing w:after="0"/>
        <w:jc w:val="both"/>
        <w:rPr>
          <w:rFonts w:asciiTheme="majorHAnsi" w:hAnsiTheme="majorHAnsi" w:cstheme="majorHAnsi"/>
        </w:rPr>
      </w:pPr>
    </w:p>
    <w:p w14:paraId="336980B8" w14:textId="39BE423B" w:rsidR="005108DA" w:rsidRDefault="005108DA" w:rsidP="00F24B28">
      <w:pPr>
        <w:spacing w:after="0"/>
        <w:jc w:val="both"/>
        <w:rPr>
          <w:rFonts w:asciiTheme="majorHAnsi" w:hAnsiTheme="majorHAnsi" w:cstheme="majorHAnsi"/>
        </w:rPr>
      </w:pPr>
      <w:r>
        <w:rPr>
          <w:rFonts w:asciiTheme="majorHAnsi" w:hAnsiTheme="majorHAnsi" w:cstheme="majorHAnsi"/>
        </w:rPr>
        <w:tab/>
      </w:r>
      <w:r w:rsidR="001A2757">
        <w:rPr>
          <w:rFonts w:asciiTheme="majorHAnsi" w:hAnsiTheme="majorHAnsi" w:cstheme="majorHAnsi"/>
        </w:rPr>
        <w:t>Ces opérations sollicitent donc les porteurs, qu’ils soient individuels ou institutionnels. Ceux-ci ont la liberté d’accepter ou non l’offre qui leur est faite. Les initiateurs doivent faire en sorte de rendre leur offre attractive afin que leur opération soit un succès. Suivant le type d’offre choisie, plusieurs options s’offrent à eux, le paiement peut se faire :</w:t>
      </w:r>
    </w:p>
    <w:p w14:paraId="52FF947E" w14:textId="1785939E" w:rsidR="001A2757" w:rsidRDefault="001A2757" w:rsidP="001A2757">
      <w:pPr>
        <w:pStyle w:val="Paragraphedeliste"/>
        <w:numPr>
          <w:ilvl w:val="0"/>
          <w:numId w:val="25"/>
        </w:numPr>
        <w:spacing w:after="0"/>
        <w:jc w:val="both"/>
        <w:rPr>
          <w:rFonts w:asciiTheme="majorHAnsi" w:hAnsiTheme="majorHAnsi" w:cstheme="majorHAnsi"/>
        </w:rPr>
      </w:pPr>
      <w:r>
        <w:rPr>
          <w:rFonts w:asciiTheme="majorHAnsi" w:hAnsiTheme="majorHAnsi" w:cstheme="majorHAnsi"/>
        </w:rPr>
        <w:t>En numéraire (OPA) ;</w:t>
      </w:r>
    </w:p>
    <w:p w14:paraId="7A7CDDFA" w14:textId="194BE1CB" w:rsidR="001A2757" w:rsidRDefault="001A2757" w:rsidP="001A2757">
      <w:pPr>
        <w:pStyle w:val="Paragraphedeliste"/>
        <w:numPr>
          <w:ilvl w:val="0"/>
          <w:numId w:val="25"/>
        </w:numPr>
        <w:spacing w:after="0"/>
        <w:jc w:val="both"/>
        <w:rPr>
          <w:rFonts w:asciiTheme="majorHAnsi" w:hAnsiTheme="majorHAnsi" w:cstheme="majorHAnsi"/>
        </w:rPr>
      </w:pPr>
      <w:r>
        <w:rPr>
          <w:rFonts w:asciiTheme="majorHAnsi" w:hAnsiTheme="majorHAnsi" w:cstheme="majorHAnsi"/>
        </w:rPr>
        <w:t>Contre remise d’autres titres cotés, émis ou à émettre (OPE) ;</w:t>
      </w:r>
    </w:p>
    <w:p w14:paraId="0F21F10E" w14:textId="4D1F5E6C" w:rsidR="001A2757" w:rsidRDefault="00E54145" w:rsidP="001A2757">
      <w:pPr>
        <w:pStyle w:val="Paragraphedeliste"/>
        <w:numPr>
          <w:ilvl w:val="0"/>
          <w:numId w:val="25"/>
        </w:numPr>
        <w:spacing w:after="0"/>
        <w:jc w:val="both"/>
        <w:rPr>
          <w:rFonts w:asciiTheme="majorHAnsi" w:hAnsiTheme="majorHAnsi" w:cstheme="majorHAnsi"/>
        </w:rPr>
      </w:pPr>
      <w:r>
        <w:rPr>
          <w:rFonts w:asciiTheme="majorHAnsi" w:hAnsiTheme="majorHAnsi" w:cstheme="majorHAnsi"/>
        </w:rPr>
        <w:lastRenderedPageBreak/>
        <w:t>Une combinaison des deux méthodes précédentes au choix de l’initiateur (offre mixte) ;</w:t>
      </w:r>
    </w:p>
    <w:p w14:paraId="231874EC" w14:textId="5BAAB4CC" w:rsidR="00B13557" w:rsidRDefault="00E54145" w:rsidP="00B13557">
      <w:pPr>
        <w:pStyle w:val="Paragraphedeliste"/>
        <w:numPr>
          <w:ilvl w:val="0"/>
          <w:numId w:val="25"/>
        </w:numPr>
        <w:spacing w:after="0"/>
        <w:jc w:val="both"/>
        <w:rPr>
          <w:rFonts w:asciiTheme="majorHAnsi" w:hAnsiTheme="majorHAnsi" w:cstheme="majorHAnsi"/>
        </w:rPr>
      </w:pPr>
      <w:r>
        <w:rPr>
          <w:rFonts w:asciiTheme="majorHAnsi" w:hAnsiTheme="majorHAnsi" w:cstheme="majorHAnsi"/>
        </w:rPr>
        <w:t>L’une ou l’autre des modalités au choix des actionnaires (offre alternative).</w:t>
      </w:r>
    </w:p>
    <w:p w14:paraId="3EE6DCD6" w14:textId="3882E18B" w:rsidR="00B13557" w:rsidRDefault="00B13557" w:rsidP="00B13557">
      <w:pPr>
        <w:spacing w:after="0"/>
        <w:jc w:val="both"/>
        <w:rPr>
          <w:rFonts w:asciiTheme="majorHAnsi" w:hAnsiTheme="majorHAnsi" w:cstheme="majorHAnsi"/>
        </w:rPr>
      </w:pPr>
    </w:p>
    <w:p w14:paraId="1013681E" w14:textId="7CA0C68F" w:rsidR="00B13557" w:rsidRDefault="00B13557" w:rsidP="00B13557">
      <w:pPr>
        <w:spacing w:after="0"/>
        <w:ind w:firstLine="708"/>
        <w:jc w:val="both"/>
        <w:rPr>
          <w:rFonts w:asciiTheme="majorHAnsi" w:hAnsiTheme="majorHAnsi" w:cstheme="majorHAnsi"/>
        </w:rPr>
      </w:pPr>
      <w:r>
        <w:rPr>
          <w:rFonts w:asciiTheme="majorHAnsi" w:hAnsiTheme="majorHAnsi" w:cstheme="majorHAnsi"/>
        </w:rPr>
        <w:t>Une offre publique est généralement volontaire mais elle devient obligatoire et doit être déposée sur le marché règlementé par toute personne qui :</w:t>
      </w:r>
    </w:p>
    <w:p w14:paraId="3EEE642B" w14:textId="262214A7" w:rsidR="00B13557" w:rsidRDefault="00CA13FF" w:rsidP="00B13557">
      <w:pPr>
        <w:pStyle w:val="Paragraphedeliste"/>
        <w:numPr>
          <w:ilvl w:val="0"/>
          <w:numId w:val="25"/>
        </w:numPr>
        <w:spacing w:after="0"/>
        <w:jc w:val="both"/>
        <w:rPr>
          <w:rFonts w:asciiTheme="majorHAnsi" w:hAnsiTheme="majorHAnsi" w:cstheme="majorHAnsi"/>
        </w:rPr>
      </w:pPr>
      <w:r>
        <w:rPr>
          <w:rFonts w:asciiTheme="majorHAnsi" w:hAnsiTheme="majorHAnsi" w:cstheme="majorHAnsi"/>
        </w:rPr>
        <w:t>Franchit le seuil de détention de 30% du capital ou des droits de vote ;</w:t>
      </w:r>
    </w:p>
    <w:p w14:paraId="047F0F3B" w14:textId="3FF865CD" w:rsidR="00CA13FF" w:rsidRDefault="00CA13FF" w:rsidP="00B13557">
      <w:pPr>
        <w:pStyle w:val="Paragraphedeliste"/>
        <w:numPr>
          <w:ilvl w:val="0"/>
          <w:numId w:val="25"/>
        </w:numPr>
        <w:spacing w:after="0"/>
        <w:jc w:val="both"/>
        <w:rPr>
          <w:rFonts w:asciiTheme="majorHAnsi" w:hAnsiTheme="majorHAnsi" w:cstheme="majorHAnsi"/>
        </w:rPr>
      </w:pPr>
      <w:r>
        <w:rPr>
          <w:rFonts w:asciiTheme="majorHAnsi" w:hAnsiTheme="majorHAnsi" w:cstheme="majorHAnsi"/>
        </w:rPr>
        <w:t>Détient déjà entre 30 et 50 % du capital et augmente sa participation de plus de 1% en moins d’un an.</w:t>
      </w:r>
    </w:p>
    <w:p w14:paraId="376649E9" w14:textId="05DAA4AC" w:rsidR="00CA13FF" w:rsidRDefault="00CA13FF" w:rsidP="00CA13FF">
      <w:pPr>
        <w:spacing w:after="0"/>
        <w:jc w:val="both"/>
        <w:rPr>
          <w:rFonts w:asciiTheme="majorHAnsi" w:hAnsiTheme="majorHAnsi" w:cstheme="majorHAnsi"/>
        </w:rPr>
      </w:pPr>
    </w:p>
    <w:p w14:paraId="2FEC1767" w14:textId="5184E064" w:rsidR="00CA13FF" w:rsidRDefault="00CA13FF" w:rsidP="00CA13FF">
      <w:pPr>
        <w:spacing w:after="0"/>
        <w:ind w:firstLine="708"/>
        <w:jc w:val="both"/>
        <w:rPr>
          <w:rFonts w:asciiTheme="majorHAnsi" w:hAnsiTheme="majorHAnsi" w:cstheme="majorHAnsi"/>
        </w:rPr>
      </w:pPr>
      <w:r>
        <w:rPr>
          <w:rFonts w:asciiTheme="majorHAnsi" w:hAnsiTheme="majorHAnsi" w:cstheme="majorHAnsi"/>
        </w:rPr>
        <w:t>Dans le cas d’une offre publique volontaire, l’initiateur doit proposer aux actionnaires un prix au moins égal au cours le plus élevé qu’il a payé au cours des 12 derniers mois. Deux procédures sont possibles, une dite normale s’il détient moins de 50% du capital ou des droits de vote de la cible, une dite simplifiée s’il possède plus de 50%.</w:t>
      </w:r>
    </w:p>
    <w:p w14:paraId="5560C790" w14:textId="77777777" w:rsidR="00CA13FF" w:rsidRDefault="00CA13FF" w:rsidP="00CA13FF">
      <w:pPr>
        <w:jc w:val="both"/>
        <w:rPr>
          <w:rFonts w:asciiTheme="majorHAnsi" w:hAnsiTheme="majorHAnsi" w:cstheme="majorHAnsi"/>
        </w:rPr>
      </w:pPr>
    </w:p>
    <w:p w14:paraId="630CF547" w14:textId="337CCA11" w:rsidR="00F24B28" w:rsidRDefault="00CA13FF" w:rsidP="00CA13FF">
      <w:pPr>
        <w:ind w:firstLine="708"/>
        <w:jc w:val="both"/>
        <w:rPr>
          <w:rFonts w:asciiTheme="majorHAnsi" w:hAnsiTheme="majorHAnsi" w:cstheme="majorHAnsi"/>
        </w:rPr>
      </w:pPr>
      <w:r w:rsidRPr="00CA13FF">
        <w:rPr>
          <w:rFonts w:asciiTheme="majorHAnsi" w:hAnsiTheme="majorHAnsi" w:cstheme="majorHAnsi"/>
        </w:rPr>
        <w:t>L’objectif est de lutter contre les « prises de contrôles rampant</w:t>
      </w:r>
      <w:r>
        <w:rPr>
          <w:rFonts w:asciiTheme="majorHAnsi" w:hAnsiTheme="majorHAnsi" w:cstheme="majorHAnsi"/>
        </w:rPr>
        <w:t xml:space="preserve">es », autrement dit la prise de </w:t>
      </w:r>
      <w:r w:rsidRPr="00CA13FF">
        <w:rPr>
          <w:rFonts w:asciiTheme="majorHAnsi" w:hAnsiTheme="majorHAnsi" w:cstheme="majorHAnsi"/>
        </w:rPr>
        <w:t xml:space="preserve">pouvoir d’un actionnaire sur les assemblées générales. En effet, l’AMF a constaté que </w:t>
      </w:r>
      <w:r w:rsidRPr="00CA13FF">
        <w:rPr>
          <w:rFonts w:asciiTheme="majorHAnsi" w:hAnsiTheme="majorHAnsi" w:cstheme="majorHAnsi"/>
          <w:i/>
          <w:iCs/>
        </w:rPr>
        <w:t>«la puissance de vote effective d'un actionnaire dont la participation se situe juste en deçà du seuil du tiers est suffisante pour lui permettre de prendre de fait le contrôle absolu (...) d'une société dans pratiquement tous les cas, alors qu'elle permet déjà de nommer ou révoquer à elle seule les membres du conseil d'administration ou de surveillance dans un certain nombre de cas lorsque la participation atteint simplement 25 % »</w:t>
      </w:r>
      <w:r w:rsidRPr="00CA13FF">
        <w:rPr>
          <w:rFonts w:asciiTheme="majorHAnsi" w:hAnsiTheme="majorHAnsi" w:cstheme="majorHAnsi"/>
        </w:rPr>
        <w:t>.</w:t>
      </w:r>
    </w:p>
    <w:p w14:paraId="762F8457" w14:textId="7CD4D3E6" w:rsidR="00F24B28" w:rsidRDefault="00F24B28" w:rsidP="00F24B28">
      <w:pPr>
        <w:rPr>
          <w:rFonts w:asciiTheme="majorHAnsi" w:hAnsiTheme="majorHAnsi" w:cstheme="majorHAnsi"/>
        </w:rPr>
      </w:pPr>
    </w:p>
    <w:p w14:paraId="0BD210AD" w14:textId="350E88D9" w:rsidR="00CA13FF" w:rsidRDefault="00CA13FF" w:rsidP="00F24B28">
      <w:pPr>
        <w:rPr>
          <w:rFonts w:asciiTheme="majorHAnsi" w:hAnsiTheme="majorHAnsi" w:cstheme="majorHAnsi"/>
        </w:rPr>
      </w:pPr>
      <w:r>
        <w:rPr>
          <w:rFonts w:asciiTheme="majorHAnsi" w:hAnsiTheme="majorHAnsi" w:cstheme="majorHAnsi"/>
        </w:rPr>
        <w:tab/>
      </w:r>
      <w:r>
        <w:rPr>
          <w:rFonts w:asciiTheme="majorHAnsi" w:hAnsiTheme="majorHAnsi" w:cstheme="majorHAnsi"/>
        </w:rPr>
        <w:tab/>
        <w:t>3.1.2. La procédure</w:t>
      </w:r>
    </w:p>
    <w:p w14:paraId="15FE656A" w14:textId="0654A019" w:rsidR="00CA13FF" w:rsidRDefault="00CA13FF" w:rsidP="00F24B28">
      <w:pPr>
        <w:rPr>
          <w:rFonts w:asciiTheme="majorHAnsi" w:hAnsiTheme="majorHAnsi" w:cstheme="majorHAnsi"/>
        </w:rPr>
      </w:pPr>
    </w:p>
    <w:p w14:paraId="778E8405" w14:textId="7D7C34F3" w:rsidR="00B51017" w:rsidRDefault="00B51017" w:rsidP="00F24B28">
      <w:pPr>
        <w:rPr>
          <w:rFonts w:asciiTheme="majorHAnsi" w:hAnsiTheme="majorHAnsi" w:cstheme="majorHAnsi"/>
        </w:rPr>
      </w:pPr>
      <w:r>
        <w:rPr>
          <w:rFonts w:asciiTheme="majorHAnsi" w:hAnsiTheme="majorHAnsi" w:cstheme="majorHAnsi"/>
        </w:rPr>
        <w:tab/>
        <w:t>Préalablement à toute offre, l’initiateur doit déposer une note d’information concernant son projet auprès de l’AMF. Celle-ci vise à informer les investisseurs des caractéristiques de l’offre (modalité, prix…). Puis la procédure suit un calendrier bien précis :</w:t>
      </w:r>
    </w:p>
    <w:p w14:paraId="21085573" w14:textId="57C2EA54" w:rsidR="00B51017" w:rsidRDefault="00B51017" w:rsidP="00F24B28">
      <w:pPr>
        <w:rPr>
          <w:rFonts w:asciiTheme="majorHAnsi" w:hAnsiTheme="majorHAnsi" w:cstheme="majorHAnsi"/>
        </w:rPr>
      </w:pPr>
    </w:p>
    <w:p w14:paraId="6BA47247" w14:textId="41E68309" w:rsidR="00B51017" w:rsidRDefault="00B51017" w:rsidP="00F24B28">
      <w:pPr>
        <w:rPr>
          <w:rFonts w:asciiTheme="majorHAnsi" w:hAnsiTheme="majorHAnsi" w:cstheme="majorHAnsi"/>
        </w:rPr>
      </w:pPr>
      <w:r>
        <w:rPr>
          <w:noProof/>
          <w:lang w:eastAsia="fr-FR"/>
        </w:rPr>
        <w:drawing>
          <wp:inline distT="0" distB="0" distL="0" distR="0" wp14:anchorId="0D9AA238" wp14:editId="7EBD0069">
            <wp:extent cx="5760720" cy="2806810"/>
            <wp:effectExtent l="0" t="0" r="0" b="0"/>
            <wp:docPr id="105" name="Image 105" descr="L'Offre publique d'achat, une bataille boursière très organisé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ffre publique d'achat, une bataille boursière très organisée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806810"/>
                    </a:xfrm>
                    <a:prstGeom prst="rect">
                      <a:avLst/>
                    </a:prstGeom>
                    <a:noFill/>
                    <a:ln>
                      <a:noFill/>
                    </a:ln>
                  </pic:spPr>
                </pic:pic>
              </a:graphicData>
            </a:graphic>
          </wp:inline>
        </w:drawing>
      </w:r>
    </w:p>
    <w:p w14:paraId="4486CC1D" w14:textId="4098DEBB" w:rsidR="00B51017" w:rsidRDefault="00B51017" w:rsidP="00B51017">
      <w:pPr>
        <w:ind w:firstLine="708"/>
        <w:jc w:val="both"/>
        <w:rPr>
          <w:rFonts w:asciiTheme="majorHAnsi" w:hAnsiTheme="majorHAnsi" w:cstheme="majorHAnsi"/>
        </w:rPr>
      </w:pPr>
      <w:r>
        <w:rPr>
          <w:rFonts w:asciiTheme="majorHAnsi" w:hAnsiTheme="majorHAnsi" w:cstheme="majorHAnsi"/>
        </w:rPr>
        <w:lastRenderedPageBreak/>
        <w:t>La société cible a la possibilité de publier une réponse à l’offre à destination de ses actionnaires afin de communiquer son avis sur l’offre initiale. Cette réponse fait l’objet d’un visa par l’AMF également.</w:t>
      </w:r>
    </w:p>
    <w:p w14:paraId="22957F37" w14:textId="366B92F2" w:rsidR="000B7228" w:rsidRDefault="000B7228" w:rsidP="000B7228">
      <w:pPr>
        <w:rPr>
          <w:rFonts w:asciiTheme="majorHAnsi" w:hAnsiTheme="majorHAnsi" w:cstheme="majorHAnsi"/>
        </w:rPr>
      </w:pPr>
    </w:p>
    <w:p w14:paraId="57F12C66" w14:textId="77777777" w:rsidR="004955C7" w:rsidRDefault="004955C7" w:rsidP="000B7228">
      <w:pPr>
        <w:rPr>
          <w:rFonts w:asciiTheme="majorHAnsi" w:hAnsiTheme="majorHAnsi" w:cstheme="majorHAnsi"/>
        </w:rPr>
      </w:pPr>
    </w:p>
    <w:p w14:paraId="5BA26487" w14:textId="3E4ADDFC" w:rsidR="000B7228" w:rsidRDefault="000B7228" w:rsidP="000B7228">
      <w:pPr>
        <w:spacing w:after="0"/>
        <w:ind w:firstLine="708"/>
        <w:jc w:val="both"/>
        <w:rPr>
          <w:rFonts w:asciiTheme="majorHAnsi" w:hAnsiTheme="majorHAnsi" w:cstheme="majorHAnsi"/>
          <w:b/>
        </w:rPr>
      </w:pPr>
      <w:r>
        <w:rPr>
          <w:rFonts w:asciiTheme="majorHAnsi" w:hAnsiTheme="majorHAnsi" w:cstheme="majorHAnsi"/>
          <w:b/>
        </w:rPr>
        <w:t xml:space="preserve">3.2. </w:t>
      </w:r>
      <w:r w:rsidR="0057086E">
        <w:rPr>
          <w:rFonts w:asciiTheme="majorHAnsi" w:hAnsiTheme="majorHAnsi" w:cstheme="majorHAnsi"/>
          <w:b/>
        </w:rPr>
        <w:t>Les moyens de lutte contre une offre publique</w:t>
      </w:r>
    </w:p>
    <w:p w14:paraId="2E706269" w14:textId="3F63870E" w:rsidR="0057086E" w:rsidRDefault="0057086E" w:rsidP="0057086E">
      <w:pPr>
        <w:spacing w:after="0"/>
        <w:jc w:val="both"/>
        <w:rPr>
          <w:rFonts w:asciiTheme="majorHAnsi" w:hAnsiTheme="majorHAnsi" w:cstheme="majorHAnsi"/>
          <w:b/>
        </w:rPr>
      </w:pPr>
    </w:p>
    <w:p w14:paraId="76EA6FF3" w14:textId="77777777" w:rsidR="0057086E" w:rsidRDefault="0057086E" w:rsidP="0057086E">
      <w:pPr>
        <w:spacing w:after="0"/>
        <w:jc w:val="both"/>
        <w:rPr>
          <w:rFonts w:asciiTheme="majorHAnsi" w:hAnsiTheme="majorHAnsi" w:cstheme="majorHAnsi"/>
        </w:rPr>
      </w:pPr>
      <w:r>
        <w:rPr>
          <w:rFonts w:asciiTheme="majorHAnsi" w:hAnsiTheme="majorHAnsi" w:cstheme="majorHAnsi"/>
          <w:b/>
        </w:rPr>
        <w:tab/>
      </w:r>
      <w:r>
        <w:rPr>
          <w:rFonts w:asciiTheme="majorHAnsi" w:hAnsiTheme="majorHAnsi" w:cstheme="majorHAnsi"/>
        </w:rPr>
        <w:t>Une offre publique peut être refusée par le Conseil d’Administration, qui peut dissuader les actionnaires de céder leurs actions, pour les raisons suivantes :</w:t>
      </w:r>
    </w:p>
    <w:p w14:paraId="7D634E67" w14:textId="28AD60DC" w:rsidR="0057086E" w:rsidRDefault="00E8443E" w:rsidP="0057086E">
      <w:pPr>
        <w:pStyle w:val="Paragraphedeliste"/>
        <w:numPr>
          <w:ilvl w:val="0"/>
          <w:numId w:val="25"/>
        </w:numPr>
        <w:spacing w:after="0"/>
        <w:jc w:val="both"/>
        <w:rPr>
          <w:rFonts w:asciiTheme="majorHAnsi" w:hAnsiTheme="majorHAnsi" w:cstheme="majorHAnsi"/>
        </w:rPr>
      </w:pPr>
      <w:r>
        <w:rPr>
          <w:rFonts w:asciiTheme="majorHAnsi" w:hAnsiTheme="majorHAnsi" w:cstheme="majorHAnsi"/>
        </w:rPr>
        <w:t>______________________________</w:t>
      </w:r>
      <w:r w:rsidR="0057086E">
        <w:rPr>
          <w:rFonts w:asciiTheme="majorHAnsi" w:hAnsiTheme="majorHAnsi" w:cstheme="majorHAnsi"/>
        </w:rPr>
        <w:t> ;</w:t>
      </w:r>
    </w:p>
    <w:p w14:paraId="5CED31D7" w14:textId="494521A5" w:rsidR="0057086E" w:rsidRDefault="0057086E" w:rsidP="0057086E">
      <w:pPr>
        <w:pStyle w:val="Paragraphedeliste"/>
        <w:numPr>
          <w:ilvl w:val="0"/>
          <w:numId w:val="25"/>
        </w:numPr>
        <w:spacing w:after="0"/>
        <w:jc w:val="both"/>
        <w:rPr>
          <w:rFonts w:asciiTheme="majorHAnsi" w:hAnsiTheme="majorHAnsi" w:cstheme="majorHAnsi"/>
        </w:rPr>
      </w:pPr>
      <w:r>
        <w:rPr>
          <w:rFonts w:asciiTheme="majorHAnsi" w:hAnsiTheme="majorHAnsi" w:cstheme="majorHAnsi"/>
        </w:rPr>
        <w:t xml:space="preserve">Démonstration insuffisante de la réalité des </w:t>
      </w:r>
      <w:r w:rsidR="00E8443E">
        <w:rPr>
          <w:rFonts w:asciiTheme="majorHAnsi" w:hAnsiTheme="majorHAnsi" w:cstheme="majorHAnsi"/>
        </w:rPr>
        <w:t>______________</w:t>
      </w:r>
      <w:r>
        <w:rPr>
          <w:rFonts w:asciiTheme="majorHAnsi" w:hAnsiTheme="majorHAnsi" w:cstheme="majorHAnsi"/>
        </w:rPr>
        <w:t> ;</w:t>
      </w:r>
    </w:p>
    <w:p w14:paraId="7F9B0F68" w14:textId="77777777" w:rsidR="0057086E" w:rsidRDefault="0057086E" w:rsidP="0057086E">
      <w:pPr>
        <w:pStyle w:val="Paragraphedeliste"/>
        <w:numPr>
          <w:ilvl w:val="0"/>
          <w:numId w:val="25"/>
        </w:numPr>
        <w:spacing w:after="0"/>
        <w:jc w:val="both"/>
        <w:rPr>
          <w:rFonts w:asciiTheme="majorHAnsi" w:hAnsiTheme="majorHAnsi" w:cstheme="majorHAnsi"/>
        </w:rPr>
      </w:pPr>
      <w:r>
        <w:rPr>
          <w:rFonts w:asciiTheme="majorHAnsi" w:hAnsiTheme="majorHAnsi" w:cstheme="majorHAnsi"/>
        </w:rPr>
        <w:t xml:space="preserve">Défense des intérêts des dirigeants : offre vouée à l’échec du fait d’une mauvaise gestion de la cible. </w:t>
      </w:r>
    </w:p>
    <w:p w14:paraId="208F2660" w14:textId="77777777" w:rsidR="0057086E" w:rsidRDefault="0057086E" w:rsidP="0057086E">
      <w:pPr>
        <w:spacing w:after="0"/>
        <w:ind w:left="708"/>
        <w:jc w:val="both"/>
        <w:rPr>
          <w:rFonts w:asciiTheme="majorHAnsi" w:hAnsiTheme="majorHAnsi" w:cstheme="majorHAnsi"/>
        </w:rPr>
      </w:pPr>
    </w:p>
    <w:p w14:paraId="1582C277" w14:textId="77777777" w:rsidR="00681C95" w:rsidRDefault="0057086E" w:rsidP="00681C95">
      <w:pPr>
        <w:spacing w:after="0"/>
        <w:ind w:firstLine="708"/>
        <w:jc w:val="both"/>
        <w:rPr>
          <w:rFonts w:asciiTheme="majorHAnsi" w:hAnsiTheme="majorHAnsi" w:cstheme="majorHAnsi"/>
        </w:rPr>
      </w:pPr>
      <w:r>
        <w:rPr>
          <w:rFonts w:asciiTheme="majorHAnsi" w:hAnsiTheme="majorHAnsi" w:cstheme="majorHAnsi"/>
        </w:rPr>
        <w:t>Dans le cadre d’une offre inamicale, les moyens de défense sont relativement réduits</w:t>
      </w:r>
      <w:r w:rsidR="00681C95">
        <w:rPr>
          <w:rFonts w:asciiTheme="majorHAnsi" w:hAnsiTheme="majorHAnsi" w:cstheme="majorHAnsi"/>
        </w:rPr>
        <w:t xml:space="preserve">, dès lors qu’aucune mesure défensive préalable n’a été mise en place. La société cible devra s’engager dans une campagne d’information de ses </w:t>
      </w:r>
      <w:r w:rsidR="00681C95">
        <w:rPr>
          <w:rFonts w:asciiTheme="majorHAnsi" w:hAnsiTheme="majorHAnsi" w:cstheme="majorHAnsi"/>
        </w:rPr>
        <w:tab/>
        <w:t xml:space="preserve">actionnaires pour les convaincre que le management en place est à même de pouvoir maintenir un bon niveau de création de valeur. La direction pourra tenter de susciter une offre concurrente crédible afin de dissuader l’initiateur de l’offre ou l’amener à revoir ses conditions à la hausse. </w:t>
      </w:r>
    </w:p>
    <w:p w14:paraId="27EF0FF4" w14:textId="77777777" w:rsidR="00681C95" w:rsidRDefault="00681C95" w:rsidP="00681C95">
      <w:pPr>
        <w:spacing w:after="0"/>
        <w:ind w:firstLine="708"/>
        <w:jc w:val="both"/>
        <w:rPr>
          <w:rFonts w:asciiTheme="majorHAnsi" w:hAnsiTheme="majorHAnsi" w:cstheme="majorHAnsi"/>
        </w:rPr>
      </w:pPr>
    </w:p>
    <w:p w14:paraId="2304024A" w14:textId="77777777" w:rsidR="00681C95" w:rsidRDefault="00681C95" w:rsidP="00681C95">
      <w:pPr>
        <w:spacing w:after="0"/>
        <w:ind w:firstLine="708"/>
        <w:jc w:val="both"/>
        <w:rPr>
          <w:rFonts w:asciiTheme="majorHAnsi" w:hAnsiTheme="majorHAnsi" w:cstheme="majorHAnsi"/>
        </w:rPr>
      </w:pPr>
      <w:r>
        <w:rPr>
          <w:rFonts w:asciiTheme="majorHAnsi" w:hAnsiTheme="majorHAnsi" w:cstheme="majorHAnsi"/>
        </w:rPr>
        <w:t>En cas de rejet de l’offre, une OPA hostile est lancée dès lors que l’initiateur poursuit l’opération.</w:t>
      </w:r>
    </w:p>
    <w:p w14:paraId="6EB07431" w14:textId="77777777" w:rsidR="00681C95" w:rsidRDefault="00681C95" w:rsidP="00681C95">
      <w:pPr>
        <w:spacing w:after="0"/>
        <w:ind w:firstLine="708"/>
        <w:jc w:val="both"/>
        <w:rPr>
          <w:rFonts w:asciiTheme="majorHAnsi" w:hAnsiTheme="majorHAnsi" w:cstheme="majorHAnsi"/>
        </w:rPr>
      </w:pPr>
    </w:p>
    <w:p w14:paraId="4B53010F" w14:textId="77777777" w:rsidR="00681C95" w:rsidRDefault="00681C95" w:rsidP="00681C95">
      <w:pPr>
        <w:spacing w:after="0"/>
        <w:ind w:firstLine="708"/>
        <w:jc w:val="both"/>
        <w:rPr>
          <w:rFonts w:asciiTheme="majorHAnsi" w:hAnsiTheme="majorHAnsi" w:cstheme="majorHAnsi"/>
        </w:rPr>
      </w:pPr>
      <w:r>
        <w:rPr>
          <w:rFonts w:asciiTheme="majorHAnsi" w:hAnsiTheme="majorHAnsi" w:cstheme="majorHAnsi"/>
        </w:rPr>
        <w:t>Les principales stratégies anti offres publiques sont les suivantes :</w:t>
      </w:r>
    </w:p>
    <w:p w14:paraId="3056EC2F" w14:textId="77777777" w:rsidR="001D44CA" w:rsidRDefault="00681C95" w:rsidP="00681C95">
      <w:pPr>
        <w:pStyle w:val="Paragraphedeliste"/>
        <w:numPr>
          <w:ilvl w:val="0"/>
          <w:numId w:val="25"/>
        </w:numPr>
        <w:spacing w:after="0"/>
        <w:jc w:val="both"/>
        <w:rPr>
          <w:rFonts w:asciiTheme="majorHAnsi" w:hAnsiTheme="majorHAnsi" w:cstheme="majorHAnsi"/>
        </w:rPr>
      </w:pPr>
      <w:r>
        <w:rPr>
          <w:rFonts w:asciiTheme="majorHAnsi" w:hAnsiTheme="majorHAnsi" w:cstheme="majorHAnsi"/>
        </w:rPr>
        <w:t xml:space="preserve">Constituer une holding permettant de regrouper le pouvoir dans une société non cotée, ne pouvant pas </w:t>
      </w:r>
      <w:r w:rsidR="001D44CA">
        <w:rPr>
          <w:rFonts w:asciiTheme="majorHAnsi" w:hAnsiTheme="majorHAnsi" w:cstheme="majorHAnsi"/>
        </w:rPr>
        <w:t>faire l’objet d’offre publique ;</w:t>
      </w:r>
    </w:p>
    <w:p w14:paraId="6E110F96" w14:textId="77777777" w:rsidR="001D44CA" w:rsidRDefault="001D44CA" w:rsidP="00681C95">
      <w:pPr>
        <w:pStyle w:val="Paragraphedeliste"/>
        <w:numPr>
          <w:ilvl w:val="0"/>
          <w:numId w:val="25"/>
        </w:numPr>
        <w:spacing w:after="0"/>
        <w:jc w:val="both"/>
        <w:rPr>
          <w:rFonts w:asciiTheme="majorHAnsi" w:hAnsiTheme="majorHAnsi" w:cstheme="majorHAnsi"/>
        </w:rPr>
      </w:pPr>
      <w:r>
        <w:rPr>
          <w:rFonts w:asciiTheme="majorHAnsi" w:hAnsiTheme="majorHAnsi" w:cstheme="majorHAnsi"/>
        </w:rPr>
        <w:t>Implanter la société dans un pays dans lequel les offres publiques sont quasi-impossibles, de par leur système juridique ;</w:t>
      </w:r>
    </w:p>
    <w:p w14:paraId="7291F080" w14:textId="189DA1AC" w:rsidR="001D44CA" w:rsidRDefault="001D44CA" w:rsidP="00681C95">
      <w:pPr>
        <w:pStyle w:val="Paragraphedeliste"/>
        <w:numPr>
          <w:ilvl w:val="0"/>
          <w:numId w:val="25"/>
        </w:numPr>
        <w:spacing w:after="0"/>
        <w:jc w:val="both"/>
        <w:rPr>
          <w:rFonts w:asciiTheme="majorHAnsi" w:hAnsiTheme="majorHAnsi" w:cstheme="majorHAnsi"/>
        </w:rPr>
      </w:pPr>
      <w:r>
        <w:rPr>
          <w:rFonts w:asciiTheme="majorHAnsi" w:hAnsiTheme="majorHAnsi" w:cstheme="majorHAnsi"/>
        </w:rPr>
        <w:t>Réaliser une action en justice afin de gagner du temps et dissuader l’initiateur ;</w:t>
      </w:r>
    </w:p>
    <w:p w14:paraId="290E971F" w14:textId="77777777" w:rsidR="001D44CA" w:rsidRDefault="001D44CA" w:rsidP="00681C95">
      <w:pPr>
        <w:pStyle w:val="Paragraphedeliste"/>
        <w:numPr>
          <w:ilvl w:val="0"/>
          <w:numId w:val="25"/>
        </w:numPr>
        <w:spacing w:after="0"/>
        <w:jc w:val="both"/>
        <w:rPr>
          <w:rFonts w:asciiTheme="majorHAnsi" w:hAnsiTheme="majorHAnsi" w:cstheme="majorHAnsi"/>
        </w:rPr>
      </w:pPr>
      <w:r>
        <w:rPr>
          <w:rFonts w:asciiTheme="majorHAnsi" w:hAnsiTheme="majorHAnsi" w:cstheme="majorHAnsi"/>
        </w:rPr>
        <w:t>Lancer une contre-offre (stratégie du Pac-Man) ;</w:t>
      </w:r>
    </w:p>
    <w:p w14:paraId="50CA2814" w14:textId="77777777" w:rsidR="001D44CA" w:rsidRDefault="001D44CA" w:rsidP="00681C95">
      <w:pPr>
        <w:pStyle w:val="Paragraphedeliste"/>
        <w:numPr>
          <w:ilvl w:val="0"/>
          <w:numId w:val="25"/>
        </w:numPr>
        <w:spacing w:after="0"/>
        <w:jc w:val="both"/>
        <w:rPr>
          <w:rFonts w:asciiTheme="majorHAnsi" w:hAnsiTheme="majorHAnsi" w:cstheme="majorHAnsi"/>
        </w:rPr>
      </w:pPr>
      <w:r>
        <w:rPr>
          <w:rFonts w:asciiTheme="majorHAnsi" w:hAnsiTheme="majorHAnsi" w:cstheme="majorHAnsi"/>
        </w:rPr>
        <w:t>Rechercher une autre entreprise (chevalier blanc) qui aurait une offre plus intéressante ;</w:t>
      </w:r>
    </w:p>
    <w:p w14:paraId="7CA9D0B6" w14:textId="77777777" w:rsidR="001D44CA" w:rsidRDefault="001D44CA" w:rsidP="00681C95">
      <w:pPr>
        <w:pStyle w:val="Paragraphedeliste"/>
        <w:numPr>
          <w:ilvl w:val="0"/>
          <w:numId w:val="25"/>
        </w:numPr>
        <w:spacing w:after="0"/>
        <w:jc w:val="both"/>
        <w:rPr>
          <w:rFonts w:asciiTheme="majorHAnsi" w:hAnsiTheme="majorHAnsi" w:cstheme="majorHAnsi"/>
        </w:rPr>
      </w:pPr>
      <w:r>
        <w:rPr>
          <w:rFonts w:asciiTheme="majorHAnsi" w:hAnsiTheme="majorHAnsi" w:cstheme="majorHAnsi"/>
        </w:rPr>
        <w:t xml:space="preserve">Augmenter le coût de l’offre en donnant le droit aux actionnaires d’acheter des actions à un prix préférentiel, en émettant des titres hybrides (BSA, actions à droits de votes multiples…) ou en réalisant une augmentation de capital avant le dépôt de l’offre (sous réserve d’être acceptée par l’Assemblée générale) ; l’objectif est de décourager l’initiateur (pilule empoisonnée). </w:t>
      </w:r>
    </w:p>
    <w:p w14:paraId="05E9276E" w14:textId="77777777" w:rsidR="001D44CA" w:rsidRDefault="001D44CA" w:rsidP="001D44CA">
      <w:pPr>
        <w:spacing w:after="0"/>
        <w:jc w:val="both"/>
        <w:rPr>
          <w:rFonts w:asciiTheme="majorHAnsi" w:hAnsiTheme="majorHAnsi" w:cstheme="majorHAnsi"/>
        </w:rPr>
      </w:pPr>
    </w:p>
    <w:p w14:paraId="6840FEBF" w14:textId="712CBA2A" w:rsidR="0057086E" w:rsidRPr="001D44CA" w:rsidRDefault="001D44CA" w:rsidP="001D44CA">
      <w:pPr>
        <w:spacing w:after="0"/>
        <w:ind w:firstLine="708"/>
        <w:jc w:val="both"/>
        <w:rPr>
          <w:rFonts w:asciiTheme="majorHAnsi" w:hAnsiTheme="majorHAnsi" w:cstheme="majorHAnsi"/>
        </w:rPr>
      </w:pPr>
      <w:r>
        <w:rPr>
          <w:rFonts w:asciiTheme="majorHAnsi" w:hAnsiTheme="majorHAnsi" w:cstheme="majorHAnsi"/>
        </w:rPr>
        <w:t>En conclusion, la meilleure défense passe par un effort de fidélisation de l’actionnariat, favorisée par une bonne performance boursière.</w:t>
      </w:r>
      <w:r w:rsidRPr="001D44CA">
        <w:rPr>
          <w:rFonts w:asciiTheme="majorHAnsi" w:hAnsiTheme="majorHAnsi" w:cstheme="majorHAnsi"/>
        </w:rPr>
        <w:t xml:space="preserve"> </w:t>
      </w:r>
      <w:r w:rsidR="00681C95" w:rsidRPr="001D44CA">
        <w:rPr>
          <w:rFonts w:asciiTheme="majorHAnsi" w:hAnsiTheme="majorHAnsi" w:cstheme="majorHAnsi"/>
        </w:rPr>
        <w:t xml:space="preserve"> </w:t>
      </w:r>
      <w:r w:rsidR="0057086E" w:rsidRPr="001D44CA">
        <w:rPr>
          <w:rFonts w:asciiTheme="majorHAnsi" w:hAnsiTheme="majorHAnsi" w:cstheme="majorHAnsi"/>
        </w:rPr>
        <w:t xml:space="preserve"> </w:t>
      </w:r>
      <w:r w:rsidR="00681C95" w:rsidRPr="001D44CA">
        <w:rPr>
          <w:rFonts w:asciiTheme="majorHAnsi" w:hAnsiTheme="majorHAnsi" w:cstheme="majorHAnsi"/>
        </w:rPr>
        <w:t xml:space="preserve">                                                                                                                                                                                                                                                                                                                                                                                                                                                                                                                                                                                                                                                                                                                                                                                                                                                                                                                                                                                                                                                                                                                                                                                                                                                                                                                                                                                                                                                                                                                                                                                                                                                                                                                          </w:t>
      </w:r>
      <w:r w:rsidR="0057086E" w:rsidRPr="001D44CA">
        <w:rPr>
          <w:rFonts w:asciiTheme="majorHAnsi" w:hAnsiTheme="majorHAnsi" w:cstheme="majorHAnsi"/>
        </w:rPr>
        <w:t xml:space="preserve">                                                                                                                                                                                                                                                                                                                                                                                                                                                </w:t>
      </w:r>
    </w:p>
    <w:p w14:paraId="65980BA9" w14:textId="3376D419" w:rsidR="007D3566" w:rsidRDefault="007D3566" w:rsidP="007D3566">
      <w:pPr>
        <w:ind w:firstLine="708"/>
        <w:jc w:val="both"/>
        <w:rPr>
          <w:rFonts w:asciiTheme="majorHAnsi" w:hAnsiTheme="majorHAnsi" w:cstheme="majorHAnsi"/>
        </w:rPr>
      </w:pPr>
    </w:p>
    <w:p w14:paraId="70B381B8" w14:textId="31846A5A" w:rsidR="007B0885" w:rsidRDefault="007B0885" w:rsidP="007D3566">
      <w:pPr>
        <w:ind w:firstLine="708"/>
        <w:jc w:val="both"/>
        <w:rPr>
          <w:rFonts w:asciiTheme="majorHAnsi" w:hAnsiTheme="majorHAnsi" w:cstheme="majorHAnsi"/>
        </w:rPr>
      </w:pPr>
    </w:p>
    <w:p w14:paraId="3FF0D7EF" w14:textId="1598D27B" w:rsidR="007B0885" w:rsidRDefault="007B0885" w:rsidP="007D3566">
      <w:pPr>
        <w:ind w:firstLine="708"/>
        <w:jc w:val="both"/>
        <w:rPr>
          <w:rFonts w:asciiTheme="majorHAnsi" w:hAnsiTheme="majorHAnsi" w:cstheme="majorHAnsi"/>
        </w:rPr>
      </w:pPr>
    </w:p>
    <w:p w14:paraId="33AD7A98" w14:textId="2144F096" w:rsidR="007B0885" w:rsidRDefault="007B0885" w:rsidP="007D3566">
      <w:pPr>
        <w:ind w:firstLine="708"/>
        <w:jc w:val="both"/>
        <w:rPr>
          <w:rFonts w:asciiTheme="majorHAnsi" w:hAnsiTheme="majorHAnsi" w:cstheme="majorHAnsi"/>
        </w:rPr>
      </w:pPr>
    </w:p>
    <w:p w14:paraId="6B7C5569" w14:textId="77231180" w:rsidR="007B0885" w:rsidRDefault="007B0885" w:rsidP="007D3566">
      <w:pPr>
        <w:ind w:firstLine="708"/>
        <w:jc w:val="both"/>
        <w:rPr>
          <w:rFonts w:asciiTheme="majorHAnsi" w:hAnsiTheme="majorHAnsi" w:cstheme="majorHAnsi"/>
        </w:rPr>
      </w:pPr>
    </w:p>
    <w:p w14:paraId="590FA228" w14:textId="246E699E" w:rsidR="007B0885" w:rsidRDefault="007B0885" w:rsidP="007B0885">
      <w:pPr>
        <w:spacing w:after="0"/>
        <w:ind w:firstLine="708"/>
        <w:jc w:val="both"/>
        <w:rPr>
          <w:rFonts w:asciiTheme="majorHAnsi" w:hAnsiTheme="majorHAnsi" w:cstheme="majorHAnsi"/>
          <w:b/>
        </w:rPr>
      </w:pPr>
      <w:r>
        <w:rPr>
          <w:rFonts w:asciiTheme="majorHAnsi" w:hAnsiTheme="majorHAnsi" w:cstheme="majorHAnsi"/>
          <w:b/>
        </w:rPr>
        <w:lastRenderedPageBreak/>
        <w:t>3.3. Les offres publiques de retrait</w:t>
      </w:r>
    </w:p>
    <w:p w14:paraId="3CD482C0" w14:textId="4D8A9230" w:rsidR="007B0885" w:rsidRDefault="007B0885" w:rsidP="007B0885">
      <w:pPr>
        <w:spacing w:after="0"/>
        <w:jc w:val="both"/>
        <w:rPr>
          <w:rFonts w:asciiTheme="majorHAnsi" w:hAnsiTheme="majorHAnsi" w:cstheme="majorHAnsi"/>
          <w:b/>
        </w:rPr>
      </w:pPr>
    </w:p>
    <w:p w14:paraId="692092AF" w14:textId="6FA21D86" w:rsidR="009150FB" w:rsidRDefault="007B0885" w:rsidP="009150FB">
      <w:pPr>
        <w:spacing w:after="0"/>
        <w:ind w:firstLine="708"/>
        <w:jc w:val="both"/>
        <w:rPr>
          <w:rFonts w:asciiTheme="majorHAnsi" w:hAnsiTheme="majorHAnsi" w:cstheme="majorHAnsi"/>
        </w:rPr>
      </w:pPr>
      <w:r>
        <w:rPr>
          <w:rFonts w:asciiTheme="majorHAnsi" w:hAnsiTheme="majorHAnsi" w:cstheme="majorHAnsi"/>
          <w:b/>
        </w:rPr>
        <w:tab/>
      </w:r>
      <w:r w:rsidR="009150FB" w:rsidRPr="009150FB">
        <w:rPr>
          <w:rFonts w:asciiTheme="majorHAnsi" w:hAnsiTheme="majorHAnsi" w:cstheme="majorHAnsi"/>
        </w:rPr>
        <w:t>Cette opération, comme son nom l'indique, est une technique utilisée pour supprimer un titre de la cote. Elle fait généralement suite à une OPA ou une OPE et porte sur le solde des titres qui n'ont pas été apportés à l'offre (le flottant).</w:t>
      </w:r>
    </w:p>
    <w:p w14:paraId="39539138" w14:textId="77777777" w:rsidR="009150FB" w:rsidRPr="009150FB" w:rsidRDefault="009150FB" w:rsidP="009150FB">
      <w:pPr>
        <w:spacing w:after="0"/>
        <w:ind w:firstLine="708"/>
        <w:jc w:val="both"/>
        <w:rPr>
          <w:rFonts w:asciiTheme="majorHAnsi" w:hAnsiTheme="majorHAnsi" w:cstheme="majorHAnsi"/>
        </w:rPr>
      </w:pPr>
    </w:p>
    <w:p w14:paraId="21A84367" w14:textId="55F6EEC7" w:rsidR="009150FB" w:rsidRDefault="009150FB" w:rsidP="009150FB">
      <w:pPr>
        <w:spacing w:after="0"/>
        <w:ind w:firstLine="708"/>
        <w:jc w:val="both"/>
        <w:rPr>
          <w:rFonts w:asciiTheme="majorHAnsi" w:hAnsiTheme="majorHAnsi" w:cstheme="majorHAnsi"/>
        </w:rPr>
      </w:pPr>
      <w:r w:rsidRPr="009150FB">
        <w:rPr>
          <w:rFonts w:asciiTheme="majorHAnsi" w:hAnsiTheme="majorHAnsi" w:cstheme="majorHAnsi"/>
        </w:rPr>
        <w:t>Pour lancer une OPR, plusieurs conditions doivent être réunies : le flottant restant en bourse doit être inférieur à 5% et la décision d'OPR doit être approuvée par au moins 95% des actionnaires.</w:t>
      </w:r>
    </w:p>
    <w:p w14:paraId="7D333589" w14:textId="77777777" w:rsidR="009150FB" w:rsidRPr="009150FB" w:rsidRDefault="009150FB" w:rsidP="009150FB">
      <w:pPr>
        <w:spacing w:after="0"/>
        <w:ind w:firstLine="708"/>
        <w:jc w:val="both"/>
        <w:rPr>
          <w:rFonts w:asciiTheme="majorHAnsi" w:hAnsiTheme="majorHAnsi" w:cstheme="majorHAnsi"/>
        </w:rPr>
      </w:pPr>
    </w:p>
    <w:p w14:paraId="4F2E9B9C" w14:textId="3099C287" w:rsidR="009150FB" w:rsidRDefault="009150FB" w:rsidP="009150FB">
      <w:pPr>
        <w:spacing w:after="0"/>
        <w:ind w:firstLine="708"/>
        <w:jc w:val="both"/>
        <w:rPr>
          <w:rFonts w:asciiTheme="majorHAnsi" w:hAnsiTheme="majorHAnsi" w:cstheme="majorHAnsi"/>
        </w:rPr>
      </w:pPr>
      <w:r w:rsidRPr="009150FB">
        <w:rPr>
          <w:rFonts w:asciiTheme="majorHAnsi" w:hAnsiTheme="majorHAnsi" w:cstheme="majorHAnsi"/>
        </w:rPr>
        <w:t>Le prix proposé aux actionnaires restants est souvent égal au prix d'OPA ou d'OPE qui avait été proposé.</w:t>
      </w:r>
    </w:p>
    <w:p w14:paraId="15C89554" w14:textId="77777777" w:rsidR="009150FB" w:rsidRPr="009150FB" w:rsidRDefault="009150FB" w:rsidP="009150FB">
      <w:pPr>
        <w:spacing w:after="0"/>
        <w:ind w:firstLine="708"/>
        <w:jc w:val="both"/>
        <w:rPr>
          <w:rFonts w:asciiTheme="majorHAnsi" w:hAnsiTheme="majorHAnsi" w:cstheme="majorHAnsi"/>
        </w:rPr>
      </w:pPr>
    </w:p>
    <w:p w14:paraId="4A149DAB" w14:textId="4B157AA7" w:rsidR="009150FB" w:rsidRDefault="009150FB" w:rsidP="009150FB">
      <w:pPr>
        <w:spacing w:after="0"/>
        <w:ind w:firstLine="708"/>
        <w:jc w:val="both"/>
        <w:rPr>
          <w:rFonts w:asciiTheme="majorHAnsi" w:hAnsiTheme="majorHAnsi" w:cstheme="majorHAnsi"/>
        </w:rPr>
      </w:pPr>
      <w:r w:rsidRPr="009150FB">
        <w:rPr>
          <w:rFonts w:asciiTheme="majorHAnsi" w:hAnsiTheme="majorHAnsi" w:cstheme="majorHAnsi"/>
        </w:rPr>
        <w:t>Si ceux-ci ne souhaitent toujours pas apporter leurs titres à l'acquéreur, ce dernier lancera une OPRO (offre publique de retrait obligatoire) qui contraindra les actionnaires à vendre leurs titres.</w:t>
      </w:r>
    </w:p>
    <w:p w14:paraId="120F28EB" w14:textId="77777777" w:rsidR="009150FB" w:rsidRPr="009150FB" w:rsidRDefault="009150FB" w:rsidP="009150FB">
      <w:pPr>
        <w:spacing w:after="0"/>
        <w:ind w:firstLine="708"/>
        <w:jc w:val="both"/>
        <w:rPr>
          <w:rFonts w:asciiTheme="majorHAnsi" w:hAnsiTheme="majorHAnsi" w:cstheme="majorHAnsi"/>
        </w:rPr>
      </w:pPr>
    </w:p>
    <w:p w14:paraId="13F1757A" w14:textId="77777777" w:rsidR="009150FB" w:rsidRPr="009150FB" w:rsidRDefault="009150FB" w:rsidP="009150FB">
      <w:pPr>
        <w:spacing w:after="0"/>
        <w:ind w:firstLine="708"/>
        <w:jc w:val="both"/>
        <w:rPr>
          <w:rFonts w:asciiTheme="majorHAnsi" w:hAnsiTheme="majorHAnsi" w:cstheme="majorHAnsi"/>
        </w:rPr>
      </w:pPr>
      <w:r w:rsidRPr="009150FB">
        <w:rPr>
          <w:rFonts w:asciiTheme="majorHAnsi" w:hAnsiTheme="majorHAnsi" w:cstheme="majorHAnsi"/>
        </w:rPr>
        <w:t>A l'issue de l'opération, le titre disparaît de la cote : il est radié.</w:t>
      </w:r>
    </w:p>
    <w:p w14:paraId="1763570F" w14:textId="5A361DC2" w:rsidR="007B0885" w:rsidRPr="007D3566" w:rsidRDefault="007B0885" w:rsidP="009150FB">
      <w:pPr>
        <w:spacing w:after="0"/>
        <w:jc w:val="both"/>
        <w:rPr>
          <w:rFonts w:asciiTheme="majorHAnsi" w:hAnsiTheme="majorHAnsi" w:cstheme="majorHAnsi"/>
        </w:rPr>
      </w:pPr>
    </w:p>
    <w:sectPr w:rsidR="007B0885" w:rsidRPr="007D3566">
      <w:headerReference w:type="default"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B8451" w14:textId="77777777" w:rsidR="002B6C8D" w:rsidRDefault="002B6C8D" w:rsidP="00C71335">
      <w:pPr>
        <w:spacing w:after="0" w:line="240" w:lineRule="auto"/>
      </w:pPr>
      <w:r>
        <w:separator/>
      </w:r>
    </w:p>
  </w:endnote>
  <w:endnote w:type="continuationSeparator" w:id="0">
    <w:p w14:paraId="76386706" w14:textId="77777777" w:rsidR="002B6C8D" w:rsidRDefault="002B6C8D" w:rsidP="00C71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7132394"/>
      <w:docPartObj>
        <w:docPartGallery w:val="Page Numbers (Bottom of Page)"/>
        <w:docPartUnique/>
      </w:docPartObj>
    </w:sdtPr>
    <w:sdtEndPr/>
    <w:sdtContent>
      <w:p w14:paraId="0CA2B5EE" w14:textId="29CE6D40" w:rsidR="0041708E" w:rsidRDefault="0041708E">
        <w:pPr>
          <w:pStyle w:val="Pieddepage"/>
          <w:jc w:val="right"/>
        </w:pPr>
        <w:r>
          <w:rPr>
            <w:noProof/>
            <w:lang w:eastAsia="fr-FR"/>
          </w:rPr>
          <w:drawing>
            <wp:anchor distT="0" distB="0" distL="114300" distR="114300" simplePos="0" relativeHeight="251659264" behindDoc="1" locked="0" layoutInCell="1" allowOverlap="1" wp14:anchorId="151FA96C" wp14:editId="01FE3CE4">
              <wp:simplePos x="0" y="0"/>
              <wp:positionH relativeFrom="margin">
                <wp:align>center</wp:align>
              </wp:positionH>
              <wp:positionV relativeFrom="paragraph">
                <wp:posOffset>113030</wp:posOffset>
              </wp:positionV>
              <wp:extent cx="794385" cy="319405"/>
              <wp:effectExtent l="0" t="0" r="5715" b="444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4385" cy="319405"/>
                      </a:xfrm>
                      <a:prstGeom prst="rect">
                        <a:avLst/>
                      </a:prstGeom>
                      <a:noFill/>
                    </pic:spPr>
                  </pic:pic>
                </a:graphicData>
              </a:graphic>
            </wp:anchor>
          </w:drawing>
        </w:r>
        <w:r>
          <w:fldChar w:fldCharType="begin"/>
        </w:r>
        <w:r>
          <w:instrText>PAGE   \* MERGEFORMAT</w:instrText>
        </w:r>
        <w:r>
          <w:fldChar w:fldCharType="separate"/>
        </w:r>
        <w:r w:rsidR="002350CF">
          <w:rPr>
            <w:noProof/>
          </w:rPr>
          <w:t>14</w:t>
        </w:r>
        <w:r>
          <w:fldChar w:fldCharType="end"/>
        </w:r>
      </w:p>
    </w:sdtContent>
  </w:sdt>
  <w:p w14:paraId="78019CE5" w14:textId="15B37EBF" w:rsidR="00BF43B9" w:rsidRDefault="00BF43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F5703" w14:textId="77777777" w:rsidR="002B6C8D" w:rsidRDefault="002B6C8D" w:rsidP="00C71335">
      <w:pPr>
        <w:spacing w:after="0" w:line="240" w:lineRule="auto"/>
      </w:pPr>
      <w:r>
        <w:separator/>
      </w:r>
    </w:p>
  </w:footnote>
  <w:footnote w:type="continuationSeparator" w:id="0">
    <w:p w14:paraId="771EB0B3" w14:textId="77777777" w:rsidR="002B6C8D" w:rsidRDefault="002B6C8D" w:rsidP="00C71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DCDD2" w14:textId="77777777" w:rsidR="00BF43B9" w:rsidRDefault="00BF43B9">
    <w:pPr>
      <w:pStyle w:val="En-tte"/>
    </w:pPr>
    <w:r>
      <w:t>DSCG</w:t>
    </w:r>
    <w:r>
      <w:tab/>
    </w:r>
    <w:r>
      <w:tab/>
      <w:t>Module 4 – Ingénierie Financière</w:t>
    </w:r>
  </w:p>
  <w:p w14:paraId="7C0DCB6D" w14:textId="7D8FA9EC" w:rsidR="00BF43B9" w:rsidRDefault="00BF43B9" w:rsidP="00C71335">
    <w:pPr>
      <w:pStyle w:val="En-tte"/>
    </w:pPr>
    <w:r>
      <w:tab/>
    </w:r>
    <w:r>
      <w:tab/>
      <w:t>La gestion de la valeur de l’action</w:t>
    </w:r>
  </w:p>
  <w:p w14:paraId="38420225" w14:textId="77777777" w:rsidR="00BF43B9" w:rsidRDefault="00BF43B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15pt;height:11.15pt" o:bullet="t">
        <v:imagedata r:id="rId1" o:title="mso2FB6"/>
      </v:shape>
    </w:pict>
  </w:numPicBullet>
  <w:abstractNum w:abstractNumId="0" w15:restartNumberingAfterBreak="0">
    <w:nsid w:val="00DB061B"/>
    <w:multiLevelType w:val="hybridMultilevel"/>
    <w:tmpl w:val="B32051F8"/>
    <w:lvl w:ilvl="0" w:tplc="AF3870B2">
      <w:start w:val="1"/>
      <w:numFmt w:val="bullet"/>
      <w:lvlText w:val="-"/>
      <w:lvlJc w:val="left"/>
      <w:pPr>
        <w:ind w:left="765" w:hanging="360"/>
      </w:pPr>
      <w:rPr>
        <w:rFonts w:ascii="Calibri" w:eastAsiaTheme="minorHAnsi" w:hAnsi="Calibri" w:cs="Calibri"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 w15:restartNumberingAfterBreak="0">
    <w:nsid w:val="1B2A3E7A"/>
    <w:multiLevelType w:val="hybridMultilevel"/>
    <w:tmpl w:val="42C4CD32"/>
    <w:lvl w:ilvl="0" w:tplc="F7A2AAAA">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B931525"/>
    <w:multiLevelType w:val="multilevel"/>
    <w:tmpl w:val="A618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93C02"/>
    <w:multiLevelType w:val="hybridMultilevel"/>
    <w:tmpl w:val="40AEE880"/>
    <w:lvl w:ilvl="0" w:tplc="D8ACE3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51839E1"/>
    <w:multiLevelType w:val="hybridMultilevel"/>
    <w:tmpl w:val="B5ECA7A0"/>
    <w:lvl w:ilvl="0" w:tplc="AF3870B2">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69613A8"/>
    <w:multiLevelType w:val="multilevel"/>
    <w:tmpl w:val="7842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7543F"/>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7" w15:restartNumberingAfterBreak="0">
    <w:nsid w:val="2AE71A93"/>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8" w15:restartNumberingAfterBreak="0">
    <w:nsid w:val="2B8E338B"/>
    <w:multiLevelType w:val="multilevel"/>
    <w:tmpl w:val="66A061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DEA26E8"/>
    <w:multiLevelType w:val="multilevel"/>
    <w:tmpl w:val="BCBE372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4C80813"/>
    <w:multiLevelType w:val="hybridMultilevel"/>
    <w:tmpl w:val="8D04488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A424328"/>
    <w:multiLevelType w:val="hybridMultilevel"/>
    <w:tmpl w:val="EE061DB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AFA5735"/>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3" w15:restartNumberingAfterBreak="0">
    <w:nsid w:val="3EF3238B"/>
    <w:multiLevelType w:val="multilevel"/>
    <w:tmpl w:val="A1D84948"/>
    <w:lvl w:ilvl="0">
      <w:start w:val="2"/>
      <w:numFmt w:val="decimal"/>
      <w:lvlText w:val="%1."/>
      <w:lvlJc w:val="left"/>
      <w:pPr>
        <w:ind w:left="375" w:hanging="375"/>
      </w:pPr>
      <w:rPr>
        <w:rFonts w:hint="default"/>
      </w:rPr>
    </w:lvl>
    <w:lvl w:ilvl="1">
      <w:start w:val="3"/>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41D307CD"/>
    <w:multiLevelType w:val="hybridMultilevel"/>
    <w:tmpl w:val="FCA847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A1A7C63"/>
    <w:multiLevelType w:val="hybridMultilevel"/>
    <w:tmpl w:val="812E5B96"/>
    <w:lvl w:ilvl="0" w:tplc="97E813F6">
      <w:start w:val="1"/>
      <w:numFmt w:val="bullet"/>
      <w:lvlText w:val="-"/>
      <w:lvlJc w:val="left"/>
      <w:pPr>
        <w:ind w:left="1776" w:hanging="360"/>
      </w:pPr>
      <w:rPr>
        <w:rFonts w:ascii="Calibri Light" w:eastAsiaTheme="minorHAnsi" w:hAnsi="Calibri Light" w:cs="Calibri Light"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6" w15:restartNumberingAfterBreak="0">
    <w:nsid w:val="4CE23E81"/>
    <w:multiLevelType w:val="multilevel"/>
    <w:tmpl w:val="56AE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66D72"/>
    <w:multiLevelType w:val="hybridMultilevel"/>
    <w:tmpl w:val="0BBC6B22"/>
    <w:lvl w:ilvl="0" w:tplc="97E813F6">
      <w:start w:val="1"/>
      <w:numFmt w:val="bullet"/>
      <w:lvlText w:val="-"/>
      <w:lvlJc w:val="left"/>
      <w:pPr>
        <w:ind w:left="1068" w:hanging="360"/>
      </w:pPr>
      <w:rPr>
        <w:rFonts w:ascii="Calibri Light" w:eastAsiaTheme="minorHAnsi" w:hAnsi="Calibri Light" w:cs="Calibri Light"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4FB055EC"/>
    <w:multiLevelType w:val="hybridMultilevel"/>
    <w:tmpl w:val="EE5CDA6A"/>
    <w:lvl w:ilvl="0" w:tplc="F7A2AAAA">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4823410"/>
    <w:multiLevelType w:val="hybridMultilevel"/>
    <w:tmpl w:val="55BEDA94"/>
    <w:lvl w:ilvl="0" w:tplc="530C4292">
      <w:start w:val="3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60E052A"/>
    <w:multiLevelType w:val="hybridMultilevel"/>
    <w:tmpl w:val="58704C48"/>
    <w:lvl w:ilvl="0" w:tplc="E888551A">
      <w:start w:val="1"/>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8E56A88"/>
    <w:multiLevelType w:val="multilevel"/>
    <w:tmpl w:val="573A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EE04EB"/>
    <w:multiLevelType w:val="hybridMultilevel"/>
    <w:tmpl w:val="8F367D66"/>
    <w:lvl w:ilvl="0" w:tplc="F7A2AAAA">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19959F3"/>
    <w:multiLevelType w:val="hybridMultilevel"/>
    <w:tmpl w:val="BA9C6FC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74774391"/>
    <w:multiLevelType w:val="multilevel"/>
    <w:tmpl w:val="88AE1A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6001DBA"/>
    <w:multiLevelType w:val="hybridMultilevel"/>
    <w:tmpl w:val="2856F4D2"/>
    <w:lvl w:ilvl="0" w:tplc="AF3870B2">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79611AD"/>
    <w:multiLevelType w:val="hybridMultilevel"/>
    <w:tmpl w:val="E0442402"/>
    <w:lvl w:ilvl="0" w:tplc="F7A2AAAA">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AB658C8"/>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28" w15:restartNumberingAfterBreak="0">
    <w:nsid w:val="7B2C23D1"/>
    <w:multiLevelType w:val="multilevel"/>
    <w:tmpl w:val="668EAB6A"/>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9"/>
  </w:num>
  <w:num w:numId="2">
    <w:abstractNumId w:val="8"/>
  </w:num>
  <w:num w:numId="3">
    <w:abstractNumId w:val="3"/>
  </w:num>
  <w:num w:numId="4">
    <w:abstractNumId w:val="28"/>
  </w:num>
  <w:num w:numId="5">
    <w:abstractNumId w:val="9"/>
  </w:num>
  <w:num w:numId="6">
    <w:abstractNumId w:val="12"/>
  </w:num>
  <w:num w:numId="7">
    <w:abstractNumId w:val="24"/>
  </w:num>
  <w:num w:numId="8">
    <w:abstractNumId w:val="5"/>
  </w:num>
  <w:num w:numId="9">
    <w:abstractNumId w:val="2"/>
  </w:num>
  <w:num w:numId="10">
    <w:abstractNumId w:val="23"/>
  </w:num>
  <w:num w:numId="11">
    <w:abstractNumId w:val="4"/>
  </w:num>
  <w:num w:numId="12">
    <w:abstractNumId w:val="20"/>
  </w:num>
  <w:num w:numId="13">
    <w:abstractNumId w:val="27"/>
  </w:num>
  <w:num w:numId="14">
    <w:abstractNumId w:val="0"/>
  </w:num>
  <w:num w:numId="15">
    <w:abstractNumId w:val="14"/>
  </w:num>
  <w:num w:numId="16">
    <w:abstractNumId w:val="13"/>
  </w:num>
  <w:num w:numId="17">
    <w:abstractNumId w:val="25"/>
  </w:num>
  <w:num w:numId="18">
    <w:abstractNumId w:val="11"/>
  </w:num>
  <w:num w:numId="19">
    <w:abstractNumId w:val="7"/>
  </w:num>
  <w:num w:numId="20">
    <w:abstractNumId w:val="10"/>
  </w:num>
  <w:num w:numId="21">
    <w:abstractNumId w:val="26"/>
  </w:num>
  <w:num w:numId="22">
    <w:abstractNumId w:val="18"/>
  </w:num>
  <w:num w:numId="23">
    <w:abstractNumId w:val="1"/>
  </w:num>
  <w:num w:numId="24">
    <w:abstractNumId w:val="22"/>
  </w:num>
  <w:num w:numId="25">
    <w:abstractNumId w:val="17"/>
  </w:num>
  <w:num w:numId="26">
    <w:abstractNumId w:val="15"/>
  </w:num>
  <w:num w:numId="27">
    <w:abstractNumId w:val="21"/>
  </w:num>
  <w:num w:numId="28">
    <w:abstractNumId w:val="16"/>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335"/>
    <w:rsid w:val="00027159"/>
    <w:rsid w:val="0005268D"/>
    <w:rsid w:val="000737CF"/>
    <w:rsid w:val="000959AE"/>
    <w:rsid w:val="000A74F3"/>
    <w:rsid w:val="000B7228"/>
    <w:rsid w:val="000D48E4"/>
    <w:rsid w:val="000F0D50"/>
    <w:rsid w:val="0011724C"/>
    <w:rsid w:val="00120026"/>
    <w:rsid w:val="001524F3"/>
    <w:rsid w:val="0015415B"/>
    <w:rsid w:val="0016474F"/>
    <w:rsid w:val="001923E8"/>
    <w:rsid w:val="001A11C5"/>
    <w:rsid w:val="001A2757"/>
    <w:rsid w:val="001D44CA"/>
    <w:rsid w:val="001E0C8D"/>
    <w:rsid w:val="002037A2"/>
    <w:rsid w:val="002279F1"/>
    <w:rsid w:val="002350CF"/>
    <w:rsid w:val="002739E0"/>
    <w:rsid w:val="002B6C8D"/>
    <w:rsid w:val="002C0090"/>
    <w:rsid w:val="002C37AD"/>
    <w:rsid w:val="002D1809"/>
    <w:rsid w:val="003069A7"/>
    <w:rsid w:val="00324506"/>
    <w:rsid w:val="003A1C90"/>
    <w:rsid w:val="003F2145"/>
    <w:rsid w:val="003F2C34"/>
    <w:rsid w:val="003F3218"/>
    <w:rsid w:val="0041708E"/>
    <w:rsid w:val="00426F2A"/>
    <w:rsid w:val="00471D2B"/>
    <w:rsid w:val="00475456"/>
    <w:rsid w:val="00486AA8"/>
    <w:rsid w:val="00492A27"/>
    <w:rsid w:val="004955C7"/>
    <w:rsid w:val="004A0952"/>
    <w:rsid w:val="004A1FEC"/>
    <w:rsid w:val="004A3CDA"/>
    <w:rsid w:val="004F4B7A"/>
    <w:rsid w:val="005108DA"/>
    <w:rsid w:val="00520F88"/>
    <w:rsid w:val="00560CCE"/>
    <w:rsid w:val="0057086E"/>
    <w:rsid w:val="00570F90"/>
    <w:rsid w:val="00592F61"/>
    <w:rsid w:val="00595E59"/>
    <w:rsid w:val="005A16C6"/>
    <w:rsid w:val="005A5EC7"/>
    <w:rsid w:val="005B6EB4"/>
    <w:rsid w:val="005D235E"/>
    <w:rsid w:val="0061312D"/>
    <w:rsid w:val="0061391F"/>
    <w:rsid w:val="006742E4"/>
    <w:rsid w:val="00681C95"/>
    <w:rsid w:val="00716182"/>
    <w:rsid w:val="007179AA"/>
    <w:rsid w:val="00767B91"/>
    <w:rsid w:val="007B0885"/>
    <w:rsid w:val="007C40B7"/>
    <w:rsid w:val="007D3566"/>
    <w:rsid w:val="00836864"/>
    <w:rsid w:val="008629B8"/>
    <w:rsid w:val="00880E32"/>
    <w:rsid w:val="008927CC"/>
    <w:rsid w:val="008C4279"/>
    <w:rsid w:val="008E08DF"/>
    <w:rsid w:val="008E3116"/>
    <w:rsid w:val="008F1282"/>
    <w:rsid w:val="00912E90"/>
    <w:rsid w:val="009150FB"/>
    <w:rsid w:val="00915313"/>
    <w:rsid w:val="0091587E"/>
    <w:rsid w:val="009233F1"/>
    <w:rsid w:val="009353DA"/>
    <w:rsid w:val="009501F4"/>
    <w:rsid w:val="00962D6B"/>
    <w:rsid w:val="00967F0D"/>
    <w:rsid w:val="00997143"/>
    <w:rsid w:val="009A07CF"/>
    <w:rsid w:val="00A3385C"/>
    <w:rsid w:val="00A418BF"/>
    <w:rsid w:val="00A60BA3"/>
    <w:rsid w:val="00A622D4"/>
    <w:rsid w:val="00AA48FA"/>
    <w:rsid w:val="00AD0600"/>
    <w:rsid w:val="00AD1F53"/>
    <w:rsid w:val="00AE671A"/>
    <w:rsid w:val="00B13557"/>
    <w:rsid w:val="00B248A9"/>
    <w:rsid w:val="00B51017"/>
    <w:rsid w:val="00BC0F8A"/>
    <w:rsid w:val="00BD4B00"/>
    <w:rsid w:val="00BE5476"/>
    <w:rsid w:val="00BF43B9"/>
    <w:rsid w:val="00C068C1"/>
    <w:rsid w:val="00C2084D"/>
    <w:rsid w:val="00C32D9B"/>
    <w:rsid w:val="00C37BE3"/>
    <w:rsid w:val="00C527C9"/>
    <w:rsid w:val="00C54217"/>
    <w:rsid w:val="00C71335"/>
    <w:rsid w:val="00C737C1"/>
    <w:rsid w:val="00CA13FF"/>
    <w:rsid w:val="00CA6F15"/>
    <w:rsid w:val="00CB602D"/>
    <w:rsid w:val="00CD3F2E"/>
    <w:rsid w:val="00CD650F"/>
    <w:rsid w:val="00D2225A"/>
    <w:rsid w:val="00D8114A"/>
    <w:rsid w:val="00D81863"/>
    <w:rsid w:val="00DA0BB9"/>
    <w:rsid w:val="00E303A5"/>
    <w:rsid w:val="00E54145"/>
    <w:rsid w:val="00E8443E"/>
    <w:rsid w:val="00EA01CA"/>
    <w:rsid w:val="00EA1989"/>
    <w:rsid w:val="00EA3B37"/>
    <w:rsid w:val="00EA6040"/>
    <w:rsid w:val="00ED5124"/>
    <w:rsid w:val="00EF325D"/>
    <w:rsid w:val="00F10F80"/>
    <w:rsid w:val="00F24B28"/>
    <w:rsid w:val="00F27E07"/>
    <w:rsid w:val="00F32C28"/>
    <w:rsid w:val="00F345E6"/>
    <w:rsid w:val="00F41782"/>
    <w:rsid w:val="00F6270D"/>
    <w:rsid w:val="00FC282E"/>
    <w:rsid w:val="00FD4A58"/>
    <w:rsid w:val="00FE68BF"/>
    <w:rsid w:val="00FF16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876E32"/>
  <w15:chartTrackingRefBased/>
  <w15:docId w15:val="{78AB1A8F-58A6-4458-97CC-6E7AC7C83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B248A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71335"/>
    <w:pPr>
      <w:tabs>
        <w:tab w:val="center" w:pos="4536"/>
        <w:tab w:val="right" w:pos="9072"/>
      </w:tabs>
      <w:spacing w:after="0" w:line="240" w:lineRule="auto"/>
    </w:pPr>
  </w:style>
  <w:style w:type="character" w:customStyle="1" w:styleId="En-tteCar">
    <w:name w:val="En-tête Car"/>
    <w:basedOn w:val="Policepardfaut"/>
    <w:link w:val="En-tte"/>
    <w:uiPriority w:val="99"/>
    <w:rsid w:val="00C71335"/>
  </w:style>
  <w:style w:type="paragraph" w:styleId="Pieddepage">
    <w:name w:val="footer"/>
    <w:basedOn w:val="Normal"/>
    <w:link w:val="PieddepageCar"/>
    <w:uiPriority w:val="99"/>
    <w:unhideWhenUsed/>
    <w:rsid w:val="00C713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1335"/>
  </w:style>
  <w:style w:type="paragraph" w:styleId="Paragraphedeliste">
    <w:name w:val="List Paragraph"/>
    <w:basedOn w:val="Normal"/>
    <w:uiPriority w:val="34"/>
    <w:qFormat/>
    <w:rsid w:val="00CA6F15"/>
    <w:pPr>
      <w:ind w:left="720"/>
      <w:contextualSpacing/>
    </w:pPr>
  </w:style>
  <w:style w:type="paragraph" w:styleId="NormalWeb">
    <w:name w:val="Normal (Web)"/>
    <w:basedOn w:val="Normal"/>
    <w:uiPriority w:val="99"/>
    <w:semiHidden/>
    <w:unhideWhenUsed/>
    <w:rsid w:val="000D48E4"/>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CB6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B248A9"/>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B248A9"/>
    <w:rPr>
      <w:b/>
      <w:bCs/>
    </w:rPr>
  </w:style>
  <w:style w:type="character" w:styleId="Lienhypertexte">
    <w:name w:val="Hyperlink"/>
    <w:basedOn w:val="Policepardfaut"/>
    <w:uiPriority w:val="99"/>
    <w:semiHidden/>
    <w:unhideWhenUsed/>
    <w:rsid w:val="00B248A9"/>
    <w:rPr>
      <w:color w:val="0000FF"/>
      <w:u w:val="single"/>
    </w:rPr>
  </w:style>
  <w:style w:type="character" w:styleId="Accentuation">
    <w:name w:val="Emphasis"/>
    <w:basedOn w:val="Policepardfaut"/>
    <w:uiPriority w:val="20"/>
    <w:qFormat/>
    <w:rsid w:val="00B248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145289">
      <w:bodyDiv w:val="1"/>
      <w:marLeft w:val="0"/>
      <w:marRight w:val="0"/>
      <w:marTop w:val="0"/>
      <w:marBottom w:val="0"/>
      <w:divBdr>
        <w:top w:val="none" w:sz="0" w:space="0" w:color="auto"/>
        <w:left w:val="none" w:sz="0" w:space="0" w:color="auto"/>
        <w:bottom w:val="none" w:sz="0" w:space="0" w:color="auto"/>
        <w:right w:val="none" w:sz="0" w:space="0" w:color="auto"/>
      </w:divBdr>
    </w:div>
    <w:div w:id="1309552897">
      <w:bodyDiv w:val="1"/>
      <w:marLeft w:val="0"/>
      <w:marRight w:val="0"/>
      <w:marTop w:val="0"/>
      <w:marBottom w:val="0"/>
      <w:divBdr>
        <w:top w:val="none" w:sz="0" w:space="0" w:color="auto"/>
        <w:left w:val="none" w:sz="0" w:space="0" w:color="auto"/>
        <w:bottom w:val="none" w:sz="0" w:space="0" w:color="auto"/>
        <w:right w:val="none" w:sz="0" w:space="0" w:color="auto"/>
      </w:divBdr>
    </w:div>
    <w:div w:id="1315377746">
      <w:bodyDiv w:val="1"/>
      <w:marLeft w:val="0"/>
      <w:marRight w:val="0"/>
      <w:marTop w:val="0"/>
      <w:marBottom w:val="0"/>
      <w:divBdr>
        <w:top w:val="none" w:sz="0" w:space="0" w:color="auto"/>
        <w:left w:val="none" w:sz="0" w:space="0" w:color="auto"/>
        <w:bottom w:val="none" w:sz="0" w:space="0" w:color="auto"/>
        <w:right w:val="none" w:sz="0" w:space="0" w:color="auto"/>
      </w:divBdr>
    </w:div>
    <w:div w:id="1451362962">
      <w:bodyDiv w:val="1"/>
      <w:marLeft w:val="0"/>
      <w:marRight w:val="0"/>
      <w:marTop w:val="0"/>
      <w:marBottom w:val="0"/>
      <w:divBdr>
        <w:top w:val="none" w:sz="0" w:space="0" w:color="auto"/>
        <w:left w:val="none" w:sz="0" w:space="0" w:color="auto"/>
        <w:bottom w:val="none" w:sz="0" w:space="0" w:color="auto"/>
        <w:right w:val="none" w:sz="0" w:space="0" w:color="auto"/>
      </w:divBdr>
    </w:div>
    <w:div w:id="1774742057">
      <w:bodyDiv w:val="1"/>
      <w:marLeft w:val="0"/>
      <w:marRight w:val="0"/>
      <w:marTop w:val="0"/>
      <w:marBottom w:val="0"/>
      <w:divBdr>
        <w:top w:val="none" w:sz="0" w:space="0" w:color="auto"/>
        <w:left w:val="none" w:sz="0" w:space="0" w:color="auto"/>
        <w:bottom w:val="none" w:sz="0" w:space="0" w:color="auto"/>
        <w:right w:val="none" w:sz="0" w:space="0" w:color="auto"/>
      </w:divBdr>
      <w:divsChild>
        <w:div w:id="783381345">
          <w:marLeft w:val="0"/>
          <w:marRight w:val="0"/>
          <w:marTop w:val="0"/>
          <w:marBottom w:val="0"/>
          <w:divBdr>
            <w:top w:val="none" w:sz="0" w:space="0" w:color="auto"/>
            <w:left w:val="none" w:sz="0" w:space="0" w:color="auto"/>
            <w:bottom w:val="none" w:sz="0" w:space="0" w:color="auto"/>
            <w:right w:val="none" w:sz="0" w:space="0" w:color="auto"/>
          </w:divBdr>
          <w:divsChild>
            <w:div w:id="2093089284">
              <w:marLeft w:val="0"/>
              <w:marRight w:val="0"/>
              <w:marTop w:val="0"/>
              <w:marBottom w:val="0"/>
              <w:divBdr>
                <w:top w:val="none" w:sz="0" w:space="0" w:color="auto"/>
                <w:left w:val="none" w:sz="0" w:space="0" w:color="auto"/>
                <w:bottom w:val="none" w:sz="0" w:space="0" w:color="auto"/>
                <w:right w:val="none" w:sz="0" w:space="0" w:color="auto"/>
              </w:divBdr>
            </w:div>
            <w:div w:id="1432121889">
              <w:marLeft w:val="0"/>
              <w:marRight w:val="0"/>
              <w:marTop w:val="0"/>
              <w:marBottom w:val="0"/>
              <w:divBdr>
                <w:top w:val="none" w:sz="0" w:space="0" w:color="auto"/>
                <w:left w:val="none" w:sz="0" w:space="0" w:color="auto"/>
                <w:bottom w:val="none" w:sz="0" w:space="0" w:color="auto"/>
                <w:right w:val="none" w:sz="0" w:space="0" w:color="auto"/>
              </w:divBdr>
            </w:div>
            <w:div w:id="20521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5A4AD8F-FF48-4E51-B03F-BE921E4AE15D}" type="doc">
      <dgm:prSet loTypeId="urn:microsoft.com/office/officeart/2005/8/layout/chevron1" loCatId="process" qsTypeId="urn:microsoft.com/office/officeart/2005/8/quickstyle/simple1" qsCatId="simple" csTypeId="urn:microsoft.com/office/officeart/2005/8/colors/accent1_3" csCatId="accent1" phldr="1"/>
      <dgm:spPr/>
    </dgm:pt>
    <dgm:pt modelId="{F85708EC-93F6-4456-981D-CAAF97A24778}">
      <dgm:prSet phldrT="[Texte]"/>
      <dgm:spPr/>
      <dgm:t>
        <a:bodyPr/>
        <a:lstStyle/>
        <a:p>
          <a:r>
            <a:rPr lang="fr-FR"/>
            <a:t>Négociation de la parité d'échange</a:t>
          </a:r>
        </a:p>
      </dgm:t>
    </dgm:pt>
    <dgm:pt modelId="{6F22F8BE-29C2-459B-92E0-E0C8122C4DEB}" type="parTrans" cxnId="{BEFF4617-6AF6-428A-BE41-2B25CD04F322}">
      <dgm:prSet/>
      <dgm:spPr/>
      <dgm:t>
        <a:bodyPr/>
        <a:lstStyle/>
        <a:p>
          <a:endParaRPr lang="fr-FR"/>
        </a:p>
      </dgm:t>
    </dgm:pt>
    <dgm:pt modelId="{A040D6AB-8E1C-4D8A-8660-CB2CA79AA628}" type="sibTrans" cxnId="{BEFF4617-6AF6-428A-BE41-2B25CD04F322}">
      <dgm:prSet/>
      <dgm:spPr/>
      <dgm:t>
        <a:bodyPr/>
        <a:lstStyle/>
        <a:p>
          <a:endParaRPr lang="fr-FR"/>
        </a:p>
      </dgm:t>
    </dgm:pt>
    <dgm:pt modelId="{0D39F5A6-E348-43DB-A609-2D388847D14B}">
      <dgm:prSet phldrT="[Texte]"/>
      <dgm:spPr/>
      <dgm:t>
        <a:bodyPr/>
        <a:lstStyle/>
        <a:p>
          <a:r>
            <a:rPr lang="fr-FR"/>
            <a:t>Mise en oeuvre juridique </a:t>
          </a:r>
        </a:p>
      </dgm:t>
    </dgm:pt>
    <dgm:pt modelId="{61C9C6B5-83A8-4E6D-8A67-C3C72E783166}" type="parTrans" cxnId="{949F7A56-8F9F-4A9E-81EA-3711ED6895C7}">
      <dgm:prSet/>
      <dgm:spPr/>
      <dgm:t>
        <a:bodyPr/>
        <a:lstStyle/>
        <a:p>
          <a:endParaRPr lang="fr-FR"/>
        </a:p>
      </dgm:t>
    </dgm:pt>
    <dgm:pt modelId="{BE633A58-EA17-4447-A7BE-CB68A09C9487}" type="sibTrans" cxnId="{949F7A56-8F9F-4A9E-81EA-3711ED6895C7}">
      <dgm:prSet/>
      <dgm:spPr/>
      <dgm:t>
        <a:bodyPr/>
        <a:lstStyle/>
        <a:p>
          <a:endParaRPr lang="fr-FR"/>
        </a:p>
      </dgm:t>
    </dgm:pt>
    <dgm:pt modelId="{11E9235E-CD3E-473A-A675-E8CA59E60796}">
      <dgm:prSet phldrT="[Texte]"/>
      <dgm:spPr/>
      <dgm:t>
        <a:bodyPr/>
        <a:lstStyle/>
        <a:p>
          <a:r>
            <a:rPr lang="fr-FR"/>
            <a:t>Mise en oeuvre opérationnelle</a:t>
          </a:r>
        </a:p>
      </dgm:t>
    </dgm:pt>
    <dgm:pt modelId="{6CD3D919-C865-4ADF-B2C0-02FC93E8C596}" type="parTrans" cxnId="{B3C0854D-2F92-474D-B34A-65E3C8ADF344}">
      <dgm:prSet/>
      <dgm:spPr/>
      <dgm:t>
        <a:bodyPr/>
        <a:lstStyle/>
        <a:p>
          <a:endParaRPr lang="fr-FR"/>
        </a:p>
      </dgm:t>
    </dgm:pt>
    <dgm:pt modelId="{12ABFDA4-F5AF-4AC9-A8C0-B45B759F63A7}" type="sibTrans" cxnId="{B3C0854D-2F92-474D-B34A-65E3C8ADF344}">
      <dgm:prSet/>
      <dgm:spPr/>
      <dgm:t>
        <a:bodyPr/>
        <a:lstStyle/>
        <a:p>
          <a:endParaRPr lang="fr-FR"/>
        </a:p>
      </dgm:t>
    </dgm:pt>
    <dgm:pt modelId="{61FEC9F9-F242-434B-A058-9656C783250F}" type="pres">
      <dgm:prSet presAssocID="{E5A4AD8F-FF48-4E51-B03F-BE921E4AE15D}" presName="Name0" presStyleCnt="0">
        <dgm:presLayoutVars>
          <dgm:dir/>
          <dgm:animLvl val="lvl"/>
          <dgm:resizeHandles val="exact"/>
        </dgm:presLayoutVars>
      </dgm:prSet>
      <dgm:spPr/>
    </dgm:pt>
    <dgm:pt modelId="{2344D8E0-AEFF-4CAD-88FC-56DB4D1ECBD9}" type="pres">
      <dgm:prSet presAssocID="{F85708EC-93F6-4456-981D-CAAF97A24778}" presName="parTxOnly" presStyleLbl="node1" presStyleIdx="0" presStyleCnt="3">
        <dgm:presLayoutVars>
          <dgm:chMax val="0"/>
          <dgm:chPref val="0"/>
          <dgm:bulletEnabled val="1"/>
        </dgm:presLayoutVars>
      </dgm:prSet>
      <dgm:spPr/>
    </dgm:pt>
    <dgm:pt modelId="{E3246BA5-D994-4EFF-9706-E464A7E1F864}" type="pres">
      <dgm:prSet presAssocID="{A040D6AB-8E1C-4D8A-8660-CB2CA79AA628}" presName="parTxOnlySpace" presStyleCnt="0"/>
      <dgm:spPr/>
    </dgm:pt>
    <dgm:pt modelId="{D41EA6AA-0A7C-45ED-BA88-3D7C6F495701}" type="pres">
      <dgm:prSet presAssocID="{0D39F5A6-E348-43DB-A609-2D388847D14B}" presName="parTxOnly" presStyleLbl="node1" presStyleIdx="1" presStyleCnt="3">
        <dgm:presLayoutVars>
          <dgm:chMax val="0"/>
          <dgm:chPref val="0"/>
          <dgm:bulletEnabled val="1"/>
        </dgm:presLayoutVars>
      </dgm:prSet>
      <dgm:spPr/>
    </dgm:pt>
    <dgm:pt modelId="{EE155B62-8487-46B7-9B98-AFCD3E929B89}" type="pres">
      <dgm:prSet presAssocID="{BE633A58-EA17-4447-A7BE-CB68A09C9487}" presName="parTxOnlySpace" presStyleCnt="0"/>
      <dgm:spPr/>
    </dgm:pt>
    <dgm:pt modelId="{1FE10C11-995B-4ED2-B85F-CEF51B6FDEEE}" type="pres">
      <dgm:prSet presAssocID="{11E9235E-CD3E-473A-A675-E8CA59E60796}" presName="parTxOnly" presStyleLbl="node1" presStyleIdx="2" presStyleCnt="3">
        <dgm:presLayoutVars>
          <dgm:chMax val="0"/>
          <dgm:chPref val="0"/>
          <dgm:bulletEnabled val="1"/>
        </dgm:presLayoutVars>
      </dgm:prSet>
      <dgm:spPr/>
    </dgm:pt>
  </dgm:ptLst>
  <dgm:cxnLst>
    <dgm:cxn modelId="{BEFF4617-6AF6-428A-BE41-2B25CD04F322}" srcId="{E5A4AD8F-FF48-4E51-B03F-BE921E4AE15D}" destId="{F85708EC-93F6-4456-981D-CAAF97A24778}" srcOrd="0" destOrd="0" parTransId="{6F22F8BE-29C2-459B-92E0-E0C8122C4DEB}" sibTransId="{A040D6AB-8E1C-4D8A-8660-CB2CA79AA628}"/>
    <dgm:cxn modelId="{FFFF7937-0FBB-436C-9F8F-5F4188876CB2}" type="presOf" srcId="{0D39F5A6-E348-43DB-A609-2D388847D14B}" destId="{D41EA6AA-0A7C-45ED-BA88-3D7C6F495701}" srcOrd="0" destOrd="0" presId="urn:microsoft.com/office/officeart/2005/8/layout/chevron1"/>
    <dgm:cxn modelId="{E7393C68-48B8-4F94-84D8-F3DE72CA105B}" type="presOf" srcId="{E5A4AD8F-FF48-4E51-B03F-BE921E4AE15D}" destId="{61FEC9F9-F242-434B-A058-9656C783250F}" srcOrd="0" destOrd="0" presId="urn:microsoft.com/office/officeart/2005/8/layout/chevron1"/>
    <dgm:cxn modelId="{B3C0854D-2F92-474D-B34A-65E3C8ADF344}" srcId="{E5A4AD8F-FF48-4E51-B03F-BE921E4AE15D}" destId="{11E9235E-CD3E-473A-A675-E8CA59E60796}" srcOrd="2" destOrd="0" parTransId="{6CD3D919-C865-4ADF-B2C0-02FC93E8C596}" sibTransId="{12ABFDA4-F5AF-4AC9-A8C0-B45B759F63A7}"/>
    <dgm:cxn modelId="{949F7A56-8F9F-4A9E-81EA-3711ED6895C7}" srcId="{E5A4AD8F-FF48-4E51-B03F-BE921E4AE15D}" destId="{0D39F5A6-E348-43DB-A609-2D388847D14B}" srcOrd="1" destOrd="0" parTransId="{61C9C6B5-83A8-4E6D-8A67-C3C72E783166}" sibTransId="{BE633A58-EA17-4447-A7BE-CB68A09C9487}"/>
    <dgm:cxn modelId="{0439589A-9CB3-4D33-B73D-15B54DECC6CA}" type="presOf" srcId="{F85708EC-93F6-4456-981D-CAAF97A24778}" destId="{2344D8E0-AEFF-4CAD-88FC-56DB4D1ECBD9}" srcOrd="0" destOrd="0" presId="urn:microsoft.com/office/officeart/2005/8/layout/chevron1"/>
    <dgm:cxn modelId="{66143DD3-FBD9-47C2-81FD-639990D986E8}" type="presOf" srcId="{11E9235E-CD3E-473A-A675-E8CA59E60796}" destId="{1FE10C11-995B-4ED2-B85F-CEF51B6FDEEE}" srcOrd="0" destOrd="0" presId="urn:microsoft.com/office/officeart/2005/8/layout/chevron1"/>
    <dgm:cxn modelId="{533EDA82-3D65-4AA1-AFC0-8E14844679EA}" type="presParOf" srcId="{61FEC9F9-F242-434B-A058-9656C783250F}" destId="{2344D8E0-AEFF-4CAD-88FC-56DB4D1ECBD9}" srcOrd="0" destOrd="0" presId="urn:microsoft.com/office/officeart/2005/8/layout/chevron1"/>
    <dgm:cxn modelId="{C560054A-E05E-4B30-8CB8-A62B03CF00C2}" type="presParOf" srcId="{61FEC9F9-F242-434B-A058-9656C783250F}" destId="{E3246BA5-D994-4EFF-9706-E464A7E1F864}" srcOrd="1" destOrd="0" presId="urn:microsoft.com/office/officeart/2005/8/layout/chevron1"/>
    <dgm:cxn modelId="{31E29E05-7B8D-4D8C-8ECF-CF455A004EAB}" type="presParOf" srcId="{61FEC9F9-F242-434B-A058-9656C783250F}" destId="{D41EA6AA-0A7C-45ED-BA88-3D7C6F495701}" srcOrd="2" destOrd="0" presId="urn:microsoft.com/office/officeart/2005/8/layout/chevron1"/>
    <dgm:cxn modelId="{684B090B-3812-4808-9A56-8EB0D85976C8}" type="presParOf" srcId="{61FEC9F9-F242-434B-A058-9656C783250F}" destId="{EE155B62-8487-46B7-9B98-AFCD3E929B89}" srcOrd="3" destOrd="0" presId="urn:microsoft.com/office/officeart/2005/8/layout/chevron1"/>
    <dgm:cxn modelId="{97F31307-3793-4F62-ABDE-84A79A05E794}" type="presParOf" srcId="{61FEC9F9-F242-434B-A058-9656C783250F}" destId="{1FE10C11-995B-4ED2-B85F-CEF51B6FDEEE}" srcOrd="4" destOrd="0" presId="urn:microsoft.com/office/officeart/2005/8/layout/chevron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344D8E0-AEFF-4CAD-88FC-56DB4D1ECBD9}">
      <dsp:nvSpPr>
        <dsp:cNvPr id="0" name=""/>
        <dsp:cNvSpPr/>
      </dsp:nvSpPr>
      <dsp:spPr>
        <a:xfrm>
          <a:off x="1758" y="257426"/>
          <a:ext cx="2141869" cy="856747"/>
        </a:xfrm>
        <a:prstGeom prst="chevron">
          <a:avLst/>
        </a:prstGeom>
        <a:solidFill>
          <a:schemeClr val="accent1">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008" tIns="20003" rIns="20003" bIns="20003" numCol="1" spcCol="1270" anchor="ctr" anchorCtr="0">
          <a:noAutofit/>
        </a:bodyPr>
        <a:lstStyle/>
        <a:p>
          <a:pPr marL="0" lvl="0" indent="0" algn="ctr" defTabSz="666750">
            <a:lnSpc>
              <a:spcPct val="90000"/>
            </a:lnSpc>
            <a:spcBef>
              <a:spcPct val="0"/>
            </a:spcBef>
            <a:spcAft>
              <a:spcPct val="35000"/>
            </a:spcAft>
            <a:buNone/>
          </a:pPr>
          <a:r>
            <a:rPr lang="fr-FR" sz="1500" kern="1200"/>
            <a:t>Négociation de la parité d'échange</a:t>
          </a:r>
        </a:p>
      </dsp:txBody>
      <dsp:txXfrm>
        <a:off x="430132" y="257426"/>
        <a:ext cx="1285122" cy="856747"/>
      </dsp:txXfrm>
    </dsp:sp>
    <dsp:sp modelId="{D41EA6AA-0A7C-45ED-BA88-3D7C6F495701}">
      <dsp:nvSpPr>
        <dsp:cNvPr id="0" name=""/>
        <dsp:cNvSpPr/>
      </dsp:nvSpPr>
      <dsp:spPr>
        <a:xfrm>
          <a:off x="1929440" y="257426"/>
          <a:ext cx="2141869" cy="856747"/>
        </a:xfrm>
        <a:prstGeom prst="chevron">
          <a:avLst/>
        </a:prstGeom>
        <a:solidFill>
          <a:schemeClr val="accent1">
            <a:shade val="80000"/>
            <a:hueOff val="135632"/>
            <a:satOff val="2588"/>
            <a:lumOff val="114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008" tIns="20003" rIns="20003" bIns="20003" numCol="1" spcCol="1270" anchor="ctr" anchorCtr="0">
          <a:noAutofit/>
        </a:bodyPr>
        <a:lstStyle/>
        <a:p>
          <a:pPr marL="0" lvl="0" indent="0" algn="ctr" defTabSz="666750">
            <a:lnSpc>
              <a:spcPct val="90000"/>
            </a:lnSpc>
            <a:spcBef>
              <a:spcPct val="0"/>
            </a:spcBef>
            <a:spcAft>
              <a:spcPct val="35000"/>
            </a:spcAft>
            <a:buNone/>
          </a:pPr>
          <a:r>
            <a:rPr lang="fr-FR" sz="1500" kern="1200"/>
            <a:t>Mise en oeuvre juridique </a:t>
          </a:r>
        </a:p>
      </dsp:txBody>
      <dsp:txXfrm>
        <a:off x="2357814" y="257426"/>
        <a:ext cx="1285122" cy="856747"/>
      </dsp:txXfrm>
    </dsp:sp>
    <dsp:sp modelId="{1FE10C11-995B-4ED2-B85F-CEF51B6FDEEE}">
      <dsp:nvSpPr>
        <dsp:cNvPr id="0" name=""/>
        <dsp:cNvSpPr/>
      </dsp:nvSpPr>
      <dsp:spPr>
        <a:xfrm>
          <a:off x="3857122" y="257426"/>
          <a:ext cx="2141869" cy="856747"/>
        </a:xfrm>
        <a:prstGeom prst="chevron">
          <a:avLst/>
        </a:prstGeom>
        <a:solidFill>
          <a:schemeClr val="accent1">
            <a:shade val="80000"/>
            <a:hueOff val="271263"/>
            <a:satOff val="5175"/>
            <a:lumOff val="2285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008" tIns="20003" rIns="20003" bIns="20003" numCol="1" spcCol="1270" anchor="ctr" anchorCtr="0">
          <a:noAutofit/>
        </a:bodyPr>
        <a:lstStyle/>
        <a:p>
          <a:pPr marL="0" lvl="0" indent="0" algn="ctr" defTabSz="666750">
            <a:lnSpc>
              <a:spcPct val="90000"/>
            </a:lnSpc>
            <a:spcBef>
              <a:spcPct val="0"/>
            </a:spcBef>
            <a:spcAft>
              <a:spcPct val="35000"/>
            </a:spcAft>
            <a:buNone/>
          </a:pPr>
          <a:r>
            <a:rPr lang="fr-FR" sz="1500" kern="1200"/>
            <a:t>Mise en oeuvre opérationnelle</a:t>
          </a:r>
        </a:p>
      </dsp:txBody>
      <dsp:txXfrm>
        <a:off x="4285496" y="257426"/>
        <a:ext cx="1285122" cy="856747"/>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CDEBE5C4808DA43A9869E2FB4CBAEE6" ma:contentTypeVersion="7" ma:contentTypeDescription="Crée un document." ma:contentTypeScope="" ma:versionID="ec721a2edeaa82f3477cdde480af55d6">
  <xsd:schema xmlns:xsd="http://www.w3.org/2001/XMLSchema" xmlns:xs="http://www.w3.org/2001/XMLSchema" xmlns:p="http://schemas.microsoft.com/office/2006/metadata/properties" xmlns:ns2="db156d11-c3e3-4b36-ab5f-95cf67435334" targetNamespace="http://schemas.microsoft.com/office/2006/metadata/properties" ma:root="true" ma:fieldsID="fd7344f9c87efa8fad3e8380aa9239b8" ns2:_="">
    <xsd:import namespace="db156d11-c3e3-4b36-ab5f-95cf674353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156d11-c3e3-4b36-ab5f-95cf67435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E7507A-5A18-4FC3-B8FF-4D5A22DF8E2A}">
  <ds:schemaRefs>
    <ds:schemaRef ds:uri="http://schemas.openxmlformats.org/officeDocument/2006/bibliography"/>
  </ds:schemaRefs>
</ds:datastoreItem>
</file>

<file path=customXml/itemProps2.xml><?xml version="1.0" encoding="utf-8"?>
<ds:datastoreItem xmlns:ds="http://schemas.openxmlformats.org/officeDocument/2006/customXml" ds:itemID="{28781F4A-332F-4E4C-98C1-3FA0F2E28CDF}">
  <ds:schemaRefs>
    <ds:schemaRef ds:uri="http://schemas.microsoft.com/sharepoint/v3/contenttype/forms"/>
  </ds:schemaRefs>
</ds:datastoreItem>
</file>

<file path=customXml/itemProps3.xml><?xml version="1.0" encoding="utf-8"?>
<ds:datastoreItem xmlns:ds="http://schemas.openxmlformats.org/officeDocument/2006/customXml" ds:itemID="{22F3CF20-80CA-4991-99A3-046072FC306A}"/>
</file>

<file path=customXml/itemProps4.xml><?xml version="1.0" encoding="utf-8"?>
<ds:datastoreItem xmlns:ds="http://schemas.openxmlformats.org/officeDocument/2006/customXml" ds:itemID="{A87BDD19-6F6C-4334-AF8F-10064FFF688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20846</TotalTime>
  <Pages>14</Pages>
  <Words>4498</Words>
  <Characters>24744</Characters>
  <Application>Microsoft Office Word</Application>
  <DocSecurity>0</DocSecurity>
  <Lines>206</Lines>
  <Paragraphs>58</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29184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HAMANN Xavier</dc:creator>
  <cp:keywords/>
  <dc:description/>
  <cp:lastModifiedBy>HAMANN Xavier</cp:lastModifiedBy>
  <cp:revision>36</cp:revision>
  <dcterms:created xsi:type="dcterms:W3CDTF">2019-11-29T15:22:00Z</dcterms:created>
  <dcterms:modified xsi:type="dcterms:W3CDTF">2025-09-24T14:58:00Z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0x0101009CDEBE5C4808DA43A9869E2FB4CBAEE6</vt:lpwstr>
  </property>
</Properties>
</file>