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A6F15" w:rsidP="6FB22721" w:rsidRDefault="00CA6F15" w14:paraId="4C0649EA" w14:textId="77777777">
      <w:pPr>
        <w:pBdr>
          <w:top w:val="double" w:color="FF000000" w:sz="4" w:space="1"/>
          <w:left w:val="double" w:color="FF000000" w:sz="4" w:space="4"/>
          <w:bottom w:val="double" w:color="FF000000" w:sz="4" w:space="1"/>
          <w:right w:val="double" w:color="FF000000" w:sz="4" w:space="4"/>
        </w:pBdr>
        <w:jc w:val="center"/>
      </w:pPr>
    </w:p>
    <w:p w:rsidR="00CA6F15" w:rsidP="6FB22721" w:rsidRDefault="00880E32" w14:paraId="18DE18F9" w14:textId="3A1F48AD">
      <w:pPr>
        <w:pBdr>
          <w:top w:val="double" w:color="FF000000" w:sz="4" w:space="1"/>
          <w:left w:val="double" w:color="FF000000" w:sz="4" w:space="4"/>
          <w:bottom w:val="double" w:color="FF000000" w:sz="4" w:space="1"/>
          <w:right w:val="double" w:color="FF000000" w:sz="4" w:space="4"/>
        </w:pBdr>
        <w:jc w:val="center"/>
        <w:rPr>
          <w:b w:val="1"/>
          <w:bCs w:val="1"/>
          <w:sz w:val="40"/>
          <w:szCs w:val="40"/>
        </w:rPr>
      </w:pPr>
      <w:r w:rsidRPr="6FB22721" w:rsidR="2055748A">
        <w:rPr>
          <w:b w:val="1"/>
          <w:bCs w:val="1"/>
          <w:sz w:val="40"/>
          <w:szCs w:val="40"/>
        </w:rPr>
        <w:t>L</w:t>
      </w:r>
      <w:r w:rsidRPr="6FB22721" w:rsidR="7E99CF25">
        <w:rPr>
          <w:b w:val="1"/>
          <w:bCs w:val="1"/>
          <w:sz w:val="40"/>
          <w:szCs w:val="40"/>
        </w:rPr>
        <w:t>es opérations sur les dettes et les créances</w:t>
      </w:r>
    </w:p>
    <w:p w:rsidRPr="00CA6F15" w:rsidR="00CA6F15" w:rsidP="6FB22721" w:rsidRDefault="00CA6F15" w14:paraId="03B54F79" w14:textId="77777777">
      <w:pPr>
        <w:pBdr>
          <w:top w:val="double" w:color="FF000000" w:sz="4" w:space="1"/>
          <w:left w:val="double" w:color="FF000000" w:sz="4" w:space="4"/>
          <w:bottom w:val="double" w:color="FF000000" w:sz="4" w:space="1"/>
          <w:right w:val="double" w:color="FF000000" w:sz="4" w:space="4"/>
        </w:pBdr>
        <w:jc w:val="center"/>
        <w:rPr>
          <w:b w:val="1"/>
          <w:bCs w:val="1"/>
          <w:sz w:val="40"/>
          <w:szCs w:val="40"/>
        </w:rPr>
      </w:pPr>
    </w:p>
    <w:p w:rsidR="00CA6F15" w:rsidRDefault="00CA6F15" w14:paraId="21D6B65D" w14:textId="414ED475"/>
    <w:p w:rsidR="00AD0600" w:rsidP="6FB22721" w:rsidRDefault="00332BE5" w14:paraId="537AB262" w14:textId="6D7DC4CC">
      <w:pPr>
        <w:spacing w:after="0"/>
        <w:ind w:firstLine="708"/>
        <w:jc w:val="both"/>
        <w:rPr>
          <w:rFonts w:ascii="Calibri Light" w:hAnsi="Calibri Light" w:cs="Calibri Light" w:asciiTheme="majorAscii" w:hAnsiTheme="majorAscii" w:cstheme="majorAscii"/>
        </w:rPr>
      </w:pPr>
      <w:r w:rsidRPr="6FB22721" w:rsidR="68D3D7CC">
        <w:rPr>
          <w:rFonts w:ascii="Calibri Light" w:hAnsi="Calibri Light" w:cs="Calibri Light" w:asciiTheme="majorAscii" w:hAnsiTheme="majorAscii" w:cstheme="majorAscii"/>
        </w:rPr>
        <w:t xml:space="preserve">Afin d’obtenir une meilleure performance financière, les entreprises ont recours à des opérations améliorant la présentation de leur bilan. Et donc, des ratios calculés sur ceux-ci. </w:t>
      </w:r>
    </w:p>
    <w:p w:rsidR="00332BE5" w:rsidP="6FB22721" w:rsidRDefault="00332BE5" w14:paraId="0CF3A6D8" w14:textId="663F7BCF">
      <w:pPr>
        <w:spacing w:after="0"/>
        <w:ind w:firstLine="708"/>
        <w:jc w:val="both"/>
        <w:rPr>
          <w:rFonts w:ascii="Calibri Light" w:hAnsi="Calibri Light" w:cs="Calibri Light" w:asciiTheme="majorAscii" w:hAnsiTheme="majorAscii" w:cstheme="majorAscii"/>
        </w:rPr>
      </w:pPr>
      <w:r w:rsidRPr="6FB22721" w:rsidR="68D3D7CC">
        <w:rPr>
          <w:rFonts w:ascii="Calibri Light" w:hAnsi="Calibri Light" w:cs="Calibri Light" w:asciiTheme="majorAscii" w:hAnsiTheme="majorAscii" w:cstheme="majorAscii"/>
        </w:rPr>
        <w:t>C’est avec cette volonté qu’ont été créée</w:t>
      </w:r>
      <w:r w:rsidRPr="6FB22721" w:rsidR="52929905">
        <w:rPr>
          <w:rFonts w:ascii="Calibri Light" w:hAnsi="Calibri Light" w:cs="Calibri Light" w:asciiTheme="majorAscii" w:hAnsiTheme="majorAscii" w:cstheme="majorAscii"/>
        </w:rPr>
        <w:t>s</w:t>
      </w:r>
      <w:r w:rsidRPr="6FB22721" w:rsidR="68D3D7CC">
        <w:rPr>
          <w:rFonts w:ascii="Calibri Light" w:hAnsi="Calibri Light" w:cs="Calibri Light" w:asciiTheme="majorAscii" w:hAnsiTheme="majorAscii" w:cstheme="majorAscii"/>
        </w:rPr>
        <w:t xml:space="preserve"> les opérations portant sur les dettes et les créances. </w:t>
      </w:r>
      <w:r w:rsidRPr="6FB22721" w:rsidR="68D3D7CC">
        <w:rPr>
          <w:rFonts w:ascii="Calibri Light" w:hAnsi="Calibri Light" w:cs="Calibri Light" w:asciiTheme="majorAscii" w:hAnsiTheme="majorAscii" w:cstheme="majorAscii"/>
        </w:rPr>
        <w:t>L’objectif est de « nettoyer » le bilan des dettes</w:t>
      </w:r>
      <w:r w:rsidRPr="6FB22721" w:rsidR="52929905">
        <w:rPr>
          <w:rFonts w:ascii="Calibri Light" w:hAnsi="Calibri Light" w:cs="Calibri Light" w:asciiTheme="majorAscii" w:hAnsiTheme="majorAscii" w:cstheme="majorAscii"/>
        </w:rPr>
        <w:t>, des créances</w:t>
      </w:r>
      <w:r w:rsidRPr="6FB22721" w:rsidR="68D3D7CC">
        <w:rPr>
          <w:rFonts w:ascii="Calibri Light" w:hAnsi="Calibri Light" w:cs="Calibri Light" w:asciiTheme="majorAscii" w:hAnsiTheme="majorAscii" w:cstheme="majorAscii"/>
        </w:rPr>
        <w:t xml:space="preserve"> et </w:t>
      </w:r>
      <w:r w:rsidRPr="6FB22721" w:rsidR="52929905">
        <w:rPr>
          <w:rFonts w:ascii="Calibri Light" w:hAnsi="Calibri Light" w:cs="Calibri Light" w:asciiTheme="majorAscii" w:hAnsiTheme="majorAscii" w:cstheme="majorAscii"/>
        </w:rPr>
        <w:t xml:space="preserve">des </w:t>
      </w:r>
      <w:r w:rsidRPr="6FB22721" w:rsidR="07E6D858">
        <w:rPr>
          <w:rFonts w:ascii="Calibri Light" w:hAnsi="Calibri Light" w:cs="Calibri Light" w:asciiTheme="majorAscii" w:hAnsiTheme="majorAscii" w:cstheme="majorAscii"/>
        </w:rPr>
        <w:t>_</w:t>
      </w:r>
      <w:r w:rsidRPr="6FB22721" w:rsidR="2CF9CF69">
        <w:rPr>
          <w:rFonts w:ascii="Calibri Light" w:hAnsi="Calibri Light" w:cs="Calibri Light" w:asciiTheme="majorAscii" w:hAnsiTheme="majorAscii" w:cstheme="majorAscii"/>
        </w:rPr>
        <w:t>risques</w:t>
      </w:r>
      <w:r w:rsidRPr="6FB22721" w:rsidR="07E6D858">
        <w:rPr>
          <w:rFonts w:ascii="Calibri Light" w:hAnsi="Calibri Light" w:cs="Calibri Light" w:asciiTheme="majorAscii" w:hAnsiTheme="majorAscii" w:cstheme="majorAscii"/>
        </w:rPr>
        <w:t>_____</w:t>
      </w:r>
      <w:r w:rsidRPr="6FB22721" w:rsidR="68D3D7CC">
        <w:rPr>
          <w:rFonts w:ascii="Calibri Light" w:hAnsi="Calibri Light" w:cs="Calibri Light" w:asciiTheme="majorAscii" w:hAnsiTheme="majorAscii" w:cstheme="majorAscii"/>
        </w:rPr>
        <w:t>s’y rattachant.</w:t>
      </w:r>
      <w:r w:rsidRPr="6FB22721" w:rsidR="68D3D7CC">
        <w:rPr>
          <w:rFonts w:ascii="Calibri Light" w:hAnsi="Calibri Light" w:cs="Calibri Light" w:asciiTheme="majorAscii" w:hAnsiTheme="majorAscii" w:cstheme="majorAscii"/>
        </w:rPr>
        <w:t xml:space="preserve"> </w:t>
      </w:r>
    </w:p>
    <w:p w:rsidR="00761053" w:rsidP="6FB22721" w:rsidRDefault="00761053" w14:paraId="544783BB" w14:textId="569591BF">
      <w:pPr>
        <w:spacing w:after="0"/>
        <w:ind w:firstLine="708"/>
        <w:jc w:val="both"/>
        <w:rPr>
          <w:rFonts w:ascii="Calibri Light" w:hAnsi="Calibri Light" w:cs="Calibri Light" w:asciiTheme="majorAscii" w:hAnsiTheme="majorAscii" w:cstheme="majorAscii"/>
        </w:rPr>
      </w:pPr>
    </w:p>
    <w:p w:rsidR="00761053" w:rsidP="153829E6" w:rsidRDefault="00761053" w14:paraId="43052D0B" w14:textId="2AF304AD">
      <w:pPr>
        <w:spacing w:after="0"/>
        <w:ind w:firstLine="708"/>
        <w:jc w:val="both"/>
        <w:rPr>
          <w:rFonts w:ascii="Calibri Light" w:hAnsi="Calibri Light" w:cs="Calibri Light" w:asciiTheme="majorAscii" w:hAnsiTheme="majorAscii" w:cstheme="majorAscii"/>
        </w:rPr>
      </w:pPr>
      <w:r w:rsidRPr="6FB22721" w:rsidR="52929905">
        <w:rPr>
          <w:rFonts w:ascii="Calibri Light" w:hAnsi="Calibri Light" w:cs="Calibri Light" w:asciiTheme="majorAscii" w:hAnsiTheme="majorAscii" w:cstheme="majorAscii"/>
        </w:rPr>
        <w:t xml:space="preserve">Un des montages phares de ces dernières décennies est la </w:t>
      </w:r>
      <w:r w:rsidRPr="6FB22721" w:rsidR="6F732D2F">
        <w:rPr>
          <w:rFonts w:ascii="Calibri Light" w:hAnsi="Calibri Light" w:cs="Calibri Light" w:asciiTheme="majorAscii" w:hAnsiTheme="majorAscii" w:cstheme="majorAscii"/>
        </w:rPr>
        <w:t>titrisation</w:t>
      </w:r>
      <w:r w:rsidRPr="6FB22721" w:rsidR="52929905">
        <w:rPr>
          <w:rFonts w:ascii="Calibri Light" w:hAnsi="Calibri Light" w:cs="Calibri Light" w:asciiTheme="majorAscii" w:hAnsiTheme="majorAscii" w:cstheme="majorAscii"/>
        </w:rPr>
        <w:t xml:space="preserve"> des éléments d’actifs du bilan. </w:t>
      </w:r>
      <w:r w:rsidRPr="6FB22721" w:rsidR="52929905">
        <w:rPr>
          <w:rFonts w:ascii="Calibri Light" w:hAnsi="Calibri Light" w:cs="Calibri Light" w:asciiTheme="majorAscii" w:hAnsiTheme="majorAscii" w:cstheme="majorAscii"/>
        </w:rPr>
        <w:t>C’est ce phénomène</w:t>
      </w:r>
      <w:r w:rsidRPr="6FB22721" w:rsidR="018AC76F">
        <w:rPr>
          <w:rFonts w:ascii="Calibri Light" w:hAnsi="Calibri Light" w:cs="Calibri Light" w:asciiTheme="majorAscii" w:hAnsiTheme="majorAscii" w:cstheme="majorAscii"/>
        </w:rPr>
        <w:t>,</w:t>
      </w:r>
      <w:r w:rsidRPr="6FB22721" w:rsidR="52929905">
        <w:rPr>
          <w:rFonts w:ascii="Calibri Light" w:hAnsi="Calibri Light" w:cs="Calibri Light" w:asciiTheme="majorAscii" w:hAnsiTheme="majorAscii" w:cstheme="majorAscii"/>
        </w:rPr>
        <w:t xml:space="preserve"> et l’ampleur qu’il a </w:t>
      </w:r>
      <w:r w:rsidRPr="6FB22721" w:rsidR="52929905">
        <w:rPr>
          <w:rFonts w:ascii="Calibri Light" w:hAnsi="Calibri Light" w:cs="Calibri Light" w:asciiTheme="majorAscii" w:hAnsiTheme="majorAscii" w:cstheme="majorAscii"/>
        </w:rPr>
        <w:t>pris</w:t>
      </w:r>
      <w:r w:rsidRPr="6FB22721" w:rsidR="018AC76F">
        <w:rPr>
          <w:rFonts w:ascii="Calibri Light" w:hAnsi="Calibri Light" w:cs="Calibri Light" w:asciiTheme="majorAscii" w:hAnsiTheme="majorAscii" w:cstheme="majorAscii"/>
        </w:rPr>
        <w:t>,</w:t>
      </w:r>
      <w:r w:rsidRPr="6FB22721" w:rsidR="52929905">
        <w:rPr>
          <w:rFonts w:ascii="Calibri Light" w:hAnsi="Calibri Light" w:cs="Calibri Light" w:asciiTheme="majorAscii" w:hAnsiTheme="majorAscii" w:cstheme="majorAscii"/>
        </w:rPr>
        <w:t xml:space="preserve"> qui a conduit à la </w:t>
      </w:r>
      <w:r w:rsidRPr="6FB22721" w:rsidR="2230726E">
        <w:rPr>
          <w:rFonts w:ascii="Calibri Light" w:hAnsi="Calibri Light" w:cs="Calibri Light" w:asciiTheme="majorAscii" w:hAnsiTheme="majorAscii" w:cstheme="majorAscii"/>
        </w:rPr>
        <w:t>crise financière de 2008</w:t>
      </w:r>
      <w:r w:rsidRPr="6FB22721" w:rsidR="52929905">
        <w:rPr>
          <w:rFonts w:ascii="Calibri Light" w:hAnsi="Calibri Light" w:cs="Calibri Light" w:asciiTheme="majorAscii" w:hAnsiTheme="majorAscii" w:cstheme="majorAscii"/>
        </w:rPr>
        <w:t>.</w:t>
      </w:r>
      <w:r w:rsidRPr="6FB22721" w:rsidR="52929905">
        <w:rPr>
          <w:rFonts w:ascii="Calibri Light" w:hAnsi="Calibri Light" w:cs="Calibri Light" w:asciiTheme="majorAscii" w:hAnsiTheme="majorAscii" w:cstheme="majorAscii"/>
        </w:rPr>
        <w:t xml:space="preserve"> </w:t>
      </w:r>
      <w:r w:rsidRPr="6FB22721" w:rsidR="018AC76F">
        <w:rPr>
          <w:rFonts w:ascii="Calibri Light" w:hAnsi="Calibri Light" w:cs="Calibri Light" w:asciiTheme="majorAscii" w:hAnsiTheme="majorAscii" w:cstheme="majorAscii"/>
        </w:rPr>
        <w:t>Cependant, c</w:t>
      </w:r>
      <w:r w:rsidRPr="6FB22721" w:rsidR="52929905">
        <w:rPr>
          <w:rFonts w:ascii="Calibri Light" w:hAnsi="Calibri Light" w:cs="Calibri Light" w:asciiTheme="majorAscii" w:hAnsiTheme="majorAscii" w:cstheme="majorAscii"/>
        </w:rPr>
        <w:t>e n’est pas la seule opération permettant de ressortir des éléments du bilan</w:t>
      </w:r>
      <w:r w:rsidRPr="6FB22721" w:rsidR="018AC76F">
        <w:rPr>
          <w:rFonts w:ascii="Calibri Light" w:hAnsi="Calibri Light" w:cs="Calibri Light" w:asciiTheme="majorAscii" w:hAnsiTheme="majorAscii" w:cstheme="majorAscii"/>
        </w:rPr>
        <w:t xml:space="preserve"> afin d’améliorer la présentation de ce dernier. </w:t>
      </w:r>
      <w:r w:rsidRPr="6FB22721" w:rsidR="018AC76F">
        <w:rPr>
          <w:rFonts w:ascii="Calibri Light" w:hAnsi="Calibri Light" w:cs="Calibri Light" w:asciiTheme="majorAscii" w:hAnsiTheme="majorAscii" w:cstheme="majorAscii"/>
        </w:rPr>
        <w:t xml:space="preserve">En passant par l’endettement obligataire notamment, les sociétés peuvent faire ressortir des éléments de leur bilan. </w:t>
      </w:r>
      <w:r w:rsidRPr="6FB22721" w:rsidR="2BDB2073">
        <w:rPr>
          <w:rFonts w:ascii="Calibri Light" w:hAnsi="Calibri Light" w:cs="Calibri Light" w:asciiTheme="majorAscii" w:hAnsiTheme="majorAscii" w:cstheme="majorAscii"/>
        </w:rPr>
        <w:t xml:space="preserve">C’est ce que l’on appelle la </w:t>
      </w:r>
      <w:r w:rsidRPr="6FB22721" w:rsidR="16070DEB">
        <w:rPr>
          <w:rFonts w:ascii="Calibri Light" w:hAnsi="Calibri Light" w:cs="Calibri Light" w:asciiTheme="majorAscii" w:hAnsiTheme="majorAscii" w:cstheme="majorAscii"/>
        </w:rPr>
        <w:t>défaisance</w:t>
      </w:r>
      <w:r w:rsidRPr="6FB22721" w:rsidR="2BDB2073">
        <w:rPr>
          <w:rFonts w:ascii="Calibri Light" w:hAnsi="Calibri Light" w:cs="Calibri Light" w:asciiTheme="majorAscii" w:hAnsiTheme="majorAscii" w:cstheme="majorAscii"/>
        </w:rPr>
        <w:t>(le terme anglais « </w:t>
      </w:r>
      <w:r w:rsidRPr="6FB22721" w:rsidR="16070DEB">
        <w:rPr>
          <w:rFonts w:ascii="Calibri Light" w:hAnsi="Calibri Light" w:cs="Calibri Light" w:asciiTheme="majorAscii" w:hAnsiTheme="majorAscii" w:cstheme="majorAscii"/>
        </w:rPr>
        <w:t xml:space="preserve"> </w:t>
      </w:r>
      <w:r w:rsidRPr="6FB22721" w:rsidR="16070DEB">
        <w:rPr>
          <w:rFonts w:ascii="Calibri Light" w:hAnsi="Calibri Light" w:cs="Calibri Light" w:asciiTheme="majorAscii" w:hAnsiTheme="majorAscii" w:cstheme="majorAscii"/>
        </w:rPr>
        <w:t>defeasance</w:t>
      </w:r>
      <w:r w:rsidRPr="6FB22721" w:rsidR="2BDB2073">
        <w:rPr>
          <w:rFonts w:ascii="Calibri Light" w:hAnsi="Calibri Light" w:cs="Calibri Light" w:asciiTheme="majorAscii" w:hAnsiTheme="majorAscii" w:cstheme="majorAscii"/>
        </w:rPr>
        <w:t> » est plus communément employé).</w:t>
      </w:r>
    </w:p>
    <w:p w:rsidR="003A69E4" w:rsidP="6FB22721" w:rsidRDefault="003A69E4" w14:paraId="7CD914C3" w14:textId="2EFE6F42">
      <w:pPr>
        <w:spacing w:after="0"/>
        <w:ind w:firstLine="708"/>
        <w:jc w:val="both"/>
        <w:rPr>
          <w:rFonts w:ascii="Calibri Light" w:hAnsi="Calibri Light" w:cs="Calibri Light" w:asciiTheme="majorAscii" w:hAnsiTheme="majorAscii" w:cstheme="majorAscii"/>
        </w:rPr>
      </w:pPr>
    </w:p>
    <w:p w:rsidRPr="00027159" w:rsidR="000D48E4" w:rsidP="6FB22721" w:rsidRDefault="003A69E4" w14:paraId="2E247E2C" w14:textId="4A728D65">
      <w:pPr>
        <w:pStyle w:val="Normal"/>
        <w:suppressLineNumbers w:val="0"/>
        <w:pBdr>
          <w:top w:val="double" w:color="000000" w:sz="4" w:space="1"/>
          <w:left w:val="double" w:color="000000" w:sz="4" w:space="4"/>
          <w:bottom w:val="double" w:color="000000" w:sz="4" w:space="1"/>
          <w:right w:val="double" w:color="000000" w:sz="4" w:space="4"/>
        </w:pBdr>
        <w:bidi w:val="0"/>
        <w:spacing w:before="0" w:beforeAutospacing="off" w:after="160" w:afterAutospacing="off" w:line="259" w:lineRule="auto"/>
        <w:ind w:left="0" w:right="0"/>
        <w:jc w:val="center"/>
        <w:rPr>
          <w:rFonts w:ascii="Calibri Light" w:hAnsi="Calibri Light" w:cs="Calibri Light" w:asciiTheme="majorAscii" w:hAnsiTheme="majorAscii" w:cstheme="majorAscii"/>
        </w:rPr>
      </w:pPr>
      <w:r w:rsidRPr="6FB22721" w:rsidR="2BDB2073">
        <w:rPr>
          <w:rFonts w:ascii="Calibri Light" w:hAnsi="Calibri Light" w:cs="Calibri Light" w:asciiTheme="majorAscii" w:hAnsiTheme="majorAscii" w:cstheme="majorAscii"/>
        </w:rPr>
        <w:t xml:space="preserve">Suite à la crise de 2008 et aux dérives </w:t>
      </w:r>
      <w:r w:rsidRPr="6FB22721" w:rsidR="6791B2DA">
        <w:rPr>
          <w:rFonts w:ascii="Calibri Light" w:hAnsi="Calibri Light" w:cs="Calibri Light" w:asciiTheme="majorAscii" w:hAnsiTheme="majorAscii" w:cstheme="majorAscii"/>
        </w:rPr>
        <w:t xml:space="preserve">qui l’ont amenée les gouvernements ont pris des dispositions afin d’encadrer ces opérations. Dès lors, nous étudierons uniquement les dispositions postérieures à cette période. </w:t>
      </w:r>
    </w:p>
    <w:p w:rsidRPr="00027159" w:rsidR="000D48E4" w:rsidP="6FB22721" w:rsidRDefault="000D48E4" w14:paraId="1B858B39" w14:textId="6D3ACF03">
      <w:pPr>
        <w:spacing w:after="0"/>
        <w:ind w:firstLine="708"/>
        <w:jc w:val="both"/>
        <w:rPr>
          <w:rFonts w:ascii="Calibri Light" w:hAnsi="Calibri Light" w:cs="Calibri Light" w:asciiTheme="majorAscii" w:hAnsiTheme="majorAscii" w:cstheme="majorAscii"/>
        </w:rPr>
      </w:pPr>
    </w:p>
    <w:p w:rsidRPr="00027159" w:rsidR="000D48E4" w:rsidP="6FB22721" w:rsidRDefault="000D48E4" w14:paraId="0424A6F8" w14:textId="407E8BD9">
      <w:pPr>
        <w:pStyle w:val="Paragraphedeliste"/>
        <w:numPr>
          <w:ilvl w:val="0"/>
          <w:numId w:val="6"/>
        </w:numPr>
        <w:spacing w:after="0"/>
        <w:jc w:val="both"/>
        <w:rPr>
          <w:rFonts w:ascii="Calibri Light" w:hAnsi="Calibri Light" w:cs="Calibri Light" w:asciiTheme="majorAscii" w:hAnsiTheme="majorAscii" w:cstheme="majorAscii"/>
          <w:b w:val="1"/>
          <w:bCs w:val="1"/>
          <w:u w:val="single"/>
        </w:rPr>
      </w:pPr>
      <w:r w:rsidRPr="6FB22721" w:rsidR="34D1A97D">
        <w:rPr>
          <w:rFonts w:ascii="Calibri Light" w:hAnsi="Calibri Light" w:cs="Calibri Light" w:asciiTheme="majorAscii" w:hAnsiTheme="majorAscii" w:cstheme="majorAscii"/>
          <w:b w:val="1"/>
          <w:bCs w:val="1"/>
          <w:u w:val="single"/>
        </w:rPr>
        <w:t>L</w:t>
      </w:r>
      <w:r w:rsidRPr="6FB22721" w:rsidR="6791B2DA">
        <w:rPr>
          <w:rFonts w:ascii="Calibri Light" w:hAnsi="Calibri Light" w:cs="Calibri Light" w:asciiTheme="majorAscii" w:hAnsiTheme="majorAscii" w:cstheme="majorAscii"/>
          <w:b w:val="1"/>
          <w:bCs w:val="1"/>
          <w:u w:val="single"/>
        </w:rPr>
        <w:t>a titrisation</w:t>
      </w:r>
    </w:p>
    <w:p w:rsidRPr="00BB6DE2" w:rsidR="00BB6DE2" w:rsidP="6FB22721" w:rsidRDefault="00BB6DE2" w14:paraId="41F077F9" w14:textId="3E18EAF2">
      <w:pPr>
        <w:pStyle w:val="Paragraphedeliste"/>
        <w:numPr>
          <w:ilvl w:val="1"/>
          <w:numId w:val="6"/>
        </w:numPr>
        <w:spacing w:after="0"/>
        <w:jc w:val="both"/>
        <w:rPr>
          <w:rFonts w:ascii="Calibri Light" w:hAnsi="Calibri Light" w:cs="Calibri Light" w:asciiTheme="majorAscii" w:hAnsiTheme="majorAscii" w:cstheme="majorAscii"/>
          <w:b w:val="1"/>
          <w:bCs w:val="1"/>
        </w:rPr>
      </w:pPr>
      <w:r w:rsidRPr="6FB22721" w:rsidR="0A19A358">
        <w:rPr>
          <w:rFonts w:ascii="Calibri Light" w:hAnsi="Calibri Light" w:cs="Calibri Light" w:asciiTheme="majorAscii" w:hAnsiTheme="majorAscii" w:cstheme="majorAscii"/>
          <w:b w:val="1"/>
          <w:bCs w:val="1"/>
        </w:rPr>
        <w:t>Qu’est-ce que la titrisation ?</w:t>
      </w:r>
    </w:p>
    <w:p w:rsidRPr="00BB6DE2" w:rsidR="00BB6DE2" w:rsidP="6FB22721" w:rsidRDefault="00BB6DE2" w14:paraId="0D98E86A" w14:textId="77777777">
      <w:pPr>
        <w:pStyle w:val="Paragraphedeliste"/>
        <w:spacing w:after="0"/>
        <w:ind w:left="1080"/>
        <w:jc w:val="both"/>
        <w:rPr>
          <w:rFonts w:ascii="Calibri Light" w:hAnsi="Calibri Light" w:cs="Calibri Light" w:asciiTheme="majorAscii" w:hAnsiTheme="majorAscii" w:cstheme="majorAscii"/>
          <w:b w:val="1"/>
          <w:bCs w:val="1"/>
        </w:rPr>
      </w:pPr>
    </w:p>
    <w:p w:rsidR="00687C3A" w:rsidP="6FB22721" w:rsidRDefault="00687C3A" w14:paraId="55D944BA" w14:textId="51B9EAA4">
      <w:pPr>
        <w:spacing w:after="0"/>
        <w:ind w:firstLine="708"/>
        <w:jc w:val="both"/>
        <w:rPr>
          <w:rFonts w:ascii="Calibri Light" w:hAnsi="Calibri Light" w:cs="Calibri Light" w:asciiTheme="majorAscii" w:hAnsiTheme="majorAscii" w:cstheme="majorAscii"/>
        </w:rPr>
      </w:pPr>
      <w:r w:rsidRPr="6FB22721" w:rsidR="6791B2DA">
        <w:rPr>
          <w:rFonts w:ascii="Calibri Light" w:hAnsi="Calibri Light" w:cs="Calibri Light" w:asciiTheme="majorAscii" w:hAnsiTheme="majorAscii" w:cstheme="majorAscii"/>
        </w:rPr>
        <w:t xml:space="preserve">La </w:t>
      </w:r>
      <w:r w:rsidRPr="6FB22721" w:rsidR="6791B2DA">
        <w:rPr>
          <w:rFonts w:ascii="Calibri Light" w:hAnsi="Calibri Light" w:cs="Calibri Light" w:asciiTheme="majorAscii" w:hAnsiTheme="majorAscii" w:cstheme="majorAscii"/>
        </w:rPr>
        <w:t>titrisation</w:t>
      </w:r>
      <w:r w:rsidRPr="6FB22721" w:rsidR="6791B2DA">
        <w:rPr>
          <w:rFonts w:ascii="Calibri Light" w:hAnsi="Calibri Light" w:cs="Calibri Light" w:asciiTheme="majorAscii" w:hAnsiTheme="majorAscii" w:cstheme="majorAscii"/>
        </w:rPr>
        <w:t xml:space="preserve"> </w:t>
      </w:r>
      <w:r w:rsidRPr="6FB22721" w:rsidR="6791B2DA">
        <w:rPr>
          <w:rFonts w:ascii="Calibri Light" w:hAnsi="Calibri Light" w:cs="Calibri Light" w:asciiTheme="majorAscii" w:hAnsiTheme="majorAscii" w:cstheme="majorAscii"/>
        </w:rPr>
        <w:t>est une technique financière qui transforme des actifs peu liquides, c’est-à-dire pour lesquels il n’y a pas véritablement de marché tels que les crédits, en valeurs mobilières facilement négociables comme des obligations.</w:t>
      </w:r>
    </w:p>
    <w:p w:rsidRPr="00687C3A" w:rsidR="00687C3A" w:rsidP="6FB22721" w:rsidRDefault="00687C3A" w14:paraId="646B6B38" w14:textId="77777777">
      <w:pPr>
        <w:spacing w:after="0"/>
        <w:ind w:firstLine="708"/>
        <w:jc w:val="both"/>
        <w:rPr>
          <w:rFonts w:ascii="Calibri Light" w:hAnsi="Calibri Light" w:cs="Calibri Light" w:asciiTheme="majorAscii" w:hAnsiTheme="majorAscii" w:cstheme="majorAscii"/>
        </w:rPr>
      </w:pPr>
    </w:p>
    <w:p w:rsidR="00687C3A" w:rsidP="153829E6" w:rsidRDefault="00687C3A" w14:paraId="0B2E720F" w14:textId="77E0C45B">
      <w:pPr>
        <w:spacing w:after="0"/>
        <w:ind w:firstLine="708"/>
        <w:jc w:val="both"/>
        <w:rPr>
          <w:rFonts w:ascii="Calibri Light" w:hAnsi="Calibri Light" w:cs="Calibri Light" w:asciiTheme="majorAscii" w:hAnsiTheme="majorAscii" w:cstheme="majorAscii"/>
        </w:rPr>
      </w:pPr>
      <w:r w:rsidRPr="6FB22721" w:rsidR="6791B2DA">
        <w:rPr>
          <w:rFonts w:ascii="Calibri Light" w:hAnsi="Calibri Light" w:cs="Calibri Light" w:asciiTheme="majorAscii" w:hAnsiTheme="majorAscii" w:cstheme="majorAscii"/>
        </w:rPr>
        <w:t>C</w:t>
      </w:r>
      <w:r w:rsidRPr="6FB22721" w:rsidR="6791B2DA">
        <w:rPr>
          <w:rFonts w:ascii="Calibri Light" w:hAnsi="Calibri Light" w:cs="Calibri Light" w:asciiTheme="majorAscii" w:hAnsiTheme="majorAscii" w:cstheme="majorAscii"/>
        </w:rPr>
        <w:t>h</w:t>
      </w:r>
      <w:r w:rsidRPr="6FB22721" w:rsidR="6791B2DA">
        <w:rPr>
          <w:rFonts w:ascii="Calibri Light" w:hAnsi="Calibri Light" w:cs="Calibri Light" w:asciiTheme="majorAscii" w:hAnsiTheme="majorAscii" w:cstheme="majorAscii"/>
        </w:rPr>
        <w:t>aque investisseur acquiert en quelque sorte une fraction du portefeuille d’actifs titrisés, sur la base des flux financiers futurs des actifs, qui garantissent le remboursement des obligations</w:t>
      </w:r>
      <w:r w:rsidRPr="6FB22721" w:rsidR="6791B2DA">
        <w:rPr>
          <w:rFonts w:ascii="Calibri Light" w:hAnsi="Calibri Light" w:cs="Calibri Light" w:asciiTheme="majorAscii" w:hAnsiTheme="majorAscii" w:cstheme="majorAscii"/>
        </w:rPr>
        <w:t>.</w:t>
      </w:r>
      <w:r w:rsidRPr="6FB22721" w:rsidR="6791B2DA">
        <w:rPr>
          <w:rFonts w:ascii="Calibri Light" w:hAnsi="Calibri Light" w:cs="Calibri Light" w:asciiTheme="majorAscii" w:hAnsiTheme="majorAscii" w:cstheme="majorAscii"/>
        </w:rPr>
        <w:t xml:space="preserve"> Les investisseurs sont donc sollicités pour acquérir des titres et ceux-ci sont constitués des actifs peu liquides. </w:t>
      </w:r>
    </w:p>
    <w:p w:rsidRPr="00687C3A" w:rsidR="00687C3A" w:rsidP="6FB22721" w:rsidRDefault="00687C3A" w14:paraId="17DEDD03" w14:textId="77777777">
      <w:pPr>
        <w:spacing w:after="0"/>
        <w:ind w:firstLine="708"/>
        <w:jc w:val="both"/>
        <w:rPr>
          <w:rFonts w:ascii="Calibri Light" w:hAnsi="Calibri Light" w:cs="Calibri Light" w:asciiTheme="majorAscii" w:hAnsiTheme="majorAscii" w:cstheme="majorAscii"/>
        </w:rPr>
      </w:pPr>
    </w:p>
    <w:p w:rsidR="00687C3A" w:rsidP="153829E6" w:rsidRDefault="00687C3A" w14:paraId="0FDA5ECD" w14:textId="48075592">
      <w:pPr>
        <w:spacing w:after="0"/>
        <w:ind w:firstLine="708"/>
        <w:jc w:val="both"/>
        <w:rPr>
          <w:rFonts w:ascii="Calibri Light" w:hAnsi="Calibri Light" w:cs="Calibri Light" w:asciiTheme="majorAscii" w:hAnsiTheme="majorAscii" w:cstheme="majorAscii"/>
        </w:rPr>
      </w:pPr>
      <w:r w:rsidRPr="6FB22721" w:rsidR="6791B2DA">
        <w:rPr>
          <w:rFonts w:ascii="Calibri Light" w:hAnsi="Calibri Light" w:cs="Calibri Light" w:asciiTheme="majorAscii" w:hAnsiTheme="majorAscii" w:cstheme="majorAscii"/>
        </w:rPr>
        <w:t xml:space="preserve">Née aux Etats-Unis dans les années 70, </w:t>
      </w:r>
      <w:r w:rsidRPr="6FB22721" w:rsidR="6791B2DA">
        <w:rPr>
          <w:rFonts w:ascii="Calibri Light" w:hAnsi="Calibri Light" w:cs="Calibri Light" w:asciiTheme="majorAscii" w:hAnsiTheme="majorAscii" w:cstheme="majorAscii"/>
          <w:b w:val="1"/>
          <w:bCs w:val="1"/>
        </w:rPr>
        <w:t xml:space="preserve">cette technique a d’abord été utilisée par </w:t>
      </w:r>
      <w:r w:rsidRPr="6FB22721" w:rsidR="07BE2BB9">
        <w:rPr>
          <w:rFonts w:ascii="Calibri Light" w:hAnsi="Calibri Light" w:cs="Calibri Light" w:asciiTheme="majorAscii" w:hAnsiTheme="majorAscii" w:cstheme="majorAscii"/>
          <w:b w:val="1"/>
          <w:bCs w:val="1"/>
        </w:rPr>
        <w:t xml:space="preserve">les banques </w:t>
      </w:r>
      <w:r w:rsidRPr="6FB22721" w:rsidR="6791B2DA">
        <w:rPr>
          <w:rFonts w:ascii="Calibri Light" w:hAnsi="Calibri Light" w:cs="Calibri Light" w:asciiTheme="majorAscii" w:hAnsiTheme="majorAscii" w:cstheme="majorAscii"/>
          <w:b w:val="1"/>
          <w:bCs w:val="1"/>
        </w:rPr>
        <w:t>pour consentir davantage de crédits</w:t>
      </w:r>
      <w:r w:rsidRPr="6FB22721" w:rsidR="6791B2DA">
        <w:rPr>
          <w:rFonts w:ascii="Calibri Light" w:hAnsi="Calibri Light" w:cs="Calibri Light" w:asciiTheme="majorAscii" w:hAnsiTheme="majorAscii" w:cstheme="majorAscii"/>
        </w:rPr>
        <w:t>.</w:t>
      </w:r>
      <w:r w:rsidRPr="6FB22721" w:rsidR="6791B2DA">
        <w:rPr>
          <w:rFonts w:ascii="Calibri Light" w:hAnsi="Calibri Light" w:cs="Calibri Light" w:asciiTheme="majorAscii" w:hAnsiTheme="majorAscii" w:cstheme="majorAscii"/>
        </w:rPr>
        <w:t xml:space="preserve"> Plus tard, et notamment durant le début des années 2000, elle a permis aux </w:t>
      </w:r>
      <w:r w:rsidRPr="6FB22721" w:rsidR="54B06D5F">
        <w:rPr>
          <w:rFonts w:ascii="Calibri Light" w:hAnsi="Calibri Light" w:cs="Calibri Light" w:asciiTheme="majorAscii" w:hAnsiTheme="majorAscii" w:cstheme="majorAscii"/>
        </w:rPr>
        <w:t>banques</w:t>
      </w:r>
      <w:r w:rsidRPr="6FB22721" w:rsidR="6791B2DA">
        <w:rPr>
          <w:rFonts w:ascii="Calibri Light" w:hAnsi="Calibri Light" w:cs="Calibri Light" w:asciiTheme="majorAscii" w:hAnsiTheme="majorAscii" w:cstheme="majorAscii"/>
        </w:rPr>
        <w:t xml:space="preserve"> de </w:t>
      </w:r>
      <w:r w:rsidRPr="6FB22721" w:rsidR="6791B2DA">
        <w:rPr>
          <w:rFonts w:ascii="Calibri Light" w:hAnsi="Calibri Light" w:cs="Calibri Light" w:asciiTheme="majorAscii" w:hAnsiTheme="majorAscii" w:cstheme="majorAscii"/>
        </w:rPr>
        <w:t xml:space="preserve">se débarrasser partiellement des </w:t>
      </w:r>
      <w:r w:rsidRPr="6FB22721" w:rsidR="11AB3521">
        <w:rPr>
          <w:rFonts w:ascii="Calibri Light" w:hAnsi="Calibri Light" w:cs="Calibri Light" w:asciiTheme="majorAscii" w:hAnsiTheme="majorAscii" w:cstheme="majorAscii"/>
        </w:rPr>
        <w:t xml:space="preserve">mauvais </w:t>
      </w:r>
      <w:r w:rsidRPr="6FB22721" w:rsidR="11AB3521">
        <w:rPr>
          <w:rFonts w:ascii="Calibri Light" w:hAnsi="Calibri Light" w:cs="Calibri Light" w:asciiTheme="majorAscii" w:hAnsiTheme="majorAscii" w:cstheme="majorAscii"/>
        </w:rPr>
        <w:t>risques</w:t>
      </w:r>
      <w:r w:rsidRPr="6FB22721" w:rsidR="6791B2DA">
        <w:rPr>
          <w:rFonts w:ascii="Calibri Light" w:hAnsi="Calibri Light" w:cs="Calibri Light" w:asciiTheme="majorAscii" w:hAnsiTheme="majorAscii" w:cstheme="majorAscii"/>
        </w:rPr>
        <w:t>.</w:t>
      </w:r>
    </w:p>
    <w:p w:rsidRPr="00687C3A" w:rsidR="00687C3A" w:rsidP="6FB22721" w:rsidRDefault="00687C3A" w14:paraId="0D8F3565" w14:textId="77777777">
      <w:pPr>
        <w:spacing w:after="0"/>
        <w:ind w:firstLine="708"/>
        <w:jc w:val="both"/>
        <w:rPr>
          <w:rFonts w:ascii="Calibri Light" w:hAnsi="Calibri Light" w:cs="Calibri Light" w:asciiTheme="majorAscii" w:hAnsiTheme="majorAscii" w:cstheme="majorAscii"/>
        </w:rPr>
      </w:pPr>
    </w:p>
    <w:p w:rsidR="00687C3A" w:rsidP="153829E6" w:rsidRDefault="00687C3A" w14:paraId="43D5094C" w14:textId="6803F7D7">
      <w:pPr>
        <w:pStyle w:val="Normal"/>
        <w:suppressLineNumbers w:val="0"/>
        <w:bidi w:val="0"/>
        <w:spacing w:before="0" w:beforeAutospacing="off" w:after="0" w:afterAutospacing="off" w:line="259" w:lineRule="auto"/>
        <w:ind w:left="0" w:right="0" w:firstLine="708"/>
        <w:jc w:val="both"/>
        <w:rPr>
          <w:rFonts w:ascii="Calibri Light" w:hAnsi="Calibri Light" w:cs="Calibri Light" w:asciiTheme="majorAscii" w:hAnsiTheme="majorAscii" w:cstheme="majorAscii"/>
        </w:rPr>
      </w:pPr>
      <w:r w:rsidRPr="6FB22721" w:rsidR="6791B2DA">
        <w:rPr>
          <w:rFonts w:ascii="Calibri Light" w:hAnsi="Calibri Light" w:cs="Calibri Light" w:asciiTheme="majorAscii" w:hAnsiTheme="majorAscii" w:cstheme="majorAscii"/>
        </w:rPr>
        <w:t xml:space="preserve">En effet, aux États-Unis comme en Europe, les banques ne peuvent accorder de crédits que dans une certaine proportion de leurs propres </w:t>
      </w:r>
      <w:r w:rsidRPr="6FB22721" w:rsidR="16C48149">
        <w:rPr>
          <w:rFonts w:ascii="Calibri Light" w:hAnsi="Calibri Light" w:cs="Calibri Light" w:asciiTheme="majorAscii" w:hAnsiTheme="majorAscii" w:cstheme="majorAscii"/>
        </w:rPr>
        <w:t xml:space="preserve">ressources. </w:t>
      </w:r>
      <w:r w:rsidRPr="6FB22721" w:rsidR="16C48149">
        <w:rPr>
          <w:rFonts w:ascii="Calibri Light" w:hAnsi="Calibri Light" w:cs="Calibri Light" w:asciiTheme="majorAscii" w:hAnsiTheme="majorAscii" w:cstheme="majorAscii"/>
        </w:rPr>
        <w:t>Pour</w:t>
      </w:r>
      <w:r w:rsidRPr="6FB22721" w:rsidR="6791B2DA">
        <w:rPr>
          <w:rFonts w:ascii="Calibri Light" w:hAnsi="Calibri Light" w:cs="Calibri Light" w:asciiTheme="majorAscii" w:hAnsiTheme="majorAscii" w:cstheme="majorAscii"/>
        </w:rPr>
        <w:t xml:space="preserve"> distribuer plus de crédits, les banques américaines ont donc commencé à céder des créances, notamment issues des </w:t>
      </w:r>
      <w:r w:rsidRPr="6FB22721" w:rsidR="4DFDA89B">
        <w:rPr>
          <w:rFonts w:ascii="Calibri Light" w:hAnsi="Calibri Light" w:cs="Calibri Light" w:asciiTheme="majorAscii" w:hAnsiTheme="majorAscii" w:cstheme="majorAscii"/>
        </w:rPr>
        <w:t xml:space="preserve">crédits </w:t>
      </w:r>
      <w:r w:rsidRPr="6FB22721" w:rsidR="4DFDA89B">
        <w:rPr>
          <w:rFonts w:ascii="Calibri Light" w:hAnsi="Calibri Light" w:cs="Calibri Light" w:asciiTheme="majorAscii" w:hAnsiTheme="majorAscii" w:cstheme="majorAscii"/>
        </w:rPr>
        <w:t>subprimes</w:t>
      </w:r>
      <w:r w:rsidRPr="6FB22721" w:rsidR="6791B2DA">
        <w:rPr>
          <w:rFonts w:ascii="Calibri Light" w:hAnsi="Calibri Light" w:cs="Calibri Light" w:asciiTheme="majorAscii" w:hAnsiTheme="majorAscii" w:cstheme="majorAscii"/>
        </w:rPr>
        <w:t> durant les années 2000, à les «</w:t>
      </w:r>
      <w:r w:rsidRPr="6FB22721" w:rsidR="6791B2DA">
        <w:rPr>
          <w:rFonts w:ascii="Calibri Light" w:hAnsi="Calibri Light" w:cs="Calibri Light" w:asciiTheme="majorAscii" w:hAnsiTheme="majorAscii" w:cstheme="majorAscii"/>
          <w:b w:val="1"/>
          <w:bCs w:val="1"/>
        </w:rPr>
        <w:t xml:space="preserve"> sortir de leur bilan</w:t>
      </w:r>
      <w:r w:rsidRPr="6FB22721" w:rsidR="6791B2DA">
        <w:rPr>
          <w:rFonts w:ascii="Calibri Light" w:hAnsi="Calibri Light" w:cs="Calibri Light" w:asciiTheme="majorAscii" w:hAnsiTheme="majorAscii" w:cstheme="majorAscii"/>
        </w:rPr>
        <w:t xml:space="preserve"> », ce qui mécaniquement leur redonnait des possibilités de consentir de nouvelles lignes de crédit.</w:t>
      </w:r>
      <w:r w:rsidRPr="6FB22721" w:rsidR="6791B2DA">
        <w:rPr>
          <w:rFonts w:ascii="Calibri Light" w:hAnsi="Calibri Light" w:cs="Calibri Light" w:asciiTheme="majorAscii" w:hAnsiTheme="majorAscii" w:cstheme="majorAscii"/>
        </w:rPr>
        <w:t xml:space="preserve"> Au fil du temps, la technique s’est sophistiquée. Entre la banque et l’investisseur qui achète ces créances, s’est interposée une société, qu’on appelle « </w:t>
      </w:r>
      <w:r w:rsidRPr="6FB22721" w:rsidR="6876170B">
        <w:rPr>
          <w:rFonts w:ascii="Calibri Light" w:hAnsi="Calibri Light" w:cs="Calibri Light" w:asciiTheme="majorAscii" w:hAnsiTheme="majorAscii" w:cstheme="majorAscii"/>
          <w:b w:val="1"/>
          <w:bCs w:val="1"/>
        </w:rPr>
        <w:t>special</w:t>
      </w:r>
      <w:r w:rsidRPr="6FB22721" w:rsidR="6876170B">
        <w:rPr>
          <w:rFonts w:ascii="Calibri Light" w:hAnsi="Calibri Light" w:cs="Calibri Light" w:asciiTheme="majorAscii" w:hAnsiTheme="majorAscii" w:cstheme="majorAscii"/>
          <w:b w:val="1"/>
          <w:bCs w:val="1"/>
        </w:rPr>
        <w:t xml:space="preserve"> </w:t>
      </w:r>
      <w:r w:rsidRPr="6FB22721" w:rsidR="6876170B">
        <w:rPr>
          <w:rFonts w:ascii="Calibri Light" w:hAnsi="Calibri Light" w:cs="Calibri Light" w:asciiTheme="majorAscii" w:hAnsiTheme="majorAscii" w:cstheme="majorAscii"/>
          <w:b w:val="1"/>
          <w:bCs w:val="1"/>
        </w:rPr>
        <w:t>purpose</w:t>
      </w:r>
      <w:r w:rsidRPr="6FB22721" w:rsidR="6876170B">
        <w:rPr>
          <w:rFonts w:ascii="Calibri Light" w:hAnsi="Calibri Light" w:cs="Calibri Light" w:asciiTheme="majorAscii" w:hAnsiTheme="majorAscii" w:cstheme="majorAscii"/>
          <w:b w:val="1"/>
          <w:bCs w:val="1"/>
        </w:rPr>
        <w:t xml:space="preserve"> </w:t>
      </w:r>
      <w:r w:rsidRPr="6FB22721" w:rsidR="6876170B">
        <w:rPr>
          <w:rFonts w:ascii="Calibri Light" w:hAnsi="Calibri Light" w:cs="Calibri Light" w:asciiTheme="majorAscii" w:hAnsiTheme="majorAscii" w:cstheme="majorAscii"/>
          <w:b w:val="1"/>
          <w:bCs w:val="1"/>
        </w:rPr>
        <w:t>vehicule</w:t>
      </w:r>
      <w:r w:rsidRPr="6FB22721" w:rsidR="6876170B">
        <w:rPr>
          <w:rFonts w:ascii="Calibri Light" w:hAnsi="Calibri Light" w:cs="Calibri Light" w:asciiTheme="majorAscii" w:hAnsiTheme="majorAscii" w:cstheme="majorAscii"/>
          <w:b w:val="1"/>
          <w:bCs w:val="1"/>
        </w:rPr>
        <w:t xml:space="preserve"> ou vecteur de titrisation</w:t>
      </w:r>
      <w:r w:rsidRPr="6FB22721" w:rsidR="6791B2DA">
        <w:rPr>
          <w:rFonts w:ascii="Calibri Light" w:hAnsi="Calibri Light" w:cs="Calibri Light" w:asciiTheme="majorAscii" w:hAnsiTheme="majorAscii" w:cstheme="majorAscii"/>
        </w:rPr>
        <w:t xml:space="preserve">» (SPV ou SPC), et les différentes </w:t>
      </w:r>
      <w:r w:rsidRPr="6FB22721" w:rsidR="6791B2DA">
        <w:rPr>
          <w:rFonts w:ascii="Calibri Light" w:hAnsi="Calibri Light" w:cs="Calibri Light" w:asciiTheme="majorAscii" w:hAnsiTheme="majorAscii" w:cstheme="majorAscii"/>
        </w:rPr>
        <w:t>créances ont été « mélangées</w:t>
      </w:r>
      <w:r w:rsidRPr="6FB22721" w:rsidR="6791B2DA">
        <w:rPr>
          <w:rFonts w:ascii="Calibri Light" w:hAnsi="Calibri Light" w:cs="Calibri Light" w:asciiTheme="majorAscii" w:hAnsiTheme="majorAscii" w:cstheme="majorAscii"/>
          <w:b w:val="1"/>
          <w:bCs w:val="1"/>
        </w:rPr>
        <w:t> </w:t>
      </w:r>
      <w:r w:rsidRPr="6FB22721" w:rsidR="6791B2DA">
        <w:rPr>
          <w:rFonts w:ascii="Calibri Light" w:hAnsi="Calibri Light" w:cs="Calibri Light" w:asciiTheme="majorAscii" w:hAnsiTheme="majorAscii" w:cstheme="majorAscii"/>
        </w:rPr>
        <w:t>» à des titres de meilleure qualité servant de réserve en cas de défaillance.</w:t>
      </w:r>
      <w:r w:rsidRPr="6FB22721" w:rsidR="6791B2DA">
        <w:rPr>
          <w:rFonts w:ascii="Calibri Light" w:hAnsi="Calibri Light" w:cs="Calibri Light" w:asciiTheme="majorAscii" w:hAnsiTheme="majorAscii" w:cstheme="majorAscii"/>
        </w:rPr>
        <w:t xml:space="preserve"> </w:t>
      </w:r>
      <w:r w:rsidRPr="6FB22721" w:rsidR="3AB78CBE">
        <w:rPr>
          <w:rFonts w:ascii="Calibri Light" w:hAnsi="Calibri Light" w:cs="Calibri Light" w:asciiTheme="majorAscii" w:hAnsiTheme="majorAscii" w:cstheme="majorAscii"/>
        </w:rPr>
        <w:t xml:space="preserve">En France, ces intermédiaires se nomment Fonds Commun de Titrisation (FCT), ce sont des structures ad hoc </w:t>
      </w:r>
      <w:r w:rsidRPr="6FB22721" w:rsidR="0A19A358">
        <w:rPr>
          <w:rFonts w:ascii="Calibri Light" w:hAnsi="Calibri Light" w:cs="Calibri Light" w:asciiTheme="majorAscii" w:hAnsiTheme="majorAscii" w:cstheme="majorAscii"/>
        </w:rPr>
        <w:t>qui ne contiennent que ces actifs. Leur seul objet est la commercialisation des titres.</w:t>
      </w:r>
    </w:p>
    <w:p w:rsidRPr="00687C3A" w:rsidR="00687C3A" w:rsidP="6FB22721" w:rsidRDefault="00687C3A" w14:paraId="4958429A" w14:textId="77777777">
      <w:pPr>
        <w:spacing w:after="0"/>
        <w:ind w:firstLine="708"/>
        <w:jc w:val="both"/>
        <w:rPr>
          <w:rFonts w:ascii="Calibri Light" w:hAnsi="Calibri Light" w:cs="Calibri Light" w:asciiTheme="majorAscii" w:hAnsiTheme="majorAscii" w:cstheme="majorAscii"/>
        </w:rPr>
      </w:pPr>
    </w:p>
    <w:p w:rsidR="00687C3A" w:rsidP="6FB22721" w:rsidRDefault="00687C3A" w14:paraId="5ED28F69" w14:textId="01B368E5">
      <w:pPr>
        <w:spacing w:after="0"/>
        <w:ind w:firstLine="708"/>
        <w:jc w:val="both"/>
        <w:rPr>
          <w:rFonts w:ascii="Calibri Light" w:hAnsi="Calibri Light" w:cs="Calibri Light" w:asciiTheme="majorAscii" w:hAnsiTheme="majorAscii" w:cstheme="majorAscii"/>
        </w:rPr>
      </w:pPr>
      <w:r w:rsidRPr="6FB22721" w:rsidR="6791B2DA">
        <w:rPr>
          <w:rFonts w:ascii="Calibri Light" w:hAnsi="Calibri Light" w:cs="Calibri Light" w:asciiTheme="majorAscii" w:hAnsiTheme="majorAscii" w:cstheme="majorAscii"/>
        </w:rPr>
        <w:t xml:space="preserve">En effet, </w:t>
      </w:r>
      <w:r w:rsidRPr="6FB22721" w:rsidR="6791B2DA">
        <w:rPr>
          <w:rFonts w:ascii="Calibri Light" w:hAnsi="Calibri Light" w:cs="Calibri Light" w:asciiTheme="majorAscii" w:hAnsiTheme="majorAscii" w:cstheme="majorAscii"/>
        </w:rPr>
        <w:t>la société ad hoc émet des obligations (titres de dette) qui sont vendues par la suite à des investisseurs, lesquels perçoivent en contrepartie les intérêts des crédits liés aux titres émis ainsi que leur remboursement.</w:t>
      </w:r>
    </w:p>
    <w:p w:rsidRPr="00687C3A" w:rsidR="00BB6DE2" w:rsidP="6FB22721" w:rsidRDefault="00BB6DE2" w14:paraId="5ACBCD57" w14:textId="77777777">
      <w:pPr>
        <w:spacing w:after="0"/>
        <w:ind w:firstLine="708"/>
        <w:jc w:val="both"/>
        <w:rPr>
          <w:rFonts w:ascii="Calibri Light" w:hAnsi="Calibri Light" w:cs="Calibri Light" w:asciiTheme="majorAscii" w:hAnsiTheme="majorAscii" w:cstheme="majorAscii"/>
        </w:rPr>
      </w:pPr>
    </w:p>
    <w:p w:rsidRPr="00687C3A" w:rsidR="00687C3A" w:rsidP="6FB22721" w:rsidRDefault="00687C3A" w14:paraId="4ED49113" w14:textId="24C54BEE">
      <w:pPr>
        <w:spacing w:after="0"/>
        <w:ind w:firstLine="708"/>
        <w:jc w:val="center"/>
        <w:rPr>
          <w:rFonts w:ascii="Calibri Light" w:hAnsi="Calibri Light" w:cs="Calibri Light" w:asciiTheme="majorAscii" w:hAnsiTheme="majorAscii" w:cstheme="majorAscii"/>
        </w:rPr>
      </w:pPr>
      <w:r w:rsidR="6791B2DA">
        <w:drawing>
          <wp:inline wp14:editId="06E2C608" wp14:anchorId="456F31E0">
            <wp:extent cx="3815348" cy="7097076"/>
            <wp:effectExtent l="0" t="0" r="0" b="8890"/>
            <wp:docPr id="2" name="Image 2" descr="Mecanisme de titrisation de credi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Mecanisme de titrisation de credits"/>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3829566" cy="7123523"/>
                    </a:xfrm>
                    <a:prstGeom prst="rect">
                      <a:avLst/>
                    </a:prstGeom>
                    <a:noFill/>
                    <a:ln>
                      <a:noFill/>
                    </a:ln>
                  </pic:spPr>
                </pic:pic>
              </a:graphicData>
            </a:graphic>
          </wp:inline>
        </w:drawing>
      </w:r>
    </w:p>
    <w:p w:rsidR="00687C3A" w:rsidP="153829E6" w:rsidRDefault="00687C3A" w14:paraId="4BCE6F40" w14:textId="57916CA1">
      <w:pPr>
        <w:spacing w:after="0"/>
        <w:ind w:firstLine="708"/>
        <w:jc w:val="both"/>
        <w:rPr>
          <w:rFonts w:ascii="Calibri Light" w:hAnsi="Calibri Light" w:cs="Calibri Light" w:asciiTheme="majorAscii" w:hAnsiTheme="majorAscii" w:cstheme="majorAscii"/>
        </w:rPr>
      </w:pPr>
      <w:r w:rsidRPr="6FB22721" w:rsidR="6791B2DA">
        <w:rPr>
          <w:rFonts w:ascii="Calibri Light" w:hAnsi="Calibri Light" w:cs="Calibri Light" w:asciiTheme="majorAscii" w:hAnsiTheme="majorAscii" w:cstheme="majorAscii"/>
        </w:rPr>
        <w:t xml:space="preserve">Les opérations peuvent se classer </w:t>
      </w:r>
      <w:r w:rsidRPr="6FB22721" w:rsidR="6791B2DA">
        <w:rPr>
          <w:rFonts w:ascii="Calibri Light" w:hAnsi="Calibri Light" w:cs="Calibri Light" w:asciiTheme="majorAscii" w:hAnsiTheme="majorAscii" w:cstheme="majorAscii"/>
        </w:rPr>
        <w:t>selon les actifs sous-jacents,</w:t>
      </w:r>
      <w:r w:rsidRPr="6FB22721" w:rsidR="6791B2DA">
        <w:rPr>
          <w:rFonts w:ascii="Calibri Light" w:hAnsi="Calibri Light" w:cs="Calibri Light" w:asciiTheme="majorAscii" w:hAnsiTheme="majorAscii" w:cstheme="majorAscii"/>
        </w:rPr>
        <w:t xml:space="preserve"> c’</w:t>
      </w:r>
      <w:r w:rsidRPr="6FB22721" w:rsidR="6791B2DA">
        <w:rPr>
          <w:rFonts w:ascii="Calibri Light" w:hAnsi="Calibri Light" w:cs="Calibri Light" w:asciiTheme="majorAscii" w:hAnsiTheme="majorAscii" w:cstheme="majorAscii"/>
        </w:rPr>
        <w:t>est-à-dire qui composent le portefeuille.</w:t>
      </w:r>
      <w:r w:rsidRPr="6FB22721" w:rsidR="6791B2DA">
        <w:rPr>
          <w:rFonts w:ascii="Calibri Light" w:hAnsi="Calibri Light" w:cs="Calibri Light" w:asciiTheme="majorAscii" w:hAnsiTheme="majorAscii" w:cstheme="majorAscii"/>
        </w:rPr>
        <w:t xml:space="preserve"> Vous entendrez peut-être parler d’</w:t>
      </w:r>
      <w:r w:rsidRPr="6FB22721" w:rsidR="6791B2DA">
        <w:rPr>
          <w:rFonts w:ascii="Calibri Light" w:hAnsi="Calibri Light" w:cs="Calibri Light" w:asciiTheme="majorAscii" w:hAnsiTheme="majorAscii" w:cstheme="majorAscii"/>
          <w:b w:val="1"/>
          <w:bCs w:val="1"/>
        </w:rPr>
        <w:t>ABS</w:t>
      </w:r>
      <w:r w:rsidRPr="6FB22721" w:rsidR="6791B2DA">
        <w:rPr>
          <w:rFonts w:ascii="Calibri Light" w:hAnsi="Calibri Light" w:cs="Calibri Light" w:asciiTheme="majorAscii" w:hAnsiTheme="majorAscii" w:cstheme="majorAscii"/>
        </w:rPr>
        <w:t>. En dehors du réputé système de freinage, il s’agit du terme générique de la titrisation (Asset Backed Securities) qui exprime que les titres (securities) sont adossés (backed) à des actifs (asset).</w:t>
      </w:r>
    </w:p>
    <w:p w:rsidRPr="00687C3A" w:rsidR="00BB6DE2" w:rsidP="6FB22721" w:rsidRDefault="00BB6DE2" w14:paraId="01014E29" w14:textId="77777777">
      <w:pPr>
        <w:spacing w:after="0"/>
        <w:ind w:firstLine="708"/>
        <w:jc w:val="both"/>
        <w:rPr>
          <w:rFonts w:ascii="Calibri Light" w:hAnsi="Calibri Light" w:cs="Calibri Light" w:asciiTheme="majorAscii" w:hAnsiTheme="majorAscii" w:cstheme="majorAscii"/>
        </w:rPr>
      </w:pPr>
    </w:p>
    <w:p w:rsidR="00687C3A" w:rsidP="6FB22721" w:rsidRDefault="00687C3A" w14:paraId="498ED2ED" w14:textId="761AB2EE">
      <w:pPr>
        <w:spacing w:after="0"/>
        <w:ind w:firstLine="708"/>
        <w:jc w:val="both"/>
        <w:rPr>
          <w:rFonts w:ascii="Calibri Light" w:hAnsi="Calibri Light" w:cs="Calibri Light" w:asciiTheme="majorAscii" w:hAnsiTheme="majorAscii" w:cstheme="majorAscii"/>
        </w:rPr>
      </w:pPr>
      <w:r w:rsidRPr="6FB22721" w:rsidR="6791B2DA">
        <w:rPr>
          <w:rFonts w:ascii="Calibri Light" w:hAnsi="Calibri Light" w:cs="Calibri Light" w:asciiTheme="majorAscii" w:hAnsiTheme="majorAscii" w:cstheme="majorAscii"/>
        </w:rPr>
        <w:t xml:space="preserve">Selon ce qu’on met dans les véhicules de titrisation, ils s’appellent </w:t>
      </w:r>
      <w:r w:rsidRPr="6FB22721" w:rsidR="6791B2DA">
        <w:rPr>
          <w:rFonts w:ascii="Calibri Light" w:hAnsi="Calibri Light" w:cs="Calibri Light" w:asciiTheme="majorAscii" w:hAnsiTheme="majorAscii" w:cstheme="majorAscii"/>
          <w:b w:val="1"/>
          <w:bCs w:val="1"/>
        </w:rPr>
        <w:t>CDO</w:t>
      </w:r>
      <w:r w:rsidRPr="6FB22721" w:rsidR="6791B2DA">
        <w:rPr>
          <w:rFonts w:ascii="Calibri Light" w:hAnsi="Calibri Light" w:cs="Calibri Light" w:asciiTheme="majorAscii" w:hAnsiTheme="majorAscii" w:cstheme="majorAscii"/>
        </w:rPr>
        <w:t xml:space="preserve"> (Collateralised Debt Obligation) lorsqu’il s’agit de titres garantis par des créances bancaires ou des instruments financiers de nature variée, CBO (Collateralised Bond Obligation) quand ils sont </w:t>
      </w:r>
      <w:r w:rsidRPr="6FB22721" w:rsidR="511BB85A">
        <w:rPr>
          <w:rFonts w:ascii="Calibri Light" w:hAnsi="Calibri Light" w:cs="Calibri Light" w:asciiTheme="majorAscii" w:hAnsiTheme="majorAscii" w:cstheme="majorAscii"/>
        </w:rPr>
        <w:t>adossés</w:t>
      </w:r>
      <w:r w:rsidRPr="6FB22721" w:rsidR="6791B2DA">
        <w:rPr>
          <w:rFonts w:ascii="Calibri Light" w:hAnsi="Calibri Light" w:cs="Calibri Light" w:asciiTheme="majorAscii" w:hAnsiTheme="majorAscii" w:cstheme="majorAscii"/>
        </w:rPr>
        <w:t xml:space="preserve"> à des obligations, CLO (Collareralised Loan Obligation) lorsqu’ils sont adossés à des prêts commerciaux, </w:t>
      </w:r>
      <w:r w:rsidRPr="6FB22721" w:rsidR="6791B2DA">
        <w:rPr>
          <w:rFonts w:ascii="Calibri Light" w:hAnsi="Calibri Light" w:cs="Calibri Light" w:asciiTheme="majorAscii" w:hAnsiTheme="majorAscii" w:cstheme="majorAscii"/>
          <w:b w:val="1"/>
          <w:bCs w:val="1"/>
        </w:rPr>
        <w:t>MBS</w:t>
      </w:r>
      <w:r w:rsidRPr="6FB22721" w:rsidR="6791B2DA">
        <w:rPr>
          <w:rFonts w:ascii="Calibri Light" w:hAnsi="Calibri Light" w:cs="Calibri Light" w:asciiTheme="majorAscii" w:hAnsiTheme="majorAscii" w:cstheme="majorAscii"/>
        </w:rPr>
        <w:t xml:space="preserve"> (Mortgage Backed Securities) quand ils reposent sur des crédits hypothécaires etc.</w:t>
      </w:r>
    </w:p>
    <w:p w:rsidRPr="00687C3A" w:rsidR="00BB6DE2" w:rsidP="6FB22721" w:rsidRDefault="00BB6DE2" w14:paraId="2D07C20F" w14:textId="77777777">
      <w:pPr>
        <w:spacing w:after="0"/>
        <w:ind w:firstLine="708"/>
        <w:jc w:val="both"/>
        <w:rPr>
          <w:rFonts w:ascii="Calibri Light" w:hAnsi="Calibri Light" w:cs="Calibri Light" w:asciiTheme="majorAscii" w:hAnsiTheme="majorAscii" w:cstheme="majorAscii"/>
        </w:rPr>
      </w:pPr>
    </w:p>
    <w:p w:rsidR="00687C3A" w:rsidP="6FB22721" w:rsidRDefault="00687C3A" w14:paraId="073E9E6D" w14:textId="1DAC9739">
      <w:pPr>
        <w:spacing w:after="0"/>
        <w:ind w:firstLine="708"/>
        <w:jc w:val="both"/>
        <w:rPr>
          <w:rFonts w:ascii="Calibri Light" w:hAnsi="Calibri Light" w:cs="Calibri Light" w:asciiTheme="majorAscii" w:hAnsiTheme="majorAscii" w:cstheme="majorAscii"/>
        </w:rPr>
      </w:pPr>
      <w:r w:rsidRPr="6FB22721" w:rsidR="6791B2DA">
        <w:rPr>
          <w:rFonts w:ascii="Calibri Light" w:hAnsi="Calibri Light" w:cs="Calibri Light" w:asciiTheme="majorAscii" w:hAnsiTheme="majorAscii" w:cstheme="majorAscii"/>
        </w:rPr>
        <w:t>Tout est « titrisable » : les crédits classiques, les créances commerciales, les loyers d’actifs mobiliers ou immobiliers, les royalties, à peu près tout actif ou droit dont on peut raisonnablement prévoir les flux financiers futurs.</w:t>
      </w:r>
    </w:p>
    <w:p w:rsidRPr="00687C3A" w:rsidR="00BB6DE2" w:rsidP="6FB22721" w:rsidRDefault="00BB6DE2" w14:paraId="013238C5" w14:textId="77777777">
      <w:pPr>
        <w:spacing w:after="0"/>
        <w:ind w:firstLine="708"/>
        <w:jc w:val="both"/>
        <w:rPr>
          <w:rFonts w:ascii="Calibri Light" w:hAnsi="Calibri Light" w:cs="Calibri Light" w:asciiTheme="majorAscii" w:hAnsiTheme="majorAscii" w:cstheme="majorAscii"/>
        </w:rPr>
      </w:pPr>
    </w:p>
    <w:p w:rsidR="00687C3A" w:rsidP="6FB22721" w:rsidRDefault="00687C3A" w14:paraId="0850644A" w14:textId="7EB88B3B">
      <w:pPr>
        <w:spacing w:after="0"/>
        <w:ind w:firstLine="708"/>
        <w:jc w:val="both"/>
        <w:rPr>
          <w:rFonts w:ascii="Calibri Light" w:hAnsi="Calibri Light" w:cs="Calibri Light" w:asciiTheme="majorAscii" w:hAnsiTheme="majorAscii" w:cstheme="majorAscii"/>
        </w:rPr>
      </w:pPr>
      <w:r w:rsidRPr="6FB22721" w:rsidR="6791B2DA">
        <w:rPr>
          <w:rFonts w:ascii="Calibri Light" w:hAnsi="Calibri Light" w:cs="Calibri Light" w:asciiTheme="majorAscii" w:hAnsiTheme="majorAscii" w:cstheme="majorAscii"/>
        </w:rPr>
        <w:t xml:space="preserve">L’émission globale de CDO, à la fois en Europe et aux États-Unis, a été multipliée par huit, passant de 150 milliards de dollars en 2000 à 1,2 </w:t>
      </w:r>
      <w:hyperlink r:id="Radf6cb7c994a4eef">
        <w:r w:rsidRPr="6FB22721" w:rsidR="6791B2DA">
          <w:rPr>
            <w:rFonts w:ascii="Calibri Light" w:hAnsi="Calibri Light" w:cs="Calibri Light" w:asciiTheme="majorAscii" w:hAnsiTheme="majorAscii" w:cstheme="majorAscii"/>
          </w:rPr>
          <w:t>trillion</w:t>
        </w:r>
      </w:hyperlink>
      <w:r w:rsidRPr="6FB22721" w:rsidR="6791B2DA">
        <w:rPr>
          <w:rFonts w:ascii="Calibri Light" w:hAnsi="Calibri Light" w:cs="Calibri Light" w:asciiTheme="majorAscii" w:hAnsiTheme="majorAscii" w:cstheme="majorAscii"/>
        </w:rPr>
        <w:t xml:space="preserve"> de dollars en 2007 (soit 1,2 </w:t>
      </w:r>
      <w:hyperlink r:id="Rdf5fb59d9fe14b1c">
        <w:r w:rsidRPr="6FB22721" w:rsidR="6791B2DA">
          <w:rPr>
            <w:rFonts w:ascii="Calibri Light" w:hAnsi="Calibri Light" w:cs="Calibri Light" w:asciiTheme="majorAscii" w:hAnsiTheme="majorAscii" w:cstheme="majorAscii"/>
          </w:rPr>
          <w:t>billions</w:t>
        </w:r>
      </w:hyperlink>
      <w:r w:rsidRPr="6FB22721" w:rsidR="6791B2DA">
        <w:rPr>
          <w:rFonts w:ascii="Calibri Light" w:hAnsi="Calibri Light" w:cs="Calibri Light" w:asciiTheme="majorAscii" w:hAnsiTheme="majorAscii" w:cstheme="majorAscii"/>
        </w:rPr>
        <w:t> pour les Français).</w:t>
      </w:r>
    </w:p>
    <w:p w:rsidRPr="00687C3A" w:rsidR="00BB6DE2" w:rsidP="6FB22721" w:rsidRDefault="00BB6DE2" w14:paraId="08C25EB2" w14:textId="77777777">
      <w:pPr>
        <w:spacing w:after="0"/>
        <w:ind w:firstLine="708"/>
        <w:jc w:val="both"/>
        <w:rPr>
          <w:rFonts w:ascii="Calibri Light" w:hAnsi="Calibri Light" w:cs="Calibri Light" w:asciiTheme="majorAscii" w:hAnsiTheme="majorAscii" w:cstheme="majorAscii"/>
        </w:rPr>
      </w:pPr>
    </w:p>
    <w:p w:rsidRPr="00687C3A" w:rsidR="00687C3A" w:rsidP="6FB22721" w:rsidRDefault="00687C3A" w14:paraId="758E3989" w14:textId="53489D40">
      <w:pPr>
        <w:spacing w:after="0"/>
        <w:ind w:firstLine="708"/>
        <w:jc w:val="both"/>
        <w:rPr>
          <w:rFonts w:ascii="Calibri Light" w:hAnsi="Calibri Light" w:cs="Calibri Light" w:asciiTheme="majorAscii" w:hAnsiTheme="majorAscii" w:cstheme="majorAscii"/>
        </w:rPr>
      </w:pPr>
      <w:r w:rsidRPr="6FB22721" w:rsidR="6791B2DA">
        <w:rPr>
          <w:rFonts w:ascii="Calibri Light" w:hAnsi="Calibri Light" w:cs="Calibri Light" w:asciiTheme="majorAscii" w:hAnsiTheme="majorAscii" w:cstheme="majorAscii"/>
        </w:rPr>
        <w:t xml:space="preserve">La crise des </w:t>
      </w:r>
      <w:r w:rsidRPr="6FB22721" w:rsidR="6791B2DA">
        <w:rPr>
          <w:rFonts w:ascii="Calibri Light" w:hAnsi="Calibri Light" w:cs="Calibri Light" w:asciiTheme="majorAscii" w:hAnsiTheme="majorAscii" w:cstheme="majorAscii"/>
          <w:b w:val="1"/>
          <w:bCs w:val="1"/>
        </w:rPr>
        <w:t>subprimes</w:t>
      </w:r>
      <w:r w:rsidRPr="6FB22721" w:rsidR="6791B2DA">
        <w:rPr>
          <w:rFonts w:ascii="Calibri Light" w:hAnsi="Calibri Light" w:cs="Calibri Light" w:asciiTheme="majorAscii" w:hAnsiTheme="majorAscii" w:cstheme="majorAscii"/>
        </w:rPr>
        <w:t xml:space="preserve"> de 2007 a mis en lumière certaines dérives dans l’utilisation de la titrisation des créances immobilières aux États-Unis. On a mis en cause la mauvaise </w:t>
      </w:r>
      <w:r w:rsidRPr="6FB22721" w:rsidR="6791B2DA">
        <w:rPr>
          <w:rFonts w:ascii="Calibri Light" w:hAnsi="Calibri Light" w:cs="Calibri Light" w:asciiTheme="majorAscii" w:hAnsiTheme="majorAscii" w:cstheme="majorAscii"/>
          <w:b w:val="1"/>
          <w:bCs w:val="1"/>
        </w:rPr>
        <w:t>qualité des créances titrisées</w:t>
      </w:r>
      <w:r w:rsidRPr="6FB22721" w:rsidR="6791B2DA">
        <w:rPr>
          <w:rFonts w:ascii="Calibri Light" w:hAnsi="Calibri Light" w:cs="Calibri Light" w:asciiTheme="majorAscii" w:hAnsiTheme="majorAscii" w:cstheme="majorAscii"/>
        </w:rPr>
        <w:t xml:space="preserve">, la faible </w:t>
      </w:r>
      <w:r w:rsidRPr="6FB22721" w:rsidR="6791B2DA">
        <w:rPr>
          <w:rFonts w:ascii="Calibri Light" w:hAnsi="Calibri Light" w:cs="Calibri Light" w:asciiTheme="majorAscii" w:hAnsiTheme="majorAscii" w:cstheme="majorAscii"/>
          <w:b w:val="1"/>
          <w:bCs w:val="1"/>
        </w:rPr>
        <w:t>liquidité de ces titres</w:t>
      </w:r>
      <w:r w:rsidRPr="6FB22721" w:rsidR="6791B2DA">
        <w:rPr>
          <w:rFonts w:ascii="Calibri Light" w:hAnsi="Calibri Light" w:cs="Calibri Light" w:asciiTheme="majorAscii" w:hAnsiTheme="majorAscii" w:cstheme="majorAscii"/>
        </w:rPr>
        <w:t xml:space="preserve">, le travail </w:t>
      </w:r>
      <w:r w:rsidRPr="6FB22721" w:rsidR="6791B2DA">
        <w:rPr>
          <w:rFonts w:ascii="Calibri Light" w:hAnsi="Calibri Light" w:cs="Calibri Light" w:asciiTheme="majorAscii" w:hAnsiTheme="majorAscii" w:cstheme="majorAscii"/>
        </w:rPr>
        <w:t xml:space="preserve">des </w:t>
      </w:r>
      <w:hyperlink r:id="R17042852aead4505">
        <w:r w:rsidRPr="6FB22721" w:rsidR="6791B2DA">
          <w:rPr>
            <w:rFonts w:ascii="Calibri Light" w:hAnsi="Calibri Light" w:cs="Calibri Light" w:asciiTheme="majorAscii" w:hAnsiTheme="majorAscii" w:cstheme="majorAscii"/>
          </w:rPr>
          <w:t>agences de notation</w:t>
        </w:r>
      </w:hyperlink>
      <w:r w:rsidRPr="6FB22721" w:rsidR="6791B2DA">
        <w:rPr>
          <w:rFonts w:ascii="Calibri Light" w:hAnsi="Calibri Light" w:cs="Calibri Light" w:asciiTheme="majorAscii" w:hAnsiTheme="majorAscii" w:cstheme="majorAscii"/>
        </w:rPr>
        <w:t xml:space="preserve"> ainsi que le </w:t>
      </w:r>
      <w:r w:rsidRPr="6FB22721" w:rsidR="6791B2DA">
        <w:rPr>
          <w:rFonts w:ascii="Calibri Light" w:hAnsi="Calibri Light" w:cs="Calibri Light" w:asciiTheme="majorAscii" w:hAnsiTheme="majorAscii" w:cstheme="majorAscii"/>
          <w:b w:val="1"/>
          <w:bCs w:val="1"/>
        </w:rPr>
        <w:t>principe même de la titrisation</w:t>
      </w:r>
      <w:r w:rsidRPr="6FB22721" w:rsidR="6791B2DA">
        <w:rPr>
          <w:rFonts w:ascii="Calibri Light" w:hAnsi="Calibri Light" w:cs="Calibri Light" w:asciiTheme="majorAscii" w:hAnsiTheme="majorAscii" w:cstheme="majorAscii"/>
        </w:rPr>
        <w:t xml:space="preserve"> qui ne permet pas toujours d’avoir une vision claire de la situation des débiteurs (eux-mêmes mal identifiés) et des risques réellement pris. Depuis l’éclatement de cette crise, la titrisation est donc devenue un sujet controversé, et souvent </w:t>
      </w:r>
      <w:r w:rsidRPr="6FB22721" w:rsidR="0A19A358">
        <w:rPr>
          <w:rFonts w:ascii="Calibri Light" w:hAnsi="Calibri Light" w:cs="Calibri Light" w:asciiTheme="majorAscii" w:hAnsiTheme="majorAscii" w:cstheme="majorAscii"/>
        </w:rPr>
        <w:t>considéré comme</w:t>
      </w:r>
      <w:r w:rsidRPr="6FB22721" w:rsidR="6791B2DA">
        <w:rPr>
          <w:rFonts w:ascii="Calibri Light" w:hAnsi="Calibri Light" w:cs="Calibri Light" w:asciiTheme="majorAscii" w:hAnsiTheme="majorAscii" w:cstheme="majorAscii"/>
        </w:rPr>
        <w:t xml:space="preserve"> l’élément principal à l’origine de la contagion de cette crise à l’ensemble de la sphère financière.</w:t>
      </w:r>
    </w:p>
    <w:p w:rsidRPr="00027159" w:rsidR="000D48E4" w:rsidP="6FB22721" w:rsidRDefault="000D48E4" w14:paraId="20D8C2D4" w14:textId="77777777">
      <w:pPr>
        <w:spacing w:after="0"/>
        <w:jc w:val="both"/>
        <w:rPr>
          <w:rFonts w:ascii="Calibri Light" w:hAnsi="Calibri Light" w:cs="Calibri Light" w:asciiTheme="majorAscii" w:hAnsiTheme="majorAscii" w:cstheme="majorAscii"/>
          <w:b w:val="1"/>
          <w:bCs w:val="1"/>
          <w:u w:val="single"/>
        </w:rPr>
      </w:pPr>
    </w:p>
    <w:p w:rsidR="000D48E4" w:rsidP="6FB22721" w:rsidRDefault="000D48E4" w14:paraId="6FFA0873" w14:textId="1859651C">
      <w:pPr>
        <w:pStyle w:val="Paragraphedeliste"/>
        <w:numPr>
          <w:ilvl w:val="1"/>
          <w:numId w:val="6"/>
        </w:numPr>
        <w:spacing w:after="0"/>
        <w:jc w:val="both"/>
        <w:rPr>
          <w:rFonts w:ascii="Calibri Light" w:hAnsi="Calibri Light" w:cs="Calibri Light" w:asciiTheme="majorAscii" w:hAnsiTheme="majorAscii" w:cstheme="majorAscii"/>
          <w:b w:val="1"/>
          <w:bCs w:val="1"/>
        </w:rPr>
      </w:pPr>
      <w:r w:rsidRPr="6FB22721" w:rsidR="34D1A97D">
        <w:rPr>
          <w:rFonts w:ascii="Calibri Light" w:hAnsi="Calibri Light" w:cs="Calibri Light" w:asciiTheme="majorAscii" w:hAnsiTheme="majorAscii" w:cstheme="majorAscii"/>
          <w:b w:val="1"/>
          <w:bCs w:val="1"/>
        </w:rPr>
        <w:t xml:space="preserve"> </w:t>
      </w:r>
      <w:r w:rsidRPr="6FB22721" w:rsidR="0A19A358">
        <w:rPr>
          <w:rFonts w:ascii="Calibri Light" w:hAnsi="Calibri Light" w:cs="Calibri Light" w:asciiTheme="majorAscii" w:hAnsiTheme="majorAscii" w:cstheme="majorAscii"/>
          <w:b w:val="1"/>
          <w:bCs w:val="1"/>
        </w:rPr>
        <w:t>Les acteurs de la titrisation</w:t>
      </w:r>
    </w:p>
    <w:p w:rsidR="00BB6DE2" w:rsidP="6FB22721" w:rsidRDefault="00BB6DE2" w14:paraId="38888F3B" w14:textId="1EC84F2B">
      <w:pPr>
        <w:spacing w:after="0"/>
        <w:jc w:val="both"/>
        <w:rPr>
          <w:rFonts w:ascii="Calibri Light" w:hAnsi="Calibri Light" w:cs="Calibri Light" w:asciiTheme="majorAscii" w:hAnsiTheme="majorAscii" w:cstheme="majorAscii"/>
          <w:b w:val="1"/>
          <w:bCs w:val="1"/>
        </w:rPr>
      </w:pPr>
    </w:p>
    <w:p w:rsidR="00BB6DE2" w:rsidP="6FB22721" w:rsidRDefault="00422995" w14:paraId="0591E3A4" w14:textId="22E4A3E9">
      <w:pPr>
        <w:spacing w:after="0"/>
        <w:ind w:firstLine="708"/>
        <w:jc w:val="both"/>
        <w:rPr>
          <w:rFonts w:ascii="Calibri Light" w:hAnsi="Calibri Light" w:cs="Calibri Light" w:asciiTheme="majorAscii" w:hAnsiTheme="majorAscii" w:cstheme="majorAscii"/>
        </w:rPr>
      </w:pPr>
      <w:r w:rsidRPr="6FB22721" w:rsidR="2B8CF3FE">
        <w:rPr>
          <w:rFonts w:ascii="Calibri Light" w:hAnsi="Calibri Light" w:cs="Calibri Light" w:asciiTheme="majorAscii" w:hAnsiTheme="majorAscii" w:cstheme="majorAscii"/>
        </w:rPr>
        <w:t xml:space="preserve">Bien que complexe, le secteur de la titrisation fait apparaitre trois principaux acteurs. </w:t>
      </w:r>
    </w:p>
    <w:p w:rsidR="00422995" w:rsidP="6FB22721" w:rsidRDefault="00422995" w14:paraId="3870E5D5" w14:textId="5E2DE698">
      <w:pPr>
        <w:spacing w:after="0"/>
        <w:jc w:val="both"/>
        <w:rPr>
          <w:rFonts w:ascii="Calibri Light" w:hAnsi="Calibri Light" w:cs="Calibri Light" w:asciiTheme="majorAscii" w:hAnsiTheme="majorAscii" w:cstheme="majorAscii"/>
        </w:rPr>
      </w:pPr>
    </w:p>
    <w:tbl>
      <w:tblPr>
        <w:tblStyle w:val="Grilledutableau"/>
        <w:tblW w:w="0" w:type="auto"/>
        <w:tblLook w:val="04A0" w:firstRow="1" w:lastRow="0" w:firstColumn="1" w:lastColumn="0" w:noHBand="0" w:noVBand="1"/>
      </w:tblPr>
      <w:tblGrid>
        <w:gridCol w:w="4531"/>
        <w:gridCol w:w="4531"/>
      </w:tblGrid>
      <w:tr w:rsidR="00422995" w:rsidTr="6FB22721" w14:paraId="45E97F30" w14:textId="77777777">
        <w:tc>
          <w:tcPr>
            <w:tcW w:w="4531" w:type="dxa"/>
            <w:tcMar/>
          </w:tcPr>
          <w:p w:rsidR="00422995" w:rsidP="6FB22721" w:rsidRDefault="00422995" w14:paraId="2DA13A93" w14:textId="02289D94">
            <w:pPr>
              <w:jc w:val="both"/>
              <w:rPr>
                <w:rFonts w:ascii="Calibri Light" w:hAnsi="Calibri Light" w:cs="Calibri Light" w:asciiTheme="majorAscii" w:hAnsiTheme="majorAscii" w:cstheme="majorAscii"/>
              </w:rPr>
            </w:pPr>
            <w:r w:rsidRPr="6FB22721" w:rsidR="2B8CF3FE">
              <w:rPr>
                <w:rFonts w:ascii="Calibri Light" w:hAnsi="Calibri Light" w:cs="Calibri Light" w:asciiTheme="majorAscii" w:hAnsiTheme="majorAscii" w:cstheme="majorAscii"/>
              </w:rPr>
              <w:t xml:space="preserve">Société gestionnaire du FCT </w:t>
            </w:r>
          </w:p>
        </w:tc>
        <w:tc>
          <w:tcPr>
            <w:tcW w:w="4531" w:type="dxa"/>
            <w:tcMar/>
          </w:tcPr>
          <w:p w:rsidR="00422995" w:rsidP="6FB22721" w:rsidRDefault="00422995" w14:paraId="722A7E9B" w14:textId="77777777">
            <w:pPr>
              <w:jc w:val="both"/>
              <w:rPr>
                <w:rFonts w:ascii="Calibri Light" w:hAnsi="Calibri Light" w:cs="Calibri Light" w:asciiTheme="majorAscii" w:hAnsiTheme="majorAscii" w:cstheme="majorAscii"/>
              </w:rPr>
            </w:pPr>
            <w:r w:rsidRPr="6FB22721" w:rsidR="2B8CF3FE">
              <w:rPr>
                <w:rFonts w:ascii="Calibri Light" w:hAnsi="Calibri Light" w:cs="Calibri Light" w:asciiTheme="majorAscii" w:hAnsiTheme="majorAscii" w:cstheme="majorAscii"/>
              </w:rPr>
              <w:t xml:space="preserve">Son rôle est : </w:t>
            </w:r>
          </w:p>
          <w:p w:rsidR="00422995" w:rsidP="6FB22721" w:rsidRDefault="00422995" w14:paraId="4940B66F" w14:textId="77777777">
            <w:pPr>
              <w:pStyle w:val="Paragraphedeliste"/>
              <w:numPr>
                <w:ilvl w:val="0"/>
                <w:numId w:val="20"/>
              </w:numPr>
              <w:jc w:val="both"/>
              <w:rPr>
                <w:rFonts w:ascii="Calibri Light" w:hAnsi="Calibri Light" w:cs="Calibri Light" w:asciiTheme="majorAscii" w:hAnsiTheme="majorAscii" w:cstheme="majorAscii"/>
              </w:rPr>
            </w:pPr>
            <w:r w:rsidRPr="6FB22721" w:rsidR="2B8CF3FE">
              <w:rPr>
                <w:rFonts w:ascii="Calibri Light" w:hAnsi="Calibri Light" w:cs="Calibri Light" w:asciiTheme="majorAscii" w:hAnsiTheme="majorAscii" w:cstheme="majorAscii"/>
              </w:rPr>
              <w:t>D’administrer le fonds ;</w:t>
            </w:r>
          </w:p>
          <w:p w:rsidRPr="00422995" w:rsidR="00422995" w:rsidP="6FB22721" w:rsidRDefault="00422995" w14:paraId="1D50F591" w14:textId="3DBA7B27">
            <w:pPr>
              <w:pStyle w:val="Paragraphedeliste"/>
              <w:numPr>
                <w:ilvl w:val="0"/>
                <w:numId w:val="20"/>
              </w:numPr>
              <w:jc w:val="both"/>
              <w:rPr>
                <w:rFonts w:ascii="Calibri Light" w:hAnsi="Calibri Light" w:cs="Calibri Light" w:asciiTheme="majorAscii" w:hAnsiTheme="majorAscii" w:cstheme="majorAscii"/>
              </w:rPr>
            </w:pPr>
            <w:r w:rsidRPr="6FB22721" w:rsidR="2B8CF3FE">
              <w:rPr>
                <w:rFonts w:ascii="Calibri Light" w:hAnsi="Calibri Light" w:cs="Calibri Light" w:asciiTheme="majorAscii" w:hAnsiTheme="majorAscii" w:cstheme="majorAscii"/>
              </w:rPr>
              <w:t>De suivre l’émission et le placement des parts.</w:t>
            </w:r>
          </w:p>
        </w:tc>
      </w:tr>
      <w:tr w:rsidR="00422995" w:rsidTr="6FB22721" w14:paraId="4582EAC1" w14:textId="77777777">
        <w:tc>
          <w:tcPr>
            <w:tcW w:w="4531" w:type="dxa"/>
            <w:tcMar/>
          </w:tcPr>
          <w:p w:rsidR="00422995" w:rsidP="6FB22721" w:rsidRDefault="00422995" w14:paraId="29C1212A" w14:textId="7E945CDF">
            <w:pPr>
              <w:jc w:val="both"/>
              <w:rPr>
                <w:rFonts w:ascii="Calibri Light" w:hAnsi="Calibri Light" w:cs="Calibri Light" w:asciiTheme="majorAscii" w:hAnsiTheme="majorAscii" w:cstheme="majorAscii"/>
              </w:rPr>
            </w:pPr>
            <w:r w:rsidRPr="6FB22721" w:rsidR="2B8CF3FE">
              <w:rPr>
                <w:rFonts w:ascii="Calibri Light" w:hAnsi="Calibri Light" w:cs="Calibri Light" w:asciiTheme="majorAscii" w:hAnsiTheme="majorAscii" w:cstheme="majorAscii"/>
              </w:rPr>
              <w:t>Société dépositaire des fonds</w:t>
            </w:r>
          </w:p>
        </w:tc>
        <w:tc>
          <w:tcPr>
            <w:tcW w:w="4531" w:type="dxa"/>
            <w:tcMar/>
          </w:tcPr>
          <w:p w:rsidR="00422995" w:rsidP="6FB22721" w:rsidRDefault="00422995" w14:paraId="1F1CB023" w14:textId="77777777">
            <w:pPr>
              <w:jc w:val="both"/>
              <w:rPr>
                <w:rFonts w:ascii="Calibri Light" w:hAnsi="Calibri Light" w:cs="Calibri Light" w:asciiTheme="majorAscii" w:hAnsiTheme="majorAscii" w:cstheme="majorAscii"/>
              </w:rPr>
            </w:pPr>
            <w:r w:rsidRPr="6FB22721" w:rsidR="2B8CF3FE">
              <w:rPr>
                <w:rFonts w:ascii="Calibri Light" w:hAnsi="Calibri Light" w:cs="Calibri Light" w:asciiTheme="majorAscii" w:hAnsiTheme="majorAscii" w:cstheme="majorAscii"/>
              </w:rPr>
              <w:t>Elle est co-fondatrice du fonds avec la société gestionnaire.</w:t>
            </w:r>
          </w:p>
          <w:p w:rsidR="00422995" w:rsidP="6FB22721" w:rsidRDefault="00422995" w14:paraId="71222218" w14:textId="348EFDD6">
            <w:pPr>
              <w:jc w:val="both"/>
              <w:rPr>
                <w:rFonts w:ascii="Calibri Light" w:hAnsi="Calibri Light" w:cs="Calibri Light" w:asciiTheme="majorAscii" w:hAnsiTheme="majorAscii" w:cstheme="majorAscii"/>
              </w:rPr>
            </w:pPr>
            <w:r w:rsidRPr="6FB22721" w:rsidR="2B8CF3FE">
              <w:rPr>
                <w:rFonts w:ascii="Calibri Light" w:hAnsi="Calibri Light" w:cs="Calibri Light" w:asciiTheme="majorAscii" w:hAnsiTheme="majorAscii" w:cstheme="majorAscii"/>
              </w:rPr>
              <w:t>Elle est dépositaire des créances acquises par le fonds, ainsi que de sa trésorerie. Elle édite la brochure d’information en partenariat avec la société de gestion du fonds. Il s’agit d’un établissement de crédit</w:t>
            </w:r>
          </w:p>
        </w:tc>
      </w:tr>
      <w:tr w:rsidR="00422995" w:rsidTr="6FB22721" w14:paraId="3D1707E4" w14:textId="77777777">
        <w:tc>
          <w:tcPr>
            <w:tcW w:w="4531" w:type="dxa"/>
            <w:tcMar/>
          </w:tcPr>
          <w:p w:rsidR="00422995" w:rsidP="6FB22721" w:rsidRDefault="00422995" w14:paraId="4A74C7A7" w14:textId="10829928">
            <w:pPr>
              <w:jc w:val="both"/>
              <w:rPr>
                <w:rFonts w:ascii="Calibri Light" w:hAnsi="Calibri Light" w:cs="Calibri Light" w:asciiTheme="majorAscii" w:hAnsiTheme="majorAscii" w:cstheme="majorAscii"/>
              </w:rPr>
            </w:pPr>
            <w:r w:rsidRPr="6FB22721" w:rsidR="2B8CF3FE">
              <w:rPr>
                <w:rFonts w:ascii="Calibri Light" w:hAnsi="Calibri Light" w:cs="Calibri Light" w:asciiTheme="majorAscii" w:hAnsiTheme="majorAscii" w:cstheme="majorAscii"/>
              </w:rPr>
              <w:t>FCT</w:t>
            </w:r>
          </w:p>
        </w:tc>
        <w:tc>
          <w:tcPr>
            <w:tcW w:w="4531" w:type="dxa"/>
            <w:tcMar/>
          </w:tcPr>
          <w:p w:rsidR="00FB1ECB" w:rsidP="6FB22721" w:rsidRDefault="00422995" w14:paraId="00248697" w14:textId="77777777">
            <w:pPr>
              <w:jc w:val="both"/>
              <w:rPr>
                <w:rFonts w:ascii="Calibri Light" w:hAnsi="Calibri Light" w:cs="Calibri Light" w:asciiTheme="majorAscii" w:hAnsiTheme="majorAscii" w:cstheme="majorAscii"/>
              </w:rPr>
            </w:pPr>
            <w:r w:rsidRPr="6FB22721" w:rsidR="2B8CF3FE">
              <w:rPr>
                <w:rFonts w:ascii="Calibri Light" w:hAnsi="Calibri Light" w:cs="Calibri Light" w:asciiTheme="majorAscii" w:hAnsiTheme="majorAscii" w:cstheme="majorAscii"/>
              </w:rPr>
              <w:t>. Société qui a pour objet exclusif d’acquérir des créances et d’émettre des parts représentatives de ces créances. Elle est constituée à l’initiative</w:t>
            </w:r>
            <w:r w:rsidRPr="6FB22721" w:rsidR="49E6FA70">
              <w:rPr>
                <w:rFonts w:ascii="Calibri Light" w:hAnsi="Calibri Light" w:cs="Calibri Light" w:asciiTheme="majorAscii" w:hAnsiTheme="majorAscii" w:cstheme="majorAscii"/>
              </w:rPr>
              <w:t xml:space="preserve"> des deux sociétés précédents. </w:t>
            </w:r>
          </w:p>
          <w:p w:rsidR="00FB1ECB" w:rsidP="6FB22721" w:rsidRDefault="00FB1ECB" w14:paraId="7AC660D5" w14:textId="77777777">
            <w:pPr>
              <w:jc w:val="both"/>
              <w:rPr>
                <w:rFonts w:ascii="Calibri Light" w:hAnsi="Calibri Light" w:cs="Calibri Light" w:asciiTheme="majorAscii" w:hAnsiTheme="majorAscii" w:cstheme="majorAscii"/>
              </w:rPr>
            </w:pPr>
            <w:r w:rsidRPr="6FB22721" w:rsidR="49E6FA70">
              <w:rPr>
                <w:rFonts w:ascii="Calibri Light" w:hAnsi="Calibri Light" w:cs="Calibri Light" w:asciiTheme="majorAscii" w:hAnsiTheme="majorAscii" w:cstheme="majorAscii"/>
              </w:rPr>
              <w:t xml:space="preserve">. Il acquiert des créances et, le cas échéant, conclut des contrats constituant des instruments </w:t>
            </w:r>
            <w:r w:rsidRPr="6FB22721" w:rsidR="49E6FA70">
              <w:rPr>
                <w:rFonts w:ascii="Calibri Light" w:hAnsi="Calibri Light" w:cs="Calibri Light" w:asciiTheme="majorAscii" w:hAnsiTheme="majorAscii" w:cstheme="majorAscii"/>
              </w:rPr>
              <w:t xml:space="preserve">financiers à terme afin de supporter des risques de crédit. </w:t>
            </w:r>
          </w:p>
          <w:p w:rsidR="00422995" w:rsidP="6FB22721" w:rsidRDefault="00FB1ECB" w14:paraId="7D1C2DD4" w14:textId="31591BFE">
            <w:pPr>
              <w:jc w:val="both"/>
              <w:rPr>
                <w:rFonts w:ascii="Calibri Light" w:hAnsi="Calibri Light" w:cs="Calibri Light" w:asciiTheme="majorAscii" w:hAnsiTheme="majorAscii" w:cstheme="majorAscii"/>
              </w:rPr>
            </w:pPr>
            <w:r w:rsidRPr="6FB22721" w:rsidR="49E6FA70">
              <w:rPr>
                <w:rFonts w:ascii="Calibri Light" w:hAnsi="Calibri Light" w:cs="Calibri Light" w:asciiTheme="majorAscii" w:hAnsiTheme="majorAscii" w:cstheme="majorAscii"/>
              </w:rPr>
              <w:t xml:space="preserve">. Pour financer ses acquisitions, il émet des parts et, le cas échéant, des titres de créance, et peut recourir à l’emprunt. </w:t>
            </w:r>
            <w:r w:rsidRPr="6FB22721" w:rsidR="2B8CF3FE">
              <w:rPr>
                <w:rFonts w:ascii="Calibri Light" w:hAnsi="Calibri Light" w:cs="Calibri Light" w:asciiTheme="majorAscii" w:hAnsiTheme="majorAscii" w:cstheme="majorAscii"/>
              </w:rPr>
              <w:t xml:space="preserve"> </w:t>
            </w:r>
          </w:p>
        </w:tc>
      </w:tr>
    </w:tbl>
    <w:p w:rsidR="00422995" w:rsidP="6FB22721" w:rsidRDefault="00422995" w14:paraId="21F43F05" w14:textId="42939F30">
      <w:pPr>
        <w:spacing w:after="0"/>
        <w:jc w:val="both"/>
        <w:rPr>
          <w:rFonts w:ascii="Calibri Light" w:hAnsi="Calibri Light" w:cs="Calibri Light" w:asciiTheme="majorAscii" w:hAnsiTheme="majorAscii" w:cstheme="majorAscii"/>
        </w:rPr>
      </w:pPr>
    </w:p>
    <w:p w:rsidR="00FB1ECB" w:rsidP="6FB22721" w:rsidRDefault="00FB1ECB" w14:paraId="05711B03" w14:textId="7BDFAC82">
      <w:pPr>
        <w:spacing w:after="0"/>
        <w:jc w:val="both"/>
        <w:rPr>
          <w:rFonts w:ascii="Calibri Light" w:hAnsi="Calibri Light" w:cs="Calibri Light" w:asciiTheme="majorAscii" w:hAnsiTheme="majorAscii" w:cstheme="majorAscii"/>
        </w:rPr>
      </w:pPr>
    </w:p>
    <w:p w:rsidR="00FB1ECB" w:rsidP="6FB22721" w:rsidRDefault="00FB1ECB" w14:paraId="6B056DF2" w14:textId="56468F57">
      <w:pPr>
        <w:pStyle w:val="Paragraphedeliste"/>
        <w:numPr>
          <w:ilvl w:val="1"/>
          <w:numId w:val="6"/>
        </w:numPr>
        <w:spacing w:after="0"/>
        <w:jc w:val="both"/>
        <w:rPr>
          <w:rFonts w:ascii="Calibri Light" w:hAnsi="Calibri Light" w:cs="Calibri Light" w:asciiTheme="majorAscii" w:hAnsiTheme="majorAscii" w:cstheme="majorAscii"/>
          <w:b w:val="1"/>
          <w:bCs w:val="1"/>
        </w:rPr>
      </w:pPr>
      <w:r w:rsidRPr="00FB1ECB">
        <w:rPr>
          <w:rFonts w:asciiTheme="majorHAnsi" w:hAnsiTheme="majorHAnsi" w:cstheme="majorHAnsi"/>
        </w:rPr>
        <w:tab/>
      </w:r>
      <w:r w:rsidRPr="6FB22721" w:rsidR="49E6FA70">
        <w:rPr>
          <w:rFonts w:ascii="Calibri Light" w:hAnsi="Calibri Light" w:cs="Calibri Light" w:asciiTheme="majorAscii" w:hAnsiTheme="majorAscii" w:cstheme="majorAscii"/>
          <w:b w:val="1"/>
          <w:bCs w:val="1"/>
        </w:rPr>
        <w:t>La structuration financière d’une opération de titrisation</w:t>
      </w:r>
    </w:p>
    <w:p w:rsidR="00FB1ECB" w:rsidP="6FB22721" w:rsidRDefault="00FB1ECB" w14:paraId="6BF5E73A" w14:textId="75B84A95">
      <w:pPr>
        <w:spacing w:after="0"/>
        <w:jc w:val="both"/>
        <w:rPr>
          <w:rFonts w:ascii="Calibri Light" w:hAnsi="Calibri Light" w:cs="Calibri Light" w:asciiTheme="majorAscii" w:hAnsiTheme="majorAscii" w:cstheme="majorAscii"/>
          <w:b w:val="1"/>
          <w:bCs w:val="1"/>
        </w:rPr>
      </w:pPr>
    </w:p>
    <w:p w:rsidR="00FB1ECB" w:rsidP="6FB22721" w:rsidRDefault="00FB1ECB" w14:paraId="3A12313D" w14:textId="66CE16AA">
      <w:pPr>
        <w:spacing w:after="0"/>
        <w:ind w:left="372"/>
        <w:jc w:val="both"/>
        <w:rPr>
          <w:rFonts w:ascii="Calibri Light" w:hAnsi="Calibri Light" w:cs="Calibri Light" w:asciiTheme="majorAscii" w:hAnsiTheme="majorAscii" w:cstheme="majorAscii"/>
        </w:rPr>
      </w:pPr>
      <w:r w:rsidRPr="6FB22721" w:rsidR="49E6FA70">
        <w:rPr>
          <w:rFonts w:ascii="Calibri Light" w:hAnsi="Calibri Light" w:cs="Calibri Light" w:asciiTheme="majorAscii" w:hAnsiTheme="majorAscii" w:cstheme="majorAscii"/>
        </w:rPr>
        <w:t xml:space="preserve">La structuration financière </w:t>
      </w:r>
      <w:r w:rsidRPr="6FB22721" w:rsidR="2037F6AE">
        <w:rPr>
          <w:rFonts w:ascii="Calibri Light" w:hAnsi="Calibri Light" w:cs="Calibri Light" w:asciiTheme="majorAscii" w:hAnsiTheme="majorAscii" w:cstheme="majorAscii"/>
        </w:rPr>
        <w:t xml:space="preserve">d’une telle opération peut prendre diverses formes et les montages ont </w:t>
      </w:r>
    </w:p>
    <w:p w:rsidR="009C3C0C" w:rsidP="6FB22721" w:rsidRDefault="009C3C0C" w14:paraId="0B485B44" w14:textId="7332B935">
      <w:pPr>
        <w:spacing w:after="0"/>
        <w:jc w:val="both"/>
        <w:rPr>
          <w:rFonts w:ascii="Calibri Light" w:hAnsi="Calibri Light" w:cs="Calibri Light" w:asciiTheme="majorAscii" w:hAnsiTheme="majorAscii" w:cstheme="majorAscii"/>
        </w:rPr>
      </w:pPr>
      <w:r w:rsidRPr="6FB22721" w:rsidR="2037F6AE">
        <w:rPr>
          <w:rFonts w:ascii="Calibri Light" w:hAnsi="Calibri Light" w:cs="Calibri Light" w:asciiTheme="majorAscii" w:hAnsiTheme="majorAscii" w:cstheme="majorAscii"/>
        </w:rPr>
        <w:t xml:space="preserve">eu tendance à se complexifier, voir à s’opacifier, au fil des années. Mais de grandes tendances peuvent être dégagées. </w:t>
      </w:r>
    </w:p>
    <w:p w:rsidR="009C3C0C" w:rsidP="6FB22721" w:rsidRDefault="009C3C0C" w14:paraId="7BF82926" w14:textId="7A4FA397">
      <w:pPr>
        <w:spacing w:after="0"/>
        <w:jc w:val="both"/>
        <w:rPr>
          <w:rFonts w:ascii="Calibri Light" w:hAnsi="Calibri Light" w:cs="Calibri Light" w:asciiTheme="majorAscii" w:hAnsiTheme="majorAscii" w:cstheme="majorAscii"/>
        </w:rPr>
      </w:pPr>
    </w:p>
    <w:p w:rsidR="009C3C0C" w:rsidP="6FB22721" w:rsidRDefault="009C3C0C" w14:paraId="5C43E3BF" w14:textId="2CA7B14D">
      <w:pPr>
        <w:spacing w:after="0"/>
        <w:jc w:val="both"/>
        <w:rPr>
          <w:rFonts w:ascii="Calibri Light" w:hAnsi="Calibri Light" w:cs="Calibri Light" w:asciiTheme="majorAscii" w:hAnsiTheme="majorAscii" w:cstheme="majorAscii"/>
        </w:rPr>
      </w:pPr>
      <w:r>
        <w:rPr>
          <w:rFonts w:asciiTheme="majorHAnsi" w:hAnsiTheme="majorHAnsi" w:cstheme="majorHAnsi"/>
        </w:rPr>
        <w:tab/>
      </w:r>
      <w:r w:rsidRPr="6FB22721" w:rsidR="2037F6AE">
        <w:rPr>
          <w:rFonts w:ascii="Calibri Light" w:hAnsi="Calibri Light" w:cs="Calibri Light" w:asciiTheme="majorAscii" w:hAnsiTheme="majorAscii" w:cstheme="majorAscii"/>
        </w:rPr>
        <w:t>1.3.1. Formes de remboursement des titres émis par le SPV/SPE</w:t>
      </w:r>
    </w:p>
    <w:p w:rsidR="009C3C0C" w:rsidP="6FB22721" w:rsidRDefault="009C3C0C" w14:paraId="38499CF5" w14:textId="7B172F81">
      <w:pPr>
        <w:spacing w:after="0"/>
        <w:jc w:val="both"/>
        <w:rPr>
          <w:rFonts w:ascii="Calibri Light" w:hAnsi="Calibri Light" w:cs="Calibri Light" w:asciiTheme="majorAscii" w:hAnsiTheme="majorAscii" w:cstheme="majorAscii"/>
        </w:rPr>
      </w:pPr>
    </w:p>
    <w:tbl>
      <w:tblPr>
        <w:tblStyle w:val="Grilledutableau"/>
        <w:tblW w:w="0" w:type="auto"/>
        <w:tblLook w:val="04A0" w:firstRow="1" w:lastRow="0" w:firstColumn="1" w:lastColumn="0" w:noHBand="0" w:noVBand="1"/>
      </w:tblPr>
      <w:tblGrid>
        <w:gridCol w:w="2263"/>
        <w:gridCol w:w="6799"/>
      </w:tblGrid>
      <w:tr w:rsidR="009C3C0C" w:rsidTr="6FB22721" w14:paraId="611B499D" w14:textId="77777777">
        <w:tc>
          <w:tcPr>
            <w:tcW w:w="2263" w:type="dxa"/>
            <w:tcMar/>
          </w:tcPr>
          <w:p w:rsidR="009C3C0C" w:rsidP="6FB22721" w:rsidRDefault="009C3C0C" w14:paraId="5B7349B9" w14:textId="7E1D4196">
            <w:pPr>
              <w:jc w:val="both"/>
              <w:rPr>
                <w:rFonts w:ascii="Calibri Light" w:hAnsi="Calibri Light" w:cs="Calibri Light" w:asciiTheme="majorAscii" w:hAnsiTheme="majorAscii" w:cstheme="majorAscii"/>
              </w:rPr>
            </w:pPr>
            <w:r w:rsidRPr="6FB22721" w:rsidR="2037F6AE">
              <w:rPr>
                <w:rFonts w:ascii="Calibri Light" w:hAnsi="Calibri Light" w:cs="Calibri Light" w:asciiTheme="majorAscii" w:hAnsiTheme="majorAscii" w:cstheme="majorAscii"/>
              </w:rPr>
              <w:t>Structures « pass-through »</w:t>
            </w:r>
          </w:p>
        </w:tc>
        <w:tc>
          <w:tcPr>
            <w:tcW w:w="6799" w:type="dxa"/>
            <w:tcMar/>
          </w:tcPr>
          <w:p w:rsidR="009C3C0C" w:rsidP="6FB22721" w:rsidRDefault="00695549" w14:paraId="3264ABB7" w14:textId="77777777">
            <w:pPr>
              <w:pStyle w:val="Paragraphedeliste"/>
              <w:numPr>
                <w:ilvl w:val="0"/>
                <w:numId w:val="20"/>
              </w:numPr>
              <w:jc w:val="both"/>
              <w:rPr>
                <w:rFonts w:ascii="Calibri Light" w:hAnsi="Calibri Light" w:cs="Calibri Light" w:asciiTheme="majorAscii" w:hAnsiTheme="majorAscii" w:cstheme="majorAscii"/>
              </w:rPr>
            </w:pPr>
            <w:r w:rsidRPr="6FB22721" w:rsidR="00695549">
              <w:rPr>
                <w:rFonts w:ascii="Calibri Light" w:hAnsi="Calibri Light" w:cs="Calibri Light" w:asciiTheme="majorAscii" w:hAnsiTheme="majorAscii" w:cstheme="majorAscii"/>
              </w:rPr>
              <w:t>Les titres représentent un droit direct proportionnel des investisseurs.</w:t>
            </w:r>
          </w:p>
          <w:p w:rsidR="00695549" w:rsidP="6FB22721" w:rsidRDefault="00695549" w14:paraId="3EC3D69D" w14:textId="77777777">
            <w:pPr>
              <w:pStyle w:val="Paragraphedeliste"/>
              <w:numPr>
                <w:ilvl w:val="0"/>
                <w:numId w:val="20"/>
              </w:numPr>
              <w:jc w:val="both"/>
              <w:rPr>
                <w:rFonts w:ascii="Calibri Light" w:hAnsi="Calibri Light" w:cs="Calibri Light" w:asciiTheme="majorAscii" w:hAnsiTheme="majorAscii" w:cstheme="majorAscii"/>
              </w:rPr>
            </w:pPr>
            <w:r w:rsidRPr="6FB22721" w:rsidR="00695549">
              <w:rPr>
                <w:rFonts w:ascii="Calibri Light" w:hAnsi="Calibri Light" w:cs="Calibri Light" w:asciiTheme="majorAscii" w:hAnsiTheme="majorAscii" w:cstheme="majorAscii"/>
              </w:rPr>
              <w:t>Les flux d’intérêts et de capitaux issus d’un « panier » (pool) de créances de même catégorie cédées au véhicule</w:t>
            </w:r>
            <w:r w:rsidRPr="6FB22721" w:rsidR="00F0110D">
              <w:rPr>
                <w:rFonts w:ascii="Calibri Light" w:hAnsi="Calibri Light" w:cs="Calibri Light" w:asciiTheme="majorAscii" w:hAnsiTheme="majorAscii" w:cstheme="majorAscii"/>
              </w:rPr>
              <w:t xml:space="preserve"> sont directement transmis aux investisseurs au prorata du nombre de titres qu’ils détiennent à chaque échéance.</w:t>
            </w:r>
          </w:p>
          <w:p w:rsidRPr="00695549" w:rsidR="00F0110D" w:rsidP="6FB22721" w:rsidRDefault="00F0110D" w14:paraId="70E01F3D" w14:textId="18820EF9">
            <w:pPr>
              <w:pStyle w:val="Paragraphedeliste"/>
              <w:numPr>
                <w:ilvl w:val="0"/>
                <w:numId w:val="20"/>
              </w:numPr>
              <w:jc w:val="both"/>
              <w:rPr>
                <w:rFonts w:ascii="Calibri Light" w:hAnsi="Calibri Light" w:cs="Calibri Light" w:asciiTheme="majorAscii" w:hAnsiTheme="majorAscii" w:cstheme="majorAscii"/>
              </w:rPr>
            </w:pPr>
            <w:r w:rsidRPr="6FB22721" w:rsidR="00F0110D">
              <w:rPr>
                <w:rFonts w:ascii="Calibri Light" w:hAnsi="Calibri Light" w:cs="Calibri Light" w:asciiTheme="majorAscii" w:hAnsiTheme="majorAscii" w:cstheme="majorAscii"/>
              </w:rPr>
              <w:t xml:space="preserve">Il n’y a donc aucune transformation de flux ou de caractéristiques des actifs. </w:t>
            </w:r>
          </w:p>
        </w:tc>
      </w:tr>
      <w:tr w:rsidR="009C3C0C" w:rsidTr="6FB22721" w14:paraId="71525BD9" w14:textId="77777777">
        <w:tc>
          <w:tcPr>
            <w:tcW w:w="2263" w:type="dxa"/>
            <w:tcMar/>
          </w:tcPr>
          <w:p w:rsidR="009C3C0C" w:rsidP="6FB22721" w:rsidRDefault="00F0110D" w14:paraId="6EE3FFF2" w14:textId="241BA0A0">
            <w:pPr>
              <w:jc w:val="both"/>
              <w:rPr>
                <w:rFonts w:ascii="Calibri Light" w:hAnsi="Calibri Light" w:cs="Calibri Light" w:asciiTheme="majorAscii" w:hAnsiTheme="majorAscii" w:cstheme="majorAscii"/>
              </w:rPr>
            </w:pPr>
            <w:r w:rsidRPr="6FB22721" w:rsidR="00F0110D">
              <w:rPr>
                <w:rFonts w:ascii="Calibri Light" w:hAnsi="Calibri Light" w:cs="Calibri Light" w:asciiTheme="majorAscii" w:hAnsiTheme="majorAscii" w:cstheme="majorAscii"/>
              </w:rPr>
              <w:t xml:space="preserve">Structures « pay-through » </w:t>
            </w:r>
          </w:p>
        </w:tc>
        <w:tc>
          <w:tcPr>
            <w:tcW w:w="6799" w:type="dxa"/>
            <w:tcMar/>
          </w:tcPr>
          <w:p w:rsidR="009C3C0C" w:rsidP="6FB22721" w:rsidRDefault="00B534E5" w14:paraId="24069F39" w14:textId="77777777">
            <w:pPr>
              <w:pStyle w:val="Paragraphedeliste"/>
              <w:numPr>
                <w:ilvl w:val="0"/>
                <w:numId w:val="20"/>
              </w:numPr>
              <w:jc w:val="both"/>
              <w:rPr>
                <w:rFonts w:ascii="Calibri Light" w:hAnsi="Calibri Light" w:cs="Calibri Light" w:asciiTheme="majorAscii" w:hAnsiTheme="majorAscii" w:cstheme="majorAscii"/>
              </w:rPr>
            </w:pPr>
            <w:r w:rsidRPr="6FB22721" w:rsidR="55F2A72F">
              <w:rPr>
                <w:rFonts w:ascii="Calibri Light" w:hAnsi="Calibri Light" w:cs="Calibri Light" w:asciiTheme="majorAscii" w:hAnsiTheme="majorAscii" w:cstheme="majorAscii"/>
              </w:rPr>
              <w:t xml:space="preserve">Les flux versés aux investisseurs ne sont plus un simple transfert de flux issus de créances : ils sont remboursés indépendamment des dates d’échéance des créances collectées. </w:t>
            </w:r>
          </w:p>
          <w:p w:rsidRPr="00B534E5" w:rsidR="00B534E5" w:rsidP="6FB22721" w:rsidRDefault="00B534E5" w14:paraId="3BDEE70B" w14:textId="74FA0051">
            <w:pPr>
              <w:pStyle w:val="Paragraphedeliste"/>
              <w:numPr>
                <w:ilvl w:val="0"/>
                <w:numId w:val="20"/>
              </w:numPr>
              <w:jc w:val="both"/>
              <w:rPr>
                <w:rFonts w:ascii="Calibri Light" w:hAnsi="Calibri Light" w:cs="Calibri Light" w:asciiTheme="majorAscii" w:hAnsiTheme="majorAscii" w:cstheme="majorAscii"/>
              </w:rPr>
            </w:pPr>
            <w:r w:rsidRPr="6FB22721" w:rsidR="55F2A72F">
              <w:rPr>
                <w:rFonts w:ascii="Calibri Light" w:hAnsi="Calibri Light" w:cs="Calibri Light" w:asciiTheme="majorAscii" w:hAnsiTheme="majorAscii" w:cstheme="majorAscii"/>
              </w:rPr>
              <w:t>Le SPV peut alors offrir plusieurs catégories de titres avec des caractéristiques de taux et de maturité différentes. Dans ce cas, le portefeuille de titres est généralement adossé à un panier de créances différentes.</w:t>
            </w:r>
          </w:p>
        </w:tc>
      </w:tr>
    </w:tbl>
    <w:p w:rsidRPr="00FB1ECB" w:rsidR="009C3C0C" w:rsidP="6FB22721" w:rsidRDefault="009C3C0C" w14:paraId="43865329" w14:textId="77777777">
      <w:pPr>
        <w:spacing w:after="0"/>
        <w:jc w:val="both"/>
        <w:rPr>
          <w:rFonts w:ascii="Calibri Light" w:hAnsi="Calibri Light" w:cs="Calibri Light" w:asciiTheme="majorAscii" w:hAnsiTheme="majorAscii" w:cstheme="majorAscii"/>
        </w:rPr>
      </w:pPr>
    </w:p>
    <w:p w:rsidR="00FB1ECB" w:rsidP="6FB22721" w:rsidRDefault="00B534E5" w14:paraId="4EE9E18D" w14:textId="5ECCF2EB">
      <w:pPr>
        <w:spacing w:after="0"/>
        <w:jc w:val="both"/>
        <w:rPr>
          <w:rFonts w:ascii="Calibri Light" w:hAnsi="Calibri Light" w:cs="Calibri Light" w:asciiTheme="majorAscii" w:hAnsiTheme="majorAscii" w:cstheme="majorAscii"/>
        </w:rPr>
      </w:pPr>
      <w:r>
        <w:rPr>
          <w:rFonts w:asciiTheme="majorHAnsi" w:hAnsiTheme="majorHAnsi" w:cstheme="majorHAnsi"/>
        </w:rPr>
        <w:tab/>
      </w:r>
      <w:r w:rsidRPr="6FB22721" w:rsidR="55F2A72F">
        <w:rPr>
          <w:rFonts w:ascii="Calibri Light" w:hAnsi="Calibri Light" w:cs="Calibri Light" w:asciiTheme="majorAscii" w:hAnsiTheme="majorAscii" w:cstheme="majorAscii"/>
        </w:rPr>
        <w:t>Ce sont les structures de type « pay-through » qui sont généralement utilisées dans les titrisations, notamment dans les différentes structurations de passif présentées ci-après.</w:t>
      </w:r>
    </w:p>
    <w:p w:rsidR="00B534E5" w:rsidP="6FB22721" w:rsidRDefault="00B534E5" w14:paraId="7790149C" w14:textId="6D738C72">
      <w:pPr>
        <w:spacing w:after="0"/>
        <w:jc w:val="both"/>
        <w:rPr>
          <w:rFonts w:ascii="Calibri Light" w:hAnsi="Calibri Light" w:cs="Calibri Light" w:asciiTheme="majorAscii" w:hAnsiTheme="majorAscii" w:cstheme="majorAscii"/>
        </w:rPr>
      </w:pPr>
    </w:p>
    <w:p w:rsidR="00B534E5" w:rsidP="6FB22721" w:rsidRDefault="00B534E5" w14:paraId="04DFE149" w14:textId="114FB922">
      <w:pPr>
        <w:spacing w:after="0"/>
        <w:jc w:val="both"/>
        <w:rPr>
          <w:rFonts w:ascii="Calibri Light" w:hAnsi="Calibri Light" w:cs="Calibri Light" w:asciiTheme="majorAscii" w:hAnsiTheme="majorAscii" w:cstheme="majorAscii"/>
        </w:rPr>
      </w:pPr>
      <w:r>
        <w:rPr>
          <w:rFonts w:asciiTheme="majorHAnsi" w:hAnsiTheme="majorHAnsi" w:cstheme="majorHAnsi"/>
        </w:rPr>
        <w:tab/>
      </w:r>
      <w:r w:rsidRPr="6FB22721" w:rsidR="55F2A72F">
        <w:rPr>
          <w:rFonts w:ascii="Calibri Light" w:hAnsi="Calibri Light" w:cs="Calibri Light" w:asciiTheme="majorAscii" w:hAnsiTheme="majorAscii" w:cstheme="majorAscii"/>
        </w:rPr>
        <w:t>1.3.2. La subordination (credit tranching)</w:t>
      </w:r>
    </w:p>
    <w:p w:rsidR="00B534E5" w:rsidP="6FB22721" w:rsidRDefault="00B534E5" w14:paraId="3A7E05A0" w14:textId="0FAA8E6A">
      <w:pPr>
        <w:spacing w:after="0"/>
        <w:jc w:val="both"/>
        <w:rPr>
          <w:rFonts w:ascii="Calibri Light" w:hAnsi="Calibri Light" w:cs="Calibri Light" w:asciiTheme="majorAscii" w:hAnsiTheme="majorAscii" w:cstheme="majorAscii"/>
        </w:rPr>
      </w:pPr>
    </w:p>
    <w:p w:rsidR="00B534E5" w:rsidP="6FB22721" w:rsidRDefault="00B534E5" w14:paraId="1D263055" w14:textId="0CAF5567">
      <w:pPr>
        <w:spacing w:after="0"/>
        <w:jc w:val="both"/>
        <w:rPr>
          <w:rFonts w:ascii="Calibri Light" w:hAnsi="Calibri Light" w:cs="Calibri Light" w:asciiTheme="majorAscii" w:hAnsiTheme="majorAscii" w:cstheme="majorAscii"/>
        </w:rPr>
      </w:pPr>
      <w:r>
        <w:rPr>
          <w:rFonts w:asciiTheme="majorHAnsi" w:hAnsiTheme="majorHAnsi" w:cstheme="majorHAnsi"/>
        </w:rPr>
        <w:tab/>
      </w:r>
      <w:r w:rsidRPr="6FB22721" w:rsidR="55F2A72F">
        <w:rPr>
          <w:rFonts w:ascii="Calibri Light" w:hAnsi="Calibri Light" w:cs="Calibri Light" w:asciiTheme="majorAscii" w:hAnsiTheme="majorAscii" w:cstheme="majorAscii"/>
        </w:rPr>
        <w:t xml:space="preserve">La subordination des classes de titres consiste à établir une hiérarchie au sein des investisseurs qui a un impact sur la distribution des liquidités et sur l’assomption du risque de crédit. </w:t>
      </w:r>
    </w:p>
    <w:p w:rsidR="00B534E5" w:rsidP="6FB22721" w:rsidRDefault="00B534E5" w14:paraId="3D6BF5F5" w14:textId="71C791EA">
      <w:pPr>
        <w:spacing w:after="0"/>
        <w:jc w:val="both"/>
        <w:rPr>
          <w:rFonts w:ascii="Calibri Light" w:hAnsi="Calibri Light" w:cs="Calibri Light" w:asciiTheme="majorAscii" w:hAnsiTheme="majorAscii" w:cstheme="majorAscii"/>
        </w:rPr>
      </w:pPr>
    </w:p>
    <w:p w:rsidR="00B534E5" w:rsidP="6FB22721" w:rsidRDefault="00B534E5" w14:paraId="1035BD04" w14:textId="2093D699">
      <w:pPr>
        <w:spacing w:after="0"/>
        <w:jc w:val="both"/>
        <w:rPr>
          <w:rFonts w:ascii="Calibri Light" w:hAnsi="Calibri Light" w:cs="Calibri Light" w:asciiTheme="majorAscii" w:hAnsiTheme="majorAscii" w:cstheme="majorAscii"/>
        </w:rPr>
      </w:pPr>
      <w:r>
        <w:rPr>
          <w:rFonts w:asciiTheme="majorHAnsi" w:hAnsiTheme="majorHAnsi" w:cstheme="majorHAnsi"/>
        </w:rPr>
        <w:tab/>
      </w:r>
      <w:r w:rsidRPr="6FB22721" w:rsidR="55F2A72F">
        <w:rPr>
          <w:rFonts w:ascii="Calibri Light" w:hAnsi="Calibri Light" w:cs="Calibri Light" w:asciiTheme="majorAscii" w:hAnsiTheme="majorAscii" w:cstheme="majorAscii"/>
        </w:rPr>
        <w:t xml:space="preserve">Il existe </w:t>
      </w:r>
      <w:r w:rsidRPr="6FB22721" w:rsidR="571A3049">
        <w:rPr>
          <w:rFonts w:ascii="Calibri Light" w:hAnsi="Calibri Light" w:cs="Calibri Light" w:asciiTheme="majorAscii" w:hAnsiTheme="majorAscii" w:cstheme="majorAscii"/>
        </w:rPr>
        <w:t>trois grands types de classe de titres :</w:t>
      </w:r>
    </w:p>
    <w:p w:rsidR="00616D38" w:rsidP="6FB22721" w:rsidRDefault="00616D38" w14:paraId="629C674C" w14:textId="35ECD5B1">
      <w:pPr>
        <w:pStyle w:val="Paragraphedeliste"/>
        <w:numPr>
          <w:ilvl w:val="0"/>
          <w:numId w:val="20"/>
        </w:numPr>
        <w:spacing w:after="0"/>
        <w:jc w:val="both"/>
        <w:rPr>
          <w:rFonts w:ascii="Calibri Light" w:hAnsi="Calibri Light" w:cs="Calibri Light" w:asciiTheme="majorAscii" w:hAnsiTheme="majorAscii" w:cstheme="majorAscii"/>
        </w:rPr>
      </w:pPr>
      <w:r w:rsidRPr="6FB22721" w:rsidR="571A3049">
        <w:rPr>
          <w:rFonts w:ascii="Calibri Light" w:hAnsi="Calibri Light" w:cs="Calibri Light" w:asciiTheme="majorAscii" w:hAnsiTheme="majorAscii" w:cstheme="majorAscii"/>
        </w:rPr>
        <w:t xml:space="preserve">La dette </w:t>
      </w:r>
      <w:r w:rsidRPr="6FB22721" w:rsidR="69467514">
        <w:rPr>
          <w:rFonts w:ascii="Calibri Light" w:hAnsi="Calibri Light" w:cs="Calibri Light" w:asciiTheme="majorAscii" w:hAnsiTheme="majorAscii" w:cstheme="majorAscii"/>
          <w:b w:val="1"/>
          <w:bCs w:val="1"/>
        </w:rPr>
        <w:t>_____________</w:t>
      </w:r>
      <w:r w:rsidRPr="6FB22721" w:rsidR="571A3049">
        <w:rPr>
          <w:rFonts w:ascii="Calibri Light" w:hAnsi="Calibri Light" w:cs="Calibri Light" w:asciiTheme="majorAscii" w:hAnsiTheme="majorAscii" w:cstheme="majorAscii"/>
        </w:rPr>
        <w:t> : rendement faible mais très faible exposition au risque de crédit ;</w:t>
      </w:r>
    </w:p>
    <w:p w:rsidR="00616D38" w:rsidP="6FB22721" w:rsidRDefault="00616D38" w14:paraId="79860E88" w14:textId="3C524A7A">
      <w:pPr>
        <w:pStyle w:val="Paragraphedeliste"/>
        <w:numPr>
          <w:ilvl w:val="0"/>
          <w:numId w:val="20"/>
        </w:numPr>
        <w:spacing w:after="0"/>
        <w:jc w:val="both"/>
        <w:rPr>
          <w:rFonts w:ascii="Calibri Light" w:hAnsi="Calibri Light" w:cs="Calibri Light" w:asciiTheme="majorAscii" w:hAnsiTheme="majorAscii" w:cstheme="majorAscii"/>
        </w:rPr>
      </w:pPr>
      <w:r w:rsidRPr="6FB22721" w:rsidR="571A3049">
        <w:rPr>
          <w:rFonts w:ascii="Calibri Light" w:hAnsi="Calibri Light" w:cs="Calibri Light" w:asciiTheme="majorAscii" w:hAnsiTheme="majorAscii" w:cstheme="majorAscii"/>
        </w:rPr>
        <w:t xml:space="preserve">La tranche </w:t>
      </w:r>
      <w:r w:rsidRPr="6FB22721" w:rsidR="69467514">
        <w:rPr>
          <w:rFonts w:ascii="Calibri Light" w:hAnsi="Calibri Light" w:cs="Calibri Light" w:asciiTheme="majorAscii" w:hAnsiTheme="majorAscii" w:cstheme="majorAscii"/>
        </w:rPr>
        <w:t>______________</w:t>
      </w:r>
      <w:r w:rsidRPr="6FB22721" w:rsidR="571A3049">
        <w:rPr>
          <w:rFonts w:ascii="Calibri Light" w:hAnsi="Calibri Light" w:cs="Calibri Light" w:asciiTheme="majorAscii" w:hAnsiTheme="majorAscii" w:cstheme="majorAscii"/>
        </w:rPr>
        <w:t xml:space="preserve"> (ou différentes tranches junior) : rendement et exposition au risque intermédiaires ;</w:t>
      </w:r>
    </w:p>
    <w:p w:rsidRPr="00616D38" w:rsidR="00616D38" w:rsidP="6FB22721" w:rsidRDefault="00616D38" w14:paraId="60AC76AE" w14:textId="7378F537">
      <w:pPr>
        <w:pStyle w:val="Paragraphedeliste"/>
        <w:numPr>
          <w:ilvl w:val="0"/>
          <w:numId w:val="20"/>
        </w:numPr>
        <w:spacing w:after="0"/>
        <w:jc w:val="both"/>
        <w:rPr>
          <w:rFonts w:ascii="Calibri Light" w:hAnsi="Calibri Light" w:cs="Calibri Light" w:asciiTheme="majorAscii" w:hAnsiTheme="majorAscii" w:cstheme="majorAscii"/>
        </w:rPr>
      </w:pPr>
      <w:r w:rsidRPr="6FB22721" w:rsidR="571A3049">
        <w:rPr>
          <w:rFonts w:ascii="Calibri Light" w:hAnsi="Calibri Light" w:cs="Calibri Light" w:asciiTheme="majorAscii" w:hAnsiTheme="majorAscii" w:cstheme="majorAscii"/>
        </w:rPr>
        <w:t xml:space="preserve">Une tranche dite </w:t>
      </w:r>
      <w:r w:rsidRPr="6FB22721" w:rsidR="69467514">
        <w:rPr>
          <w:rFonts w:ascii="Calibri Light" w:hAnsi="Calibri Light" w:cs="Calibri Light" w:asciiTheme="majorAscii" w:hAnsiTheme="majorAscii" w:cstheme="majorAscii"/>
        </w:rPr>
        <w:t>_____________</w:t>
      </w:r>
      <w:r w:rsidRPr="6FB22721" w:rsidR="571A3049">
        <w:rPr>
          <w:rFonts w:ascii="Calibri Light" w:hAnsi="Calibri Light" w:cs="Calibri Light" w:asciiTheme="majorAscii" w:hAnsiTheme="majorAscii" w:cstheme="majorAscii"/>
        </w:rPr>
        <w:t xml:space="preserve"> qui absorbe l’essentiel du risque attaché au portefeuille d’actifs titrisés mais qui possède une forte rentabilité.</w:t>
      </w:r>
    </w:p>
    <w:p w:rsidR="000D48E4" w:rsidP="6FB22721" w:rsidRDefault="000D48E4" w14:paraId="0167DF27" w14:textId="792D5C90">
      <w:pPr>
        <w:spacing w:after="0"/>
        <w:jc w:val="both"/>
        <w:rPr>
          <w:rFonts w:ascii="Calibri Light" w:hAnsi="Calibri Light" w:cs="Calibri Light" w:asciiTheme="majorAscii" w:hAnsiTheme="majorAscii" w:cstheme="majorAscii"/>
        </w:rPr>
      </w:pPr>
      <w:r w:rsidRPr="6FB22721" w:rsidR="34D1A97D">
        <w:rPr>
          <w:rFonts w:ascii="Calibri Light" w:hAnsi="Calibri Light" w:cs="Calibri Light" w:asciiTheme="majorAscii" w:hAnsiTheme="majorAscii" w:cstheme="majorAscii"/>
        </w:rPr>
        <w:t xml:space="preserve"> </w:t>
      </w:r>
    </w:p>
    <w:p w:rsidR="00D33CA3" w:rsidP="6FB22721" w:rsidRDefault="00D33CA3" w14:paraId="5C44FB0B" w14:textId="5D5FC337">
      <w:pPr>
        <w:spacing w:after="0"/>
        <w:jc w:val="both"/>
        <w:rPr>
          <w:rFonts w:ascii="Calibri Light" w:hAnsi="Calibri Light" w:cs="Calibri Light" w:asciiTheme="majorAscii" w:hAnsiTheme="majorAscii" w:cstheme="majorAscii"/>
        </w:rPr>
      </w:pPr>
    </w:p>
    <w:p w:rsidR="00D33CA3" w:rsidP="6FB22721" w:rsidRDefault="00D33CA3" w14:paraId="3DD0F63D" w14:textId="3705E546">
      <w:pPr>
        <w:spacing w:after="0"/>
        <w:ind w:firstLine="708"/>
        <w:jc w:val="both"/>
        <w:rPr>
          <w:rFonts w:ascii="Calibri Light" w:hAnsi="Calibri Light" w:cs="Calibri Light" w:asciiTheme="majorAscii" w:hAnsiTheme="majorAscii" w:cstheme="majorAscii"/>
        </w:rPr>
      </w:pPr>
      <w:r w:rsidRPr="6FB22721" w:rsidR="6DD4EC5A">
        <w:rPr>
          <w:rFonts w:ascii="Calibri Light" w:hAnsi="Calibri Light" w:cs="Calibri Light" w:asciiTheme="majorAscii" w:hAnsiTheme="majorAscii" w:cstheme="majorAscii"/>
        </w:rPr>
        <w:t>Le paiement des intérêts et l'amortissement des dettes obligataires s'opèrent dans un ordre précisé dans la réglementation (la documentation) du SPV. Ils suivent une hiérarchie de distribution que l'on nomme cascade des</w:t>
      </w:r>
      <w:r w:rsidRPr="6FB22721" w:rsidR="6DD4EC5A">
        <w:rPr>
          <w:rFonts w:ascii="Calibri Light" w:hAnsi="Calibri Light" w:cs="Calibri Light" w:asciiTheme="majorAscii" w:hAnsiTheme="majorAscii" w:cstheme="majorAscii"/>
        </w:rPr>
        <w:t xml:space="preserve"> paiements (</w:t>
      </w:r>
      <w:r w:rsidRPr="6FB22721" w:rsidR="69467514">
        <w:rPr>
          <w:rFonts w:ascii="Calibri Light" w:hAnsi="Calibri Light" w:cs="Calibri Light" w:asciiTheme="majorAscii" w:hAnsiTheme="majorAscii" w:cstheme="majorAscii"/>
        </w:rPr>
        <w:t>__________________</w:t>
      </w:r>
      <w:r w:rsidRPr="6FB22721" w:rsidR="6DD4EC5A">
        <w:rPr>
          <w:rFonts w:ascii="Calibri Light" w:hAnsi="Calibri Light" w:cs="Calibri Light" w:asciiTheme="majorAscii" w:hAnsiTheme="majorAscii" w:cstheme="majorAscii"/>
        </w:rPr>
        <w:t>)</w:t>
      </w:r>
      <w:r w:rsidRPr="6FB22721" w:rsidR="69467514">
        <w:rPr>
          <w:rFonts w:ascii="Calibri Light" w:hAnsi="Calibri Light" w:cs="Calibri Light" w:asciiTheme="majorAscii" w:hAnsiTheme="majorAscii" w:cstheme="majorAscii"/>
        </w:rPr>
        <w:t>.</w:t>
      </w:r>
    </w:p>
    <w:p w:rsidR="00D33CA3" w:rsidP="6FB22721" w:rsidRDefault="00D33CA3" w14:paraId="1B41D0F3" w14:textId="46F9C55B">
      <w:pPr>
        <w:spacing w:after="0"/>
        <w:jc w:val="both"/>
        <w:rPr>
          <w:rFonts w:ascii="Calibri Light" w:hAnsi="Calibri Light" w:cs="Calibri Light" w:asciiTheme="majorAscii" w:hAnsiTheme="majorAscii" w:cstheme="majorAscii"/>
        </w:rPr>
      </w:pPr>
    </w:p>
    <w:p w:rsidR="00D33CA3" w:rsidP="6FB22721" w:rsidRDefault="00D33CA3" w14:paraId="77150E0B" w14:textId="6221259F">
      <w:pPr>
        <w:spacing w:after="0"/>
        <w:ind w:firstLine="708"/>
        <w:jc w:val="both"/>
        <w:rPr>
          <w:rFonts w:ascii="Calibri Light" w:hAnsi="Calibri Light" w:cs="Calibri Light" w:asciiTheme="majorAscii" w:hAnsiTheme="majorAscii" w:cstheme="majorAscii"/>
        </w:rPr>
      </w:pPr>
      <w:r w:rsidRPr="6FB22721" w:rsidR="6DD4EC5A">
        <w:rPr>
          <w:rFonts w:ascii="Calibri Light" w:hAnsi="Calibri Light" w:cs="Calibri Light" w:asciiTheme="majorAscii" w:hAnsiTheme="majorAscii" w:cstheme="majorAscii"/>
        </w:rPr>
        <w:t>L</w:t>
      </w:r>
      <w:r w:rsidRPr="6FB22721" w:rsidR="6DD4EC5A">
        <w:rPr>
          <w:rFonts w:ascii="Calibri Light" w:hAnsi="Calibri Light" w:cs="Calibri Light" w:asciiTheme="majorAscii" w:hAnsiTheme="majorAscii" w:cstheme="majorAscii"/>
        </w:rPr>
        <w:t xml:space="preserve">es créanciers senior seront servis </w:t>
      </w:r>
      <w:r w:rsidRPr="6FB22721" w:rsidR="69467514">
        <w:rPr>
          <w:rFonts w:ascii="Calibri Light" w:hAnsi="Calibri Light" w:cs="Calibri Light" w:asciiTheme="majorAscii" w:hAnsiTheme="majorAscii" w:cstheme="majorAscii"/>
        </w:rPr>
        <w:t>________________</w:t>
      </w:r>
      <w:r w:rsidRPr="6FB22721" w:rsidR="6DD4EC5A">
        <w:rPr>
          <w:rFonts w:ascii="Calibri Light" w:hAnsi="Calibri Light" w:cs="Calibri Light" w:asciiTheme="majorAscii" w:hAnsiTheme="majorAscii" w:cstheme="majorAscii"/>
        </w:rPr>
        <w:t xml:space="preserve"> jusqu'à leur désintéressement.  Ensuite, vient le tour des créanciers </w:t>
      </w:r>
      <w:r w:rsidRPr="6FB22721" w:rsidR="69467514">
        <w:rPr>
          <w:rFonts w:ascii="Calibri Light" w:hAnsi="Calibri Light" w:cs="Calibri Light" w:asciiTheme="majorAscii" w:hAnsiTheme="majorAscii" w:cstheme="majorAscii"/>
        </w:rPr>
        <w:t>__________</w:t>
      </w:r>
      <w:r w:rsidRPr="6FB22721" w:rsidR="6DD4EC5A">
        <w:rPr>
          <w:rFonts w:ascii="Calibri Light" w:hAnsi="Calibri Light" w:cs="Calibri Light" w:asciiTheme="majorAscii" w:hAnsiTheme="majorAscii" w:cstheme="majorAscii"/>
        </w:rPr>
        <w:t>. Enfin, après désintéressement de ces derniers, tous les flux résiduels reviendront aux porteurs de parts equity.</w:t>
      </w:r>
    </w:p>
    <w:p w:rsidR="00D33CA3" w:rsidP="6FB22721" w:rsidRDefault="00D33CA3" w14:paraId="02E20C4A" w14:textId="2A96F9EE">
      <w:pPr>
        <w:spacing w:after="0"/>
        <w:ind w:firstLine="708"/>
        <w:jc w:val="both"/>
        <w:rPr>
          <w:rFonts w:ascii="Calibri Light" w:hAnsi="Calibri Light" w:cs="Calibri Light" w:asciiTheme="majorAscii" w:hAnsiTheme="majorAscii" w:cstheme="majorAscii"/>
        </w:rPr>
      </w:pPr>
    </w:p>
    <w:p w:rsidR="00E930BE" w:rsidP="6FB22721" w:rsidRDefault="00E930BE" w14:paraId="7CFEF82C" w14:textId="77777777">
      <w:pPr>
        <w:spacing w:after="0"/>
        <w:ind w:firstLine="708"/>
        <w:jc w:val="both"/>
        <w:rPr>
          <w:rFonts w:ascii="Calibri Light" w:hAnsi="Calibri Light" w:cs="Calibri Light" w:asciiTheme="majorAscii" w:hAnsiTheme="majorAscii" w:cstheme="majorAscii"/>
        </w:rPr>
      </w:pPr>
    </w:p>
    <w:p w:rsidRPr="00E930BE" w:rsidR="00E930BE" w:rsidP="6FB22721" w:rsidRDefault="00E930BE" w14:paraId="35F930FF" w14:textId="77777777">
      <w:pPr>
        <w:spacing w:after="0"/>
        <w:ind w:firstLine="708"/>
        <w:jc w:val="both"/>
        <w:rPr>
          <w:rFonts w:ascii="Calibri Light" w:hAnsi="Calibri Light" w:cs="Calibri Light" w:asciiTheme="majorAscii" w:hAnsiTheme="majorAscii" w:cstheme="majorAscii"/>
        </w:rPr>
      </w:pPr>
      <w:r w:rsidRPr="6FB22721" w:rsidR="0618C541">
        <w:rPr>
          <w:rFonts w:ascii="Calibri Light" w:hAnsi="Calibri Light" w:cs="Calibri Light" w:asciiTheme="majorAscii" w:hAnsiTheme="majorAscii" w:cstheme="majorAscii"/>
        </w:rPr>
        <w:t xml:space="preserve">L'impact de la subordination sur le risque de crédit </w:t>
      </w:r>
    </w:p>
    <w:p w:rsidRPr="00E930BE" w:rsidR="00E930BE" w:rsidP="6FB22721" w:rsidRDefault="00E930BE" w14:paraId="33D96B1F" w14:textId="77777777">
      <w:pPr>
        <w:spacing w:after="0"/>
        <w:ind w:firstLine="708"/>
        <w:jc w:val="both"/>
        <w:rPr>
          <w:rFonts w:ascii="Calibri Light" w:hAnsi="Calibri Light" w:cs="Calibri Light" w:asciiTheme="majorAscii" w:hAnsiTheme="majorAscii" w:cstheme="majorAscii"/>
        </w:rPr>
      </w:pPr>
    </w:p>
    <w:p w:rsidRPr="00E930BE" w:rsidR="00E930BE" w:rsidP="6FB22721" w:rsidRDefault="00E930BE" w14:paraId="18169BD4" w14:textId="5C83B295">
      <w:pPr>
        <w:spacing w:after="0"/>
        <w:ind w:firstLine="708"/>
        <w:jc w:val="both"/>
        <w:rPr>
          <w:rFonts w:ascii="Calibri Light" w:hAnsi="Calibri Light" w:cs="Calibri Light" w:asciiTheme="majorAscii" w:hAnsiTheme="majorAscii" w:cstheme="majorAscii"/>
        </w:rPr>
      </w:pPr>
      <w:r w:rsidRPr="6FB22721" w:rsidR="0618C541">
        <w:rPr>
          <w:rFonts w:ascii="Calibri Light" w:hAnsi="Calibri Light" w:cs="Calibri Light" w:asciiTheme="majorAscii" w:hAnsiTheme="majorAscii" w:cstheme="majorAscii"/>
        </w:rPr>
        <w:t xml:space="preserve">La subordination a des conséquences importantes en cas de réalisation d'un événement de crédit (défaut de paiement, insolvabilité). </w:t>
      </w:r>
    </w:p>
    <w:p w:rsidRPr="00E930BE" w:rsidR="00E930BE" w:rsidP="6FB22721" w:rsidRDefault="00E930BE" w14:paraId="3664C432" w14:textId="77777777">
      <w:pPr>
        <w:spacing w:after="0"/>
        <w:ind w:firstLine="708"/>
        <w:jc w:val="both"/>
        <w:rPr>
          <w:rFonts w:ascii="Calibri Light" w:hAnsi="Calibri Light" w:cs="Calibri Light" w:asciiTheme="majorAscii" w:hAnsiTheme="majorAscii" w:cstheme="majorAscii"/>
        </w:rPr>
      </w:pPr>
    </w:p>
    <w:p w:rsidRPr="00E930BE" w:rsidR="00E930BE" w:rsidP="6FB22721" w:rsidRDefault="00E930BE" w14:paraId="4B25019D" w14:textId="4366EF0C">
      <w:pPr>
        <w:spacing w:after="0"/>
        <w:ind w:firstLine="708"/>
        <w:jc w:val="both"/>
        <w:rPr>
          <w:rFonts w:ascii="Calibri Light" w:hAnsi="Calibri Light" w:cs="Calibri Light" w:asciiTheme="majorAscii" w:hAnsiTheme="majorAscii" w:cstheme="majorAscii"/>
        </w:rPr>
      </w:pPr>
      <w:r w:rsidRPr="6FB22721" w:rsidR="0618C541">
        <w:rPr>
          <w:rFonts w:ascii="Calibri Light" w:hAnsi="Calibri Light" w:cs="Calibri Light" w:asciiTheme="majorAscii" w:hAnsiTheme="majorAscii" w:cstheme="majorAscii"/>
        </w:rPr>
        <w:t xml:space="preserve">Elle détermine un ordre d'absorption des pertes qui se présente de la manière suivante: </w:t>
      </w:r>
    </w:p>
    <w:p w:rsidRPr="00E930BE" w:rsidR="00E930BE" w:rsidP="6FB22721" w:rsidRDefault="00E930BE" w14:paraId="5F39ACC5" w14:textId="45280206">
      <w:pPr>
        <w:spacing w:after="0"/>
        <w:ind w:firstLine="708"/>
        <w:jc w:val="both"/>
        <w:rPr>
          <w:rFonts w:ascii="Calibri Light" w:hAnsi="Calibri Light" w:cs="Calibri Light" w:asciiTheme="majorAscii" w:hAnsiTheme="majorAscii" w:cstheme="majorAscii"/>
        </w:rPr>
      </w:pPr>
      <w:r w:rsidRPr="6FB22721" w:rsidR="0618C541">
        <w:rPr>
          <w:rFonts w:ascii="Calibri Light" w:hAnsi="Calibri Light" w:cs="Calibri Light" w:asciiTheme="majorAscii" w:hAnsiTheme="majorAscii" w:cstheme="majorAscii"/>
        </w:rPr>
        <w:t>• La tranche equity apu</w:t>
      </w:r>
      <w:r w:rsidRPr="6FB22721" w:rsidR="0618C541">
        <w:rPr>
          <w:rFonts w:ascii="Calibri Light" w:hAnsi="Calibri Light" w:cs="Calibri Light" w:asciiTheme="majorAscii" w:hAnsiTheme="majorAscii" w:cstheme="majorAscii"/>
        </w:rPr>
        <w:t xml:space="preserve">rera les pertes en </w:t>
      </w:r>
      <w:r w:rsidRPr="6FB22721" w:rsidR="69467514">
        <w:rPr>
          <w:rFonts w:ascii="Calibri Light" w:hAnsi="Calibri Light" w:cs="Calibri Light" w:asciiTheme="majorAscii" w:hAnsiTheme="majorAscii" w:cstheme="majorAscii"/>
        </w:rPr>
        <w:t>____________</w:t>
      </w:r>
      <w:r w:rsidRPr="6FB22721" w:rsidR="0618C541">
        <w:rPr>
          <w:rFonts w:ascii="Calibri Light" w:hAnsi="Calibri Light" w:cs="Calibri Light" w:asciiTheme="majorAscii" w:hAnsiTheme="majorAscii" w:cstheme="majorAscii"/>
        </w:rPr>
        <w:t xml:space="preserve"> (perte</w:t>
      </w:r>
      <w:r w:rsidRPr="6FB22721" w:rsidR="0618C541">
        <w:rPr>
          <w:rFonts w:ascii="Calibri Light" w:hAnsi="Calibri Light" w:cs="Calibri Light" w:asciiTheme="majorAscii" w:hAnsiTheme="majorAscii" w:cstheme="majorAscii"/>
        </w:rPr>
        <w:t>s en principal, rupture des ver</w:t>
      </w:r>
      <w:r w:rsidRPr="6FB22721" w:rsidR="0618C541">
        <w:rPr>
          <w:rFonts w:ascii="Calibri Light" w:hAnsi="Calibri Light" w:cs="Calibri Light" w:asciiTheme="majorAscii" w:hAnsiTheme="majorAscii" w:cstheme="majorAscii"/>
        </w:rPr>
        <w:t xml:space="preserve">sements d'intérêts). </w:t>
      </w:r>
    </w:p>
    <w:p w:rsidRPr="00E930BE" w:rsidR="00E930BE" w:rsidP="6FB22721" w:rsidRDefault="00E930BE" w14:paraId="701873DD" w14:textId="49B07F1F">
      <w:pPr>
        <w:spacing w:after="0"/>
        <w:ind w:firstLine="708"/>
        <w:jc w:val="both"/>
        <w:rPr>
          <w:rFonts w:ascii="Calibri Light" w:hAnsi="Calibri Light" w:cs="Calibri Light" w:asciiTheme="majorAscii" w:hAnsiTheme="majorAscii" w:cstheme="majorAscii"/>
        </w:rPr>
      </w:pPr>
      <w:r w:rsidRPr="6FB22721" w:rsidR="0618C541">
        <w:rPr>
          <w:rFonts w:ascii="Calibri Light" w:hAnsi="Calibri Light" w:cs="Calibri Light" w:asciiTheme="majorAscii" w:hAnsiTheme="majorAscii" w:cstheme="majorAscii"/>
        </w:rPr>
        <w:t xml:space="preserve">• Ensuite, ce sera le tour de la tranche </w:t>
      </w:r>
      <w:r w:rsidRPr="6FB22721" w:rsidR="69467514">
        <w:rPr>
          <w:rFonts w:ascii="Calibri Light" w:hAnsi="Calibri Light" w:cs="Calibri Light" w:asciiTheme="majorAscii" w:hAnsiTheme="majorAscii" w:cstheme="majorAscii"/>
        </w:rPr>
        <w:t>_______________</w:t>
      </w:r>
      <w:r w:rsidRPr="6FB22721" w:rsidR="0618C541">
        <w:rPr>
          <w:rFonts w:ascii="Calibri Light" w:hAnsi="Calibri Light" w:cs="Calibri Light" w:asciiTheme="majorAscii" w:hAnsiTheme="majorAscii" w:cstheme="majorAscii"/>
        </w:rPr>
        <w:t xml:space="preserve">. </w:t>
      </w:r>
    </w:p>
    <w:p w:rsidR="00D33CA3" w:rsidP="6FB22721" w:rsidRDefault="00E930BE" w14:paraId="146BB09A" w14:textId="6E011C72">
      <w:pPr>
        <w:spacing w:after="0"/>
        <w:ind w:firstLine="708"/>
        <w:jc w:val="both"/>
        <w:rPr>
          <w:rFonts w:ascii="Calibri Light" w:hAnsi="Calibri Light" w:cs="Calibri Light" w:asciiTheme="majorAscii" w:hAnsiTheme="majorAscii" w:cstheme="majorAscii"/>
        </w:rPr>
      </w:pPr>
      <w:r w:rsidRPr="6FB22721" w:rsidR="0618C541">
        <w:rPr>
          <w:rFonts w:ascii="Calibri Light" w:hAnsi="Calibri Light" w:cs="Calibri Light" w:asciiTheme="majorAscii" w:hAnsiTheme="majorAscii" w:cstheme="majorAscii"/>
        </w:rPr>
        <w:t xml:space="preserve">• Enfin, si elles ne sont pas encore apurées, la tranche </w:t>
      </w:r>
      <w:r w:rsidRPr="6FB22721" w:rsidR="69467514">
        <w:rPr>
          <w:rFonts w:ascii="Calibri Light" w:hAnsi="Calibri Light" w:cs="Calibri Light" w:asciiTheme="majorAscii" w:hAnsiTheme="majorAscii" w:cstheme="majorAscii"/>
        </w:rPr>
        <w:t>___________</w:t>
      </w:r>
      <w:r w:rsidRPr="6FB22721" w:rsidR="0618C541">
        <w:rPr>
          <w:rFonts w:ascii="Calibri Light" w:hAnsi="Calibri Light" w:cs="Calibri Light" w:asciiTheme="majorAscii" w:hAnsiTheme="majorAscii" w:cstheme="majorAscii"/>
        </w:rPr>
        <w:t xml:space="preserve"> absorbera le reste des pertes jusqu'à apurement total.</w:t>
      </w:r>
    </w:p>
    <w:p w:rsidR="00E930BE" w:rsidP="6FB22721" w:rsidRDefault="00E930BE" w14:paraId="26E2C7EA" w14:textId="353AE4A1">
      <w:pPr>
        <w:spacing w:after="0"/>
        <w:ind w:firstLine="708"/>
        <w:jc w:val="both"/>
        <w:rPr>
          <w:rFonts w:ascii="Calibri Light" w:hAnsi="Calibri Light" w:cs="Calibri Light" w:asciiTheme="majorAscii" w:hAnsiTheme="majorAscii" w:cstheme="majorAscii"/>
        </w:rPr>
      </w:pPr>
    </w:p>
    <w:p w:rsidR="00E930BE" w:rsidP="6FB22721" w:rsidRDefault="00E930BE" w14:paraId="52B186AA" w14:textId="5713CB9C">
      <w:pPr>
        <w:spacing w:after="0"/>
        <w:ind w:firstLine="708"/>
        <w:jc w:val="both"/>
        <w:rPr>
          <w:rFonts w:ascii="Calibri Light" w:hAnsi="Calibri Light" w:cs="Calibri Light" w:asciiTheme="majorAscii" w:hAnsiTheme="majorAscii" w:cstheme="majorAscii"/>
        </w:rPr>
      </w:pPr>
      <w:r w:rsidRPr="6FB22721" w:rsidR="0618C541">
        <w:rPr>
          <w:rFonts w:ascii="Calibri Light" w:hAnsi="Calibri Light" w:cs="Calibri Light" w:asciiTheme="majorAscii" w:hAnsiTheme="majorAscii" w:cstheme="majorAscii"/>
        </w:rPr>
        <w:t>1.3.3. Le rehaussement de crédit</w:t>
      </w:r>
    </w:p>
    <w:p w:rsidR="00E930BE" w:rsidP="6FB22721" w:rsidRDefault="00E930BE" w14:paraId="112A3EB9" w14:textId="1CB4FA67">
      <w:pPr>
        <w:spacing w:after="0"/>
        <w:ind w:firstLine="708"/>
        <w:jc w:val="both"/>
        <w:rPr>
          <w:rFonts w:ascii="Calibri Light" w:hAnsi="Calibri Light" w:cs="Calibri Light" w:asciiTheme="majorAscii" w:hAnsiTheme="majorAscii" w:cstheme="majorAscii"/>
        </w:rPr>
      </w:pPr>
    </w:p>
    <w:p w:rsidRPr="00E930BE" w:rsidR="00E930BE" w:rsidP="6FB22721" w:rsidRDefault="00E930BE" w14:paraId="0C292AAB" w14:textId="4C2E9BA5">
      <w:pPr>
        <w:spacing w:after="0"/>
        <w:ind w:firstLine="708"/>
        <w:jc w:val="both"/>
        <w:rPr>
          <w:rFonts w:ascii="Calibri Light" w:hAnsi="Calibri Light" w:cs="Calibri Light" w:asciiTheme="majorAscii" w:hAnsiTheme="majorAscii" w:cstheme="majorAscii"/>
        </w:rPr>
      </w:pPr>
      <w:r w:rsidRPr="6FB22721" w:rsidR="0618C541">
        <w:rPr>
          <w:rFonts w:ascii="Calibri Light" w:hAnsi="Calibri Light" w:cs="Calibri Light" w:asciiTheme="majorAscii" w:hAnsiTheme="majorAscii" w:cstheme="majorAscii"/>
        </w:rPr>
        <w:t xml:space="preserve">Les techniques de rehaussement de crédit sont les mécanismes mis en place pour absorber ou annihiler le risque de défaillance du pool d'actifs titrisés, de manière à obtenir la notation souhaitée pour chaque classe de titres par rapport au rating moyen du portefeuille sous-jacent. </w:t>
      </w:r>
    </w:p>
    <w:p w:rsidRPr="00E930BE" w:rsidR="00E930BE" w:rsidP="6FB22721" w:rsidRDefault="00E930BE" w14:paraId="22569BF8" w14:textId="77777777">
      <w:pPr>
        <w:spacing w:after="0"/>
        <w:ind w:firstLine="708"/>
        <w:jc w:val="both"/>
        <w:rPr>
          <w:rFonts w:ascii="Calibri Light" w:hAnsi="Calibri Light" w:cs="Calibri Light" w:asciiTheme="majorAscii" w:hAnsiTheme="majorAscii" w:cstheme="majorAscii"/>
        </w:rPr>
      </w:pPr>
    </w:p>
    <w:p w:rsidR="00E930BE" w:rsidP="6FB22721" w:rsidRDefault="00E930BE" w14:paraId="65F707EC" w14:textId="0544768F">
      <w:pPr>
        <w:spacing w:after="0"/>
        <w:ind w:firstLine="708"/>
        <w:jc w:val="both"/>
        <w:rPr>
          <w:rFonts w:ascii="Calibri Light" w:hAnsi="Calibri Light" w:cs="Calibri Light" w:asciiTheme="majorAscii" w:hAnsiTheme="majorAscii" w:cstheme="majorAscii"/>
        </w:rPr>
      </w:pPr>
      <w:r w:rsidRPr="6FB22721" w:rsidR="0618C541">
        <w:rPr>
          <w:rFonts w:ascii="Calibri Light" w:hAnsi="Calibri Light" w:cs="Calibri Light" w:asciiTheme="majorAscii" w:hAnsiTheme="majorAscii" w:cstheme="majorAscii"/>
        </w:rPr>
        <w:t>Par rapport aux autres tranches plus subordonnées, les tranches senior s'approprient les flux de capitaux et d'intérêts en priorité (seniority). Le risque inhérent à la tranche senior est faible puisqu'elle est protégée p</w:t>
      </w:r>
      <w:r w:rsidRPr="6FB22721" w:rsidR="0618C541">
        <w:rPr>
          <w:rFonts w:ascii="Calibri Light" w:hAnsi="Calibri Light" w:cs="Calibri Light" w:asciiTheme="majorAscii" w:hAnsiTheme="majorAscii" w:cstheme="majorAscii"/>
        </w:rPr>
        <w:t>ar les autres tranches</w:t>
      </w:r>
      <w:r w:rsidRPr="6FB22721" w:rsidR="0618C541">
        <w:rPr>
          <w:rFonts w:ascii="Calibri Light" w:hAnsi="Calibri Light" w:cs="Calibri Light" w:asciiTheme="majorAscii" w:hAnsiTheme="majorAscii" w:cstheme="majorAscii"/>
        </w:rPr>
        <w:t>.</w:t>
      </w:r>
    </w:p>
    <w:p w:rsidR="00FD77E9" w:rsidP="6FB22721" w:rsidRDefault="00FD77E9" w14:paraId="2E84F131" w14:textId="4FFF0985">
      <w:pPr>
        <w:spacing w:after="0"/>
        <w:ind w:firstLine="708"/>
        <w:jc w:val="both"/>
        <w:rPr>
          <w:rFonts w:ascii="Calibri Light" w:hAnsi="Calibri Light" w:cs="Calibri Light" w:asciiTheme="majorAscii" w:hAnsiTheme="majorAscii" w:cstheme="majorAscii"/>
        </w:rPr>
      </w:pPr>
      <w:r>
        <w:rPr>
          <w:rFonts w:asciiTheme="majorHAnsi" w:hAnsiTheme="majorHAnsi" w:cstheme="majorHAnsi"/>
          <w:noProof/>
          <w:lang w:eastAsia="fr-FR"/>
        </w:rPr>
        <mc:AlternateContent>
          <mc:Choice Requires="wps">
            <w:drawing>
              <wp:anchor distT="0" distB="0" distL="114300" distR="114300" simplePos="0" relativeHeight="251763712" behindDoc="0" locked="0" layoutInCell="1" allowOverlap="1" wp14:anchorId="49135723" wp14:editId="4BC64C3E">
                <wp:simplePos x="0" y="0"/>
                <wp:positionH relativeFrom="column">
                  <wp:posOffset>1090930</wp:posOffset>
                </wp:positionH>
                <wp:positionV relativeFrom="paragraph">
                  <wp:posOffset>93345</wp:posOffset>
                </wp:positionV>
                <wp:extent cx="447675" cy="1819275"/>
                <wp:effectExtent l="19050" t="19050" r="47625" b="28575"/>
                <wp:wrapNone/>
                <wp:docPr id="60" name="Flèche vers le bas 60"/>
                <wp:cNvGraphicFramePr/>
                <a:graphic xmlns:a="http://schemas.openxmlformats.org/drawingml/2006/main">
                  <a:graphicData uri="http://schemas.microsoft.com/office/word/2010/wordprocessingShape">
                    <wps:wsp>
                      <wps:cNvSpPr/>
                      <wps:spPr>
                        <a:xfrm flipV="1">
                          <a:off x="0" y="0"/>
                          <a:ext cx="447675" cy="181927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BF5E02A">
              <v:shapetype id="_x0000_t67" coordsize="21600,21600" o:spt="67" adj="16200,5400" path="m0@0l@1@0@1,0@2,0@2@0,21600@0,10800,21600xe" w14:anchorId="594EA5C5">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lèche vers le bas 60" style="position:absolute;margin-left:85.9pt;margin-top:7.35pt;width:35.25pt;height:143.25pt;flip:y;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01]" strokecolor="#70ad47 [3209]" strokeweight="1pt" type="#_x0000_t67" adj="1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"/>
            </w:pict>
          </mc:Fallback>
        </mc:AlternateContent>
      </w:r>
      <w:r>
        <w:rPr>
          <w:rFonts w:asciiTheme="majorHAnsi" w:hAnsiTheme="majorHAnsi" w:cstheme="majorHAnsi"/>
          <w:noProof/>
          <w:lang w:eastAsia="fr-FR"/>
        </w:rPr>
        <mc:AlternateContent>
          <mc:Choice Requires="wps">
            <w:drawing>
              <wp:anchor distT="0" distB="0" distL="114300" distR="114300" simplePos="0" relativeHeight="251760640" behindDoc="0" locked="0" layoutInCell="1" allowOverlap="1" wp14:anchorId="2740D0B1" wp14:editId="4D4A8264">
                <wp:simplePos x="0" y="0"/>
                <wp:positionH relativeFrom="column">
                  <wp:posOffset>424180</wp:posOffset>
                </wp:positionH>
                <wp:positionV relativeFrom="paragraph">
                  <wp:posOffset>169545</wp:posOffset>
                </wp:positionV>
                <wp:extent cx="447675" cy="1704975"/>
                <wp:effectExtent l="19050" t="0" r="47625" b="47625"/>
                <wp:wrapNone/>
                <wp:docPr id="4" name="Flèche vers le bas 4"/>
                <wp:cNvGraphicFramePr/>
                <a:graphic xmlns:a="http://schemas.openxmlformats.org/drawingml/2006/main">
                  <a:graphicData uri="http://schemas.microsoft.com/office/word/2010/wordprocessingShape">
                    <wps:wsp>
                      <wps:cNvSpPr/>
                      <wps:spPr>
                        <a:xfrm>
                          <a:off x="0" y="0"/>
                          <a:ext cx="447675" cy="170497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C890324">
              <v:shape id="Flèche vers le bas 4" style="position:absolute;margin-left:33.4pt;margin-top:13.35pt;width:35.25pt;height:134.25pt;z-index:2517606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70ad47 [3209]" strokeweight="1pt" type="#_x0000_t67" adj="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" w14:anchorId="17B30F6D"/>
            </w:pict>
          </mc:Fallback>
        </mc:AlternateContent>
      </w:r>
    </w:p>
    <w:p w:rsidRPr="00E930BE" w:rsidR="00FD77E9" w:rsidP="6FB22721" w:rsidRDefault="00FD77E9" w14:paraId="67E4FB3A" w14:textId="3B364D90">
      <w:pPr>
        <w:spacing w:after="0"/>
        <w:ind w:firstLine="708"/>
        <w:jc w:val="both"/>
        <w:rPr>
          <w:rFonts w:ascii="Calibri Light" w:hAnsi="Calibri Light" w:cs="Calibri Light" w:asciiTheme="majorAscii" w:hAnsiTheme="majorAscii" w:cstheme="majorAscii"/>
        </w:rPr>
      </w:pPr>
      <w:r>
        <w:rPr>
          <w:rFonts w:asciiTheme="majorHAnsi" w:hAnsiTheme="majorHAnsi" w:cstheme="majorHAnsi"/>
          <w:noProof/>
          <w:lang w:eastAsia="fr-FR"/>
        </w:rPr>
        <mc:AlternateContent>
          <mc:Choice Requires="wps">
            <w:drawing>
              <wp:anchor distT="0" distB="0" distL="114300" distR="114300" simplePos="0" relativeHeight="251761664" behindDoc="0" locked="0" layoutInCell="1" allowOverlap="1" wp14:anchorId="3DF515DD" wp14:editId="4DE155AD">
                <wp:simplePos x="0" y="0"/>
                <wp:positionH relativeFrom="column">
                  <wp:posOffset>462280</wp:posOffset>
                </wp:positionH>
                <wp:positionV relativeFrom="paragraph">
                  <wp:posOffset>31750</wp:posOffset>
                </wp:positionV>
                <wp:extent cx="381000" cy="1143000"/>
                <wp:effectExtent l="0" t="0" r="0" b="0"/>
                <wp:wrapNone/>
                <wp:docPr id="59" name="Zone de texte 59"/>
                <wp:cNvGraphicFramePr/>
                <a:graphic xmlns:a="http://schemas.openxmlformats.org/drawingml/2006/main">
                  <a:graphicData uri="http://schemas.microsoft.com/office/word/2010/wordprocessingShape">
                    <wps:wsp>
                      <wps:cNvSpPr txBox="1"/>
                      <wps:spPr>
                        <a:xfrm>
                          <a:off x="0" y="0"/>
                          <a:ext cx="381000" cy="1143000"/>
                        </a:xfrm>
                        <a:prstGeom prst="rect">
                          <a:avLst/>
                        </a:prstGeom>
                        <a:noFill/>
                        <a:ln w="6350">
                          <a:noFill/>
                        </a:ln>
                      </wps:spPr>
                      <wps:txbx>
                        <w:txbxContent>
                          <w:p w:rsidR="00F46B40" w:rsidRDefault="00F46B40" w14:paraId="175310E8" w14:textId="76ACD535">
                            <w:r>
                              <w:t>Remboursement</w:t>
                            </w:r>
                          </w:p>
                        </w:txbxContent>
                      </wps:txbx>
                      <wps:bodyPr rot="0" spcFirstLastPara="0" vertOverflow="overflow" horzOverflow="overflow" vert="vert270"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A2E1C2">
              <v:shapetype id="_x0000_t202" coordsize="21600,21600" o:spt="202" path="m,l,21600r21600,l21600,xe" w14:anchorId="3DF515DD">
                <v:stroke joinstyle="miter"/>
                <v:path gradientshapeok="t" o:connecttype="rect"/>
              </v:shapetype>
              <v:shape id="Zone de texte 59" style="position:absolute;left:0;text-align:left;margin-left:36.4pt;margin-top:2.5pt;width:30pt;height:90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">
                <v:textbox style="layout-flow:vertical;mso-layout-flow-alt:bottom-to-top">
                  <w:txbxContent>
                    <w:p w:rsidR="00F46B40" w:rsidRDefault="00F46B40" w14:paraId="75CBF5FF" w14:textId="76ACD535">
                      <w:r>
                        <w:t>Remboursement</w:t>
                      </w:r>
                    </w:p>
                  </w:txbxContent>
                </v:textbox>
              </v:shape>
            </w:pict>
          </mc:Fallback>
        </mc:AlternateContent>
      </w:r>
    </w:p>
    <w:tbl>
      <w:tblPr>
        <w:tblStyle w:val="Grilledutableau"/>
        <w:tblpPr w:leftFromText="141" w:rightFromText="141" w:vertAnchor="text" w:horzAnchor="margin" w:tblpXSpec="center" w:tblpY="34"/>
        <w:tblW w:w="2268" w:type="dxa"/>
        <w:tblLook w:val="04A0" w:firstRow="1" w:lastRow="0" w:firstColumn="1" w:lastColumn="0" w:noHBand="0" w:noVBand="1"/>
      </w:tblPr>
      <w:tblGrid>
        <w:gridCol w:w="1134"/>
        <w:gridCol w:w="1134"/>
      </w:tblGrid>
      <w:tr w:rsidR="00FD77E9" w:rsidTr="6FB22721" w14:paraId="74D08D8F" w14:textId="77777777">
        <w:tc>
          <w:tcPr>
            <w:tcW w:w="2268" w:type="dxa"/>
            <w:gridSpan w:val="2"/>
            <w:shd w:val="clear" w:color="auto" w:fill="BDD6EE" w:themeFill="accent1" w:themeFillTint="66"/>
            <w:tcMar/>
          </w:tcPr>
          <w:p w:rsidR="00FD77E9" w:rsidP="6FB22721" w:rsidRDefault="00FD77E9" w14:paraId="61BB985A" w14:textId="77777777">
            <w:pPr>
              <w:jc w:val="center"/>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SPV</w:t>
            </w:r>
          </w:p>
        </w:tc>
      </w:tr>
      <w:tr w:rsidR="00FD77E9" w:rsidTr="6FB22721" w14:paraId="49A8D996" w14:textId="77777777">
        <w:tc>
          <w:tcPr>
            <w:tcW w:w="1134" w:type="dxa"/>
            <w:shd w:val="clear" w:color="auto" w:fill="BDD6EE" w:themeFill="accent1" w:themeFillTint="66"/>
            <w:tcMar/>
          </w:tcPr>
          <w:p w:rsidR="00FD77E9" w:rsidP="6FB22721" w:rsidRDefault="00FD77E9" w14:paraId="7FD3911E" w14:textId="77777777">
            <w:pPr>
              <w:jc w:val="center"/>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Actif</w:t>
            </w:r>
          </w:p>
        </w:tc>
        <w:tc>
          <w:tcPr>
            <w:tcW w:w="1134" w:type="dxa"/>
            <w:shd w:val="clear" w:color="auto" w:fill="BDD6EE" w:themeFill="accent1" w:themeFillTint="66"/>
            <w:tcMar/>
          </w:tcPr>
          <w:p w:rsidR="00FD77E9" w:rsidP="6FB22721" w:rsidRDefault="00FD77E9" w14:paraId="72733AEF" w14:textId="77777777">
            <w:pPr>
              <w:jc w:val="center"/>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Passif</w:t>
            </w:r>
          </w:p>
        </w:tc>
      </w:tr>
      <w:tr w:rsidR="00FD77E9" w:rsidTr="6FB22721" w14:paraId="0F7D2FCC" w14:textId="77777777">
        <w:tc>
          <w:tcPr>
            <w:tcW w:w="1134" w:type="dxa"/>
            <w:vMerge w:val="restart"/>
            <w:tcMar/>
          </w:tcPr>
          <w:p w:rsidR="00FD77E9" w:rsidP="6FB22721" w:rsidRDefault="00FD77E9" w14:paraId="6DB02595" w14:textId="77777777">
            <w:pPr>
              <w:jc w:val="center"/>
              <w:rPr>
                <w:rFonts w:ascii="Calibri Light" w:hAnsi="Calibri Light" w:cs="Calibri Light" w:asciiTheme="majorAscii" w:hAnsiTheme="majorAscii" w:cstheme="majorAscii"/>
              </w:rPr>
            </w:pPr>
          </w:p>
          <w:p w:rsidR="00FD77E9" w:rsidP="6FB22721" w:rsidRDefault="00FD77E9" w14:paraId="199EBA05" w14:textId="77777777">
            <w:pPr>
              <w:jc w:val="center"/>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Créances</w:t>
            </w:r>
          </w:p>
        </w:tc>
        <w:tc>
          <w:tcPr>
            <w:tcW w:w="1134" w:type="dxa"/>
            <w:tcMar/>
          </w:tcPr>
          <w:p w:rsidR="00FD77E9" w:rsidP="6FB22721" w:rsidRDefault="00FD77E9" w14:paraId="79531313" w14:textId="77777777">
            <w:pPr>
              <w:jc w:val="center"/>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AAA</w:t>
            </w:r>
          </w:p>
          <w:p w:rsidR="00FD77E9" w:rsidP="6FB22721" w:rsidRDefault="00FD77E9" w14:paraId="030FC820" w14:textId="77777777">
            <w:pPr>
              <w:jc w:val="center"/>
              <w:rPr>
                <w:rFonts w:ascii="Calibri Light" w:hAnsi="Calibri Light" w:cs="Calibri Light" w:asciiTheme="majorAscii" w:hAnsiTheme="majorAscii" w:cstheme="majorAscii"/>
              </w:rPr>
            </w:pPr>
          </w:p>
        </w:tc>
      </w:tr>
      <w:tr w:rsidR="00FD77E9" w:rsidTr="6FB22721" w14:paraId="3FCF4429" w14:textId="77777777">
        <w:tc>
          <w:tcPr>
            <w:tcW w:w="1134" w:type="dxa"/>
            <w:vMerge/>
            <w:tcMar/>
          </w:tcPr>
          <w:p w:rsidR="00FD77E9" w:rsidP="00FD77E9" w:rsidRDefault="00FD77E9" w14:paraId="509F531E" w14:textId="77777777">
            <w:pPr>
              <w:jc w:val="both"/>
              <w:rPr>
                <w:rFonts w:asciiTheme="majorHAnsi" w:hAnsiTheme="majorHAnsi" w:cstheme="majorHAnsi"/>
              </w:rPr>
            </w:pPr>
          </w:p>
        </w:tc>
        <w:tc>
          <w:tcPr>
            <w:tcW w:w="1134" w:type="dxa"/>
            <w:tcMar/>
          </w:tcPr>
          <w:p w:rsidR="00FD77E9" w:rsidP="6FB22721" w:rsidRDefault="00FD77E9" w14:paraId="0B44849D" w14:textId="77777777">
            <w:pPr>
              <w:jc w:val="center"/>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A</w:t>
            </w:r>
          </w:p>
          <w:p w:rsidR="00FD77E9" w:rsidP="6FB22721" w:rsidRDefault="00FD77E9" w14:paraId="5EA01EED" w14:textId="77777777">
            <w:pPr>
              <w:jc w:val="center"/>
              <w:rPr>
                <w:rFonts w:ascii="Calibri Light" w:hAnsi="Calibri Light" w:cs="Calibri Light" w:asciiTheme="majorAscii" w:hAnsiTheme="majorAscii" w:cstheme="majorAscii"/>
              </w:rPr>
            </w:pPr>
          </w:p>
        </w:tc>
      </w:tr>
      <w:tr w:rsidR="00FD77E9" w:rsidTr="6FB22721" w14:paraId="26C2DBBF" w14:textId="77777777">
        <w:tc>
          <w:tcPr>
            <w:tcW w:w="1134" w:type="dxa"/>
            <w:vMerge/>
            <w:tcMar/>
          </w:tcPr>
          <w:p w:rsidR="00FD77E9" w:rsidP="00FD77E9" w:rsidRDefault="00FD77E9" w14:paraId="0D76BF7A" w14:textId="77777777">
            <w:pPr>
              <w:jc w:val="both"/>
              <w:rPr>
                <w:rFonts w:asciiTheme="majorHAnsi" w:hAnsiTheme="majorHAnsi" w:cstheme="majorHAnsi"/>
              </w:rPr>
            </w:pPr>
          </w:p>
        </w:tc>
        <w:tc>
          <w:tcPr>
            <w:tcW w:w="1134" w:type="dxa"/>
            <w:tcMar/>
          </w:tcPr>
          <w:p w:rsidR="00FD77E9" w:rsidP="6FB22721" w:rsidRDefault="00FD77E9" w14:paraId="1F9C51FC" w14:textId="77777777">
            <w:pPr>
              <w:jc w:val="center"/>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Equity</w:t>
            </w:r>
          </w:p>
          <w:p w:rsidR="00FD77E9" w:rsidP="6FB22721" w:rsidRDefault="00FD77E9" w14:paraId="4B01FFE5" w14:textId="77777777">
            <w:pPr>
              <w:jc w:val="center"/>
              <w:rPr>
                <w:rFonts w:ascii="Calibri Light" w:hAnsi="Calibri Light" w:cs="Calibri Light" w:asciiTheme="majorAscii" w:hAnsiTheme="majorAscii" w:cstheme="majorAscii"/>
              </w:rPr>
            </w:pPr>
          </w:p>
        </w:tc>
      </w:tr>
    </w:tbl>
    <w:p w:rsidR="00FD77E9" w:rsidP="6FB22721" w:rsidRDefault="00FD77E9" w14:paraId="3DB9A1C5" w14:textId="3E36B2C7">
      <w:pPr>
        <w:spacing w:after="0"/>
        <w:ind w:firstLine="708"/>
        <w:jc w:val="both"/>
        <w:rPr>
          <w:rFonts w:ascii="Calibri Light" w:hAnsi="Calibri Light" w:cs="Calibri Light" w:asciiTheme="majorAscii" w:hAnsiTheme="majorAscii" w:cstheme="majorAscii"/>
        </w:rPr>
      </w:pPr>
    </w:p>
    <w:p w:rsidR="00FD77E9" w:rsidP="6FB22721" w:rsidRDefault="00FD77E9" w14:paraId="34B8C313" w14:textId="77777777">
      <w:pPr>
        <w:spacing w:after="0"/>
        <w:ind w:firstLine="708"/>
        <w:jc w:val="both"/>
        <w:rPr>
          <w:rFonts w:ascii="Calibri Light" w:hAnsi="Calibri Light" w:cs="Calibri Light" w:asciiTheme="majorAscii" w:hAnsiTheme="majorAscii" w:cstheme="majorAscii"/>
        </w:rPr>
      </w:pPr>
      <w:r>
        <w:rPr>
          <w:rFonts w:asciiTheme="majorHAnsi" w:hAnsiTheme="majorHAnsi" w:cstheme="majorHAnsi"/>
          <w:noProof/>
          <w:lang w:eastAsia="fr-FR"/>
        </w:rPr>
        <mc:AlternateContent>
          <mc:Choice Requires="wps">
            <w:drawing>
              <wp:anchor distT="0" distB="0" distL="114300" distR="114300" simplePos="0" relativeHeight="251765760" behindDoc="0" locked="0" layoutInCell="1" allowOverlap="1" wp14:anchorId="6F2449A6" wp14:editId="307D781A">
                <wp:simplePos x="0" y="0"/>
                <wp:positionH relativeFrom="column">
                  <wp:posOffset>1138555</wp:posOffset>
                </wp:positionH>
                <wp:positionV relativeFrom="paragraph">
                  <wp:posOffset>64770</wp:posOffset>
                </wp:positionV>
                <wp:extent cx="381000" cy="571500"/>
                <wp:effectExtent l="0" t="0" r="0" b="0"/>
                <wp:wrapNone/>
                <wp:docPr id="61" name="Zone de texte 61"/>
                <wp:cNvGraphicFramePr/>
                <a:graphic xmlns:a="http://schemas.openxmlformats.org/drawingml/2006/main">
                  <a:graphicData uri="http://schemas.microsoft.com/office/word/2010/wordprocessingShape">
                    <wps:wsp>
                      <wps:cNvSpPr txBox="1"/>
                      <wps:spPr>
                        <a:xfrm>
                          <a:off x="0" y="0"/>
                          <a:ext cx="381000" cy="571500"/>
                        </a:xfrm>
                        <a:prstGeom prst="rect">
                          <a:avLst/>
                        </a:prstGeom>
                        <a:noFill/>
                        <a:ln w="6350">
                          <a:noFill/>
                        </a:ln>
                      </wps:spPr>
                      <wps:txbx>
                        <w:txbxContent>
                          <w:p w:rsidR="00F46B40" w:rsidP="00FD77E9" w:rsidRDefault="00F46B40" w14:paraId="72C83680" w14:textId="5FA8F538">
                            <w:r>
                              <w:t>Pertes</w:t>
                            </w:r>
                          </w:p>
                        </w:txbxContent>
                      </wps:txbx>
                      <wps:bodyPr rot="0" spcFirstLastPara="0" vertOverflow="overflow" horzOverflow="overflow" vert="vert270"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A1B0014">
              <v:shape id="Zone de texte 61" style="position:absolute;left:0;text-align:left;margin-left:89.65pt;margin-top:5.1pt;width:30pt;height:4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" w14:anchorId="6F2449A6">
                <v:textbox style="layout-flow:vertical;mso-layout-flow-alt:bottom-to-top">
                  <w:txbxContent>
                    <w:p w:rsidR="00F46B40" w:rsidP="00FD77E9" w:rsidRDefault="00F46B40" w14:paraId="498896B0" w14:textId="5FA8F538">
                      <w:r>
                        <w:t>Pertes</w:t>
                      </w:r>
                    </w:p>
                  </w:txbxContent>
                </v:textbox>
              </v:shape>
            </w:pict>
          </mc:Fallback>
        </mc:AlternateConten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rsidR="00FD77E9" w:rsidP="6FB22721" w:rsidRDefault="00FD77E9" w14:paraId="59356C73" w14:textId="21072ABB">
      <w:pPr>
        <w:spacing w:after="0"/>
        <w:ind w:left="5812"/>
        <w:jc w:val="both"/>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Tranche la plus senior est le plus souvent notée AAA</w:t>
      </w:r>
    </w:p>
    <w:p w:rsidR="00FD77E9" w:rsidP="6FB22721" w:rsidRDefault="00FD77E9" w14:paraId="2AFEFAE3" w14:textId="6F041777">
      <w:pPr>
        <w:spacing w:after="0"/>
        <w:ind w:left="5812"/>
        <w:jc w:val="both"/>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Tranches mezzanines notées de BBB à AAA</w:t>
      </w:r>
    </w:p>
    <w:p w:rsidR="00FD77E9" w:rsidP="6FB22721" w:rsidRDefault="00FD77E9" w14:paraId="0B0515B0" w14:textId="3DC05C6C">
      <w:pPr>
        <w:spacing w:after="0"/>
        <w:ind w:left="5812"/>
        <w:jc w:val="both"/>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Tranche Equity, généralement non notée</w:t>
      </w:r>
    </w:p>
    <w:p w:rsidR="00FD77E9" w:rsidP="6FB22721" w:rsidRDefault="00FD77E9" w14:paraId="7F50645D" w14:textId="22FE12FD">
      <w:pPr>
        <w:spacing w:after="0"/>
        <w:ind w:firstLine="708"/>
        <w:jc w:val="both"/>
        <w:rPr>
          <w:rFonts w:ascii="Calibri Light" w:hAnsi="Calibri Light" w:cs="Calibri Light" w:asciiTheme="majorAscii" w:hAnsiTheme="majorAscii" w:cstheme="majorAscii"/>
        </w:rPr>
      </w:pPr>
    </w:p>
    <w:p w:rsidR="00FD77E9" w:rsidP="6FB22721" w:rsidRDefault="00FD77E9" w14:paraId="5DA682A6" w14:textId="4AEE25B6">
      <w:pPr>
        <w:spacing w:after="0"/>
        <w:jc w:val="both"/>
        <w:rPr>
          <w:rFonts w:ascii="Calibri Light" w:hAnsi="Calibri Light" w:cs="Calibri Light" w:asciiTheme="majorAscii" w:hAnsiTheme="majorAscii" w:cstheme="majorAscii"/>
        </w:rPr>
      </w:pPr>
    </w:p>
    <w:p w:rsidRPr="00FD77E9" w:rsidR="00FD77E9" w:rsidP="6FB22721" w:rsidRDefault="00FD77E9" w14:paraId="6DE1EEE0" w14:textId="77777777">
      <w:pPr>
        <w:spacing w:after="0"/>
        <w:ind w:left="1416" w:firstLine="708"/>
        <w:jc w:val="both"/>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 xml:space="preserve">Hiérarchisation (tranching) du passif </w:t>
      </w:r>
    </w:p>
    <w:p w:rsidRPr="00FD77E9" w:rsidR="00FD77E9" w:rsidP="6FB22721" w:rsidRDefault="00FD77E9" w14:paraId="0F960735" w14:textId="77777777">
      <w:pPr>
        <w:spacing w:after="0"/>
        <w:jc w:val="both"/>
        <w:rPr>
          <w:rFonts w:ascii="Calibri Light" w:hAnsi="Calibri Light" w:cs="Calibri Light" w:asciiTheme="majorAscii" w:hAnsiTheme="majorAscii" w:cstheme="majorAscii"/>
        </w:rPr>
      </w:pPr>
    </w:p>
    <w:p w:rsidRPr="00FD77E9" w:rsidR="00FD77E9" w:rsidP="6FB22721" w:rsidRDefault="00FD77E9" w14:paraId="3A4A725E" w14:textId="2D299E72">
      <w:pPr>
        <w:spacing w:after="0"/>
        <w:jc w:val="both"/>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 xml:space="preserve">Il existe plusieurs techniques </w:t>
      </w:r>
      <w:r w:rsidRPr="6FB22721" w:rsidR="7203E190">
        <w:rPr>
          <w:rFonts w:ascii="Calibri Light" w:hAnsi="Calibri Light" w:cs="Calibri Light" w:asciiTheme="majorAscii" w:hAnsiTheme="majorAscii" w:cstheme="majorAscii"/>
          <w:b w:val="1"/>
          <w:bCs w:val="1"/>
        </w:rPr>
        <w:t xml:space="preserve">internes </w:t>
      </w:r>
      <w:r w:rsidRPr="6FB22721" w:rsidR="7203E190">
        <w:rPr>
          <w:rFonts w:ascii="Calibri Light" w:hAnsi="Calibri Light" w:cs="Calibri Light" w:asciiTheme="majorAscii" w:hAnsiTheme="majorAscii" w:cstheme="majorAscii"/>
        </w:rPr>
        <w:t xml:space="preserve">de rehaussement de crédit. Les principales sont: </w:t>
      </w:r>
    </w:p>
    <w:p w:rsidRPr="00FD77E9" w:rsidR="00FD77E9" w:rsidP="6FB22721" w:rsidRDefault="00FD77E9" w14:paraId="38D17616" w14:textId="30B04166">
      <w:pPr>
        <w:spacing w:after="0"/>
        <w:jc w:val="both"/>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 xml:space="preserve">• La subordination. </w:t>
      </w:r>
    </w:p>
    <w:p w:rsidRPr="00FD77E9" w:rsidR="00FD77E9" w:rsidP="6FB22721" w:rsidRDefault="00FD77E9" w14:paraId="6A70983D" w14:textId="78D3DCE1">
      <w:pPr>
        <w:spacing w:after="0"/>
        <w:jc w:val="both"/>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 xml:space="preserve">• La marge d'intérêt excédentaire (Excess Spread). C'est la différence entre le taux d'intérêt moyen pondéré des créances titrisées et le coût moyen pondéré des titres émis pour financer la transaction. </w:t>
      </w:r>
    </w:p>
    <w:p w:rsidRPr="00FD77E9" w:rsidR="00FD77E9" w:rsidP="6FB22721" w:rsidRDefault="00FD77E9" w14:paraId="7C8D455B" w14:textId="77777777">
      <w:pPr>
        <w:spacing w:after="0"/>
        <w:jc w:val="both"/>
        <w:rPr>
          <w:rFonts w:ascii="Calibri Light" w:hAnsi="Calibri Light" w:cs="Calibri Light" w:asciiTheme="majorAscii" w:hAnsiTheme="majorAscii" w:cstheme="majorAscii"/>
        </w:rPr>
      </w:pPr>
    </w:p>
    <w:p w:rsidRPr="00FD77E9" w:rsidR="00FD77E9" w:rsidP="6FB22721" w:rsidRDefault="00FD77E9" w14:paraId="3D3E630A" w14:textId="4EE38C6C">
      <w:pPr>
        <w:spacing w:after="0"/>
        <w:jc w:val="both"/>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 Le surdimensionnement. Il s'agit d'un surplus d'actif par rapport aux titres: les actifs</w:t>
      </w:r>
      <w:r w:rsidRPr="6FB22721" w:rsidR="7203E190">
        <w:rPr>
          <w:rFonts w:ascii="Calibri Light" w:hAnsi="Calibri Light" w:cs="Calibri Light" w:asciiTheme="majorAscii" w:hAnsiTheme="majorAscii" w:cstheme="majorAscii"/>
        </w:rPr>
        <w:t xml:space="preserve"> </w:t>
      </w:r>
      <w:r w:rsidRPr="6FB22721" w:rsidR="7203E190">
        <w:rPr>
          <w:rFonts w:ascii="Calibri Light" w:hAnsi="Calibri Light" w:cs="Calibri Light" w:asciiTheme="majorAscii" w:hAnsiTheme="majorAscii" w:cstheme="majorAscii"/>
        </w:rPr>
        <w:t xml:space="preserve">titrisés servant d'adossement aux titres émis sont d'un montant plus élevé. </w:t>
      </w:r>
    </w:p>
    <w:p w:rsidRPr="00FD77E9" w:rsidR="00FD77E9" w:rsidP="6FB22721" w:rsidRDefault="00FD77E9" w14:paraId="0FBBF7F5" w14:textId="22B18B9E">
      <w:pPr>
        <w:spacing w:after="0"/>
        <w:jc w:val="both"/>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 La réserve de liquidités (Cash Deposit). Le cédant d</w:t>
      </w:r>
      <w:r w:rsidRPr="6FB22721" w:rsidR="269F55E0">
        <w:rPr>
          <w:rFonts w:ascii="Calibri Light" w:hAnsi="Calibri Light" w:cs="Calibri Light" w:asciiTheme="majorAscii" w:hAnsiTheme="majorAscii" w:cstheme="majorAscii"/>
        </w:rPr>
        <w:t>épose des liquidités dans le SPV</w:t>
      </w:r>
      <w:r w:rsidRPr="6FB22721" w:rsidR="7203E190">
        <w:rPr>
          <w:rFonts w:ascii="Calibri Light" w:hAnsi="Calibri Light" w:cs="Calibri Light" w:asciiTheme="majorAscii" w:hAnsiTheme="majorAscii" w:cstheme="majorAscii"/>
        </w:rPr>
        <w:t>, so</w:t>
      </w:r>
      <w:r w:rsidRPr="6FB22721" w:rsidR="7203E190">
        <w:rPr>
          <w:rFonts w:ascii="Calibri Light" w:hAnsi="Calibri Light" w:cs="Calibri Light" w:asciiTheme="majorAscii" w:hAnsiTheme="majorAscii" w:cstheme="majorAscii"/>
        </w:rPr>
        <w:t>mme qui est réinvestie par le SPV</w:t>
      </w:r>
      <w:r w:rsidRPr="6FB22721" w:rsidR="7203E190">
        <w:rPr>
          <w:rFonts w:ascii="Calibri Light" w:hAnsi="Calibri Light" w:cs="Calibri Light" w:asciiTheme="majorAscii" w:hAnsiTheme="majorAscii" w:cstheme="majorAscii"/>
        </w:rPr>
        <w:t xml:space="preserve"> dans des instruments liquides bien notés (ex. : bons d'État), immédiatement revendables pour payer les porteurs des tranches senior si nécessaire. </w:t>
      </w:r>
    </w:p>
    <w:p w:rsidRPr="00FD77E9" w:rsidR="00FD77E9" w:rsidP="6FB22721" w:rsidRDefault="00FD77E9" w14:paraId="39242DDF" w14:textId="77777777">
      <w:pPr>
        <w:spacing w:after="0"/>
        <w:jc w:val="both"/>
        <w:rPr>
          <w:rFonts w:ascii="Calibri Light" w:hAnsi="Calibri Light" w:cs="Calibri Light" w:asciiTheme="majorAscii" w:hAnsiTheme="majorAscii" w:cstheme="majorAscii"/>
        </w:rPr>
      </w:pPr>
    </w:p>
    <w:p w:rsidRPr="00FD77E9" w:rsidR="00FD77E9" w:rsidP="6FB22721" w:rsidRDefault="00FD77E9" w14:paraId="684DA6EB" w14:textId="26A4C4B6">
      <w:pPr>
        <w:spacing w:after="0"/>
        <w:jc w:val="both"/>
        <w:rPr>
          <w:rFonts w:ascii="Calibri Light" w:hAnsi="Calibri Light" w:cs="Calibri Light" w:asciiTheme="majorAscii" w:hAnsiTheme="majorAscii" w:cstheme="majorAscii"/>
        </w:rPr>
      </w:pPr>
      <w:r w:rsidRPr="6FB22721" w:rsidR="7203E190">
        <w:rPr>
          <w:rFonts w:ascii="Calibri Light" w:hAnsi="Calibri Light" w:cs="Calibri Light" w:asciiTheme="majorAscii" w:hAnsiTheme="majorAscii" w:cstheme="majorAscii"/>
        </w:rPr>
        <w:t xml:space="preserve">Les mécanismes </w:t>
      </w:r>
      <w:r w:rsidRPr="6FB22721" w:rsidR="7203E190">
        <w:rPr>
          <w:rFonts w:ascii="Calibri Light" w:hAnsi="Calibri Light" w:cs="Calibri Light" w:asciiTheme="majorAscii" w:hAnsiTheme="majorAscii" w:cstheme="majorAscii"/>
          <w:b w:val="1"/>
          <w:bCs w:val="1"/>
        </w:rPr>
        <w:t>externes</w:t>
      </w:r>
      <w:r w:rsidRPr="6FB22721" w:rsidR="7203E190">
        <w:rPr>
          <w:rFonts w:ascii="Calibri Light" w:hAnsi="Calibri Light" w:cs="Calibri Light" w:asciiTheme="majorAscii" w:hAnsiTheme="majorAscii" w:cstheme="majorAscii"/>
        </w:rPr>
        <w:t xml:space="preserve"> de rehaussement de crédit sont essentiellement le recours à des établissements financiers spécialisés: les rehausseurs de crédit (Credit Enhancer).</w:t>
      </w:r>
    </w:p>
    <w:p w:rsidR="00FD77E9" w:rsidP="6FB22721" w:rsidRDefault="00FD77E9" w14:paraId="05A01B0A" w14:textId="27A96486">
      <w:pPr>
        <w:spacing w:after="0"/>
        <w:ind w:firstLine="708"/>
        <w:jc w:val="both"/>
        <w:rPr>
          <w:rFonts w:ascii="Calibri Light" w:hAnsi="Calibri Light" w:cs="Calibri Light" w:asciiTheme="majorAscii" w:hAnsiTheme="majorAscii" w:cstheme="majorAscii"/>
        </w:rPr>
      </w:pPr>
    </w:p>
    <w:p w:rsidR="00FD77E9" w:rsidP="6FB22721" w:rsidRDefault="00FD77E9" w14:paraId="4E16A1DA" w14:textId="37BC4024">
      <w:pPr>
        <w:spacing w:after="0"/>
        <w:ind w:firstLine="708"/>
        <w:jc w:val="both"/>
        <w:rPr>
          <w:rFonts w:ascii="Calibri Light" w:hAnsi="Calibri Light" w:cs="Calibri Light" w:asciiTheme="majorAscii" w:hAnsiTheme="majorAscii" w:cstheme="majorAscii"/>
        </w:rPr>
      </w:pPr>
    </w:p>
    <w:p w:rsidRPr="00F46B40" w:rsidR="00F46B40" w:rsidP="6FB22721" w:rsidRDefault="00F46B40" w14:paraId="33DB5EB8" w14:textId="6E0505C4">
      <w:pPr>
        <w:pStyle w:val="Paragraphedeliste"/>
        <w:numPr>
          <w:ilvl w:val="1"/>
          <w:numId w:val="6"/>
        </w:numPr>
        <w:spacing w:after="0"/>
        <w:jc w:val="both"/>
        <w:rPr>
          <w:rFonts w:ascii="Calibri Light" w:hAnsi="Calibri Light" w:cs="Calibri Light" w:asciiTheme="majorAscii" w:hAnsiTheme="majorAscii" w:cstheme="majorAscii"/>
          <w:b w:val="1"/>
          <w:bCs w:val="1"/>
        </w:rPr>
      </w:pPr>
      <w:r w:rsidRPr="00F46B40">
        <w:rPr>
          <w:rFonts w:asciiTheme="majorHAnsi" w:hAnsiTheme="majorHAnsi" w:cstheme="majorHAnsi"/>
        </w:rPr>
        <w:tab/>
      </w:r>
      <w:r w:rsidRPr="6FB22721" w:rsidR="3F2A8CA6">
        <w:rPr>
          <w:rFonts w:ascii="Calibri Light" w:hAnsi="Calibri Light" w:cs="Calibri Light" w:asciiTheme="majorAscii" w:hAnsiTheme="majorAscii" w:cstheme="majorAscii"/>
          <w:b w:val="1"/>
          <w:bCs w:val="1"/>
        </w:rPr>
        <w:t>L</w:t>
      </w:r>
      <w:r w:rsidRPr="6FB22721" w:rsidR="3F2A8CA6">
        <w:rPr>
          <w:rFonts w:ascii="Calibri Light" w:hAnsi="Calibri Light" w:cs="Calibri Light" w:asciiTheme="majorAscii" w:hAnsiTheme="majorAscii" w:cstheme="majorAscii"/>
          <w:b w:val="1"/>
          <w:bCs w:val="1"/>
        </w:rPr>
        <w:t>e montage financier de l’opération</w:t>
      </w:r>
    </w:p>
    <w:p w:rsidR="00FD77E9" w:rsidP="6FB22721" w:rsidRDefault="00FD77E9" w14:paraId="61CB6FDC" w14:textId="6B4DFF8E">
      <w:pPr>
        <w:spacing w:after="0"/>
        <w:ind w:firstLine="708"/>
        <w:jc w:val="both"/>
        <w:rPr>
          <w:rFonts w:ascii="Calibri Light" w:hAnsi="Calibri Light" w:cs="Calibri Light" w:asciiTheme="majorAscii" w:hAnsiTheme="majorAscii" w:cstheme="majorAscii"/>
        </w:rPr>
      </w:pPr>
    </w:p>
    <w:tbl>
      <w:tblPr>
        <w:tblStyle w:val="Grilledutableau"/>
        <w:tblW w:w="0" w:type="auto"/>
        <w:tblLook w:val="04A0" w:firstRow="1" w:lastRow="0" w:firstColumn="1" w:lastColumn="0" w:noHBand="0" w:noVBand="1"/>
      </w:tblPr>
      <w:tblGrid>
        <w:gridCol w:w="1980"/>
        <w:gridCol w:w="7082"/>
      </w:tblGrid>
      <w:tr w:rsidR="00BA1157" w:rsidTr="6FB22721" w14:paraId="3543069E" w14:textId="77777777">
        <w:tc>
          <w:tcPr>
            <w:tcW w:w="1980" w:type="dxa"/>
            <w:shd w:val="clear" w:color="auto" w:fill="BDD6EE" w:themeFill="accent1" w:themeFillTint="66"/>
            <w:tcMar/>
          </w:tcPr>
          <w:p w:rsidR="00C871FC" w:rsidP="6FB22721" w:rsidRDefault="00C871FC" w14:paraId="378C0E6B" w14:textId="77777777">
            <w:pPr>
              <w:jc w:val="both"/>
              <w:rPr>
                <w:rFonts w:ascii="Calibri Light" w:hAnsi="Calibri Light" w:cs="Calibri Light" w:asciiTheme="majorAscii" w:hAnsiTheme="majorAscii" w:cstheme="majorAscii"/>
              </w:rPr>
            </w:pPr>
          </w:p>
          <w:p w:rsidR="00C871FC" w:rsidP="6FB22721" w:rsidRDefault="00C871FC" w14:paraId="3188266C" w14:textId="77777777">
            <w:pPr>
              <w:jc w:val="both"/>
              <w:rPr>
                <w:rFonts w:ascii="Calibri Light" w:hAnsi="Calibri Light" w:cs="Calibri Light" w:asciiTheme="majorAscii" w:hAnsiTheme="majorAscii" w:cstheme="majorAscii"/>
              </w:rPr>
            </w:pPr>
          </w:p>
          <w:p w:rsidR="00BA1157" w:rsidP="6FB22721" w:rsidRDefault="00BA1157" w14:paraId="57860479" w14:textId="1311EB9A">
            <w:pPr>
              <w:jc w:val="both"/>
              <w:rPr>
                <w:rFonts w:ascii="Calibri Light" w:hAnsi="Calibri Light" w:cs="Calibri Light" w:asciiTheme="majorAscii" w:hAnsiTheme="majorAscii" w:cstheme="majorAscii"/>
              </w:rPr>
            </w:pPr>
            <w:r w:rsidRPr="6FB22721" w:rsidR="00BA1157">
              <w:rPr>
                <w:rFonts w:ascii="Calibri Light" w:hAnsi="Calibri Light" w:cs="Calibri Light" w:asciiTheme="majorAscii" w:hAnsiTheme="majorAscii" w:cstheme="majorAscii"/>
              </w:rPr>
              <w:t>Phase d’analyse</w:t>
            </w:r>
          </w:p>
        </w:tc>
        <w:tc>
          <w:tcPr>
            <w:tcW w:w="7082" w:type="dxa"/>
            <w:tcMar/>
          </w:tcPr>
          <w:p w:rsidRPr="00BA1157" w:rsidR="00BA1157" w:rsidP="6FB22721" w:rsidRDefault="00BA1157" w14:paraId="575DF60A" w14:textId="35484F24">
            <w:pPr>
              <w:jc w:val="both"/>
              <w:rPr>
                <w:rFonts w:ascii="Calibri Light" w:hAnsi="Calibri Light" w:cs="Calibri Light" w:asciiTheme="majorAscii" w:hAnsiTheme="majorAscii" w:cstheme="majorAscii"/>
              </w:rPr>
            </w:pPr>
            <w:r w:rsidRPr="6FB22721" w:rsidR="00BA1157">
              <w:rPr>
                <w:rFonts w:ascii="Calibri Light" w:hAnsi="Calibri Light" w:cs="Calibri Light" w:asciiTheme="majorAscii" w:hAnsiTheme="majorAscii" w:cstheme="majorAscii"/>
              </w:rPr>
              <w:t xml:space="preserve">• Vérification de la cessibilité des actifs </w:t>
            </w:r>
            <w:r w:rsidRPr="6FB22721" w:rsidR="00BA1157">
              <w:rPr>
                <w:rFonts w:ascii="Calibri Light" w:hAnsi="Calibri Light" w:cs="Calibri Light" w:asciiTheme="majorAscii" w:hAnsiTheme="majorAscii" w:cstheme="majorAscii"/>
              </w:rPr>
              <w:t xml:space="preserve">afin de les isoler du risque </w:t>
            </w:r>
            <w:r>
              <w:tab/>
            </w:r>
            <w:r w:rsidRPr="6FB22721" w:rsidR="00BA1157">
              <w:rPr>
                <w:rFonts w:ascii="Calibri Light" w:hAnsi="Calibri Light" w:cs="Calibri Light" w:asciiTheme="majorAscii" w:hAnsiTheme="majorAscii" w:cstheme="majorAscii"/>
              </w:rPr>
              <w:t xml:space="preserve">de faillite du cédant. </w:t>
            </w:r>
            <w:r>
              <w:tab/>
            </w:r>
            <w:r>
              <w:tab/>
            </w:r>
          </w:p>
          <w:p w:rsidRPr="00BA1157" w:rsidR="00BA1157" w:rsidP="6FB22721" w:rsidRDefault="00BA1157" w14:paraId="16507C32" w14:textId="147AF34B">
            <w:pPr>
              <w:jc w:val="both"/>
              <w:rPr>
                <w:rFonts w:ascii="Calibri Light" w:hAnsi="Calibri Light" w:cs="Calibri Light" w:asciiTheme="majorAscii" w:hAnsiTheme="majorAscii" w:cstheme="majorAscii"/>
              </w:rPr>
            </w:pPr>
            <w:r w:rsidRPr="6FB22721" w:rsidR="00BA1157">
              <w:rPr>
                <w:rFonts w:ascii="Calibri Light" w:hAnsi="Calibri Light" w:cs="Calibri Light" w:asciiTheme="majorAscii" w:hAnsiTheme="majorAscii" w:cstheme="majorAscii"/>
              </w:rPr>
              <w:t xml:space="preserve"> </w:t>
            </w:r>
            <w:r w:rsidRPr="6FB22721" w:rsidR="00BA1157">
              <w:rPr>
                <w:rFonts w:ascii="Calibri Light" w:hAnsi="Calibri Light" w:cs="Calibri Light" w:asciiTheme="majorAscii" w:hAnsiTheme="majorAscii" w:cstheme="majorAscii"/>
              </w:rPr>
              <w:t>• Étude de l'impact de la cession ch</w:t>
            </w:r>
            <w:r w:rsidRPr="6FB22721" w:rsidR="00BA1157">
              <w:rPr>
                <w:rFonts w:ascii="Calibri Light" w:hAnsi="Calibri Light" w:cs="Calibri Light" w:asciiTheme="majorAscii" w:hAnsiTheme="majorAscii" w:cstheme="majorAscii"/>
              </w:rPr>
              <w:t xml:space="preserve">ez le cédant des points de vue </w:t>
            </w:r>
            <w:r w:rsidRPr="6FB22721" w:rsidR="00BA1157">
              <w:rPr>
                <w:rFonts w:ascii="Calibri Light" w:hAnsi="Calibri Light" w:cs="Calibri Light" w:asciiTheme="majorAscii" w:hAnsiTheme="majorAscii" w:cstheme="majorAscii"/>
              </w:rPr>
              <w:t xml:space="preserve">réglementaire, fiscal, comptable et financier. </w:t>
            </w:r>
            <w:r>
              <w:tab/>
            </w:r>
            <w:r>
              <w:tab/>
            </w:r>
          </w:p>
          <w:p w:rsidR="00BA1157" w:rsidP="6FB22721" w:rsidRDefault="00BA1157" w14:paraId="4B667929" w14:textId="29F9E865">
            <w:pPr>
              <w:jc w:val="both"/>
              <w:rPr>
                <w:rFonts w:ascii="Calibri Light" w:hAnsi="Calibri Light" w:cs="Calibri Light" w:asciiTheme="majorAscii" w:hAnsiTheme="majorAscii" w:cstheme="majorAscii"/>
              </w:rPr>
            </w:pPr>
            <w:r w:rsidRPr="6FB22721" w:rsidR="00BA1157">
              <w:rPr>
                <w:rFonts w:ascii="Calibri Light" w:hAnsi="Calibri Light" w:cs="Calibri Light" w:asciiTheme="majorAscii" w:hAnsiTheme="majorAscii" w:cstheme="majorAscii"/>
              </w:rPr>
              <w:t>• Sélection du portefeuille à titriser.</w:t>
            </w:r>
          </w:p>
        </w:tc>
      </w:tr>
      <w:tr w:rsidR="00BA1157" w:rsidTr="6FB22721" w14:paraId="21F9D15F" w14:textId="77777777">
        <w:tc>
          <w:tcPr>
            <w:tcW w:w="1980" w:type="dxa"/>
            <w:shd w:val="clear" w:color="auto" w:fill="BDD6EE" w:themeFill="accent1" w:themeFillTint="66"/>
            <w:tcMar/>
          </w:tcPr>
          <w:p w:rsidR="00C871FC" w:rsidP="6FB22721" w:rsidRDefault="00C871FC" w14:paraId="04AC73AD" w14:textId="77777777">
            <w:pPr>
              <w:jc w:val="both"/>
              <w:rPr>
                <w:rFonts w:ascii="Calibri Light" w:hAnsi="Calibri Light" w:cs="Calibri Light" w:asciiTheme="majorAscii" w:hAnsiTheme="majorAscii" w:cstheme="majorAscii"/>
              </w:rPr>
            </w:pPr>
          </w:p>
          <w:p w:rsidR="00C871FC" w:rsidP="6FB22721" w:rsidRDefault="00C871FC" w14:paraId="7B7120DE" w14:textId="77777777">
            <w:pPr>
              <w:jc w:val="both"/>
              <w:rPr>
                <w:rFonts w:ascii="Calibri Light" w:hAnsi="Calibri Light" w:cs="Calibri Light" w:asciiTheme="majorAscii" w:hAnsiTheme="majorAscii" w:cstheme="majorAscii"/>
              </w:rPr>
            </w:pPr>
          </w:p>
          <w:p w:rsidR="00C871FC" w:rsidP="6FB22721" w:rsidRDefault="00C871FC" w14:paraId="277288F2" w14:textId="77777777">
            <w:pPr>
              <w:jc w:val="both"/>
              <w:rPr>
                <w:rFonts w:ascii="Calibri Light" w:hAnsi="Calibri Light" w:cs="Calibri Light" w:asciiTheme="majorAscii" w:hAnsiTheme="majorAscii" w:cstheme="majorAscii"/>
              </w:rPr>
            </w:pPr>
          </w:p>
          <w:p w:rsidR="00C871FC" w:rsidP="6FB22721" w:rsidRDefault="00C871FC" w14:paraId="412EE221" w14:textId="77777777">
            <w:pPr>
              <w:jc w:val="both"/>
              <w:rPr>
                <w:rFonts w:ascii="Calibri Light" w:hAnsi="Calibri Light" w:cs="Calibri Light" w:asciiTheme="majorAscii" w:hAnsiTheme="majorAscii" w:cstheme="majorAscii"/>
              </w:rPr>
            </w:pPr>
          </w:p>
          <w:p w:rsidR="00BA1157" w:rsidP="6FB22721" w:rsidRDefault="00BA1157" w14:paraId="6761A460" w14:textId="6FFC6801">
            <w:pPr>
              <w:jc w:val="both"/>
              <w:rPr>
                <w:rFonts w:ascii="Calibri Light" w:hAnsi="Calibri Light" w:cs="Calibri Light" w:asciiTheme="majorAscii" w:hAnsiTheme="majorAscii" w:cstheme="majorAscii"/>
              </w:rPr>
            </w:pPr>
            <w:r w:rsidRPr="6FB22721" w:rsidR="00BA1157">
              <w:rPr>
                <w:rFonts w:ascii="Calibri Light" w:hAnsi="Calibri Light" w:cs="Calibri Light" w:asciiTheme="majorAscii" w:hAnsiTheme="majorAscii" w:cstheme="majorAscii"/>
              </w:rPr>
              <w:t>Phase de montage</w:t>
            </w:r>
          </w:p>
        </w:tc>
        <w:tc>
          <w:tcPr>
            <w:tcW w:w="7082" w:type="dxa"/>
            <w:tcMar/>
          </w:tcPr>
          <w:p w:rsidRPr="00BA1157" w:rsidR="00BA1157" w:rsidP="6FB22721" w:rsidRDefault="00BA1157" w14:paraId="7EEA6BED" w14:textId="2B9E3A69">
            <w:pPr>
              <w:jc w:val="both"/>
              <w:rPr>
                <w:rFonts w:ascii="Calibri Light" w:hAnsi="Calibri Light" w:cs="Calibri Light" w:asciiTheme="majorAscii" w:hAnsiTheme="majorAscii" w:cstheme="majorAscii"/>
              </w:rPr>
            </w:pPr>
            <w:r w:rsidRPr="6FB22721" w:rsidR="00BA1157">
              <w:rPr>
                <w:rFonts w:ascii="Calibri Light" w:hAnsi="Calibri Light" w:cs="Calibri Light" w:asciiTheme="majorAscii" w:hAnsiTheme="majorAscii" w:cstheme="majorAscii"/>
              </w:rPr>
              <w:t>• Étude statistique de la per</w:t>
            </w:r>
            <w:r w:rsidRPr="6FB22721" w:rsidR="19A921B7">
              <w:rPr>
                <w:rFonts w:ascii="Calibri Light" w:hAnsi="Calibri Light" w:cs="Calibri Light" w:asciiTheme="majorAscii" w:hAnsiTheme="majorAscii" w:cstheme="majorAscii"/>
              </w:rPr>
              <w:t xml:space="preserve">formance historique des actifs </w:t>
            </w:r>
            <w:r w:rsidRPr="6FB22721" w:rsidR="00BA1157">
              <w:rPr>
                <w:rFonts w:ascii="Calibri Light" w:hAnsi="Calibri Light" w:cs="Calibri Light" w:asciiTheme="majorAscii" w:hAnsiTheme="majorAscii" w:cstheme="majorAscii"/>
              </w:rPr>
              <w:t xml:space="preserve">(données internes, statistiques de marché ... ). </w:t>
            </w:r>
            <w:r>
              <w:tab/>
            </w:r>
            <w:r>
              <w:tab/>
            </w:r>
          </w:p>
          <w:p w:rsidRPr="00BA1157" w:rsidR="00BA1157" w:rsidP="6FB22721" w:rsidRDefault="00BA1157" w14:paraId="023B52BF" w14:textId="08530523">
            <w:pPr>
              <w:jc w:val="both"/>
              <w:rPr>
                <w:rFonts w:ascii="Calibri Light" w:hAnsi="Calibri Light" w:cs="Calibri Light" w:asciiTheme="majorAscii" w:hAnsiTheme="majorAscii" w:cstheme="majorAscii"/>
              </w:rPr>
            </w:pPr>
            <w:r w:rsidRPr="6FB22721" w:rsidR="00BA1157">
              <w:rPr>
                <w:rFonts w:ascii="Calibri Light" w:hAnsi="Calibri Light" w:cs="Calibri Light" w:asciiTheme="majorAscii" w:hAnsiTheme="majorAscii" w:cstheme="majorAscii"/>
              </w:rPr>
              <w:t xml:space="preserve">• Quantification des risques des actifs. </w:t>
            </w:r>
            <w:r>
              <w:tab/>
            </w:r>
            <w:r>
              <w:tab/>
            </w:r>
          </w:p>
          <w:p w:rsidRPr="00BA1157" w:rsidR="00BA1157" w:rsidP="6FB22721" w:rsidRDefault="00BA1157" w14:paraId="5374B33D" w14:textId="6E579C54">
            <w:pPr>
              <w:jc w:val="both"/>
              <w:rPr>
                <w:rFonts w:ascii="Calibri Light" w:hAnsi="Calibri Light" w:cs="Calibri Light" w:asciiTheme="majorAscii" w:hAnsiTheme="majorAscii" w:cstheme="majorAscii"/>
              </w:rPr>
            </w:pPr>
            <w:r w:rsidRPr="6FB22721" w:rsidR="00BA1157">
              <w:rPr>
                <w:rFonts w:ascii="Calibri Light" w:hAnsi="Calibri Light" w:cs="Calibri Light" w:asciiTheme="majorAscii" w:hAnsiTheme="majorAscii" w:cstheme="majorAscii"/>
              </w:rPr>
              <w:t>• Définition de la structure: schéma juri</w:t>
            </w:r>
            <w:r w:rsidRPr="6FB22721" w:rsidR="19A921B7">
              <w:rPr>
                <w:rFonts w:ascii="Calibri Light" w:hAnsi="Calibri Light" w:cs="Calibri Light" w:asciiTheme="majorAscii" w:hAnsiTheme="majorAscii" w:cstheme="majorAscii"/>
              </w:rPr>
              <w:t xml:space="preserve">dique (cantonnement des actifs </w:t>
            </w:r>
            <w:r>
              <w:tab/>
            </w:r>
            <w:r w:rsidRPr="6FB22721" w:rsidR="00BA1157">
              <w:rPr>
                <w:rFonts w:ascii="Calibri Light" w:hAnsi="Calibri Light" w:cs="Calibri Light" w:asciiTheme="majorAscii" w:hAnsiTheme="majorAscii" w:cstheme="majorAscii"/>
              </w:rPr>
              <w:t xml:space="preserve">et des cash-flows) et mécanismes de couverture des risques. </w:t>
            </w:r>
            <w:r>
              <w:tab/>
            </w:r>
            <w:r>
              <w:tab/>
            </w:r>
          </w:p>
          <w:p w:rsidRPr="00BA1157" w:rsidR="00BA1157" w:rsidP="6FB22721" w:rsidRDefault="00C871FC" w14:paraId="711587B6" w14:textId="4C6F99AD">
            <w:pPr>
              <w:jc w:val="both"/>
              <w:rPr>
                <w:rFonts w:ascii="Calibri Light" w:hAnsi="Calibri Light" w:cs="Calibri Light" w:asciiTheme="majorAscii" w:hAnsiTheme="majorAscii" w:cstheme="majorAscii"/>
              </w:rPr>
            </w:pPr>
            <w:r w:rsidRPr="6FB22721" w:rsidR="19A921B7">
              <w:rPr>
                <w:rFonts w:ascii="Calibri Light" w:hAnsi="Calibri Light" w:cs="Calibri Light" w:asciiTheme="majorAscii" w:hAnsiTheme="majorAscii" w:cstheme="majorAscii"/>
              </w:rPr>
              <w:t xml:space="preserve"> </w:t>
            </w:r>
            <w:r w:rsidRPr="6FB22721" w:rsidR="00BA1157">
              <w:rPr>
                <w:rFonts w:ascii="Calibri Light" w:hAnsi="Calibri Light" w:cs="Calibri Light" w:asciiTheme="majorAscii" w:hAnsiTheme="majorAscii" w:cstheme="majorAscii"/>
              </w:rPr>
              <w:t>• Structuration du passif: découpage en d</w:t>
            </w:r>
            <w:r w:rsidRPr="6FB22721" w:rsidR="19A921B7">
              <w:rPr>
                <w:rFonts w:ascii="Calibri Light" w:hAnsi="Calibri Light" w:cs="Calibri Light" w:asciiTheme="majorAscii" w:hAnsiTheme="majorAscii" w:cstheme="majorAscii"/>
              </w:rPr>
              <w:t xml:space="preserve">ifférentes tranches de risques, </w:t>
            </w:r>
            <w:r w:rsidRPr="6FB22721" w:rsidR="00BA1157">
              <w:rPr>
                <w:rFonts w:ascii="Calibri Light" w:hAnsi="Calibri Light" w:cs="Calibri Light" w:asciiTheme="majorAscii" w:hAnsiTheme="majorAscii" w:cstheme="majorAscii"/>
              </w:rPr>
              <w:t xml:space="preserve">profil de maturité, type de taux, devise, etc. </w:t>
            </w:r>
            <w:r>
              <w:tab/>
            </w:r>
            <w:r>
              <w:tab/>
            </w:r>
          </w:p>
          <w:p w:rsidRPr="00BA1157" w:rsidR="00BA1157" w:rsidP="6FB22721" w:rsidRDefault="00BA1157" w14:paraId="62045823" w14:textId="4AD5E259">
            <w:pPr>
              <w:jc w:val="both"/>
              <w:rPr>
                <w:rFonts w:ascii="Calibri Light" w:hAnsi="Calibri Light" w:cs="Calibri Light" w:asciiTheme="majorAscii" w:hAnsiTheme="majorAscii" w:cstheme="majorAscii"/>
              </w:rPr>
            </w:pPr>
            <w:r w:rsidRPr="6FB22721" w:rsidR="00BA1157">
              <w:rPr>
                <w:rFonts w:ascii="Calibri Light" w:hAnsi="Calibri Light" w:cs="Calibri Light" w:asciiTheme="majorAscii" w:hAnsiTheme="majorAscii" w:cstheme="majorAscii"/>
              </w:rPr>
              <w:t xml:space="preserve">• Rédaction de la documentation juridique. </w:t>
            </w:r>
            <w:r>
              <w:tab/>
            </w:r>
            <w:r>
              <w:tab/>
            </w:r>
          </w:p>
          <w:p w:rsidRPr="00BA1157" w:rsidR="00BA1157" w:rsidP="6FB22721" w:rsidRDefault="00BA1157" w14:paraId="5BB61CD7" w14:textId="1A7F80DD">
            <w:pPr>
              <w:jc w:val="both"/>
              <w:rPr>
                <w:rFonts w:ascii="Calibri Light" w:hAnsi="Calibri Light" w:cs="Calibri Light" w:asciiTheme="majorAscii" w:hAnsiTheme="majorAscii" w:cstheme="majorAscii"/>
              </w:rPr>
            </w:pPr>
            <w:r w:rsidRPr="6FB22721" w:rsidR="00BA1157">
              <w:rPr>
                <w:rFonts w:ascii="Calibri Light" w:hAnsi="Calibri Light" w:cs="Calibri Light" w:asciiTheme="majorAscii" w:hAnsiTheme="majorAscii" w:cstheme="majorAscii"/>
              </w:rPr>
              <w:t xml:space="preserve">• Adaptations comptables et techniques. </w:t>
            </w:r>
            <w:r>
              <w:tab/>
            </w:r>
            <w:r>
              <w:tab/>
            </w:r>
          </w:p>
          <w:p w:rsidR="00BA1157" w:rsidP="6FB22721" w:rsidRDefault="00BA1157" w14:paraId="27EBF3EF" w14:textId="287F5177">
            <w:pPr>
              <w:jc w:val="both"/>
              <w:rPr>
                <w:rFonts w:ascii="Calibri Light" w:hAnsi="Calibri Light" w:cs="Calibri Light" w:asciiTheme="majorAscii" w:hAnsiTheme="majorAscii" w:cstheme="majorAscii"/>
              </w:rPr>
            </w:pPr>
            <w:r w:rsidRPr="6FB22721" w:rsidR="00BA1157">
              <w:rPr>
                <w:rFonts w:ascii="Calibri Light" w:hAnsi="Calibri Light" w:cs="Calibri Light" w:asciiTheme="majorAscii" w:hAnsiTheme="majorAscii" w:cstheme="majorAscii"/>
              </w:rPr>
              <w:t>• Notation des titres émis.</w:t>
            </w:r>
          </w:p>
        </w:tc>
      </w:tr>
    </w:tbl>
    <w:p w:rsidR="00E930BE" w:rsidP="6FB22721" w:rsidRDefault="00E930BE" w14:paraId="2F61B6E0" w14:textId="2F47453B">
      <w:pPr>
        <w:spacing w:after="0"/>
        <w:jc w:val="both"/>
        <w:rPr>
          <w:rFonts w:ascii="Calibri Light" w:hAnsi="Calibri Light" w:cs="Calibri Light" w:asciiTheme="majorAscii" w:hAnsiTheme="majorAscii" w:cstheme="majorAscii"/>
        </w:rPr>
      </w:pPr>
    </w:p>
    <w:p w:rsidR="00E930BE" w:rsidP="6FB22721" w:rsidRDefault="00E930BE" w14:paraId="04DAA810" w14:textId="7EC694A9">
      <w:pPr>
        <w:spacing w:after="0"/>
        <w:ind w:firstLine="708"/>
        <w:jc w:val="both"/>
        <w:rPr>
          <w:rFonts w:ascii="Calibri Light" w:hAnsi="Calibri Light" w:cs="Calibri Light" w:asciiTheme="majorAscii" w:hAnsiTheme="majorAscii" w:cstheme="majorAscii"/>
        </w:rPr>
      </w:pPr>
    </w:p>
    <w:p w:rsidR="00C871FC" w:rsidP="6FB22721" w:rsidRDefault="00C871FC" w14:paraId="38E3A217" w14:textId="4D6B8FF9">
      <w:pPr>
        <w:pStyle w:val="Paragraphedeliste"/>
        <w:numPr>
          <w:ilvl w:val="1"/>
          <w:numId w:val="6"/>
        </w:numPr>
        <w:spacing w:after="0"/>
        <w:jc w:val="both"/>
        <w:rPr>
          <w:rFonts w:ascii="Calibri Light" w:hAnsi="Calibri Light" w:cs="Calibri Light" w:asciiTheme="majorAscii" w:hAnsiTheme="majorAscii" w:cstheme="majorAscii"/>
          <w:b w:val="1"/>
          <w:bCs w:val="1"/>
        </w:rPr>
      </w:pPr>
      <w:r w:rsidRPr="00C871FC">
        <w:rPr>
          <w:rFonts w:asciiTheme="majorHAnsi" w:hAnsiTheme="majorHAnsi" w:cstheme="majorHAnsi"/>
        </w:rPr>
        <w:tab/>
      </w:r>
      <w:r w:rsidRPr="6FB22721" w:rsidR="19A921B7">
        <w:rPr>
          <w:rFonts w:ascii="Calibri Light" w:hAnsi="Calibri Light" w:cs="Calibri Light" w:asciiTheme="majorAscii" w:hAnsiTheme="majorAscii" w:cstheme="majorAscii"/>
          <w:b w:val="1"/>
          <w:bCs w:val="1"/>
        </w:rPr>
        <w:t>Les avantages de la titrisation</w:t>
      </w:r>
    </w:p>
    <w:p w:rsidR="00C871FC" w:rsidP="6FB22721" w:rsidRDefault="00C871FC" w14:paraId="327F1B80" w14:textId="2094A0F6">
      <w:pPr>
        <w:spacing w:after="0"/>
        <w:jc w:val="both"/>
        <w:rPr>
          <w:rFonts w:ascii="Calibri Light" w:hAnsi="Calibri Light" w:cs="Calibri Light" w:asciiTheme="majorAscii" w:hAnsiTheme="majorAscii" w:cstheme="majorAscii"/>
          <w:b w:val="1"/>
          <w:bCs w:val="1"/>
        </w:rPr>
      </w:pPr>
    </w:p>
    <w:tbl>
      <w:tblPr>
        <w:tblStyle w:val="Grilledutableau"/>
        <w:tblW w:w="0" w:type="auto"/>
        <w:tblLook w:val="04A0" w:firstRow="1" w:lastRow="0" w:firstColumn="1" w:lastColumn="0" w:noHBand="0" w:noVBand="1"/>
      </w:tblPr>
      <w:tblGrid>
        <w:gridCol w:w="3114"/>
        <w:gridCol w:w="5948"/>
      </w:tblGrid>
      <w:tr w:rsidR="00C871FC" w:rsidTr="6FB22721" w14:paraId="1D9B8802" w14:textId="77777777">
        <w:tc>
          <w:tcPr>
            <w:tcW w:w="3114" w:type="dxa"/>
            <w:shd w:val="clear" w:color="auto" w:fill="BDD6EE" w:themeFill="accent1" w:themeFillTint="66"/>
            <w:tcMar/>
          </w:tcPr>
          <w:p w:rsidR="00C871FC" w:rsidP="6FB22721" w:rsidRDefault="00C871FC" w14:paraId="1C828856" w14:textId="77777777">
            <w:pPr>
              <w:jc w:val="both"/>
              <w:rPr>
                <w:rFonts w:ascii="Calibri Light" w:hAnsi="Calibri Light" w:cs="Calibri Light" w:asciiTheme="majorAscii" w:hAnsiTheme="majorAscii" w:cstheme="majorAscii"/>
                <w:color w:val="000000" w:themeColor="text1" w:themeTint="FF" w:themeShade="FF"/>
              </w:rPr>
            </w:pPr>
          </w:p>
          <w:p w:rsidR="00C871FC" w:rsidP="6FB22721" w:rsidRDefault="00C871FC" w14:paraId="7CA1BC37" w14:textId="77777777">
            <w:pPr>
              <w:jc w:val="both"/>
              <w:rPr>
                <w:rFonts w:ascii="Calibri Light" w:hAnsi="Calibri Light" w:cs="Calibri Light" w:asciiTheme="majorAscii" w:hAnsiTheme="majorAscii" w:cstheme="majorAscii"/>
                <w:color w:val="000000" w:themeColor="text1" w:themeTint="FF" w:themeShade="FF"/>
              </w:rPr>
            </w:pPr>
          </w:p>
          <w:p w:rsidR="00C871FC" w:rsidP="6FB22721" w:rsidRDefault="00C871FC" w14:paraId="1D161DDD" w14:textId="77777777">
            <w:pPr>
              <w:jc w:val="both"/>
              <w:rPr>
                <w:rFonts w:ascii="Calibri Light" w:hAnsi="Calibri Light" w:cs="Calibri Light" w:asciiTheme="majorAscii" w:hAnsiTheme="majorAscii" w:cstheme="majorAscii"/>
                <w:color w:val="000000" w:themeColor="text1" w:themeTint="FF" w:themeShade="FF"/>
              </w:rPr>
            </w:pPr>
          </w:p>
          <w:p w:rsidRPr="00C871FC" w:rsidR="00C871FC" w:rsidP="6FB22721" w:rsidRDefault="00C871FC" w14:paraId="06932997" w14:textId="63BE7833">
            <w:pPr>
              <w:jc w:val="both"/>
              <w:rPr>
                <w:rFonts w:ascii="Calibri Light" w:hAnsi="Calibri Light" w:cs="Calibri Light" w:asciiTheme="majorAscii" w:hAnsiTheme="majorAscii" w:cstheme="majorAscii"/>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Nouvelle source de financement</w:t>
            </w:r>
          </w:p>
        </w:tc>
        <w:tc>
          <w:tcPr>
            <w:tcW w:w="5948" w:type="dxa"/>
            <w:tcMar/>
          </w:tcPr>
          <w:p w:rsidRPr="005B471B" w:rsidR="00C871FC" w:rsidP="6FB22721" w:rsidRDefault="00C871FC" w14:paraId="1430DC84" w14:textId="18634FDA">
            <w:pPr>
              <w:jc w:val="both"/>
              <w:rPr>
                <w:rFonts w:ascii="Calibri Light" w:hAnsi="Calibri Light" w:cs="Calibri Light" w:asciiTheme="majorAscii" w:hAnsiTheme="majorAscii" w:cstheme="majorAscii"/>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 xml:space="preserve">• Permet de transformer un portefeuille illiquide en des titres liquides. </w:t>
            </w:r>
          </w:p>
          <w:p w:rsidRPr="005B471B" w:rsidR="00C871FC" w:rsidP="6FB22721" w:rsidRDefault="00C871FC" w14:paraId="76D13A8D" w14:textId="7362D058">
            <w:pPr>
              <w:jc w:val="both"/>
              <w:rPr>
                <w:rFonts w:ascii="Calibri Light" w:hAnsi="Calibri Light" w:cs="Calibri Light" w:asciiTheme="majorAscii" w:hAnsiTheme="majorAscii" w:cstheme="majorAscii"/>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 xml:space="preserve">• Règles de structuration qui permettent de fournir à tous les acteurs de la transaction une évaluation transparente des risques. </w:t>
            </w:r>
          </w:p>
          <w:p w:rsidRPr="005B471B" w:rsidR="00C871FC" w:rsidP="6FB22721" w:rsidRDefault="00C871FC" w14:paraId="7F9BE553" w14:textId="646B7789">
            <w:pPr>
              <w:jc w:val="both"/>
              <w:rPr>
                <w:rFonts w:ascii="Calibri Light" w:hAnsi="Calibri Light" w:cs="Calibri Light" w:asciiTheme="majorAscii" w:hAnsiTheme="majorAscii" w:cstheme="majorAscii"/>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 xml:space="preserve">• Les investisseurs prennent leur décision d'investissement sur la base de la qualité des actifs cédés: possibilité pour toute entreprise de lever des fonds à des conditions </w:t>
            </w:r>
          </w:p>
          <w:p w:rsidRPr="005B471B" w:rsidR="00C871FC" w:rsidP="6FB22721" w:rsidRDefault="00C871FC" w14:paraId="56AF494A" w14:textId="1AB9AF38">
            <w:pPr>
              <w:jc w:val="both"/>
              <w:rPr>
                <w:rFonts w:ascii="Calibri Light" w:hAnsi="Calibri Light" w:cs="Calibri Light" w:asciiTheme="majorAscii" w:hAnsiTheme="majorAscii" w:cstheme="majorAscii"/>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correctes.</w:t>
            </w:r>
          </w:p>
        </w:tc>
      </w:tr>
      <w:tr w:rsidR="00C871FC" w:rsidTr="6FB22721" w14:paraId="366681C4" w14:textId="77777777">
        <w:tc>
          <w:tcPr>
            <w:tcW w:w="3114" w:type="dxa"/>
            <w:shd w:val="clear" w:color="auto" w:fill="BDD6EE" w:themeFill="accent1" w:themeFillTint="66"/>
            <w:tcMar/>
          </w:tcPr>
          <w:p w:rsidRPr="005B471B" w:rsidR="00C871FC" w:rsidP="6FB22721" w:rsidRDefault="00C871FC" w14:paraId="1452DFBF" w14:textId="77777777">
            <w:pPr>
              <w:jc w:val="both"/>
              <w:rPr>
                <w:rFonts w:ascii="Calibri Light" w:hAnsi="Calibri Light" w:cs="Calibri Light" w:asciiTheme="majorAscii" w:hAnsiTheme="majorAscii" w:cstheme="majorAscii"/>
                <w:color w:val="000000" w:themeColor="text1" w:themeTint="FF" w:themeShade="FF"/>
              </w:rPr>
            </w:pPr>
          </w:p>
          <w:p w:rsidRPr="005B471B" w:rsidR="00C871FC" w:rsidP="6FB22721" w:rsidRDefault="00C871FC" w14:paraId="72BD6C52" w14:textId="748458E3">
            <w:pPr>
              <w:jc w:val="both"/>
              <w:rPr>
                <w:rFonts w:ascii="Calibri Light" w:hAnsi="Calibri Light" w:cs="Calibri Light" w:asciiTheme="majorAscii" w:hAnsiTheme="majorAscii" w:cstheme="majorAscii"/>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Transfert de risque</w:t>
            </w:r>
          </w:p>
        </w:tc>
        <w:tc>
          <w:tcPr>
            <w:tcW w:w="5948" w:type="dxa"/>
            <w:tcMar/>
          </w:tcPr>
          <w:p w:rsidRPr="005B471B" w:rsidR="00C871FC" w:rsidP="6FB22721" w:rsidRDefault="00C871FC" w14:paraId="67F17D73" w14:textId="3C9E344F">
            <w:pPr>
              <w:jc w:val="both"/>
              <w:rPr>
                <w:rFonts w:ascii="Calibri Light" w:hAnsi="Calibri Light" w:cs="Calibri Light" w:asciiTheme="majorAscii" w:hAnsiTheme="majorAscii" w:cstheme="majorAscii"/>
                <w:b w:val="1"/>
                <w:bCs w:val="1"/>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Risque de perte sur le portefeuille transféré: si les flux générés sont insuffisants, c'est l'investisseur qui subira une perte financière.</w:t>
            </w:r>
          </w:p>
        </w:tc>
      </w:tr>
      <w:tr w:rsidR="00C871FC" w:rsidTr="6FB22721" w14:paraId="79C3920B" w14:textId="77777777">
        <w:tc>
          <w:tcPr>
            <w:tcW w:w="3114" w:type="dxa"/>
            <w:shd w:val="clear" w:color="auto" w:fill="BDD6EE" w:themeFill="accent1" w:themeFillTint="66"/>
            <w:tcMar/>
          </w:tcPr>
          <w:p w:rsidRPr="005B471B" w:rsidR="00C871FC" w:rsidP="6FB22721" w:rsidRDefault="00C871FC" w14:paraId="23F36436" w14:textId="77777777">
            <w:pPr>
              <w:jc w:val="both"/>
              <w:rPr>
                <w:rFonts w:ascii="Calibri Light" w:hAnsi="Calibri Light" w:cs="Calibri Light" w:asciiTheme="majorAscii" w:hAnsiTheme="majorAscii" w:cstheme="majorAscii"/>
                <w:color w:val="000000" w:themeColor="text1" w:themeTint="FF" w:themeShade="FF"/>
              </w:rPr>
            </w:pPr>
          </w:p>
          <w:p w:rsidRPr="005B471B" w:rsidR="00C871FC" w:rsidP="6FB22721" w:rsidRDefault="00C871FC" w14:paraId="4E18D67D" w14:textId="4A5E6FCA">
            <w:pPr>
              <w:jc w:val="both"/>
              <w:rPr>
                <w:rFonts w:ascii="Calibri Light" w:hAnsi="Calibri Light" w:cs="Calibri Light" w:asciiTheme="majorAscii" w:hAnsiTheme="majorAscii" w:cstheme="majorAscii"/>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Gestion de bilan</w:t>
            </w:r>
          </w:p>
        </w:tc>
        <w:tc>
          <w:tcPr>
            <w:tcW w:w="5948" w:type="dxa"/>
            <w:tcMar/>
          </w:tcPr>
          <w:p w:rsidRPr="005B471B" w:rsidR="00C871FC" w:rsidP="6FB22721" w:rsidRDefault="00C871FC" w14:paraId="476D4AF6" w14:textId="286C303C">
            <w:pPr>
              <w:jc w:val="both"/>
              <w:rPr>
                <w:rFonts w:ascii="Calibri Light" w:hAnsi="Calibri Light" w:cs="Calibri Light" w:asciiTheme="majorAscii" w:hAnsiTheme="majorAscii" w:cstheme="majorAscii"/>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 xml:space="preserve">Refinancement du portefeuille de créances: possibilité pour Ie cédant de : </w:t>
            </w:r>
          </w:p>
          <w:p w:rsidRPr="005B471B" w:rsidR="00C871FC" w:rsidP="6FB22721" w:rsidRDefault="00C871FC" w14:paraId="46E19E9A" w14:textId="77777777">
            <w:pPr>
              <w:jc w:val="both"/>
              <w:rPr>
                <w:rFonts w:ascii="Calibri Light" w:hAnsi="Calibri Light" w:cs="Calibri Light" w:asciiTheme="majorAscii" w:hAnsiTheme="majorAscii" w:cstheme="majorAscii"/>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 xml:space="preserve">- libérer des fonds pour accroître son activité ou investir; </w:t>
            </w:r>
          </w:p>
          <w:p w:rsidRPr="005B471B" w:rsidR="00C871FC" w:rsidP="6FB22721" w:rsidRDefault="00C871FC" w14:paraId="29E9648F" w14:textId="588E4E9D">
            <w:pPr>
              <w:jc w:val="both"/>
              <w:rPr>
                <w:rFonts w:ascii="Calibri Light" w:hAnsi="Calibri Light" w:cs="Calibri Light" w:asciiTheme="majorAscii" w:hAnsiTheme="majorAscii" w:cstheme="majorAscii"/>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 maintenir le niveau de l'actif de bilan souhaité.</w:t>
            </w:r>
          </w:p>
        </w:tc>
      </w:tr>
      <w:tr w:rsidR="00C871FC" w:rsidTr="6FB22721" w14:paraId="564018DE" w14:textId="77777777">
        <w:tc>
          <w:tcPr>
            <w:tcW w:w="3114" w:type="dxa"/>
            <w:shd w:val="clear" w:color="auto" w:fill="BDD6EE" w:themeFill="accent1" w:themeFillTint="66"/>
            <w:tcMar/>
          </w:tcPr>
          <w:p w:rsidRPr="005B471B" w:rsidR="00C871FC" w:rsidP="6FB22721" w:rsidRDefault="00C871FC" w14:paraId="1C91F101" w14:textId="319E3319">
            <w:pPr>
              <w:jc w:val="both"/>
              <w:rPr>
                <w:rFonts w:ascii="Calibri Light" w:hAnsi="Calibri Light" w:cs="Calibri Light" w:asciiTheme="majorAscii" w:hAnsiTheme="majorAscii" w:cstheme="majorAscii"/>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Discrétion et maintien de la relation avec le client</w:t>
            </w:r>
          </w:p>
        </w:tc>
        <w:tc>
          <w:tcPr>
            <w:tcW w:w="5948" w:type="dxa"/>
            <w:tcMar/>
          </w:tcPr>
          <w:p w:rsidRPr="005B471B" w:rsidR="00C871FC" w:rsidP="6FB22721" w:rsidRDefault="00C871FC" w14:paraId="25D778C0" w14:textId="5A73959B">
            <w:pPr>
              <w:jc w:val="both"/>
              <w:rPr>
                <w:rFonts w:ascii="Calibri Light" w:hAnsi="Calibri Light" w:cs="Calibri Light" w:asciiTheme="majorAscii" w:hAnsiTheme="majorAscii" w:cstheme="majorAscii"/>
                <w:color w:val="000000" w:themeColor="text1" w:themeTint="FF" w:themeShade="FF"/>
              </w:rPr>
            </w:pPr>
            <w:r w:rsidRPr="6FB22721" w:rsidR="19A921B7">
              <w:rPr>
                <w:rFonts w:ascii="Calibri Light" w:hAnsi="Calibri Light" w:cs="Calibri Light" w:asciiTheme="majorAscii" w:hAnsiTheme="majorAscii" w:cstheme="majorAscii"/>
                <w:color w:val="000000" w:themeColor="text1" w:themeTint="FF" w:themeShade="FF"/>
              </w:rPr>
              <w:t>Les opérations de titrisation obéissent à la réglementation sur la protection de la vie privée: les clients (emprunteurs) ne sont pas avertis de la cession de leur crédit.</w:t>
            </w:r>
          </w:p>
        </w:tc>
      </w:tr>
    </w:tbl>
    <w:p w:rsidR="00C871FC" w:rsidP="6FB22721" w:rsidRDefault="00C871FC" w14:paraId="00EFD27D" w14:textId="75C70312">
      <w:pPr>
        <w:spacing w:after="0"/>
        <w:jc w:val="both"/>
        <w:rPr>
          <w:rFonts w:ascii="Calibri Light" w:hAnsi="Calibri Light" w:cs="Calibri Light" w:asciiTheme="majorAscii" w:hAnsiTheme="majorAscii" w:cstheme="majorAscii"/>
          <w:b w:val="1"/>
          <w:bCs w:val="1"/>
        </w:rPr>
      </w:pPr>
    </w:p>
    <w:p w:rsidR="00C871FC" w:rsidP="6FB22721" w:rsidRDefault="00C871FC" w14:paraId="64B372F2" w14:textId="0108A447">
      <w:pPr>
        <w:pStyle w:val="Paragraphedeliste"/>
        <w:numPr>
          <w:ilvl w:val="1"/>
          <w:numId w:val="6"/>
        </w:numPr>
        <w:spacing w:after="0"/>
        <w:jc w:val="both"/>
        <w:rPr>
          <w:rFonts w:ascii="Calibri Light" w:hAnsi="Calibri Light" w:cs="Calibri Light" w:asciiTheme="majorAscii" w:hAnsiTheme="majorAscii" w:cstheme="majorAscii"/>
          <w:b w:val="1"/>
          <w:bCs w:val="1"/>
        </w:rPr>
      </w:pPr>
      <w:r w:rsidRPr="00C871FC">
        <w:rPr>
          <w:rFonts w:asciiTheme="majorHAnsi" w:hAnsiTheme="majorHAnsi" w:cstheme="majorHAnsi"/>
        </w:rPr>
        <w:tab/>
      </w:r>
      <w:r w:rsidRPr="6FB22721" w:rsidR="19A921B7">
        <w:rPr>
          <w:rFonts w:ascii="Calibri Light" w:hAnsi="Calibri Light" w:cs="Calibri Light" w:asciiTheme="majorAscii" w:hAnsiTheme="majorAscii" w:cstheme="majorAscii"/>
          <w:b w:val="1"/>
          <w:bCs w:val="1"/>
        </w:rPr>
        <w:t>La titrisation synthétique</w:t>
      </w:r>
    </w:p>
    <w:p w:rsidR="00C871FC" w:rsidP="6FB22721" w:rsidRDefault="00C871FC" w14:paraId="4392FA7B" w14:textId="6E0E78FF">
      <w:pPr>
        <w:spacing w:after="0"/>
        <w:jc w:val="both"/>
        <w:rPr>
          <w:rFonts w:ascii="Calibri Light" w:hAnsi="Calibri Light" w:cs="Calibri Light" w:asciiTheme="majorAscii" w:hAnsiTheme="majorAscii" w:cstheme="majorAscii"/>
          <w:b w:val="1"/>
          <w:bCs w:val="1"/>
        </w:rPr>
      </w:pPr>
    </w:p>
    <w:p w:rsidRPr="00982D5A" w:rsidR="00982D5A" w:rsidP="6FB22721" w:rsidRDefault="00982D5A" w14:paraId="0217F867" w14:textId="7083E967">
      <w:pPr>
        <w:pStyle w:val="NormalWeb"/>
        <w:ind w:firstLine="708"/>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 xml:space="preserve">La titrisation peut être de forme classique. Elle est aussi appelée « titrisation réelle » ou «  titrisation cash flow ». Mais la titrisation peut aussi être </w:t>
      </w:r>
      <w:r w:rsidRPr="6FB22721" w:rsidR="2D237105">
        <w:rPr>
          <w:rFonts w:ascii="Calibri Light" w:hAnsi="Calibri Light" w:cs="Calibri Light" w:asciiTheme="majorAscii" w:hAnsiTheme="majorAscii" w:cstheme="majorAscii"/>
          <w:b w:val="1"/>
          <w:bCs w:val="1"/>
          <w:color w:val="000000" w:themeColor="text1" w:themeTint="FF" w:themeShade="FF"/>
          <w:sz w:val="22"/>
          <w:szCs w:val="22"/>
        </w:rPr>
        <w:t>synthétique</w:t>
      </w:r>
      <w:r w:rsidRPr="6FB22721" w:rsidR="2D237105">
        <w:rPr>
          <w:rFonts w:ascii="Calibri Light" w:hAnsi="Calibri Light" w:cs="Calibri Light" w:asciiTheme="majorAscii" w:hAnsiTheme="majorAscii" w:cstheme="majorAscii"/>
          <w:color w:val="000000" w:themeColor="text1" w:themeTint="FF" w:themeShade="FF"/>
          <w:sz w:val="22"/>
          <w:szCs w:val="22"/>
        </w:rPr>
        <w:t xml:space="preserve">. En effet, à partir de 1995, les banques et les institutions financières ont cherché à réduire le risque de crédit. Avec la titrisation classique, les banques se privaient du flux généré par les actifs titrisés et perdaient de l’argent à cause du coût que la gestion du véhicule de titrisation engendre. De plus, certains actifs ne peuvent pas être cédés comme les crédits aux entreprises à cause de clauses interdisant leur cession. Ils ont donc créé la titrisation synthétique dont la gestion est plus simple et le coût moins élevé. Dans ce cas, les actifs générateurs de revenu ne seront pas </w:t>
      </w:r>
      <w:r w:rsidRPr="6FB22721" w:rsidR="73A4438D">
        <w:rPr>
          <w:rFonts w:ascii="Calibri Light" w:hAnsi="Calibri Light" w:cs="Calibri Light" w:asciiTheme="majorAscii" w:hAnsiTheme="majorAscii" w:cstheme="majorAscii"/>
          <w:color w:val="000000" w:themeColor="text1" w:themeTint="FF" w:themeShade="FF"/>
          <w:sz w:val="22"/>
          <w:szCs w:val="22"/>
        </w:rPr>
        <w:t>______________</w:t>
      </w:r>
      <w:r w:rsidRPr="6FB22721" w:rsidR="2D237105">
        <w:rPr>
          <w:rFonts w:ascii="Calibri Light" w:hAnsi="Calibri Light" w:cs="Calibri Light" w:asciiTheme="majorAscii" w:hAnsiTheme="majorAscii" w:cstheme="majorAscii"/>
          <w:color w:val="000000" w:themeColor="text1" w:themeTint="FF" w:themeShade="FF"/>
          <w:sz w:val="22"/>
          <w:szCs w:val="22"/>
        </w:rPr>
        <w:t xml:space="preserve">, ils seront conservés juridiquement par l’initiateur. Seul le </w:t>
      </w:r>
      <w:r w:rsidRPr="6FB22721" w:rsidR="73A4438D">
        <w:rPr>
          <w:rFonts w:ascii="Calibri Light" w:hAnsi="Calibri Light" w:cs="Calibri Light" w:asciiTheme="majorAscii" w:hAnsiTheme="majorAscii" w:cstheme="majorAscii"/>
          <w:color w:val="000000" w:themeColor="text1" w:themeTint="FF" w:themeShade="FF"/>
          <w:sz w:val="22"/>
          <w:szCs w:val="22"/>
        </w:rPr>
        <w:t>____________</w:t>
      </w:r>
      <w:r w:rsidRPr="6FB22721" w:rsidR="2D237105">
        <w:rPr>
          <w:rFonts w:ascii="Calibri Light" w:hAnsi="Calibri Light" w:cs="Calibri Light" w:asciiTheme="majorAscii" w:hAnsiTheme="majorAscii" w:cstheme="majorAscii"/>
          <w:color w:val="000000" w:themeColor="text1" w:themeTint="FF" w:themeShade="FF"/>
          <w:sz w:val="22"/>
          <w:szCs w:val="22"/>
        </w:rPr>
        <w:t>de crédit associé au pool d’actif sera transféré. On a recours aux instruments financiers de couverture: les dérivés de crédit comme les CDS. Dans ce cas, l’investisseur rémunérera le détenteur de l’actif en cas de concrétisation du risque de crédit sur l’actif. C’est à dire que si l’évènement de crédit a lieu</w:t>
      </w:r>
      <w:r w:rsidRPr="6FB22721" w:rsidR="50727F78">
        <w:rPr>
          <w:rFonts w:ascii="Calibri Light" w:hAnsi="Calibri Light" w:cs="Calibri Light" w:asciiTheme="majorAscii" w:hAnsiTheme="majorAscii" w:cstheme="majorAscii"/>
          <w:color w:val="000000" w:themeColor="text1" w:themeTint="FF" w:themeShade="FF"/>
          <w:sz w:val="22"/>
          <w:szCs w:val="22"/>
        </w:rPr>
        <w:t>,</w:t>
      </w:r>
      <w:r w:rsidRPr="6FB22721" w:rsidR="2D237105">
        <w:rPr>
          <w:rFonts w:ascii="Calibri Light" w:hAnsi="Calibri Light" w:cs="Calibri Light" w:asciiTheme="majorAscii" w:hAnsiTheme="majorAscii" w:cstheme="majorAscii"/>
          <w:color w:val="000000" w:themeColor="text1" w:themeTint="FF" w:themeShade="FF"/>
          <w:sz w:val="22"/>
          <w:szCs w:val="22"/>
        </w:rPr>
        <w:t xml:space="preserve"> le vendeur de CDS paye à l’acheteur de CDS la valeur des créances ou titres sur lesquels il y a un défaut moins leur valeur de recouvrement. Ainsi les actifs couverts par un CDS deviennent sans risque. En contrepartie, le détenteur de l’actif lui paye une prime (trimestrielle, semestrielle ou annuelle). Il n’y a aucune émission de titres financiers, il suffit juste d’acheter un CDS. Le SPV utilise un contrat d’échange</w:t>
      </w:r>
      <w:r w:rsidRPr="6FB22721" w:rsidR="3E9B33E0">
        <w:rPr>
          <w:rFonts w:ascii="Calibri Light" w:hAnsi="Calibri Light" w:cs="Calibri Light" w:asciiTheme="majorAscii" w:hAnsiTheme="majorAscii" w:cstheme="majorAscii"/>
          <w:color w:val="000000" w:themeColor="text1" w:themeTint="FF" w:themeShade="FF"/>
          <w:sz w:val="22"/>
          <w:szCs w:val="22"/>
        </w:rPr>
        <w:t>,</w:t>
      </w:r>
      <w:r w:rsidRPr="6FB22721" w:rsidR="2D237105">
        <w:rPr>
          <w:rFonts w:ascii="Calibri Light" w:hAnsi="Calibri Light" w:cs="Calibri Light" w:asciiTheme="majorAscii" w:hAnsiTheme="majorAscii" w:cstheme="majorAscii"/>
          <w:color w:val="000000" w:themeColor="text1" w:themeTint="FF" w:themeShade="FF"/>
          <w:sz w:val="22"/>
          <w:szCs w:val="22"/>
        </w:rPr>
        <w:t xml:space="preserve"> soit un swap</w:t>
      </w:r>
      <w:r w:rsidRPr="6FB22721" w:rsidR="3E9B33E0">
        <w:rPr>
          <w:rFonts w:ascii="Calibri Light" w:hAnsi="Calibri Light" w:cs="Calibri Light" w:asciiTheme="majorAscii" w:hAnsiTheme="majorAscii" w:cstheme="majorAscii"/>
          <w:color w:val="000000" w:themeColor="text1" w:themeTint="FF" w:themeShade="FF"/>
          <w:sz w:val="22"/>
          <w:szCs w:val="22"/>
        </w:rPr>
        <w:t>,</w:t>
      </w:r>
      <w:r w:rsidRPr="6FB22721" w:rsidR="2D237105">
        <w:rPr>
          <w:rFonts w:ascii="Calibri Light" w:hAnsi="Calibri Light" w:cs="Calibri Light" w:asciiTheme="majorAscii" w:hAnsiTheme="majorAscii" w:cstheme="majorAscii"/>
          <w:color w:val="000000" w:themeColor="text1" w:themeTint="FF" w:themeShade="FF"/>
          <w:sz w:val="22"/>
          <w:szCs w:val="22"/>
        </w:rPr>
        <w:t xml:space="preserve"> afin de réaliser le processus de titrisation sans détenir réellement les actifs. Le premier CDO synthétique fut nommé BISTRO et a été réalisé par JP Morgan en 1998. </w:t>
      </w:r>
    </w:p>
    <w:p w:rsidRPr="00982D5A" w:rsidR="00982D5A" w:rsidP="6FB22721" w:rsidRDefault="00982D5A" w14:paraId="6CA144DB" w14:textId="77777777">
      <w:pPr>
        <w:pStyle w:val="NormalWeb"/>
        <w:ind w:firstLine="708"/>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Très souvent les montages de titrisation synthétique sont plus complexes. Ils utilisent généralement un véhicule de titrisation dans leur processus. Un CDO synthétique (Synthetic CDO) ne contient pas d’actifs mais une couverture de crédit sur un portefeuille d’actif. Mais il existe aussi des CDO hybrides (Hybrid CDO) qui contiennent à la fois des actifs et à la fois des dérivés de crédit. Le CDO synthétique émet des tranches et à ces tranches il achète des protections.</w:t>
      </w:r>
    </w:p>
    <w:p w:rsidRPr="00982D5A" w:rsidR="00982D5A" w:rsidP="6FB22721" w:rsidRDefault="00982D5A" w14:paraId="01DB83AB" w14:textId="5CB0EAAA">
      <w:pPr>
        <w:pStyle w:val="NormalWeb"/>
        <w:ind w:firstLine="708"/>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Il peut s’agir de CDO synthétiques partiellement financés. Nous allons prendre l’exemple d’une banque qui dispose d’un portefeuille de 10 milliards de dollars de prêts aux grandes entreprises. Elle souhaite se protéger contre le risque de crédit mais souhaite garder son portefeuille dans son bilan pour les raisons évoquées plus haut. Si elle décide d’acheter un CDS sans passer par un véhicule de titrisation, elle devra payer une prime élevée. Pour réduire ses couts elle décide de passer par un montage qui a recours à un véhicule de titrisation. Elle divise son portefeuille en deux. Un portefeuille de 8,5 milliards de dollars avec l</w:t>
      </w:r>
      <w:r w:rsidRPr="6FB22721" w:rsidR="08587A37">
        <w:rPr>
          <w:rFonts w:ascii="Calibri Light" w:hAnsi="Calibri Light" w:cs="Calibri Light" w:asciiTheme="majorAscii" w:hAnsiTheme="majorAscii" w:cstheme="majorAscii"/>
          <w:color w:val="000000" w:themeColor="text1" w:themeTint="FF" w:themeShade="FF"/>
          <w:sz w:val="22"/>
          <w:szCs w:val="22"/>
        </w:rPr>
        <w:t xml:space="preserve">es créances de bonnes qualités dont </w:t>
      </w:r>
      <w:r w:rsidRPr="6FB22721" w:rsidR="2D237105">
        <w:rPr>
          <w:rFonts w:ascii="Calibri Light" w:hAnsi="Calibri Light" w:cs="Calibri Light" w:asciiTheme="majorAscii" w:hAnsiTheme="majorAscii" w:cstheme="majorAscii"/>
          <w:color w:val="000000" w:themeColor="text1" w:themeTint="FF" w:themeShade="FF"/>
          <w:sz w:val="22"/>
          <w:szCs w:val="22"/>
        </w:rPr>
        <w:t xml:space="preserve">elle dispose qui est donc noté AAA et un portefeuille de 1,5 milliard de dollar composé de créances de faibles qualités plus enclin au risque de crédit. Elle achète un CDS pour son portefeuille noté AAA de 8,5 milliards de dollars qui est appelé « super sénior ». Elle a donc protégé les 8,5 milliards de dollars de son portefeuille et en plus à moindre cout. En effet, la prime à verser est entre 3 et 10 points de base car les créances sont de bonnes qualités. Pour le deuxième portefeuille de 1,5 milliard de dollar, elle utilise un véhicule de titrisation et sépare donc son portefeuille en quatre tranches: une de 750 millions de dollars avec une note AA, une de 375 millions avec une note A , une autre de 150 millions avec une note BBB qui sont cédés au véhicule de titrisation et une dernière la tranche équity de 225 millions de dollars qui est gardée par la banque . A ce portefeuille, elle achète aussi un CDS au véhicule de titrisation nommé CDS junior, subordonné au CDS super sénior. Mais comme les investisseurs achètent des titres adossés aux trois tranches ce sont eux qui conservent le risque de crédit. La banque récupère 1 275 millions de dollars grâce à l’émission des tranches et avec cette somme elle acquière des titres sans risque. Ainsi en cas de perte sur la tranche équity conservée dans son bilan, elle vend ses titres sans risque afin de récupérer la somme perdue. </w:t>
      </w:r>
    </w:p>
    <w:p w:rsidR="00B15488" w:rsidP="6FB22721" w:rsidRDefault="00B15488" w14:paraId="22F2C202" w14:textId="77777777">
      <w:pPr>
        <w:pStyle w:val="NormalWeb"/>
        <w:ind w:firstLine="360"/>
        <w:jc w:val="both"/>
        <w:rPr>
          <w:rFonts w:ascii="Calibri Light" w:hAnsi="Calibri Light" w:cs="Calibri Light" w:asciiTheme="majorAscii" w:hAnsiTheme="majorAscii" w:cstheme="majorAscii"/>
          <w:color w:val="000000"/>
          <w:sz w:val="22"/>
          <w:szCs w:val="22"/>
        </w:rPr>
      </w:pPr>
    </w:p>
    <w:p w:rsidR="00B15488" w:rsidP="6FB22721" w:rsidRDefault="00B15488" w14:paraId="488A418F" w14:textId="77777777">
      <w:pPr>
        <w:pStyle w:val="NormalWeb"/>
        <w:ind w:firstLine="360"/>
        <w:jc w:val="both"/>
        <w:rPr>
          <w:rFonts w:ascii="Calibri Light" w:hAnsi="Calibri Light" w:cs="Calibri Light" w:asciiTheme="majorAscii" w:hAnsiTheme="majorAscii" w:cstheme="majorAscii"/>
          <w:color w:val="000000"/>
          <w:sz w:val="22"/>
          <w:szCs w:val="22"/>
        </w:rPr>
      </w:pPr>
    </w:p>
    <w:p w:rsidRPr="00982D5A" w:rsidR="00982D5A" w:rsidP="6FB22721" w:rsidRDefault="00982D5A" w14:paraId="5D56F622" w14:textId="7160C38F">
      <w:pPr>
        <w:pStyle w:val="NormalWeb"/>
        <w:ind w:firstLine="360"/>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Si les pertes sont :</w:t>
      </w:r>
    </w:p>
    <w:p w:rsidRPr="00982D5A" w:rsidR="00982D5A" w:rsidP="6FB22721" w:rsidRDefault="00982D5A" w14:paraId="6C2D6D56" w14:textId="77777777">
      <w:pPr>
        <w:pStyle w:val="NormalWeb"/>
        <w:numPr>
          <w:ilvl w:val="0"/>
          <w:numId w:val="25"/>
        </w:numPr>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en dessous de 225 millions de dollars c’est la banque qui les supporte.</w:t>
      </w:r>
    </w:p>
    <w:p w:rsidRPr="00982D5A" w:rsidR="00982D5A" w:rsidP="6FB22721" w:rsidRDefault="00982D5A" w14:paraId="25C87E2B" w14:textId="77777777">
      <w:pPr>
        <w:pStyle w:val="NormalWeb"/>
        <w:numPr>
          <w:ilvl w:val="0"/>
          <w:numId w:val="25"/>
        </w:numPr>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entre 225 millions et 375 millions de dollars ce sont les investisseurs de la tranche avec la note BBB qui les supportent</w:t>
      </w:r>
    </w:p>
    <w:p w:rsidRPr="00982D5A" w:rsidR="00982D5A" w:rsidP="6FB22721" w:rsidRDefault="00982D5A" w14:paraId="179D1044" w14:textId="77777777">
      <w:pPr>
        <w:pStyle w:val="NormalWeb"/>
        <w:numPr>
          <w:ilvl w:val="0"/>
          <w:numId w:val="25"/>
        </w:numPr>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entre 375 millions et 750 millions de dollars ce sont les investisseurs de la tranche avec la note A qui les supportent</w:t>
      </w:r>
    </w:p>
    <w:p w:rsidRPr="00982D5A" w:rsidR="00982D5A" w:rsidP="6FB22721" w:rsidRDefault="00982D5A" w14:paraId="7F85AF9B" w14:textId="77777777">
      <w:pPr>
        <w:pStyle w:val="NormalWeb"/>
        <w:numPr>
          <w:ilvl w:val="0"/>
          <w:numId w:val="25"/>
        </w:numPr>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entre 750 millions de dollars et 1,5 milliards de dollars ce sont les investisseurs de la tranche avec la note AA qui les supportent</w:t>
      </w:r>
    </w:p>
    <w:p w:rsidRPr="00982D5A" w:rsidR="00982D5A" w:rsidP="6FB22721" w:rsidRDefault="00982D5A" w14:paraId="46AEC246" w14:textId="77777777">
      <w:pPr>
        <w:pStyle w:val="NormalWeb"/>
        <w:numPr>
          <w:ilvl w:val="0"/>
          <w:numId w:val="25"/>
        </w:numPr>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entre 1,5 milliards de dollars et 100 milliards c’est la banque qui a vendu le CDS qui les supporte.</w:t>
      </w:r>
    </w:p>
    <w:p w:rsidRPr="00982D5A" w:rsidR="00982D5A" w:rsidP="6FB22721" w:rsidRDefault="00982D5A" w14:paraId="395FBFBC" w14:textId="77777777">
      <w:pPr>
        <w:pStyle w:val="NormalWeb"/>
        <w:ind w:firstLine="708"/>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Mais il peut aussi s’agir de CDO synthétiques totalement financés (funded synthetic CDO). L’initiateur achète un CDS au véhicule de titrisation sur un portefeuille de référence. Il y a alors un swap de défaut. Le véhicule de titrisation ne paye pas l’acquisition du portefeuille d’actif, il reçoit juste des primes. Le véhicule de titrisation émet des CDO d’un montant identique au portefeuille de référence. Les investisseurs payent l’acquisition de ces titres. Avec cette somme, le véhicule de titrisation achète des actifs sans risque qui joueront le rôle de collatéral. Les investisseurs sont rémunérés avec les primes des CDS et la rémunération des actifs sans risques. Si l’évènement de crédit a lieu, le véhicule de titrisation devra vendre ses actifs sans risque et les investisseurs devront essuyer les pertes en fonction de la séniorité de leur tranche.</w:t>
      </w:r>
    </w:p>
    <w:p w:rsidRPr="00982D5A" w:rsidR="00982D5A" w:rsidP="6FB22721" w:rsidRDefault="00982D5A" w14:paraId="294B7401" w14:textId="77777777">
      <w:pPr>
        <w:pStyle w:val="NormalWeb"/>
        <w:ind w:firstLine="708"/>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Mais il est possible d’effectuer la transaction sans utiliser de collatéral et donc dans ce cas un véhicule de titrisation n’est pas nécessaire. Il s’agit alors de CDO synthétiques non financés (un-funded synthetic CDO). L’initiateur achète un CDS et émet des tranches de CDO. Les primes payées sont distribuées aux investisseurs en fonction de la séniorité de leur tranche. En cas d’évènement de crédit, les investisseurs devront alors indemniser l’initiateur en fonction de leur tranche. Cela dépendra toutefois aussi de la solvabilité des investisseurs.</w:t>
      </w:r>
      <w:r w:rsidRPr="6FB22721" w:rsidR="2D237105">
        <w:rPr>
          <w:rFonts w:ascii="Calibri Light" w:hAnsi="Calibri Light" w:cs="Calibri Light" w:asciiTheme="majorAscii" w:hAnsiTheme="majorAscii" w:cstheme="majorAscii"/>
          <w:sz w:val="22"/>
          <w:szCs w:val="22"/>
        </w:rPr>
        <w:t xml:space="preserve"> </w:t>
      </w:r>
    </w:p>
    <w:p w:rsidRPr="00982D5A" w:rsidR="00982D5A" w:rsidP="6FB22721" w:rsidRDefault="00982D5A" w14:paraId="4EAE02A2" w14:textId="77777777">
      <w:pPr>
        <w:pStyle w:val="NormalWeb"/>
        <w:ind w:firstLine="708"/>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 xml:space="preserve">Les CDO synthétiques non financés ont connu un fort succès surtout pour une catégorie de ces CDO: les CDO à tranche unique. D’après Standard and Poor’s, ils ont représenté 90% des CDO synthétiques émis entre 2003 et 2004. Ils sont en effet très flexibles. Les autres CDO synthétiques nécessitent que chaque tranche trouve son investisseur. Si une des tranches n’arrive pas à être vendue, le montage ne peut pas avoir lieu. Alors que dans le montage des STCDO ou encore appelés bespoke synthetic CDO, une seule tranche est vendue. Le problème de trouver un investisseur pour chaque tranche ne se pose plus. L’initiateur émet une seule tranche avec les points d’attachement qu’il souhaite. L’investisseur peut ainsi choisir lui même le niveau de subordination de la tranche ainsi que sa taille. Il choisit lui même le niveau de risque qu’il est prêt à prendre et la rémunération qu’il souhaite. Le portefeuille de référence ainsi que les points d’attachement et d’épuisement doivent être négociés. Une fois que les caractéristiques de la tranche sont négociées l’agence de notation note la tranche et l’initiateur achète généralement un CDS pour se protéger. L’avantage pour l’initiateur est une baisse des couts. Il économise les frais de placement des tranches et les frais de démarchage. </w:t>
      </w:r>
    </w:p>
    <w:p w:rsidRPr="00982D5A" w:rsidR="00982D5A" w:rsidP="6FB22721" w:rsidRDefault="00982D5A" w14:paraId="04A7EA81" w14:textId="77777777">
      <w:pPr>
        <w:pStyle w:val="NormalWeb"/>
        <w:ind w:firstLine="708"/>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 xml:space="preserve">Les CDS possèdent des avantages pour les véhicules de titrisation et a permis le développement des CDO. En effet, le CDS devient un moyen pour le véhicule de titrisation de se financer car il n’exige aucun apport initial. En effet, on peut vendre un CDS et ainsi recevoir des primes. </w:t>
      </w:r>
    </w:p>
    <w:p w:rsidRPr="00982D5A" w:rsidR="00982D5A" w:rsidP="6FB22721" w:rsidRDefault="00982D5A" w14:paraId="38DC0EB0" w14:textId="77777777">
      <w:pPr>
        <w:pStyle w:val="NormalWeb"/>
        <w:ind w:firstLine="708"/>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 xml:space="preserve">Les CDO synthétiques ont conduit à une baisse des profits de ceux qui sponsorisaient de tels montages. Cela a conduit les ingénieurs financiers à imaginer de nouveaux montages. Il est ainsi maintenant également possible de titriser une nouvelle fois les titres émis par le SPV. On parle alors de </w:t>
      </w:r>
      <w:r w:rsidRPr="6FB22721" w:rsidR="2D237105">
        <w:rPr>
          <w:rFonts w:ascii="Calibri Light" w:hAnsi="Calibri Light" w:cs="Calibri Light" w:asciiTheme="majorAscii" w:hAnsiTheme="majorAscii" w:cstheme="majorAscii"/>
          <w:color w:val="000000" w:themeColor="text1" w:themeTint="FF" w:themeShade="FF"/>
          <w:sz w:val="22"/>
          <w:szCs w:val="22"/>
        </w:rPr>
        <w:t>« retitrisation ». D’après Slaughter et May il y a trois types de retitrisation: effectuer un CDO sur de l’ABS, effectuer un CDO sur un CDO ou bien effectuer un CDO sur à la fois de l’ABS et du CDO.</w:t>
      </w:r>
    </w:p>
    <w:p w:rsidRPr="00982D5A" w:rsidR="00982D5A" w:rsidP="6FB22721" w:rsidRDefault="00982D5A" w14:paraId="6D2C35C6" w14:textId="77777777">
      <w:pPr>
        <w:pStyle w:val="NormalWeb"/>
        <w:ind w:firstLine="708"/>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Il est ainsi important de diversifier les portefeuilles sur lesquels sont adossés les CDO carrés et les CDO d’ABS pour éviter que leur probabilité de défaut soit corrélée. Ces produits sont donc valorisés en fonction de cette corrélation.</w:t>
      </w:r>
    </w:p>
    <w:p w:rsidRPr="00982D5A" w:rsidR="00982D5A" w:rsidP="6FB22721" w:rsidRDefault="00982D5A" w14:paraId="5417E3D7" w14:textId="77777777">
      <w:pPr>
        <w:pStyle w:val="NormalWeb"/>
        <w:ind w:firstLine="708"/>
        <w:jc w:val="both"/>
        <w:rPr>
          <w:rFonts w:ascii="Calibri Light" w:hAnsi="Calibri Light" w:cs="Calibri Light" w:asciiTheme="majorAscii" w:hAnsiTheme="majorAscii" w:cstheme="majorAscii"/>
          <w:sz w:val="22"/>
          <w:szCs w:val="22"/>
        </w:rPr>
      </w:pPr>
      <w:r w:rsidRPr="6FB22721" w:rsidR="2D237105">
        <w:rPr>
          <w:rFonts w:ascii="Calibri Light" w:hAnsi="Calibri Light" w:cs="Calibri Light" w:asciiTheme="majorAscii" w:hAnsiTheme="majorAscii" w:cstheme="majorAscii"/>
          <w:color w:val="000000" w:themeColor="text1" w:themeTint="FF" w:themeShade="FF"/>
          <w:sz w:val="22"/>
          <w:szCs w:val="22"/>
        </w:rPr>
        <w:t>Si la titrisation a connu un franc succès ces dernières années c’est qu’elle dispose de beaucoup d’avantages. Toutefois la crise des subprimes a révélé que celle-ci possède aussi de nombreux inconvénients.</w:t>
      </w:r>
    </w:p>
    <w:p w:rsidRPr="00C871FC" w:rsidR="00C871FC" w:rsidP="6FB22721" w:rsidRDefault="00C871FC" w14:paraId="3C44B883" w14:textId="77777777">
      <w:pPr>
        <w:spacing w:after="0"/>
        <w:jc w:val="both"/>
        <w:rPr>
          <w:rFonts w:ascii="Calibri Light" w:hAnsi="Calibri Light" w:cs="Calibri Light" w:asciiTheme="majorAscii" w:hAnsiTheme="majorAscii" w:cstheme="majorAscii"/>
          <w:b w:val="1"/>
          <w:bCs w:val="1"/>
        </w:rPr>
      </w:pPr>
    </w:p>
    <w:p w:rsidR="00B15488" w:rsidP="6FB22721" w:rsidRDefault="00B15488" w14:paraId="03436D3B" w14:textId="7CA709E4">
      <w:pPr>
        <w:pStyle w:val="Paragraphedeliste"/>
        <w:numPr>
          <w:ilvl w:val="1"/>
          <w:numId w:val="6"/>
        </w:numPr>
        <w:spacing w:after="0"/>
        <w:jc w:val="both"/>
        <w:rPr>
          <w:rFonts w:ascii="Calibri Light" w:hAnsi="Calibri Light" w:cs="Calibri Light" w:asciiTheme="majorAscii" w:hAnsiTheme="majorAscii" w:cstheme="majorAscii"/>
          <w:b w:val="1"/>
          <w:bCs w:val="1"/>
        </w:rPr>
      </w:pPr>
      <w:r w:rsidRPr="00C871FC">
        <w:rPr>
          <w:rFonts w:asciiTheme="majorHAnsi" w:hAnsiTheme="majorHAnsi" w:cstheme="majorHAnsi"/>
        </w:rPr>
        <w:tab/>
      </w:r>
      <w:r w:rsidRPr="6FB22721" w:rsidR="3E9B33E0">
        <w:rPr>
          <w:rFonts w:ascii="Calibri Light" w:hAnsi="Calibri Light" w:cs="Calibri Light" w:asciiTheme="majorAscii" w:hAnsiTheme="majorAscii" w:cstheme="majorAscii"/>
          <w:b w:val="1"/>
          <w:bCs w:val="1"/>
        </w:rPr>
        <w:t>Les fintechs</w:t>
      </w:r>
    </w:p>
    <w:p w:rsidR="00C871FC" w:rsidP="6FB22721" w:rsidRDefault="00C871FC" w14:paraId="6ECDB55C" w14:textId="4C57A98F">
      <w:pPr>
        <w:spacing w:after="0"/>
        <w:jc w:val="both"/>
        <w:rPr>
          <w:rFonts w:ascii="Calibri Light" w:hAnsi="Calibri Light" w:cs="Calibri Light" w:asciiTheme="majorAscii" w:hAnsiTheme="majorAscii" w:cstheme="majorAscii"/>
          <w:b w:val="1"/>
          <w:bCs w:val="1"/>
        </w:rPr>
      </w:pPr>
    </w:p>
    <w:p w:rsidRPr="00B15488" w:rsidR="00B15488" w:rsidP="6FB22721" w:rsidRDefault="00B15488" w14:paraId="55E1C489" w14:textId="01A89535">
      <w:pPr>
        <w:spacing w:after="0"/>
        <w:ind w:firstLine="708"/>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 xml:space="preserve">Les fintechs sont des entreprises innovantes qui utilisent les nouvelles technologies pour fournir des services financiers, généralement de façon plus efficace et moins chère. </w:t>
      </w:r>
    </w:p>
    <w:p w:rsidRPr="00B15488" w:rsidR="00B15488" w:rsidP="6FB22721" w:rsidRDefault="00B15488" w14:paraId="513DACFC" w14:textId="77777777">
      <w:pPr>
        <w:spacing w:after="0"/>
        <w:rPr>
          <w:rFonts w:ascii="Calibri Light" w:hAnsi="Calibri Light" w:cs="Calibri Light" w:asciiTheme="majorAscii" w:hAnsiTheme="majorAscii" w:cstheme="majorAscii"/>
        </w:rPr>
      </w:pPr>
    </w:p>
    <w:p w:rsidRPr="00B15488" w:rsidR="00B15488" w:rsidP="6FB22721" w:rsidRDefault="00B15488" w14:paraId="27D83E3F" w14:textId="3B70CA4D">
      <w:pPr>
        <w:spacing w:after="0"/>
        <w:ind w:firstLine="708"/>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 xml:space="preserve">Très rapidement, les fintechs se sont intéressées au mécanisme de la titrisation en y apportant leur haut degré de maîtrise des nouvelles technologies. </w:t>
      </w:r>
    </w:p>
    <w:p w:rsidRPr="00B15488" w:rsidR="00B15488" w:rsidP="6FB22721" w:rsidRDefault="00B15488" w14:paraId="2DD8C6E9" w14:textId="77777777">
      <w:pPr>
        <w:spacing w:after="0"/>
        <w:rPr>
          <w:rFonts w:ascii="Calibri Light" w:hAnsi="Calibri Light" w:cs="Calibri Light" w:asciiTheme="majorAscii" w:hAnsiTheme="majorAscii" w:cstheme="majorAscii"/>
        </w:rPr>
      </w:pPr>
    </w:p>
    <w:p w:rsidRPr="00B15488" w:rsidR="00B15488" w:rsidP="6FB22721" w:rsidRDefault="00B15488" w14:paraId="7053B22E" w14:textId="77777777">
      <w:pPr>
        <w:spacing w:after="0"/>
        <w:rPr>
          <w:rFonts w:ascii="Calibri Light" w:hAnsi="Calibri Light" w:cs="Calibri Light" w:asciiTheme="majorAscii" w:hAnsiTheme="majorAscii" w:cstheme="majorAscii"/>
          <w:u w:val="single"/>
        </w:rPr>
      </w:pPr>
      <w:r w:rsidRPr="6FB22721" w:rsidR="66C81319">
        <w:rPr>
          <w:rFonts w:ascii="Calibri Light" w:hAnsi="Calibri Light" w:cs="Calibri Light" w:asciiTheme="majorAscii" w:hAnsiTheme="majorAscii" w:cstheme="majorAscii"/>
          <w:u w:val="single"/>
        </w:rPr>
        <w:t xml:space="preserve">Exemple </w:t>
      </w:r>
    </w:p>
    <w:p w:rsidRPr="00B15488" w:rsidR="00B15488" w:rsidP="6FB22721" w:rsidRDefault="00B15488" w14:paraId="55E7913C" w14:textId="77777777">
      <w:pPr>
        <w:spacing w:after="0"/>
        <w:rPr>
          <w:rFonts w:ascii="Calibri Light" w:hAnsi="Calibri Light" w:cs="Calibri Light" w:asciiTheme="majorAscii" w:hAnsiTheme="majorAscii" w:cstheme="majorAscii"/>
        </w:rPr>
      </w:pPr>
    </w:p>
    <w:p w:rsidR="00B15488" w:rsidP="6FB22721" w:rsidRDefault="00B15488" w14:paraId="203F7405" w14:textId="77777777">
      <w:pPr>
        <w:spacing w:after="0"/>
        <w:ind w:firstLine="708"/>
        <w:jc w:val="both"/>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 xml:space="preserve">Le cas de la plateforme Finexkap (https://www.finexkap.com/) est certainement l'un des exemples les plus emblématiques de l'appropriation de la titrisation par les fintechs. </w:t>
      </w:r>
    </w:p>
    <w:p w:rsidR="00B15488" w:rsidP="6FB22721" w:rsidRDefault="00B15488" w14:paraId="5A10AF56" w14:textId="0F6E1EFB">
      <w:pPr>
        <w:spacing w:after="0"/>
        <w:ind w:firstLine="372"/>
        <w:jc w:val="both"/>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Cette plateforme permet en effet aux entreprises françaises de diversifier leurs sources de financement et aux investisseurs de financer l'économie réelle à travers un FCT géré par Finexkap AM (société de gestion agréée par l'AMF) et constitué conjointement avec la So</w:t>
      </w:r>
      <w:r w:rsidRPr="6FB22721" w:rsidR="66C81319">
        <w:rPr>
          <w:rFonts w:ascii="Calibri Light" w:hAnsi="Calibri Light" w:cs="Calibri Light" w:asciiTheme="majorAscii" w:hAnsiTheme="majorAscii" w:cstheme="majorAscii"/>
        </w:rPr>
        <w:t>ciété Générale (le dépositaire)</w:t>
      </w:r>
      <w:r w:rsidRPr="6FB22721" w:rsidR="66C81319">
        <w:rPr>
          <w:rFonts w:ascii="Calibri Light" w:hAnsi="Calibri Light" w:cs="Calibri Light" w:asciiTheme="majorAscii" w:hAnsiTheme="majorAscii" w:cstheme="majorAscii"/>
        </w:rPr>
        <w:t>.</w:t>
      </w:r>
    </w:p>
    <w:p w:rsidR="00B15488" w:rsidP="6FB22721" w:rsidRDefault="00B15488" w14:paraId="0EA73337" w14:textId="3F648904">
      <w:pPr>
        <w:spacing w:after="0"/>
        <w:ind w:firstLine="372"/>
        <w:jc w:val="both"/>
        <w:rPr>
          <w:rFonts w:ascii="Calibri Light" w:hAnsi="Calibri Light" w:cs="Calibri Light" w:asciiTheme="majorAscii" w:hAnsiTheme="majorAscii" w:cstheme="majorAscii"/>
        </w:rPr>
      </w:pPr>
    </w:p>
    <w:p w:rsidR="00B15488" w:rsidP="6FB22721" w:rsidRDefault="00B15488" w14:paraId="0EE93599" w14:textId="4C6E272D">
      <w:pPr>
        <w:spacing w:after="0"/>
        <w:ind w:firstLine="372"/>
        <w:jc w:val="both"/>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L'objet de la plateforme Finexkap est d'octroyer des avances de trésorerie adossées à des créances dans un environnement juridique sécurisé et de les financer par l'émission de titres souscrits par des investisseurs professionnels ou</w:t>
      </w:r>
      <w:r w:rsidRPr="6FB22721" w:rsidR="66C81319">
        <w:rPr>
          <w:rFonts w:ascii="Calibri Light" w:hAnsi="Calibri Light" w:cs="Calibri Light" w:asciiTheme="majorAscii" w:hAnsiTheme="majorAscii" w:cstheme="majorAscii"/>
        </w:rPr>
        <w:t xml:space="preserve"> assimilés. Le mécanisme s'appa</w:t>
      </w:r>
      <w:r w:rsidRPr="6FB22721" w:rsidR="66C81319">
        <w:rPr>
          <w:rFonts w:ascii="Calibri Light" w:hAnsi="Calibri Light" w:cs="Calibri Light" w:asciiTheme="majorAscii" w:hAnsiTheme="majorAscii" w:cstheme="majorAscii"/>
        </w:rPr>
        <w:t>rente à de l'affacturage. En effet, Finexkap AM propose aux e</w:t>
      </w:r>
      <w:r w:rsidRPr="6FB22721" w:rsidR="66C81319">
        <w:rPr>
          <w:rFonts w:ascii="Calibri Light" w:hAnsi="Calibri Light" w:cs="Calibri Light" w:asciiTheme="majorAscii" w:hAnsiTheme="majorAscii" w:cstheme="majorAscii"/>
        </w:rPr>
        <w:t>ntreprises d'anticiper le règle</w:t>
      </w:r>
      <w:r w:rsidRPr="6FB22721" w:rsidR="66C81319">
        <w:rPr>
          <w:rFonts w:ascii="Calibri Light" w:hAnsi="Calibri Light" w:cs="Calibri Light" w:asciiTheme="majorAscii" w:hAnsiTheme="majorAscii" w:cstheme="majorAscii"/>
        </w:rPr>
        <w:t xml:space="preserve">ment de leurs créances via une plateforme électronique totalement dématérialisée. Le fonds commun de titrisation (FCT Finexkap Créances Co </w:t>
      </w:r>
      <w:r w:rsidRPr="6FB22721" w:rsidR="66C81319">
        <w:rPr>
          <w:rFonts w:ascii="Calibri Light" w:hAnsi="Calibri Light" w:cs="Calibri Light" w:asciiTheme="majorAscii" w:hAnsiTheme="majorAscii" w:cstheme="majorAscii"/>
        </w:rPr>
        <w:t>n°1) achète les créances sélec</w:t>
      </w:r>
      <w:r w:rsidRPr="6FB22721" w:rsidR="66C81319">
        <w:rPr>
          <w:rFonts w:ascii="Calibri Light" w:hAnsi="Calibri Light" w:cs="Calibri Light" w:asciiTheme="majorAscii" w:hAnsiTheme="majorAscii" w:cstheme="majorAscii"/>
        </w:rPr>
        <w:t>tionnées avec les capitaux investis par les souscripteurs des parts du FCT. Les entreprises reçoivent immédiatement le montant des créances cédées (moins les commissions) et le FCT recouvre ce montant à l'échéance des factures.</w:t>
      </w:r>
    </w:p>
    <w:p w:rsidR="00B15488" w:rsidP="6FB22721" w:rsidRDefault="00B15488" w14:paraId="38E1CC54" w14:textId="49688A55">
      <w:pPr>
        <w:spacing w:after="0"/>
        <w:ind w:firstLine="372"/>
        <w:jc w:val="both"/>
        <w:rPr>
          <w:rFonts w:ascii="Calibri Light" w:hAnsi="Calibri Light" w:cs="Calibri Light" w:asciiTheme="majorAscii" w:hAnsiTheme="majorAscii" w:cstheme="majorAscii"/>
        </w:rPr>
      </w:pPr>
    </w:p>
    <w:p w:rsidRPr="00B15488" w:rsidR="00B15488" w:rsidP="6FB22721" w:rsidRDefault="00B15488" w14:paraId="5D2F70A0" w14:textId="4B9DC9DF">
      <w:pPr>
        <w:spacing w:after="0"/>
        <w:ind w:firstLine="372"/>
        <w:jc w:val="both"/>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 xml:space="preserve">Selon les informations indiquées sur le site Internet de Finexkap, « cette simple cession de créances, opérée sans caution, sans engagement, 100 % Web et rapide », se déroule de la façon suivante: </w:t>
      </w:r>
    </w:p>
    <w:p w:rsidRPr="00B15488" w:rsidR="00B15488" w:rsidP="6FB22721" w:rsidRDefault="00B15488" w14:paraId="0000A0BE" w14:textId="77777777">
      <w:pPr>
        <w:spacing w:after="0"/>
        <w:ind w:firstLine="372"/>
        <w:jc w:val="both"/>
        <w:rPr>
          <w:rFonts w:ascii="Calibri Light" w:hAnsi="Calibri Light" w:cs="Calibri Light" w:asciiTheme="majorAscii" w:hAnsiTheme="majorAscii" w:cstheme="majorAscii"/>
        </w:rPr>
      </w:pPr>
    </w:p>
    <w:p w:rsidRPr="00B15488" w:rsidR="00B15488" w:rsidP="6FB22721" w:rsidRDefault="00B15488" w14:paraId="6B8C623F" w14:textId="7C59DCEF">
      <w:pPr>
        <w:spacing w:after="0"/>
        <w:ind w:firstLine="372"/>
        <w:jc w:val="both"/>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 xml:space="preserve">• Premier clic: l'utilisateur se connecte sur le site Finexkap.com et teste son éligibilité avec son numéro SIREN. À partir de cette simple information, Finexkap AM est capable de vérifier immédiatement les premiers critères d'éligibilité de l'entreprise grâce à ses bases de données et son algorithme de scoring propriétaire. </w:t>
      </w:r>
    </w:p>
    <w:p w:rsidRPr="00B15488" w:rsidR="00B15488" w:rsidP="6FB22721" w:rsidRDefault="00B15488" w14:paraId="03A1FCA2" w14:textId="77777777">
      <w:pPr>
        <w:spacing w:after="0"/>
        <w:ind w:firstLine="372"/>
        <w:jc w:val="both"/>
        <w:rPr>
          <w:rFonts w:ascii="Calibri Light" w:hAnsi="Calibri Light" w:cs="Calibri Light" w:asciiTheme="majorAscii" w:hAnsiTheme="majorAscii" w:cstheme="majorAscii"/>
        </w:rPr>
      </w:pPr>
    </w:p>
    <w:p w:rsidRPr="00B15488" w:rsidR="00B15488" w:rsidP="6FB22721" w:rsidRDefault="00B15488" w14:paraId="18FAC7D9" w14:textId="2A38D9BD">
      <w:pPr>
        <w:spacing w:after="0"/>
        <w:ind w:firstLine="372"/>
        <w:jc w:val="both"/>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 Deuxième clic: sous réserve de son éligibilité, l'utilisat</w:t>
      </w:r>
      <w:r w:rsidRPr="6FB22721" w:rsidR="66C81319">
        <w:rPr>
          <w:rFonts w:ascii="Calibri Light" w:hAnsi="Calibri Light" w:cs="Calibri Light" w:asciiTheme="majorAscii" w:hAnsiTheme="majorAscii" w:cstheme="majorAscii"/>
        </w:rPr>
        <w:t xml:space="preserve">eur crée son compte et accède à </w:t>
      </w:r>
      <w:r w:rsidRPr="6FB22721" w:rsidR="66C81319">
        <w:rPr>
          <w:rFonts w:ascii="Calibri Light" w:hAnsi="Calibri Light" w:cs="Calibri Light" w:asciiTheme="majorAscii" w:hAnsiTheme="majorAscii" w:cstheme="majorAscii"/>
        </w:rPr>
        <w:t xml:space="preserve">la plateforme sécurisée de demande de financement et Finexkap AM mène les diligences nécessaires en moins de 48 heures afin de valider formellement son éligibilité. </w:t>
      </w:r>
    </w:p>
    <w:p w:rsidRPr="00B15488" w:rsidR="00B15488" w:rsidP="6FB22721" w:rsidRDefault="00B15488" w14:paraId="67D19F67" w14:textId="77777777">
      <w:pPr>
        <w:spacing w:after="0"/>
        <w:ind w:firstLine="372"/>
        <w:jc w:val="both"/>
        <w:rPr>
          <w:rFonts w:ascii="Calibri Light" w:hAnsi="Calibri Light" w:cs="Calibri Light" w:asciiTheme="majorAscii" w:hAnsiTheme="majorAscii" w:cstheme="majorAscii"/>
        </w:rPr>
      </w:pPr>
    </w:p>
    <w:p w:rsidRPr="00B15488" w:rsidR="00B15488" w:rsidP="6FB22721" w:rsidRDefault="00B15488" w14:paraId="4EC1002E" w14:textId="00F47166">
      <w:pPr>
        <w:spacing w:after="0"/>
        <w:ind w:firstLine="372"/>
        <w:jc w:val="both"/>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 Troisième clic: l'utilisateur n'a plus qu'à soumettre à Fine</w:t>
      </w:r>
      <w:r w:rsidRPr="6FB22721" w:rsidR="66C81319">
        <w:rPr>
          <w:rFonts w:ascii="Calibri Light" w:hAnsi="Calibri Light" w:cs="Calibri Light" w:asciiTheme="majorAscii" w:hAnsiTheme="majorAscii" w:cstheme="majorAscii"/>
        </w:rPr>
        <w:t>xkap AM les factures qu'il sou</w:t>
      </w:r>
      <w:r w:rsidRPr="6FB22721" w:rsidR="66C81319">
        <w:rPr>
          <w:rFonts w:ascii="Calibri Light" w:hAnsi="Calibri Light" w:cs="Calibri Light" w:asciiTheme="majorAscii" w:hAnsiTheme="majorAscii" w:cstheme="majorAscii"/>
        </w:rPr>
        <w:t xml:space="preserve">haite financer et la demande de financement sera analysée par les équipes de Finexkap AM. </w:t>
      </w:r>
    </w:p>
    <w:p w:rsidRPr="00B15488" w:rsidR="00B15488" w:rsidP="6FB22721" w:rsidRDefault="00B15488" w14:paraId="5D30C691" w14:textId="77777777">
      <w:pPr>
        <w:spacing w:after="0"/>
        <w:ind w:firstLine="372"/>
        <w:jc w:val="both"/>
        <w:rPr>
          <w:rFonts w:ascii="Calibri Light" w:hAnsi="Calibri Light" w:cs="Calibri Light" w:asciiTheme="majorAscii" w:hAnsiTheme="majorAscii" w:cstheme="majorAscii"/>
        </w:rPr>
      </w:pPr>
    </w:p>
    <w:p w:rsidRPr="00B15488" w:rsidR="00B15488" w:rsidP="6FB22721" w:rsidRDefault="00B15488" w14:paraId="67249F4B" w14:textId="39E0263C">
      <w:pPr>
        <w:spacing w:after="0"/>
        <w:ind w:firstLine="372"/>
        <w:jc w:val="both"/>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 xml:space="preserve">En termes de liquidité, l'actif du fonds est composé de créances de courte durée avec un délai moyen de règlement de l'ordre de 60 jours post acquisition. Les factures doivent porter sur des prestations entre professionnels (828). Leur matérialité est vérifiée par </w:t>
      </w:r>
      <w:r w:rsidRPr="6FB22721" w:rsidR="66C81319">
        <w:rPr>
          <w:rFonts w:ascii="Calibri Light" w:hAnsi="Calibri Light" w:cs="Calibri Light" w:asciiTheme="majorAscii" w:hAnsiTheme="majorAscii" w:cstheme="majorAscii"/>
        </w:rPr>
        <w:t xml:space="preserve">Finexkap AM. </w:t>
      </w:r>
    </w:p>
    <w:p w:rsidRPr="00B15488" w:rsidR="00B15488" w:rsidP="6FB22721" w:rsidRDefault="00B15488" w14:paraId="02FFEBFF" w14:textId="77777777">
      <w:pPr>
        <w:spacing w:after="0"/>
        <w:ind w:firstLine="372"/>
        <w:jc w:val="both"/>
        <w:rPr>
          <w:rFonts w:ascii="Calibri Light" w:hAnsi="Calibri Light" w:cs="Calibri Light" w:asciiTheme="majorAscii" w:hAnsiTheme="majorAscii" w:cstheme="majorAscii"/>
        </w:rPr>
      </w:pPr>
    </w:p>
    <w:p w:rsidRPr="00B15488" w:rsidR="00B15488" w:rsidP="6FB22721" w:rsidRDefault="00B15488" w14:paraId="24BE921E" w14:textId="1162B59B">
      <w:pPr>
        <w:spacing w:after="0"/>
        <w:ind w:firstLine="372"/>
        <w:jc w:val="both"/>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Pour les investisseurs (professionnels ou assimilés) capables d'investir au moins 100</w:t>
      </w:r>
      <w:r w:rsidRPr="6FB22721" w:rsidR="66C81319">
        <w:rPr>
          <w:rFonts w:ascii="Calibri Light" w:hAnsi="Calibri Light" w:cs="Calibri Light" w:asciiTheme="majorAscii" w:hAnsiTheme="majorAscii" w:cstheme="majorAscii"/>
        </w:rPr>
        <w:t xml:space="preserve"> 000 € </w:t>
      </w:r>
      <w:r w:rsidRPr="6FB22721" w:rsidR="66C81319">
        <w:rPr>
          <w:rFonts w:ascii="Calibri Light" w:hAnsi="Calibri Light" w:cs="Calibri Light" w:asciiTheme="majorAscii" w:hAnsiTheme="majorAscii" w:cstheme="majorAscii"/>
        </w:rPr>
        <w:t>(valeur des parts), Finexkap AM commercialise deux catégories de parts adaptées aux différents profils ris</w:t>
      </w:r>
      <w:r w:rsidRPr="6FB22721" w:rsidR="66C81319">
        <w:rPr>
          <w:rFonts w:ascii="Calibri Light" w:hAnsi="Calibri Light" w:cs="Calibri Light" w:asciiTheme="majorAscii" w:hAnsiTheme="majorAscii" w:cstheme="majorAscii"/>
        </w:rPr>
        <w:t xml:space="preserve">que / rendement recherchés : </w:t>
      </w:r>
    </w:p>
    <w:p w:rsidRPr="00B15488" w:rsidR="00B15488" w:rsidP="6FB22721" w:rsidRDefault="00B15488" w14:paraId="3F91D95E" w14:textId="3AC7485E">
      <w:pPr>
        <w:spacing w:after="0"/>
        <w:ind w:firstLine="372"/>
        <w:jc w:val="both"/>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 des parts prioritaires bénéficiant d'une très grande pr</w:t>
      </w:r>
      <w:r w:rsidRPr="6FB22721" w:rsidR="66C81319">
        <w:rPr>
          <w:rFonts w:ascii="Calibri Light" w:hAnsi="Calibri Light" w:cs="Calibri Light" w:asciiTheme="majorAscii" w:hAnsiTheme="majorAscii" w:cstheme="majorAscii"/>
        </w:rPr>
        <w:t xml:space="preserve">otection (dépôt de garantie, </w:t>
      </w:r>
      <w:r w:rsidRPr="6FB22721" w:rsidR="66C81319">
        <w:rPr>
          <w:rFonts w:ascii="Calibri Light" w:hAnsi="Calibri Light" w:cs="Calibri Light" w:asciiTheme="majorAscii" w:hAnsiTheme="majorAscii" w:cstheme="majorAscii"/>
        </w:rPr>
        <w:t>assurance-crédit et coussin mezzanine notamment) et offr</w:t>
      </w:r>
      <w:r w:rsidRPr="6FB22721" w:rsidR="66C81319">
        <w:rPr>
          <w:rFonts w:ascii="Calibri Light" w:hAnsi="Calibri Light" w:cs="Calibri Light" w:asciiTheme="majorAscii" w:hAnsiTheme="majorAscii" w:cstheme="majorAscii"/>
        </w:rPr>
        <w:t xml:space="preserve">ant un rendement d'Euribor </w:t>
      </w:r>
      <w:r w:rsidRPr="6FB22721" w:rsidR="66C81319">
        <w:rPr>
          <w:rFonts w:ascii="Calibri Light" w:hAnsi="Calibri Light" w:cs="Calibri Light" w:asciiTheme="majorAscii" w:hAnsiTheme="majorAscii" w:cstheme="majorAscii"/>
        </w:rPr>
        <w:t>de 1 M+4 % par an, très supérieur aux cond</w:t>
      </w:r>
      <w:r w:rsidRPr="6FB22721" w:rsidR="66C81319">
        <w:rPr>
          <w:rFonts w:ascii="Calibri Light" w:hAnsi="Calibri Light" w:cs="Calibri Light" w:asciiTheme="majorAscii" w:hAnsiTheme="majorAscii" w:cstheme="majorAscii"/>
        </w:rPr>
        <w:t>itions normales du marché ;</w:t>
      </w:r>
    </w:p>
    <w:p w:rsidR="00C871FC" w:rsidP="6FB22721" w:rsidRDefault="00B15488" w14:paraId="2342131A" w14:textId="64A86748">
      <w:pPr>
        <w:spacing w:after="0"/>
        <w:ind w:firstLine="372"/>
        <w:jc w:val="both"/>
        <w:rPr>
          <w:rFonts w:ascii="Calibri Light" w:hAnsi="Calibri Light" w:cs="Calibri Light" w:asciiTheme="majorAscii" w:hAnsiTheme="majorAscii" w:cstheme="majorAscii"/>
        </w:rPr>
      </w:pPr>
      <w:r w:rsidRPr="6FB22721" w:rsidR="66C81319">
        <w:rPr>
          <w:rFonts w:ascii="Calibri Light" w:hAnsi="Calibri Light" w:cs="Calibri Light" w:asciiTheme="majorAscii" w:hAnsiTheme="majorAscii" w:cstheme="majorAscii"/>
        </w:rPr>
        <w:t>- des parts mezzanine offrant un rendement d'Euribor de 1 M+9 % par an.</w:t>
      </w:r>
    </w:p>
    <w:p w:rsidR="00A5061D" w:rsidP="6FB22721" w:rsidRDefault="00A5061D" w14:paraId="2B8F15D1" w14:textId="2B44B28B">
      <w:pPr>
        <w:spacing w:after="0"/>
        <w:jc w:val="both"/>
        <w:rPr>
          <w:rFonts w:ascii="Calibri Light" w:hAnsi="Calibri Light" w:cs="Calibri Light" w:asciiTheme="majorAscii" w:hAnsiTheme="majorAscii" w:cstheme="majorAscii"/>
        </w:rPr>
      </w:pPr>
    </w:p>
    <w:p w:rsidR="00A5061D" w:rsidP="6FB22721" w:rsidRDefault="00A5061D" w14:paraId="05823A25" w14:textId="0054D59D">
      <w:pPr>
        <w:spacing w:after="0"/>
        <w:jc w:val="both"/>
        <w:rPr>
          <w:rFonts w:ascii="Calibri Light" w:hAnsi="Calibri Light" w:cs="Calibri Light" w:asciiTheme="majorAscii" w:hAnsiTheme="majorAscii" w:cstheme="majorAscii"/>
        </w:rPr>
      </w:pPr>
    </w:p>
    <w:p w:rsidR="00A5061D" w:rsidP="6FB22721" w:rsidRDefault="00A5061D" w14:paraId="24C7D907" w14:textId="11857D1C">
      <w:pPr>
        <w:pStyle w:val="Paragraphedeliste"/>
        <w:numPr>
          <w:ilvl w:val="1"/>
          <w:numId w:val="6"/>
        </w:numPr>
        <w:spacing w:after="0"/>
        <w:jc w:val="both"/>
        <w:rPr>
          <w:rFonts w:ascii="Calibri Light" w:hAnsi="Calibri Light" w:cs="Calibri Light" w:asciiTheme="majorAscii" w:hAnsiTheme="majorAscii" w:cstheme="majorAscii"/>
          <w:b w:val="1"/>
          <w:bCs w:val="1"/>
        </w:rPr>
      </w:pPr>
      <w:r w:rsidRPr="00C871FC">
        <w:rPr>
          <w:rFonts w:asciiTheme="majorHAnsi" w:hAnsiTheme="majorHAnsi" w:cstheme="majorHAnsi"/>
        </w:rPr>
        <w:tab/>
      </w:r>
      <w:r w:rsidRPr="6FB22721" w:rsidR="7DC2CDF0">
        <w:rPr>
          <w:rFonts w:ascii="Calibri Light" w:hAnsi="Calibri Light" w:cs="Calibri Light" w:asciiTheme="majorAscii" w:hAnsiTheme="majorAscii" w:cstheme="majorAscii"/>
          <w:b w:val="1"/>
          <w:bCs w:val="1"/>
        </w:rPr>
        <w:t>La notation et le scoring</w:t>
      </w:r>
    </w:p>
    <w:p w:rsidR="00A5061D" w:rsidP="6FB22721" w:rsidRDefault="00A5061D" w14:paraId="491D49DA" w14:textId="7EA76C70">
      <w:pPr>
        <w:spacing w:after="0"/>
        <w:jc w:val="both"/>
        <w:rPr>
          <w:rFonts w:ascii="Calibri Light" w:hAnsi="Calibri Light" w:cs="Calibri Light" w:asciiTheme="majorAscii" w:hAnsiTheme="majorAscii" w:cstheme="majorAscii"/>
          <w:b w:val="1"/>
          <w:bCs w:val="1"/>
        </w:rPr>
      </w:pPr>
    </w:p>
    <w:p w:rsidRPr="00A5061D" w:rsidR="00A5061D" w:rsidP="6FB22721" w:rsidRDefault="00A5061D" w14:paraId="5F1D26C9" w14:textId="52C05ACD">
      <w:pPr>
        <w:spacing w:after="0"/>
        <w:ind w:left="12" w:firstLine="708"/>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1.8.1. Score, scoring ou… credit scoring ?</w:t>
      </w:r>
    </w:p>
    <w:p w:rsidRPr="00A5061D" w:rsidR="00A5061D" w:rsidP="6FB22721" w:rsidRDefault="00A5061D" w14:paraId="7C65E5BA" w14:textId="77777777">
      <w:pPr>
        <w:spacing w:after="0"/>
        <w:jc w:val="both"/>
        <w:rPr>
          <w:rFonts w:ascii="Calibri Light" w:hAnsi="Calibri Light" w:cs="Calibri Light" w:asciiTheme="majorAscii" w:hAnsiTheme="majorAscii" w:cstheme="majorAscii"/>
          <w:b w:val="1"/>
          <w:bCs w:val="1"/>
        </w:rPr>
      </w:pPr>
    </w:p>
    <w:p w:rsidRPr="00A5061D" w:rsidR="00A5061D" w:rsidP="6FB22721" w:rsidRDefault="00A5061D" w14:paraId="6C2B024F" w14:textId="77777777">
      <w:pPr>
        <w:spacing w:after="0"/>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Les termes « score », « notation » ou « rating » sont souvent utilisés de manière indifférenciée pour qualifier une évaluation du risque de crédit ou de solvabilité. Or, ces notions sont distinctes et doivent être bien définies pour éviter toute confusion.</w:t>
      </w:r>
    </w:p>
    <w:p w:rsidRPr="00A5061D" w:rsidR="00A5061D" w:rsidP="6FB22721" w:rsidRDefault="00A5061D" w14:paraId="490486B6" w14:textId="77777777">
      <w:pPr>
        <w:spacing w:after="0"/>
        <w:jc w:val="both"/>
        <w:rPr>
          <w:rFonts w:ascii="Calibri Light" w:hAnsi="Calibri Light" w:cs="Calibri Light" w:asciiTheme="majorAscii" w:hAnsiTheme="majorAscii" w:cstheme="majorAscii"/>
        </w:rPr>
      </w:pPr>
    </w:p>
    <w:p w:rsidRPr="00A5061D" w:rsidR="00A5061D" w:rsidP="6FB22721" w:rsidRDefault="00A5061D" w14:paraId="4DB0D141" w14:textId="07EA9014">
      <w:pPr>
        <w:spacing w:after="0"/>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 xml:space="preserve">Ces 2 concepts poursuivent un objectif commun qui est de mesurer </w:t>
      </w:r>
      <w:r w:rsidRPr="6FB22721" w:rsidR="7DC2CDF0">
        <w:rPr>
          <w:rFonts w:ascii="Calibri Light" w:hAnsi="Calibri Light" w:cs="Calibri Light" w:asciiTheme="majorAscii" w:hAnsiTheme="majorAscii" w:cstheme="majorAscii"/>
        </w:rPr>
        <w:t>_____________________</w:t>
      </w:r>
      <w:r w:rsidRPr="6FB22721" w:rsidR="7DC2CDF0">
        <w:rPr>
          <w:rFonts w:ascii="Calibri Light" w:hAnsi="Calibri Light" w:cs="Calibri Light" w:asciiTheme="majorAscii" w:hAnsiTheme="majorAscii" w:cstheme="majorAscii"/>
        </w:rPr>
        <w:t>. Cependant, leur application et leur méthodologie de construction ne sont pas les mêmes. De plus, le score peut également mesurer un risque de défaillance.</w:t>
      </w:r>
    </w:p>
    <w:p w:rsidRPr="00A5061D" w:rsidR="00A5061D" w:rsidP="6FB22721" w:rsidRDefault="00A5061D" w14:paraId="13587BFD" w14:textId="77777777">
      <w:pPr>
        <w:spacing w:after="0"/>
        <w:jc w:val="both"/>
        <w:rPr>
          <w:rFonts w:ascii="Calibri Light" w:hAnsi="Calibri Light" w:cs="Calibri Light" w:asciiTheme="majorAscii" w:hAnsiTheme="majorAscii" w:cstheme="majorAscii"/>
        </w:rPr>
      </w:pPr>
    </w:p>
    <w:p w:rsidRPr="00A5061D" w:rsidR="00A5061D" w:rsidP="6FB22721" w:rsidRDefault="00A5061D" w14:paraId="4499566D" w14:textId="77777777">
      <w:pPr>
        <w:spacing w:after="0"/>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Le score, également appelé par les Anglo-Saxons, « scoring », ou « credit scoring », est déterminé par un modèle de calcul automatique et statistique. Il se base sur un algorithme, et l’exploitation de données, sans aucune intervention humaine. Dans le cadre du calcul de cet indicateur, il n’y a donc aucune intervention effectuée par un analyste financier.</w:t>
      </w:r>
    </w:p>
    <w:p w:rsidRPr="00A5061D" w:rsidR="00A5061D" w:rsidP="6FB22721" w:rsidRDefault="00A5061D" w14:paraId="4995724F" w14:textId="77777777">
      <w:pPr>
        <w:spacing w:after="0"/>
        <w:jc w:val="both"/>
        <w:rPr>
          <w:rFonts w:ascii="Calibri Light" w:hAnsi="Calibri Light" w:cs="Calibri Light" w:asciiTheme="majorAscii" w:hAnsiTheme="majorAscii" w:cstheme="majorAscii"/>
        </w:rPr>
      </w:pPr>
    </w:p>
    <w:p w:rsidRPr="00A5061D" w:rsidR="00A5061D" w:rsidP="6FB22721" w:rsidRDefault="00A5061D" w14:paraId="054F0AF5" w14:textId="77777777">
      <w:pPr>
        <w:spacing w:after="0"/>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Il peut être produit par les entreprises elles-mêmes ou par des prestataires, tels que des sociétés spécialisées en information d’entreprises. Il peut également être produit en interne par les banques et les assurances pour leur propre usage. Pour cela, il s’appuie sur une analyse statistique des données dont elles disposent.</w:t>
      </w:r>
    </w:p>
    <w:p w:rsidRPr="00A5061D" w:rsidR="00A5061D" w:rsidP="6FB22721" w:rsidRDefault="00A5061D" w14:paraId="44640CB4" w14:textId="77777777">
      <w:pPr>
        <w:spacing w:after="0"/>
        <w:jc w:val="both"/>
        <w:rPr>
          <w:rFonts w:ascii="Calibri Light" w:hAnsi="Calibri Light" w:cs="Calibri Light" w:asciiTheme="majorAscii" w:hAnsiTheme="majorAscii" w:cstheme="majorAscii"/>
        </w:rPr>
      </w:pPr>
    </w:p>
    <w:p w:rsidRPr="00A5061D" w:rsidR="00A5061D" w:rsidP="6FB22721" w:rsidRDefault="00A5061D" w14:paraId="4D483BF8" w14:textId="77777777">
      <w:pPr>
        <w:spacing w:after="0"/>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Le score est donc généralement utilisé par les entreprises de type PME ou ETI pour évaluer la santé financière de leurs contreparties client ou fournisseur. Cet indicateur, souvent adossé à des ratios financiers, contribue à la prise de décision.</w:t>
      </w:r>
    </w:p>
    <w:p w:rsidRPr="00A5061D" w:rsidR="00A5061D" w:rsidP="6FB22721" w:rsidRDefault="00A5061D" w14:paraId="6731661E" w14:textId="77777777">
      <w:pPr>
        <w:spacing w:after="0"/>
        <w:jc w:val="both"/>
        <w:rPr>
          <w:rFonts w:ascii="Calibri Light" w:hAnsi="Calibri Light" w:cs="Calibri Light" w:asciiTheme="majorAscii" w:hAnsiTheme="majorAscii" w:cstheme="majorAscii"/>
          <w:b w:val="1"/>
          <w:bCs w:val="1"/>
        </w:rPr>
      </w:pPr>
    </w:p>
    <w:p w:rsidR="00A5061D" w:rsidP="6FB22721" w:rsidRDefault="00A5061D" w14:paraId="6D27829C" w14:textId="4CA615C6">
      <w:pPr>
        <w:spacing w:after="0"/>
        <w:jc w:val="both"/>
        <w:rPr>
          <w:rFonts w:ascii="Calibri Light" w:hAnsi="Calibri Light" w:cs="Calibri Light" w:asciiTheme="majorAscii" w:hAnsiTheme="majorAscii" w:cstheme="majorAscii"/>
          <w:b w:val="1"/>
          <w:bCs w:val="1"/>
        </w:rPr>
      </w:pPr>
      <w:r w:rsidRPr="6FB22721" w:rsidR="7DC2CDF0">
        <w:rPr>
          <w:rFonts w:ascii="Calibri Light" w:hAnsi="Calibri Light" w:cs="Calibri Light" w:asciiTheme="majorAscii" w:hAnsiTheme="majorAscii" w:cstheme="majorAscii"/>
          <w:b w:val="1"/>
          <w:bCs w:val="1"/>
        </w:rPr>
        <w:t xml:space="preserve"> </w:t>
      </w:r>
    </w:p>
    <w:p w:rsidRPr="00A5061D" w:rsidR="00A5061D" w:rsidP="6FB22721" w:rsidRDefault="00A5061D" w14:paraId="1A9E23D9" w14:textId="77777777">
      <w:pPr>
        <w:spacing w:after="0"/>
        <w:jc w:val="both"/>
        <w:rPr>
          <w:rFonts w:ascii="Calibri Light" w:hAnsi="Calibri Light" w:cs="Calibri Light" w:asciiTheme="majorAscii" w:hAnsiTheme="majorAscii" w:cstheme="majorAscii"/>
          <w:b w:val="1"/>
          <w:bCs w:val="1"/>
        </w:rPr>
      </w:pPr>
    </w:p>
    <w:p w:rsidRPr="00A5061D" w:rsidR="00A5061D" w:rsidP="6FB22721" w:rsidRDefault="00A5061D" w14:paraId="1FCA823A" w14:textId="5A491ED7">
      <w:pPr>
        <w:spacing w:after="0"/>
        <w:ind w:left="708"/>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1.8.2. Notation financière, rating ou… credit rating ?</w:t>
      </w:r>
    </w:p>
    <w:p w:rsidRPr="00A5061D" w:rsidR="00A5061D" w:rsidP="6FB22721" w:rsidRDefault="00A5061D" w14:paraId="36F29FBF" w14:textId="77777777">
      <w:pPr>
        <w:spacing w:after="0"/>
        <w:jc w:val="both"/>
        <w:rPr>
          <w:rFonts w:ascii="Calibri Light" w:hAnsi="Calibri Light" w:cs="Calibri Light" w:asciiTheme="majorAscii" w:hAnsiTheme="majorAscii" w:cstheme="majorAscii"/>
          <w:b w:val="1"/>
          <w:bCs w:val="1"/>
        </w:rPr>
      </w:pPr>
    </w:p>
    <w:p w:rsidRPr="00A5061D" w:rsidR="00A5061D" w:rsidP="6FB22721" w:rsidRDefault="00A5061D" w14:paraId="14E73077" w14:textId="77777777">
      <w:pPr>
        <w:spacing w:after="0"/>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En revanche, la notation financière est très différente du score. Le terme “notation” est la traduction française pour désigner ce que les Anglo-saxons nomment « rating » ou « credit rating ».</w:t>
      </w:r>
    </w:p>
    <w:p w:rsidRPr="00A5061D" w:rsidR="00A5061D" w:rsidP="6FB22721" w:rsidRDefault="00A5061D" w14:paraId="043B030D" w14:textId="77777777">
      <w:pPr>
        <w:spacing w:after="0"/>
        <w:jc w:val="both"/>
        <w:rPr>
          <w:rFonts w:ascii="Calibri Light" w:hAnsi="Calibri Light" w:cs="Calibri Light" w:asciiTheme="majorAscii" w:hAnsiTheme="majorAscii" w:cstheme="majorAscii"/>
        </w:rPr>
      </w:pPr>
    </w:p>
    <w:p w:rsidRPr="00A5061D" w:rsidR="00A5061D" w:rsidP="6FB22721" w:rsidRDefault="00A5061D" w14:paraId="66F0B794" w14:textId="77777777">
      <w:pPr>
        <w:spacing w:after="0"/>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Qui n’a jamais entendu ou lu les acronymes des notes « AAA » et autres « BBB », ces sésames tant convoités à la fois par les entreprises et les États ? Et pour les néophytes, qui dit notation dit forcément Standard &amp; Poor’s, Moody’s et Fitch, les fameux « Big 3 ».</w:t>
      </w:r>
    </w:p>
    <w:p w:rsidRPr="00A5061D" w:rsidR="00A5061D" w:rsidP="6FB22721" w:rsidRDefault="00A5061D" w14:paraId="3BBF88E6" w14:textId="77777777">
      <w:pPr>
        <w:spacing w:after="0"/>
        <w:jc w:val="both"/>
        <w:rPr>
          <w:rFonts w:ascii="Calibri Light" w:hAnsi="Calibri Light" w:cs="Calibri Light" w:asciiTheme="majorAscii" w:hAnsiTheme="majorAscii" w:cstheme="majorAscii"/>
        </w:rPr>
      </w:pPr>
    </w:p>
    <w:p w:rsidRPr="00A5061D" w:rsidR="00A5061D" w:rsidP="6FB22721" w:rsidRDefault="00A5061D" w14:paraId="3DF3BB1E" w14:textId="77777777">
      <w:pPr>
        <w:spacing w:after="0"/>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On l’aura compris, la notation est un indicateur de la qualité de crédit d’un instrument financier ou de son émetteur, qu’il s’agisse d’une entreprise, d’un État ou d’une collectivité locale (définition du Règlement EU 1060/2009 sur les agences de notation).</w:t>
      </w:r>
    </w:p>
    <w:p w:rsidRPr="00A5061D" w:rsidR="00A5061D" w:rsidP="6FB22721" w:rsidRDefault="00A5061D" w14:paraId="4A5E4663" w14:textId="77777777">
      <w:pPr>
        <w:spacing w:after="0"/>
        <w:jc w:val="both"/>
        <w:rPr>
          <w:rFonts w:ascii="Calibri Light" w:hAnsi="Calibri Light" w:cs="Calibri Light" w:asciiTheme="majorAscii" w:hAnsiTheme="majorAscii" w:cstheme="majorAscii"/>
        </w:rPr>
      </w:pPr>
    </w:p>
    <w:p w:rsidRPr="00A5061D" w:rsidR="00A5061D" w:rsidP="6FB22721" w:rsidRDefault="00A5061D" w14:paraId="1DBF31AA" w14:textId="77777777">
      <w:pPr>
        <w:spacing w:after="0"/>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Contrairement au score, calculé sur la base d’un modèle statistique, la notation est produite par un analyste tenant compte à la fois de données quantitatives et qualitatives. L’intervention humaine fait donc partie intégrante du processus de notation.</w:t>
      </w:r>
    </w:p>
    <w:p w:rsidRPr="00A5061D" w:rsidR="00A5061D" w:rsidP="6FB22721" w:rsidRDefault="00A5061D" w14:paraId="4AE0F73C" w14:textId="77777777">
      <w:pPr>
        <w:spacing w:after="0"/>
        <w:jc w:val="both"/>
        <w:rPr>
          <w:rFonts w:ascii="Calibri Light" w:hAnsi="Calibri Light" w:cs="Calibri Light" w:asciiTheme="majorAscii" w:hAnsiTheme="majorAscii" w:cstheme="majorAscii"/>
        </w:rPr>
      </w:pPr>
    </w:p>
    <w:p w:rsidR="00A5061D" w:rsidP="6FB22721" w:rsidRDefault="00A5061D" w14:paraId="3379A6A5" w14:textId="0515E80B">
      <w:pPr>
        <w:spacing w:after="0"/>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La notation financière ou notation crédit est, généralement, sollicitée par les grandes entreprises cotées. Cependant, son périmètre couvre de plus en plus les entreprises de taille moyenne, les fameux « Mid-Caps ».</w:t>
      </w:r>
    </w:p>
    <w:p w:rsidR="00F174FB" w:rsidP="6FB22721" w:rsidRDefault="00F174FB" w14:paraId="34739389" w14:textId="50EFC8AF">
      <w:pPr>
        <w:spacing w:after="0"/>
        <w:jc w:val="both"/>
        <w:rPr>
          <w:rFonts w:ascii="Calibri Light" w:hAnsi="Calibri Light" w:cs="Calibri Light" w:asciiTheme="majorAscii" w:hAnsiTheme="majorAscii" w:cstheme="majorAscii"/>
        </w:rPr>
      </w:pPr>
    </w:p>
    <w:p w:rsidRPr="00F174FB" w:rsidR="00F174FB" w:rsidP="6FB22721" w:rsidRDefault="00F174FB" w14:paraId="21198056" w14:textId="77777777">
      <w:pPr>
        <w:spacing w:before="100" w:beforeAutospacing="on" w:after="100" w:afterAutospacing="on" w:line="240" w:lineRule="auto"/>
        <w:jc w:val="both"/>
        <w:outlineLvl w:val="1"/>
        <w:rPr>
          <w:rFonts w:ascii="Calibri Light" w:hAnsi="Calibri Light" w:eastAsia="Times New Roman" w:cs="Calibri Light" w:asciiTheme="majorAscii" w:hAnsiTheme="majorAscii" w:cstheme="majorAscii"/>
          <w:b w:val="1"/>
          <w:bCs w:val="1"/>
          <w:lang w:eastAsia="fr-FR"/>
        </w:rPr>
      </w:pPr>
      <w:r w:rsidRPr="6FB22721" w:rsidR="023B4E99">
        <w:rPr>
          <w:rFonts w:ascii="Calibri Light" w:hAnsi="Calibri Light" w:eastAsia="Times New Roman" w:cs="Calibri Light" w:asciiTheme="majorAscii" w:hAnsiTheme="majorAscii" w:cstheme="majorAscii"/>
          <w:b w:val="1"/>
          <w:bCs w:val="1"/>
          <w:lang w:eastAsia="fr-FR"/>
        </w:rPr>
        <w:t>Qu’est-ce qu’une agence de notation ?</w:t>
      </w:r>
    </w:p>
    <w:p w:rsidRPr="00F174FB" w:rsidR="00F174FB" w:rsidP="6FB22721" w:rsidRDefault="00F174FB" w14:paraId="6A5D1FA2"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 xml:space="preserve">Une agence de notation est une société dont le rôle est d’évaluer le risque de défaut d’un emprunteur sur ses dettes financières, appelé aussi sa </w:t>
      </w:r>
      <w:r w:rsidRPr="6FB22721" w:rsidR="023B4E99">
        <w:rPr>
          <w:rFonts w:ascii="Calibri Light" w:hAnsi="Calibri Light" w:eastAsia="Times New Roman" w:cs="Calibri Light" w:asciiTheme="majorAscii" w:hAnsiTheme="majorAscii" w:cstheme="majorAscii"/>
          <w:i w:val="1"/>
          <w:iCs w:val="1"/>
          <w:lang w:eastAsia="fr-FR"/>
        </w:rPr>
        <w:t>signature.</w:t>
      </w:r>
      <w:r w:rsidRPr="6FB22721" w:rsidR="023B4E99">
        <w:rPr>
          <w:rFonts w:ascii="Calibri Light" w:hAnsi="Calibri Light" w:eastAsia="Times New Roman" w:cs="Calibri Light" w:asciiTheme="majorAscii" w:hAnsiTheme="majorAscii" w:cstheme="majorAscii"/>
          <w:lang w:eastAsia="fr-FR"/>
        </w:rPr>
        <w:t> Les emprunteurs peuvent être des entreprises privées ou publiques, des États ou des collectivités.</w:t>
      </w:r>
    </w:p>
    <w:p w:rsidRPr="00F174FB" w:rsidR="00F174FB" w:rsidP="6FB22721" w:rsidRDefault="00F174FB" w14:paraId="11937321"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 xml:space="preserve">Depuis les années 1980, les agences de notation sont devenues un indice de référence tant pour les émetteurs que pour les investisseurs qui peuvent ainsi déterminer la solvabilité des émetteurs. Leur notation modifie le comportement des investisseurs institutionnels et sont les acteurs indirects de l’avenir des États et entreprises notées. Les trois agences mondiales de notation financière, </w:t>
      </w:r>
      <w:r w:rsidRPr="6FB22721" w:rsidR="023B4E99">
        <w:rPr>
          <w:rFonts w:ascii="Calibri Light" w:hAnsi="Calibri Light" w:eastAsia="Times New Roman" w:cs="Calibri Light" w:asciiTheme="majorAscii" w:hAnsiTheme="majorAscii" w:cstheme="majorAscii"/>
          <w:b w:val="1"/>
          <w:bCs w:val="1"/>
          <w:lang w:eastAsia="fr-FR"/>
        </w:rPr>
        <w:t>Standard &amp; Poor’s</w:t>
      </w:r>
      <w:r w:rsidRPr="6FB22721" w:rsidR="023B4E99">
        <w:rPr>
          <w:rFonts w:ascii="Calibri Light" w:hAnsi="Calibri Light" w:eastAsia="Times New Roman" w:cs="Calibri Light" w:asciiTheme="majorAscii" w:hAnsiTheme="majorAscii" w:cstheme="majorAscii"/>
          <w:lang w:eastAsia="fr-FR"/>
        </w:rPr>
        <w:t xml:space="preserve">, </w:t>
      </w:r>
      <w:r w:rsidRPr="6FB22721" w:rsidR="023B4E99">
        <w:rPr>
          <w:rFonts w:ascii="Calibri Light" w:hAnsi="Calibri Light" w:eastAsia="Times New Roman" w:cs="Calibri Light" w:asciiTheme="majorAscii" w:hAnsiTheme="majorAscii" w:cstheme="majorAscii"/>
          <w:b w:val="1"/>
          <w:bCs w:val="1"/>
          <w:lang w:eastAsia="fr-FR"/>
        </w:rPr>
        <w:t>Moody’s</w:t>
      </w:r>
      <w:r w:rsidRPr="6FB22721" w:rsidR="023B4E99">
        <w:rPr>
          <w:rFonts w:ascii="Calibri Light" w:hAnsi="Calibri Light" w:eastAsia="Times New Roman" w:cs="Calibri Light" w:asciiTheme="majorAscii" w:hAnsiTheme="majorAscii" w:cstheme="majorAscii"/>
          <w:lang w:eastAsia="fr-FR"/>
        </w:rPr>
        <w:t xml:space="preserve"> et </w:t>
      </w:r>
      <w:r w:rsidRPr="6FB22721" w:rsidR="023B4E99">
        <w:rPr>
          <w:rFonts w:ascii="Calibri Light" w:hAnsi="Calibri Light" w:eastAsia="Times New Roman" w:cs="Calibri Light" w:asciiTheme="majorAscii" w:hAnsiTheme="majorAscii" w:cstheme="majorAscii"/>
          <w:b w:val="1"/>
          <w:bCs w:val="1"/>
          <w:lang w:eastAsia="fr-FR"/>
        </w:rPr>
        <w:t>Fitch Ratings</w:t>
      </w:r>
      <w:r w:rsidRPr="6FB22721" w:rsidR="023B4E99">
        <w:rPr>
          <w:rFonts w:ascii="Calibri Light" w:hAnsi="Calibri Light" w:eastAsia="Times New Roman" w:cs="Calibri Light" w:asciiTheme="majorAscii" w:hAnsiTheme="majorAscii" w:cstheme="majorAscii"/>
          <w:lang w:eastAsia="fr-FR"/>
        </w:rPr>
        <w:t xml:space="preserve"> ont respectivement été établies en 1868, 1908 et 1913.</w:t>
      </w:r>
    </w:p>
    <w:p w:rsidRPr="00F174FB" w:rsidR="00F174FB" w:rsidP="6FB22721" w:rsidRDefault="00F174FB" w14:paraId="60B47454"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Les notations attribuées ne constituent pas des recommandations d’achat ou de vente de titres ; leur mission est d’évaluer l’estimation du risque à un instant donné.</w:t>
      </w:r>
    </w:p>
    <w:p w:rsidRPr="00F174FB" w:rsidR="00F174FB" w:rsidP="6FB22721" w:rsidRDefault="00F174FB" w14:paraId="05DFB554" w14:textId="77777777">
      <w:pPr>
        <w:spacing w:before="100" w:beforeAutospacing="on" w:after="100" w:afterAutospacing="on" w:line="240" w:lineRule="auto"/>
        <w:jc w:val="both"/>
        <w:outlineLvl w:val="2"/>
        <w:rPr>
          <w:rFonts w:ascii="Calibri Light" w:hAnsi="Calibri Light" w:eastAsia="Times New Roman" w:cs="Calibri Light" w:asciiTheme="majorAscii" w:hAnsiTheme="majorAscii" w:cstheme="majorAscii"/>
          <w:b w:val="1"/>
          <w:bCs w:val="1"/>
          <w:lang w:eastAsia="fr-FR"/>
        </w:rPr>
      </w:pPr>
      <w:r w:rsidRPr="6FB22721" w:rsidR="023B4E99">
        <w:rPr>
          <w:rFonts w:ascii="Calibri Light" w:hAnsi="Calibri Light" w:eastAsia="Times New Roman" w:cs="Calibri Light" w:asciiTheme="majorAscii" w:hAnsiTheme="majorAscii" w:cstheme="majorAscii"/>
          <w:b w:val="1"/>
          <w:bCs w:val="1"/>
          <w:lang w:eastAsia="fr-FR"/>
        </w:rPr>
        <w:t>Le processus de notation</w:t>
      </w:r>
    </w:p>
    <w:p w:rsidRPr="00F174FB" w:rsidR="00F174FB" w:rsidP="6FB22721" w:rsidRDefault="00F174FB" w14:paraId="723BFFD3"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Pendant plus d’un demi-siècle, les agences de notation étaient financées par les investisseurs qui payaient pour obtenir les notes des émetteurs. Désormais, l’émetteur qui désire être noté rémunère l’agence pour ses services. Les notations non sollicitées s’appuient sur des informations publiques.</w:t>
      </w:r>
    </w:p>
    <w:p w:rsidRPr="00F174FB" w:rsidR="00F174FB" w:rsidP="6FB22721" w:rsidRDefault="00F174FB" w14:paraId="02D23738"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Dans le cas d’une notation sollicitée, la note est attribuée après collecte des informations auprès de l’émetteur et entretien avec ce dernier. Une fois l’analyse présentée, l’émetteur peut faire appel à la décision du comité. La décision finale se traduit par un communiqué de presse relativement synthétique.</w:t>
      </w:r>
    </w:p>
    <w:p w:rsidRPr="00F174FB" w:rsidR="00F174FB" w:rsidP="6FB22721" w:rsidRDefault="00F174FB" w14:paraId="559D12AB"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Les critères de notations sont disponibles sur les sites de Standard &amp; Poor’s, Fitch Ratings et Moody’s. Ils associent les informations communiquées par l’émetteur aux données macro-économiques. L’expérience du secteur est également prise en compte.</w:t>
      </w:r>
    </w:p>
    <w:p w:rsidRPr="00F174FB" w:rsidR="00F174FB" w:rsidP="6FB22721" w:rsidRDefault="00F174FB" w14:paraId="05E2143A" w14:textId="77777777">
      <w:pPr>
        <w:spacing w:before="100" w:beforeAutospacing="on" w:after="100" w:afterAutospacing="on" w:line="240" w:lineRule="auto"/>
        <w:jc w:val="both"/>
        <w:outlineLvl w:val="2"/>
        <w:rPr>
          <w:rFonts w:ascii="Calibri Light" w:hAnsi="Calibri Light" w:eastAsia="Times New Roman" w:cs="Calibri Light" w:asciiTheme="majorAscii" w:hAnsiTheme="majorAscii" w:cstheme="majorAscii"/>
          <w:b w:val="1"/>
          <w:bCs w:val="1"/>
          <w:lang w:eastAsia="fr-FR"/>
        </w:rPr>
      </w:pPr>
      <w:r w:rsidRPr="6FB22721" w:rsidR="023B4E99">
        <w:rPr>
          <w:rFonts w:ascii="Calibri Light" w:hAnsi="Calibri Light" w:eastAsia="Times New Roman" w:cs="Calibri Light" w:asciiTheme="majorAscii" w:hAnsiTheme="majorAscii" w:cstheme="majorAscii"/>
          <w:b w:val="1"/>
          <w:bCs w:val="1"/>
          <w:lang w:eastAsia="fr-FR"/>
        </w:rPr>
        <w:t>Les systèmes de notation</w:t>
      </w:r>
    </w:p>
    <w:p w:rsidRPr="00F174FB" w:rsidR="00F174FB" w:rsidP="6FB22721" w:rsidRDefault="00F174FB" w14:paraId="4D2EA0FA"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Le système de notation diffère d’une agence à l’autre mais un consensus peut être établi : les notes vont de A à D, A étant la meilleure note, et sont composées d’échelons intermédiaires. Un émetteur noté AAA (ou Aaa) aura un risque de faillite de 0,05%. En d’autres termes, plus la note de l’émetteur est élevée, plus son risque de faillite est faible dans les années à venir.</w:t>
      </w:r>
    </w:p>
    <w:p w:rsidRPr="00F174FB" w:rsidR="00F174FB" w:rsidP="6FB22721" w:rsidRDefault="00F174FB" w14:paraId="10E28199"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Un investissement est jugé spéculatif lorsqu’il s’adosse à un titre de dette émis par une entreprise notée BB ou moins. De manière générale, on considère que du AAA au A, les investissements sont sécurisés ; du BBB au B, ils sont considérés comme spéculatifs ; du CCC au C, l’entreprise est en risque de défaut ; et une notation du DDD au D traduit une situation de faillite de l’emprunteur.</w:t>
      </w:r>
    </w:p>
    <w:p w:rsidRPr="00F174FB" w:rsidR="00F174FB" w:rsidP="6FB22721" w:rsidRDefault="00F174FB" w14:paraId="5C9277D6"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00F174FB" w:rsidP="6FB22721" w:rsidRDefault="00F174FB" w14:paraId="7A0C41DA" w14:textId="04F5D227">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00F174FB" w:rsidP="6FB22721" w:rsidRDefault="00F174FB" w14:paraId="658BC545" w14:textId="3E1BD8DF">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00F174FB" w:rsidP="6FB22721" w:rsidRDefault="00F174FB" w14:paraId="4D5BBB47" w14:textId="532C6B95">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00F174FB" w:rsidP="6FB22721" w:rsidRDefault="00F174FB" w14:paraId="6A281655" w14:textId="1EEDA79A">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00F174FB" w:rsidP="6FB22721" w:rsidRDefault="00F174FB" w14:paraId="1E4387EE" w14:textId="1FC265CB">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00F174FB" w:rsidP="6FB22721" w:rsidRDefault="00F174FB" w14:paraId="7FC7D64A" w14:textId="3074C1E8">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00F174FB" w:rsidP="6FB22721" w:rsidRDefault="00F174FB" w14:paraId="0A3F9FDA" w14:textId="45E41502">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00F174FB" w:rsidP="6FB22721" w:rsidRDefault="00F174FB" w14:paraId="5A06CB03" w14:textId="51A71166">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00F174FB" w:rsidP="6FB22721" w:rsidRDefault="00F174FB" w14:paraId="115351B2" w14:textId="4471D2C2">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Pr="00F174FB" w:rsidR="00F174FB" w:rsidP="6FB22721" w:rsidRDefault="00F174FB" w14:paraId="5DAF460D"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Pr="00F174FB" w:rsidR="00F174FB" w:rsidP="6FB22721" w:rsidRDefault="00F174FB" w14:paraId="434744BA"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Pr="00F174FB" w:rsidR="00F174FB" w:rsidP="6FB22721" w:rsidRDefault="00F174FB" w14:paraId="20246937"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Pr="00F174FB" w:rsidR="00F174FB" w:rsidP="6FB22721" w:rsidRDefault="00F174FB" w14:paraId="2FE52E0F"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Pr="00F174FB" w:rsidR="00F174FB" w:rsidP="6FB22721" w:rsidRDefault="00F174FB" w14:paraId="0624CF71"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Pr="00F174FB" w:rsidR="00F174FB" w:rsidP="6FB22721" w:rsidRDefault="00F174FB" w14:paraId="4D36DB4C"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Pr="00F174FB" w:rsidR="00F174FB" w:rsidP="6FB22721" w:rsidRDefault="00F174FB" w14:paraId="4C87C3C2"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p>
    <w:p w:rsidRPr="00F174FB" w:rsidR="00F174FB" w:rsidP="6FB22721" w:rsidRDefault="00F174FB" w14:paraId="0F6DB874"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sz w:val="24"/>
          <w:szCs w:val="24"/>
          <w:lang w:eastAsia="fr-FR"/>
        </w:rPr>
      </w:pPr>
      <w:r w:rsidRPr="6FB22721" w:rsidR="023B4E99">
        <w:rPr>
          <w:rFonts w:ascii="Calibri Light" w:hAnsi="Calibri Light" w:eastAsia="Times New Roman" w:cs="Calibri Light" w:asciiTheme="majorAscii" w:hAnsiTheme="majorAscii" w:cstheme="majorAscii"/>
          <w:sz w:val="24"/>
          <w:szCs w:val="24"/>
          <w:lang w:eastAsia="fr-FR"/>
        </w:rPr>
        <w:t>Voici le tableau de notation de Standard and Poor’s, Moody’s et Fitch Ratings :</w:t>
      </w:r>
    </w:p>
    <w:p w:rsidRPr="00F174FB" w:rsidR="00F174FB" w:rsidP="6FB22721" w:rsidRDefault="00F174FB" w14:paraId="7F49FED9" w14:textId="77777777">
      <w:pPr>
        <w:spacing w:after="0" w:line="240" w:lineRule="auto"/>
        <w:jc w:val="both"/>
        <w:rPr>
          <w:rFonts w:ascii="Calibri Light" w:hAnsi="Calibri Light" w:eastAsia="Times New Roman" w:cs="Calibri Light" w:asciiTheme="majorAscii" w:hAnsiTheme="majorAscii" w:cstheme="majorAscii"/>
          <w:sz w:val="24"/>
          <w:szCs w:val="24"/>
          <w:lang w:eastAsia="fr-FR"/>
        </w:rPr>
      </w:pPr>
      <w:r w:rsidR="023B4E99">
        <w:drawing>
          <wp:inline wp14:editId="760BA5CE" wp14:anchorId="38611B72">
            <wp:extent cx="5534025" cy="6705600"/>
            <wp:effectExtent l="0" t="0" r="9525" b="0"/>
            <wp:docPr id="3" name="Image 3" descr="https://www.cafedelabourse.com/images/uploads/Article_agences_de_notation.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descr="https://www.cafedelabourse.com/images/uploads/Article_agences_de_notation.JPG"/>
                    <pic:cNvPicPr>
                      <a:picLocks noChangeAspect="1" noChangeArrowheads="1"/>
                    </pic:cNvPicPr>
                  </pic:nvPicPr>
                  <pic:blipFill>
                    <a:blip xmlns:r="http://schemas.openxmlformats.org/officeDocument/2006/relationships" r:embed="rId15">
                      <a:extLst>
                        <a:ext uri="{28A0092B-C50C-407E-A947-70E740481C1C}">
                          <a14:useLocalDpi xmlns:a14="http://schemas.microsoft.com/office/drawing/2010/main" val="0"/>
                        </a:ext>
                      </a:extLst>
                    </a:blip>
                    <a:srcRect/>
                    <a:stretch>
                      <a:fillRect/>
                    </a:stretch>
                  </pic:blipFill>
                  <pic:spPr bwMode="auto">
                    <a:xfrm>
                      <a:off x="0" y="0"/>
                      <a:ext cx="5534025" cy="6705600"/>
                    </a:xfrm>
                    <a:prstGeom prst="rect">
                      <a:avLst/>
                    </a:prstGeom>
                    <a:noFill/>
                    <a:ln>
                      <a:noFill/>
                    </a:ln>
                  </pic:spPr>
                </pic:pic>
              </a:graphicData>
            </a:graphic>
          </wp:inline>
        </w:drawing>
      </w:r>
    </w:p>
    <w:p w:rsidRPr="00F174FB" w:rsidR="00F174FB" w:rsidP="6FB22721" w:rsidRDefault="00F174FB" w14:paraId="54C2BA53" w14:textId="77777777">
      <w:pPr>
        <w:spacing w:before="100" w:beforeAutospacing="on" w:after="100" w:afterAutospacing="on" w:line="240" w:lineRule="auto"/>
        <w:jc w:val="both"/>
        <w:outlineLvl w:val="2"/>
        <w:rPr>
          <w:rFonts w:ascii="Calibri Light" w:hAnsi="Calibri Light" w:eastAsia="Times New Roman" w:cs="Calibri Light" w:asciiTheme="majorAscii" w:hAnsiTheme="majorAscii" w:cstheme="majorAscii"/>
          <w:b w:val="1"/>
          <w:bCs w:val="1"/>
          <w:lang w:eastAsia="fr-FR"/>
        </w:rPr>
      </w:pPr>
      <w:r w:rsidRPr="6FB22721" w:rsidR="023B4E99">
        <w:rPr>
          <w:rFonts w:ascii="Calibri Light" w:hAnsi="Calibri Light" w:eastAsia="Times New Roman" w:cs="Calibri Light" w:asciiTheme="majorAscii" w:hAnsiTheme="majorAscii" w:cstheme="majorAscii"/>
          <w:b w:val="1"/>
          <w:bCs w:val="1"/>
          <w:lang w:eastAsia="fr-FR"/>
        </w:rPr>
        <w:t>Impact de la notation</w:t>
      </w:r>
    </w:p>
    <w:p w:rsidRPr="00F174FB" w:rsidR="00F174FB" w:rsidP="6FB22721" w:rsidRDefault="00F174FB" w14:paraId="4D72E6C8"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Si la notation n’a pas pour but d’impacter les marchés boursiers, dans la réalité, une dégradation d’une note est presque systématiquement suivie d’une baisse du cours du titre visé. Les investisseurs sont très attentifs aux notations (baisse ou augmentation de la note, émetteur sous surveillance) et modifient leur attitude de placement en fonction de ces ratings.</w:t>
      </w:r>
    </w:p>
    <w:p w:rsidRPr="00F174FB" w:rsidR="00F174FB" w:rsidP="6FB22721" w:rsidRDefault="00F174FB" w14:paraId="4C0C5E52"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 xml:space="preserve">Une entreprise notée AAA (ou Aaa) obtiendra des taux d’intérêts plus faibles que ceux d’une entreprise située dans la catégorie « spéculative ». Ainsi, un investisseur institutionnel imposera des taux d’intérêts </w:t>
      </w:r>
      <w:r w:rsidRPr="6FB22721" w:rsidR="023B4E99">
        <w:rPr>
          <w:rFonts w:ascii="Calibri Light" w:hAnsi="Calibri Light" w:eastAsia="Times New Roman" w:cs="Calibri Light" w:asciiTheme="majorAscii" w:hAnsiTheme="majorAscii" w:cstheme="majorAscii"/>
          <w:lang w:eastAsia="fr-FR"/>
        </w:rPr>
        <w:t>plus élevés à un État, une collectivité ou une entreprise qui a une mauvaise note, compte tenu du risque plus grand. Il devient difficile pour un émetteur défaillant de boucler une émission d’obligations. La différence de niveaux entre les taux d’intérêt d’un émetteur noté AAA ou moins constitue la prime de risque.</w:t>
      </w:r>
    </w:p>
    <w:p w:rsidRPr="00F174FB" w:rsidR="00F174FB" w:rsidP="6FB22721" w:rsidRDefault="00F174FB" w14:paraId="118B5D90" w14:textId="77777777">
      <w:pPr>
        <w:spacing w:before="100" w:beforeAutospacing="on" w:after="100" w:afterAutospacing="on" w:line="240" w:lineRule="auto"/>
        <w:jc w:val="both"/>
        <w:outlineLvl w:val="2"/>
        <w:rPr>
          <w:rFonts w:ascii="Calibri Light" w:hAnsi="Calibri Light" w:eastAsia="Times New Roman" w:cs="Calibri Light" w:asciiTheme="majorAscii" w:hAnsiTheme="majorAscii" w:cstheme="majorAscii"/>
          <w:b w:val="1"/>
          <w:bCs w:val="1"/>
          <w:lang w:eastAsia="fr-FR"/>
        </w:rPr>
      </w:pPr>
      <w:r w:rsidRPr="6FB22721" w:rsidR="023B4E99">
        <w:rPr>
          <w:rFonts w:ascii="Calibri Light" w:hAnsi="Calibri Light" w:eastAsia="Times New Roman" w:cs="Calibri Light" w:asciiTheme="majorAscii" w:hAnsiTheme="majorAscii" w:cstheme="majorAscii"/>
          <w:b w:val="1"/>
          <w:bCs w:val="1"/>
          <w:lang w:eastAsia="fr-FR"/>
        </w:rPr>
        <w:t>Le rôle des agences de notation dans la crise des subprimes</w:t>
      </w:r>
    </w:p>
    <w:p w:rsidRPr="00F174FB" w:rsidR="00F174FB" w:rsidP="6FB22721" w:rsidRDefault="00F174FB" w14:paraId="2A9114C3"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Les agences de notation ont leur part de responsabilité dans la crise des subprimes. En notant AAA des opérations financières développées sur les crédits hypothécaires, sous-évaluant ainsi le risque encouru par les investisseurs, les agences de notation ont participé à la formation d’une bulle de crédit. Leur tort a été de ne pas réévaluer à temps la solvabilité des émetteurs.</w:t>
      </w:r>
    </w:p>
    <w:p w:rsidRPr="00F174FB" w:rsidR="00F174FB" w:rsidP="6FB22721" w:rsidRDefault="00F174FB" w14:paraId="1AD64034"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En refusant de dégrader les notes des émetteurs qui apparaissaient déjà peu solvables, puis en abaissant brutalement leurs notes lorsque le marché de l’immobilier s’est retourné, les agences de notation ont aggravé l’engagement des États dans une crise systémique.</w:t>
      </w:r>
    </w:p>
    <w:p w:rsidRPr="00F174FB" w:rsidR="00F174FB" w:rsidP="6FB22721" w:rsidRDefault="00F174FB" w14:paraId="2869C9AF"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Si Standard &amp; Poors, Fitch et Moody’s n’avaient pas participé à la mécanique des crédits titrisés, ou n’avaient pas accordé trop généreusement des notes AAA sur les paquets titrisés, le risque réel aurait sans doute été mieux appréhendé et l’éclatement de la bulle spéculative moindre.</w:t>
      </w:r>
    </w:p>
    <w:p w:rsidRPr="00F174FB" w:rsidR="00F174FB" w:rsidP="6FB22721" w:rsidRDefault="00F174FB" w14:paraId="7D6AFA4A" w14:textId="77777777">
      <w:pPr>
        <w:spacing w:before="100" w:beforeAutospacing="on" w:after="100" w:afterAutospacing="on" w:line="240" w:lineRule="auto"/>
        <w:jc w:val="both"/>
        <w:outlineLvl w:val="2"/>
        <w:rPr>
          <w:rFonts w:ascii="Calibri Light" w:hAnsi="Calibri Light" w:eastAsia="Times New Roman" w:cs="Calibri Light" w:asciiTheme="majorAscii" w:hAnsiTheme="majorAscii" w:cstheme="majorAscii"/>
          <w:b w:val="1"/>
          <w:bCs w:val="1"/>
          <w:lang w:eastAsia="fr-FR"/>
        </w:rPr>
      </w:pPr>
      <w:r w:rsidRPr="6FB22721" w:rsidR="023B4E99">
        <w:rPr>
          <w:rFonts w:ascii="Calibri Light" w:hAnsi="Calibri Light" w:eastAsia="Times New Roman" w:cs="Calibri Light" w:asciiTheme="majorAscii" w:hAnsiTheme="majorAscii" w:cstheme="majorAscii"/>
          <w:b w:val="1"/>
          <w:bCs w:val="1"/>
          <w:lang w:eastAsia="fr-FR"/>
        </w:rPr>
        <w:t>Les limites des agences de notation</w:t>
      </w:r>
    </w:p>
    <w:p w:rsidRPr="00F174FB" w:rsidR="00F174FB" w:rsidP="6FB22721" w:rsidRDefault="00F174FB" w14:paraId="0C10E02C"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Les agences de notation sont soumises à des conflits d’intérêt qui amoindrissent leur fiabilité depuis quelques années :</w:t>
      </w:r>
    </w:p>
    <w:p w:rsidRPr="00F174FB" w:rsidR="00F174FB" w:rsidP="6FB22721" w:rsidRDefault="00F174FB" w14:paraId="7E74B20D" w14:textId="77777777">
      <w:pPr>
        <w:numPr>
          <w:ilvl w:val="0"/>
          <w:numId w:val="31"/>
        </w:num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les émetteurs payent les agences de notations pour être notées : les agences de notation sont donc dépendantes de leurs émetteurs. La rémunération fournie par les émetteurs leur est indispensable et leur permet de publier chacune des centaines de milliers de notes.</w:t>
      </w:r>
    </w:p>
    <w:p w:rsidRPr="00F174FB" w:rsidR="00F174FB" w:rsidP="6FB22721" w:rsidRDefault="00F174FB" w14:paraId="5DDF9428" w14:textId="77777777">
      <w:pPr>
        <w:numPr>
          <w:ilvl w:val="0"/>
          <w:numId w:val="32"/>
        </w:num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mélange des activités de conseil et de notation : l’agence n’intervient pas seulement comme évaluateur d’une entreprise déjà existante : elle conseille également les opérations en cours de montage. Elle fait partie du processus qui constitue le produit.</w:t>
      </w:r>
    </w:p>
    <w:p w:rsidRPr="00F174FB" w:rsidR="00F174FB" w:rsidP="6FB22721" w:rsidRDefault="00F174FB" w14:paraId="6543B10C"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Les agences de notations peinent à évaluer correctement certaines opérations financières de plus en plus complexes et entravent la fiabilité des notations. Rappelez vous Vivendi Universal, qui faisait faillite deux semaines après avoir été estampillé AAA.</w:t>
      </w:r>
    </w:p>
    <w:p w:rsidRPr="00F174FB" w:rsidR="00F174FB" w:rsidP="6FB22721" w:rsidRDefault="00F174FB" w14:paraId="70EC167D"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Au cœur de la bulle internet, 90 % des notes attribuées étaient positives et incitaient à l’achat, au mépris de l’endettement considérable des sociétés de l’ère informatique (Worldcom : 29,3 milliards de dollars, Global Crossing : 12,4 milliards). Ce n’est qu’en juin 2002, alors que les indices boursiers avaient déjà perdu 40 % en deux ans, au niveau mondial, que les agences ont commencé baisser leurs notes des entreprises cotées sur les bourses du monde.</w:t>
      </w:r>
    </w:p>
    <w:p w:rsidR="00F174FB" w:rsidP="6FB22721" w:rsidRDefault="00F174FB" w14:paraId="2C27A04A" w14:textId="281F37F1">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Les agences de notation n’ont anticipé aucune des crises importantes malgré les dettes considérables impliquées. Pendant la crise mexicaine, qui débutait fin 1994, Standard &amp; Poor’s n’a abaissé leur rating qu’en février de l’année suivante, tandis que Moody’s ne changeait pas son appréciation. Elles n’ont pas non plus vu arriver la crise asiatique de 1997. Au contraire, par leurs décisions tardives ou brutales, elles ont parfois accentué les difficultés (Brésil en 1999 ; Argentine en 2001).</w:t>
      </w:r>
    </w:p>
    <w:p w:rsidRPr="00F174FB" w:rsidR="00F174FB" w:rsidP="6FB22721" w:rsidRDefault="00F174FB" w14:paraId="50B1DC83"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p>
    <w:p w:rsidRPr="00F174FB" w:rsidR="00F174FB" w:rsidP="6FB22721" w:rsidRDefault="00F174FB" w14:paraId="073CF97F" w14:textId="77777777">
      <w:pPr>
        <w:spacing w:before="100" w:beforeAutospacing="on" w:after="100" w:afterAutospacing="on" w:line="240" w:lineRule="auto"/>
        <w:jc w:val="both"/>
        <w:outlineLvl w:val="2"/>
        <w:rPr>
          <w:rFonts w:ascii="Calibri Light" w:hAnsi="Calibri Light" w:eastAsia="Times New Roman" w:cs="Calibri Light" w:asciiTheme="majorAscii" w:hAnsiTheme="majorAscii" w:cstheme="majorAscii"/>
          <w:b w:val="1"/>
          <w:bCs w:val="1"/>
          <w:lang w:eastAsia="fr-FR"/>
        </w:rPr>
      </w:pPr>
      <w:r w:rsidRPr="6FB22721" w:rsidR="023B4E99">
        <w:rPr>
          <w:rFonts w:ascii="Calibri Light" w:hAnsi="Calibri Light" w:eastAsia="Times New Roman" w:cs="Calibri Light" w:asciiTheme="majorAscii" w:hAnsiTheme="majorAscii" w:cstheme="majorAscii"/>
          <w:b w:val="1"/>
          <w:bCs w:val="1"/>
          <w:lang w:eastAsia="fr-FR"/>
        </w:rPr>
        <w:t>Agences de notation : le cas de la Grèce</w:t>
      </w:r>
    </w:p>
    <w:p w:rsidRPr="00F174FB" w:rsidR="00F174FB" w:rsidP="6FB22721" w:rsidRDefault="00F174FB" w14:paraId="493C42F8"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Plus récemment, la crise grecque a également été minimisée par les agences de notation. Lorsque les pays de la zone euro ont convenu que le déficit de la Grèce étaient trop lourd</w:t>
      </w:r>
      <w:r w:rsidRPr="6FB22721" w:rsidR="023B4E99">
        <w:rPr>
          <w:rFonts w:ascii="Calibri Light" w:hAnsi="Calibri Light" w:eastAsia="Times New Roman" w:cs="Calibri Light" w:asciiTheme="majorAscii" w:hAnsiTheme="majorAscii" w:cstheme="majorAscii"/>
          <w:strike w:val="1"/>
          <w:lang w:eastAsia="fr-FR"/>
        </w:rPr>
        <w:t>s</w:t>
      </w:r>
      <w:r w:rsidRPr="6FB22721" w:rsidR="023B4E99">
        <w:rPr>
          <w:rFonts w:ascii="Calibri Light" w:hAnsi="Calibri Light" w:eastAsia="Times New Roman" w:cs="Calibri Light" w:asciiTheme="majorAscii" w:hAnsiTheme="majorAscii" w:cstheme="majorAscii"/>
          <w:lang w:eastAsia="fr-FR"/>
        </w:rPr>
        <w:t xml:space="preserve"> pour que l’économie puisse se maintenir, les 27 pays de la zone euro ont travaillé pendant 3 mois à l’élaboration d’un plan de sauvetage conjoint avec le FMI de plus 110 millions d’euros ; de quoi remplacer la valeur commerciale des marchés.</w:t>
      </w:r>
    </w:p>
    <w:p w:rsidRPr="00F174FB" w:rsidR="00F174FB" w:rsidP="6FB22721" w:rsidRDefault="00F174FB" w14:paraId="27E20906"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Une fois de plus, malgré des mois de marasme et de scandales répétés (Goldman Sachs aurait aidé la Grèce à maquiller le montant de sa dette pour que le pays rentre dans la zone euro), il aura fallu plus de 3 mois à Standard &amp; Poor’s pour abaisser la note de la Grèce. En dégradant brutalement la note du pays, l’agence a assené le pays qui ne peut plus emprunter sur les marchés, tant les taux ont augmenté.</w:t>
      </w:r>
    </w:p>
    <w:p w:rsidRPr="00F174FB" w:rsidR="00F174FB" w:rsidP="6FB22721" w:rsidRDefault="00F174FB" w14:paraId="2580F85C"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La Grèce a été le premier pays de l’Union européenne à subir une telle crise systémique, et si les pays de la zone euro se sont assemblés pour empêcher la faillite du pays, on mesure bien le double impact de l’abaissement à retardement d’une note, en cas de défaut d’un pays indépendant économiquement et financièrement de toute entité.</w:t>
      </w:r>
    </w:p>
    <w:p w:rsidRPr="00F174FB" w:rsidR="00F174FB" w:rsidP="00F174FB" w:rsidRDefault="00F174FB" w14:paraId="5FC49858" w14:textId="77777777">
      <w:pPr>
        <w:spacing w:after="0" w:line="240" w:lineRule="auto"/>
        <w:jc w:val="both"/>
        <w:rPr>
          <w:rFonts w:ascii="Times New Roman" w:hAnsi="Times New Roman" w:eastAsia="Times New Roman" w:cs="Times New Roman"/>
          <w:lang w:eastAsia="fr-FR"/>
        </w:rPr>
      </w:pPr>
      <w:r w:rsidR="023B4E99">
        <w:drawing>
          <wp:inline wp14:editId="1D9058F7" wp14:anchorId="0038F9D1">
            <wp:extent cx="4533900" cy="2447925"/>
            <wp:effectExtent l="0" t="0" r="0" b="9525"/>
            <wp:docPr id="5" name="Image 5" descr="https://www.cafedelabourse.com/images/uploads/olivier-crottaz-hypothetical-sovereing-ratings.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descr="https://www.cafedelabourse.com/images/uploads/olivier-crottaz-hypothetical-sovereing-ratings.jpg"/>
                    <pic:cNvPicPr>
                      <a:picLocks noChangeAspect="1" noChangeArrowheads="1"/>
                    </pic:cNvPicPr>
                  </pic:nvPicPr>
                  <pic:blipFill>
                    <a:blip xmlns:r="http://schemas.openxmlformats.org/officeDocument/2006/relationships" r:embed="rId16">
                      <a:extLst>
                        <a:ext uri="{28A0092B-C50C-407E-A947-70E740481C1C}">
                          <a14:useLocalDpi xmlns:a14="http://schemas.microsoft.com/office/drawing/2010/main" val="0"/>
                        </a:ext>
                      </a:extLst>
                    </a:blip>
                    <a:srcRect/>
                    <a:stretch>
                      <a:fillRect/>
                    </a:stretch>
                  </pic:blipFill>
                  <pic:spPr bwMode="auto">
                    <a:xfrm>
                      <a:off x="0" y="0"/>
                      <a:ext cx="4533900" cy="2447925"/>
                    </a:xfrm>
                    <a:prstGeom prst="rect">
                      <a:avLst/>
                    </a:prstGeom>
                    <a:noFill/>
                    <a:ln>
                      <a:noFill/>
                    </a:ln>
                  </pic:spPr>
                </pic:pic>
              </a:graphicData>
            </a:graphic>
          </wp:inline>
        </w:drawing>
      </w:r>
    </w:p>
    <w:p w:rsidRPr="008A02EC" w:rsidR="00F174FB" w:rsidP="00F174FB" w:rsidRDefault="00F174FB" w14:paraId="14154748" w14:textId="77777777">
      <w:pPr>
        <w:spacing w:after="0" w:line="240" w:lineRule="auto"/>
        <w:jc w:val="both"/>
        <w:rPr>
          <w:rFonts w:ascii="Times New Roman" w:hAnsi="Times New Roman" w:eastAsia="Times New Roman" w:cs="Times New Roman"/>
          <w:sz w:val="24"/>
          <w:szCs w:val="24"/>
          <w:lang w:eastAsia="fr-FR"/>
        </w:rPr>
      </w:pPr>
      <w:r w:rsidRPr="6FB22721" w:rsidR="023B4E99">
        <w:rPr>
          <w:rFonts w:ascii="Times New Roman" w:hAnsi="Times New Roman" w:eastAsia="Times New Roman" w:cs="Times New Roman"/>
          <w:sz w:val="24"/>
          <w:szCs w:val="24"/>
          <w:lang w:eastAsia="fr-FR"/>
        </w:rPr>
        <w:t> </w:t>
      </w:r>
    </w:p>
    <w:p w:rsidRPr="00F174FB" w:rsidR="00F174FB" w:rsidP="6FB22721" w:rsidRDefault="00F174FB" w14:paraId="0F5C4A6F" w14:textId="77777777">
      <w:pPr>
        <w:spacing w:before="100" w:beforeAutospacing="on" w:after="100" w:afterAutospacing="on" w:line="240" w:lineRule="auto"/>
        <w:jc w:val="both"/>
        <w:rPr>
          <w:rFonts w:ascii="Calibri Light" w:hAnsi="Calibri Light" w:eastAsia="Times New Roman" w:cs="Calibri Light" w:asciiTheme="majorAscii" w:hAnsiTheme="majorAscii" w:cstheme="majorAscii"/>
          <w:lang w:eastAsia="fr-FR"/>
        </w:rPr>
      </w:pPr>
      <w:r w:rsidRPr="6FB22721" w:rsidR="023B4E99">
        <w:rPr>
          <w:rFonts w:ascii="Calibri Light" w:hAnsi="Calibri Light" w:eastAsia="Times New Roman" w:cs="Calibri Light" w:asciiTheme="majorAscii" w:hAnsiTheme="majorAscii" w:cstheme="majorAscii"/>
          <w:lang w:eastAsia="fr-FR"/>
        </w:rPr>
        <w:t>Ces déviations et manquement des trois agences de rating internationales ont soulevé nombre de problématiques quant à leur fonctionnement, réglementation et le contrôle actuel auquel elles doivent être soumises, faute de quoi la faillite sera inévitable pour certains États.</w:t>
      </w:r>
    </w:p>
    <w:p w:rsidRPr="00F174FB" w:rsidR="00F174FB" w:rsidP="6FB22721" w:rsidRDefault="00F174FB" w14:paraId="6B7656D9" w14:textId="62A03D6B">
      <w:pPr>
        <w:spacing w:after="0"/>
        <w:jc w:val="both"/>
        <w:rPr>
          <w:rFonts w:ascii="Calibri Light" w:hAnsi="Calibri Light" w:cs="Calibri Light" w:asciiTheme="majorAscii" w:hAnsiTheme="majorAscii" w:cstheme="majorAscii"/>
        </w:rPr>
      </w:pPr>
      <w:r w:rsidRPr="6FB22721" w:rsidR="023B4E99">
        <w:rPr>
          <w:rFonts w:ascii="Calibri Light" w:hAnsi="Calibri Light" w:eastAsia="Times New Roman" w:cs="Calibri Light" w:asciiTheme="majorAscii" w:hAnsiTheme="majorAscii" w:cstheme="majorAscii"/>
          <w:lang w:eastAsia="fr-FR"/>
        </w:rPr>
        <w:t>On peut alors se demander : Faut-il un encadrement réglementaire ? Plus de concurrence ? Ces questions restent en suspens et sont loin d’être tranchées.</w:t>
      </w:r>
    </w:p>
    <w:p w:rsidRPr="00A5061D" w:rsidR="00A5061D" w:rsidP="6FB22721" w:rsidRDefault="00A5061D" w14:paraId="5CFAC65B" w14:textId="77777777">
      <w:pPr>
        <w:spacing w:after="0"/>
        <w:jc w:val="both"/>
        <w:rPr>
          <w:rFonts w:ascii="Calibri Light" w:hAnsi="Calibri Light" w:cs="Calibri Light" w:asciiTheme="majorAscii" w:hAnsiTheme="majorAscii" w:cstheme="majorAscii"/>
          <w:b w:val="1"/>
          <w:bCs w:val="1"/>
        </w:rPr>
      </w:pPr>
    </w:p>
    <w:p w:rsidRPr="00A5061D" w:rsidR="00A5061D" w:rsidP="6FB22721" w:rsidRDefault="00A5061D" w14:paraId="1B9876AA" w14:textId="77777777">
      <w:pPr>
        <w:spacing w:after="0"/>
        <w:jc w:val="both"/>
        <w:rPr>
          <w:rFonts w:ascii="Calibri Light" w:hAnsi="Calibri Light" w:cs="Calibri Light" w:asciiTheme="majorAscii" w:hAnsiTheme="majorAscii" w:cstheme="majorAscii"/>
          <w:b w:val="1"/>
          <w:bCs w:val="1"/>
        </w:rPr>
      </w:pPr>
      <w:r w:rsidRPr="6FB22721" w:rsidR="7DC2CDF0">
        <w:rPr>
          <w:rFonts w:ascii="Calibri Light" w:hAnsi="Calibri Light" w:cs="Calibri Light" w:asciiTheme="majorAscii" w:hAnsiTheme="majorAscii" w:cstheme="majorAscii"/>
          <w:b w:val="1"/>
          <w:bCs w:val="1"/>
        </w:rPr>
        <w:t xml:space="preserve"> </w:t>
      </w:r>
    </w:p>
    <w:p w:rsidRPr="00A5061D" w:rsidR="00A5061D" w:rsidP="6FB22721" w:rsidRDefault="00A5061D" w14:paraId="430D16EC" w14:textId="07895791">
      <w:pPr>
        <w:spacing w:after="0"/>
        <w:ind w:firstLine="708"/>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1.8.3. Des indicateurs utilisés pour l’extra financier ?</w:t>
      </w:r>
    </w:p>
    <w:p w:rsidRPr="00A5061D" w:rsidR="00A5061D" w:rsidP="6FB22721" w:rsidRDefault="00A5061D" w14:paraId="68353A4B" w14:textId="77777777">
      <w:pPr>
        <w:spacing w:after="0"/>
        <w:jc w:val="both"/>
        <w:rPr>
          <w:rFonts w:ascii="Calibri Light" w:hAnsi="Calibri Light" w:cs="Calibri Light" w:asciiTheme="majorAscii" w:hAnsiTheme="majorAscii" w:cstheme="majorAscii"/>
        </w:rPr>
      </w:pPr>
    </w:p>
    <w:p w:rsidRPr="00A5061D" w:rsidR="00A5061D" w:rsidP="6FB22721" w:rsidRDefault="00A5061D" w14:paraId="77F809D5" w14:textId="5D0A31ED">
      <w:pPr>
        <w:spacing w:after="0"/>
        <w:jc w:val="both"/>
        <w:rPr>
          <w:rFonts w:ascii="Calibri Light" w:hAnsi="Calibri Light" w:cs="Calibri Light" w:asciiTheme="majorAscii" w:hAnsiTheme="majorAscii" w:cstheme="majorAscii"/>
        </w:rPr>
      </w:pPr>
      <w:r w:rsidRPr="6FB22721" w:rsidR="7DC2CDF0">
        <w:rPr>
          <w:rFonts w:ascii="Calibri Light" w:hAnsi="Calibri Light" w:cs="Calibri Light" w:asciiTheme="majorAscii" w:hAnsiTheme="majorAscii" w:cstheme="majorAscii"/>
        </w:rPr>
        <w:t>Les tendances actuelles liées à la responsabilité sociale des entreprises et aux critères ESG (Entreprise, Social, Gouvernance) sont propices à l’émergence de nouveaux indicateurs. Qu’il s’agisse de scores ou de notations, ces évaluations sont d’ores et déjà produites sur ces thématiques. Il n’est donc pas à exclure que la confusion existante autour de ces termes dans le cadre de l’analyse financière soit très similaire pour l’extra financier.</w:t>
      </w:r>
    </w:p>
    <w:p w:rsidR="00A5061D" w:rsidP="6FB22721" w:rsidRDefault="00A5061D" w14:paraId="51938E53" w14:textId="77777777">
      <w:pPr>
        <w:spacing w:after="0"/>
        <w:jc w:val="both"/>
        <w:rPr>
          <w:rFonts w:ascii="Calibri Light" w:hAnsi="Calibri Light" w:cs="Calibri Light" w:asciiTheme="majorAscii" w:hAnsiTheme="majorAscii" w:cstheme="majorAscii"/>
        </w:rPr>
      </w:pPr>
    </w:p>
    <w:p w:rsidRPr="00A5061D" w:rsidR="00A5061D" w:rsidP="6FB22721" w:rsidRDefault="00A5061D" w14:paraId="61B4B475" w14:textId="415492F1">
      <w:pPr>
        <w:spacing w:after="0"/>
        <w:jc w:val="both"/>
        <w:rPr>
          <w:rFonts w:ascii="Calibri Light" w:hAnsi="Calibri Light" w:cs="Calibri Light" w:asciiTheme="majorAscii" w:hAnsiTheme="majorAscii" w:cstheme="majorAscii"/>
        </w:rPr>
      </w:pPr>
    </w:p>
    <w:p w:rsidR="00000CA3" w:rsidP="6FB22721" w:rsidRDefault="00000CA3" w14:paraId="6952F887" w14:textId="2F154B9B">
      <w:pPr>
        <w:spacing w:after="0"/>
        <w:ind w:firstLine="708"/>
        <w:jc w:val="both"/>
        <w:rPr>
          <w:rFonts w:ascii="Calibri Light" w:hAnsi="Calibri Light" w:cs="Calibri Light" w:asciiTheme="majorAscii" w:hAnsiTheme="majorAscii" w:cstheme="majorAscii"/>
        </w:rPr>
      </w:pPr>
    </w:p>
    <w:p w:rsidR="00000CA3" w:rsidP="6FB22721" w:rsidRDefault="00000CA3" w14:paraId="72FB3B7D" w14:textId="67F29B0A">
      <w:pPr>
        <w:pStyle w:val="Paragraphedeliste"/>
        <w:numPr>
          <w:ilvl w:val="0"/>
          <w:numId w:val="6"/>
        </w:numPr>
        <w:spacing w:after="0"/>
        <w:jc w:val="both"/>
        <w:rPr>
          <w:rFonts w:ascii="Calibri Light" w:hAnsi="Calibri Light" w:cs="Calibri Light" w:asciiTheme="majorAscii" w:hAnsiTheme="majorAscii" w:cstheme="majorAscii"/>
          <w:b w:val="1"/>
          <w:bCs w:val="1"/>
          <w:u w:val="single"/>
        </w:rPr>
      </w:pPr>
      <w:r w:rsidRPr="6FB22721" w:rsidR="4D4EAB33">
        <w:rPr>
          <w:rFonts w:ascii="Calibri Light" w:hAnsi="Calibri Light" w:cs="Calibri Light" w:asciiTheme="majorAscii" w:hAnsiTheme="majorAscii" w:cstheme="majorAscii"/>
          <w:b w:val="1"/>
          <w:bCs w:val="1"/>
          <w:u w:val="single"/>
        </w:rPr>
        <w:t>L</w:t>
      </w:r>
      <w:r w:rsidRPr="6FB22721" w:rsidR="4D4EAB33">
        <w:rPr>
          <w:rFonts w:ascii="Calibri Light" w:hAnsi="Calibri Light" w:cs="Calibri Light" w:asciiTheme="majorAscii" w:hAnsiTheme="majorAscii" w:cstheme="majorAscii"/>
          <w:b w:val="1"/>
          <w:bCs w:val="1"/>
          <w:u w:val="single"/>
        </w:rPr>
        <w:t>a défaisance (defeasance)</w:t>
      </w:r>
    </w:p>
    <w:p w:rsidR="00000CA3" w:rsidP="6FB22721" w:rsidRDefault="00000CA3" w14:paraId="6132CB16" w14:textId="6843E3B2">
      <w:pPr>
        <w:spacing w:after="0"/>
        <w:ind w:left="708"/>
        <w:jc w:val="both"/>
        <w:rPr>
          <w:rFonts w:ascii="Calibri Light" w:hAnsi="Calibri Light" w:cs="Calibri Light" w:asciiTheme="majorAscii" w:hAnsiTheme="majorAscii" w:cstheme="majorAscii"/>
          <w:b w:val="1"/>
          <w:bCs w:val="1"/>
          <w:u w:val="single"/>
        </w:rPr>
      </w:pPr>
    </w:p>
    <w:p w:rsidR="00000CA3" w:rsidP="6FB22721" w:rsidRDefault="00000CA3" w14:paraId="0F83200C" w14:textId="7CA9C66B">
      <w:pPr>
        <w:spacing w:after="0"/>
        <w:ind w:firstLine="709"/>
        <w:jc w:val="both"/>
        <w:rPr>
          <w:rFonts w:ascii="Calibri Light" w:hAnsi="Calibri Light" w:cs="Calibri Light" w:asciiTheme="majorAscii" w:hAnsiTheme="majorAscii" w:cstheme="majorAscii"/>
        </w:rPr>
      </w:pPr>
      <w:r w:rsidRPr="6FB22721" w:rsidR="4D4EAB33">
        <w:rPr>
          <w:rFonts w:ascii="Calibri Light" w:hAnsi="Calibri Light" w:cs="Calibri Light" w:asciiTheme="majorAscii" w:hAnsiTheme="majorAscii" w:cstheme="majorAscii"/>
        </w:rPr>
        <w:t>Le concept de defeasance, ou défaisance, est un élargissement de celui de titrisation : l'emprunteur cède simultanément de la dette et un portefeuille d'actifs à une société ad hoc indépendante de l'emprunteur. Les actifs sans risque transférés à cette entité peuvent être des obligations d'État ou des bons du Trésor, voire un portefeuille de créances, d'actifs immobiliers ou de participations. La cession des actifs et des dettes est irrévocable. Comptablement, l'opération se traduit par une sortie du bilan des titres et des dettes à une valeur inférieure à leur valeur comptable. La différence entre ces deux valeurs apparaît au compte de résultat. L'entreprise supporte donc en une seule fois le coût de l'opération. Cette technique permet de faire table rase du passé : rendre actuel le coût de la dette, faire apparaître dans le bilan un endettement global correspondant au niveau d'endettement réel de l'entreprise.</w:t>
      </w:r>
    </w:p>
    <w:p w:rsidR="00000CA3" w:rsidP="6FB22721" w:rsidRDefault="00000CA3" w14:paraId="182DE851" w14:textId="34361F34">
      <w:pPr>
        <w:spacing w:after="0"/>
        <w:ind w:firstLine="709"/>
        <w:jc w:val="both"/>
        <w:rPr>
          <w:rFonts w:ascii="Calibri Light" w:hAnsi="Calibri Light" w:cs="Calibri Light" w:asciiTheme="majorAscii" w:hAnsiTheme="majorAscii" w:cstheme="majorAscii"/>
        </w:rPr>
      </w:pPr>
    </w:p>
    <w:p w:rsidR="00000CA3" w:rsidP="6FB22721" w:rsidRDefault="00000CA3" w14:paraId="0000B56D" w14:textId="27E7C925">
      <w:pPr>
        <w:spacing w:after="0"/>
        <w:ind w:firstLine="709"/>
        <w:jc w:val="both"/>
        <w:rPr>
          <w:rFonts w:ascii="Calibri Light" w:hAnsi="Calibri Light" w:cs="Calibri Light" w:asciiTheme="majorAscii" w:hAnsiTheme="majorAscii" w:cstheme="majorAscii"/>
        </w:rPr>
      </w:pPr>
      <w:r w:rsidRPr="6FB22721" w:rsidR="4D4EAB33">
        <w:rPr>
          <w:rFonts w:ascii="Calibri Light" w:hAnsi="Calibri Light" w:cs="Calibri Light" w:asciiTheme="majorAscii" w:hAnsiTheme="majorAscii" w:cstheme="majorAscii"/>
        </w:rPr>
        <w:t xml:space="preserve">Sémantiquement, la défaisance est un terme qui renvoie à une technique financière consistant à se « défaire » d'un élément du bilan. </w:t>
      </w:r>
    </w:p>
    <w:p w:rsidRPr="00000CA3" w:rsidR="00000CA3" w:rsidP="6FB22721" w:rsidRDefault="00000CA3" w14:paraId="73842562" w14:textId="77777777">
      <w:pPr>
        <w:spacing w:after="0"/>
        <w:ind w:firstLine="709"/>
        <w:jc w:val="both"/>
        <w:rPr>
          <w:rFonts w:ascii="Calibri Light" w:hAnsi="Calibri Light" w:cs="Calibri Light" w:asciiTheme="majorAscii" w:hAnsiTheme="majorAscii" w:cstheme="majorAscii"/>
        </w:rPr>
      </w:pPr>
    </w:p>
    <w:p w:rsidR="00000CA3" w:rsidP="6FB22721" w:rsidRDefault="00000CA3" w14:paraId="363CB5FE" w14:textId="021C584D">
      <w:pPr>
        <w:spacing w:after="0"/>
        <w:ind w:firstLine="709"/>
        <w:jc w:val="both"/>
        <w:rPr>
          <w:rFonts w:ascii="Calibri Light" w:hAnsi="Calibri Light" w:cs="Calibri Light" w:asciiTheme="majorAscii" w:hAnsiTheme="majorAscii" w:cstheme="majorAscii"/>
        </w:rPr>
      </w:pPr>
      <w:r w:rsidRPr="6FB22721" w:rsidR="4D4EAB33">
        <w:rPr>
          <w:rFonts w:ascii="Calibri Light" w:hAnsi="Calibri Light" w:cs="Calibri Light" w:asciiTheme="majorAscii" w:hAnsiTheme="majorAscii" w:cstheme="majorAscii"/>
        </w:rPr>
        <w:t xml:space="preserve">Il faut distinguer deux types de défaisance. Le montage financier peut en effet concerner: </w:t>
      </w:r>
    </w:p>
    <w:p w:rsidRPr="00000CA3" w:rsidR="00000CA3" w:rsidP="6FB22721" w:rsidRDefault="00000CA3" w14:paraId="14743CDF" w14:textId="77777777">
      <w:pPr>
        <w:spacing w:after="0"/>
        <w:ind w:firstLine="709"/>
        <w:jc w:val="both"/>
        <w:rPr>
          <w:rFonts w:ascii="Calibri Light" w:hAnsi="Calibri Light" w:cs="Calibri Light" w:asciiTheme="majorAscii" w:hAnsiTheme="majorAscii" w:cstheme="majorAscii"/>
        </w:rPr>
      </w:pPr>
    </w:p>
    <w:p w:rsidRPr="00000CA3" w:rsidR="00000CA3" w:rsidP="6FB22721" w:rsidRDefault="00000CA3" w14:paraId="435D9233" w14:textId="41F29B38">
      <w:pPr>
        <w:spacing w:after="0"/>
        <w:ind w:firstLine="709"/>
        <w:jc w:val="both"/>
        <w:rPr>
          <w:rFonts w:ascii="Calibri Light" w:hAnsi="Calibri Light" w:cs="Calibri Light" w:asciiTheme="majorAscii" w:hAnsiTheme="majorAscii" w:cstheme="majorAscii"/>
        </w:rPr>
      </w:pPr>
      <w:r w:rsidRPr="6FB22721" w:rsidR="4D4EAB33">
        <w:rPr>
          <w:rFonts w:ascii="Calibri Light" w:hAnsi="Calibri Light" w:cs="Calibri Light" w:asciiTheme="majorAscii" w:hAnsiTheme="majorAscii" w:cstheme="majorAscii"/>
        </w:rPr>
        <w:t xml:space="preserve">- des éléments du passif du bilan: on parle alors de « désendettement de fait» (in substance defeasance) ; </w:t>
      </w:r>
    </w:p>
    <w:p w:rsidR="00000CA3" w:rsidP="6FB22721" w:rsidRDefault="00000CA3" w14:paraId="65B2D69A" w14:textId="1F71B233">
      <w:pPr>
        <w:spacing w:after="0"/>
        <w:ind w:firstLine="709"/>
        <w:jc w:val="both"/>
        <w:rPr>
          <w:rFonts w:ascii="Calibri Light" w:hAnsi="Calibri Light" w:cs="Calibri Light" w:asciiTheme="majorAscii" w:hAnsiTheme="majorAscii" w:cstheme="majorAscii"/>
        </w:rPr>
      </w:pPr>
      <w:r w:rsidRPr="6FB22721" w:rsidR="4D4EAB33">
        <w:rPr>
          <w:rFonts w:ascii="Calibri Light" w:hAnsi="Calibri Light" w:cs="Calibri Light" w:asciiTheme="majorAscii" w:hAnsiTheme="majorAscii" w:cstheme="majorAscii"/>
        </w:rPr>
        <w:t xml:space="preserve">- des éléments de l'actif du bilan: on recourt alors à une structure de cantonnement. </w:t>
      </w:r>
    </w:p>
    <w:p w:rsidR="00000CA3" w:rsidP="6FB22721" w:rsidRDefault="00000CA3" w14:paraId="67CE19D4" w14:textId="112A1990">
      <w:pPr>
        <w:spacing w:after="0"/>
        <w:ind w:firstLine="709"/>
        <w:jc w:val="both"/>
        <w:rPr>
          <w:rFonts w:ascii="Calibri Light" w:hAnsi="Calibri Light" w:cs="Calibri Light" w:asciiTheme="majorAscii" w:hAnsiTheme="majorAscii" w:cstheme="majorAscii"/>
        </w:rPr>
      </w:pPr>
    </w:p>
    <w:p w:rsidR="00020215" w:rsidP="6FB22721" w:rsidRDefault="00020215" w14:paraId="17235C92" w14:textId="42A2FA72">
      <w:pPr>
        <w:spacing w:after="0"/>
        <w:ind w:firstLine="709"/>
        <w:jc w:val="both"/>
        <w:rPr>
          <w:rFonts w:ascii="Calibri Light" w:hAnsi="Calibri Light" w:cs="Calibri Light" w:asciiTheme="majorAscii" w:hAnsiTheme="majorAscii" w:cstheme="majorAscii"/>
        </w:rPr>
      </w:pPr>
    </w:p>
    <w:p w:rsidR="00020215" w:rsidP="6FB22721" w:rsidRDefault="00020215" w14:paraId="016EC41B" w14:textId="1165E760">
      <w:pPr>
        <w:spacing w:after="0"/>
        <w:ind w:firstLine="709"/>
        <w:jc w:val="both"/>
        <w:rPr>
          <w:rFonts w:ascii="Calibri Light" w:hAnsi="Calibri Light" w:cs="Calibri Light" w:asciiTheme="majorAscii" w:hAnsiTheme="majorAscii" w:cstheme="majorAscii"/>
        </w:rPr>
      </w:pPr>
    </w:p>
    <w:p w:rsidR="00020215" w:rsidP="6FB22721" w:rsidRDefault="00020215" w14:paraId="0D69FDC2" w14:textId="3638BD14">
      <w:pPr>
        <w:spacing w:after="0"/>
        <w:ind w:firstLine="709"/>
        <w:jc w:val="both"/>
        <w:rPr>
          <w:rFonts w:ascii="Calibri Light" w:hAnsi="Calibri Light" w:cs="Calibri Light" w:asciiTheme="majorAscii" w:hAnsiTheme="majorAscii" w:cstheme="majorAscii"/>
        </w:rPr>
      </w:pPr>
    </w:p>
    <w:p w:rsidR="00020215" w:rsidP="6FB22721" w:rsidRDefault="00020215" w14:paraId="39BA6FEF" w14:textId="406506E1">
      <w:pPr>
        <w:spacing w:after="0"/>
        <w:ind w:firstLine="709"/>
        <w:jc w:val="both"/>
        <w:rPr>
          <w:rFonts w:ascii="Calibri Light" w:hAnsi="Calibri Light" w:cs="Calibri Light" w:asciiTheme="majorAscii" w:hAnsiTheme="majorAscii" w:cstheme="majorAscii"/>
        </w:rPr>
      </w:pPr>
    </w:p>
    <w:p w:rsidR="00020215" w:rsidP="6FB22721" w:rsidRDefault="00020215" w14:paraId="7EC5C485" w14:textId="77777777">
      <w:pPr>
        <w:spacing w:after="0"/>
        <w:ind w:firstLine="709"/>
        <w:jc w:val="both"/>
        <w:rPr>
          <w:rFonts w:ascii="Calibri Light" w:hAnsi="Calibri Light" w:cs="Calibri Light" w:asciiTheme="majorAscii" w:hAnsiTheme="majorAscii" w:cstheme="majorAscii"/>
        </w:rPr>
      </w:pPr>
    </w:p>
    <w:p w:rsidRPr="00000CA3" w:rsidR="00000CA3" w:rsidP="6FB22721" w:rsidRDefault="00000CA3" w14:paraId="776ED9A6" w14:textId="565AD4D6">
      <w:pPr>
        <w:spacing w:after="0"/>
        <w:ind w:firstLine="709"/>
        <w:jc w:val="both"/>
        <w:rPr>
          <w:rFonts w:ascii="Calibri Light" w:hAnsi="Calibri Light" w:cs="Calibri Light" w:asciiTheme="majorAscii" w:hAnsiTheme="majorAscii" w:cstheme="majorAscii"/>
        </w:rPr>
      </w:pPr>
      <w:r w:rsidRPr="00C871FC">
        <w:rPr>
          <w:rFonts w:asciiTheme="majorHAnsi" w:hAnsiTheme="majorHAnsi" w:cstheme="majorHAnsi"/>
        </w:rPr>
        <w:tab/>
      </w:r>
      <w:r w:rsidRPr="6FB22721" w:rsidR="4D4EAB33">
        <w:rPr>
          <w:rFonts w:ascii="Calibri Light" w:hAnsi="Calibri Light" w:cs="Calibri Light" w:asciiTheme="majorAscii" w:hAnsiTheme="majorAscii" w:cstheme="majorAscii"/>
        </w:rPr>
        <w:t xml:space="preserve"> </w:t>
      </w:r>
    </w:p>
    <w:p w:rsidR="00000CA3" w:rsidP="6FB22721" w:rsidRDefault="00000CA3" w14:paraId="4C8E9A4E" w14:textId="5BDE1F70">
      <w:pPr>
        <w:pStyle w:val="Paragraphedeliste"/>
        <w:numPr>
          <w:ilvl w:val="1"/>
          <w:numId w:val="6"/>
        </w:numPr>
        <w:spacing w:after="0"/>
        <w:jc w:val="both"/>
        <w:rPr>
          <w:rFonts w:ascii="Calibri Light" w:hAnsi="Calibri Light" w:cs="Calibri Light" w:asciiTheme="majorAscii" w:hAnsiTheme="majorAscii" w:cstheme="majorAscii"/>
          <w:b w:val="1"/>
          <w:bCs w:val="1"/>
        </w:rPr>
      </w:pPr>
      <w:r w:rsidRPr="6FB22721" w:rsidR="4D4EAB33">
        <w:rPr>
          <w:rFonts w:ascii="Calibri Light" w:hAnsi="Calibri Light" w:cs="Calibri Light" w:asciiTheme="majorAscii" w:hAnsiTheme="majorAscii" w:cstheme="majorAscii"/>
          <w:b w:val="1"/>
          <w:bCs w:val="1"/>
        </w:rPr>
        <w:t>La défaisance des éléments du passif (</w:t>
      </w:r>
      <w:r w:rsidRPr="6FB22721" w:rsidR="4D4EAB33">
        <w:rPr>
          <w:rFonts w:ascii="Calibri Light" w:hAnsi="Calibri Light" w:cs="Calibri Light" w:asciiTheme="majorAscii" w:hAnsiTheme="majorAscii" w:cstheme="majorAscii"/>
          <w:b w:val="1"/>
          <w:bCs w:val="1"/>
          <w:i w:val="1"/>
          <w:iCs w:val="1"/>
        </w:rPr>
        <w:t>in substance defeasance)</w:t>
      </w:r>
    </w:p>
    <w:p w:rsidR="00000CA3" w:rsidP="6FB22721" w:rsidRDefault="00000CA3" w14:paraId="5FC3EBCC" w14:textId="33D677E3">
      <w:pPr>
        <w:spacing w:after="0"/>
        <w:ind w:left="720"/>
        <w:jc w:val="both"/>
        <w:rPr>
          <w:rFonts w:ascii="Calibri Light" w:hAnsi="Calibri Light" w:cs="Calibri Light" w:asciiTheme="majorAscii" w:hAnsiTheme="majorAscii" w:cstheme="majorAscii"/>
          <w:b w:val="1"/>
          <w:bCs w:val="1"/>
        </w:rPr>
      </w:pPr>
    </w:p>
    <w:p w:rsidRPr="00000CA3" w:rsidR="00000CA3" w:rsidP="6FB22721" w:rsidRDefault="00000CA3" w14:paraId="1149EC4A" w14:textId="0029AF47">
      <w:pPr>
        <w:spacing w:after="0"/>
        <w:jc w:val="both"/>
        <w:rPr>
          <w:rFonts w:ascii="Calibri Light" w:hAnsi="Calibri Light" w:cs="Calibri Light" w:asciiTheme="majorAscii" w:hAnsiTheme="majorAscii" w:cstheme="majorAscii"/>
        </w:rPr>
      </w:pPr>
    </w:p>
    <w:p w:rsidR="00000CA3" w:rsidP="6FB22721" w:rsidRDefault="00000CA3" w14:paraId="1B57D513" w14:textId="49301C1B">
      <w:pPr>
        <w:spacing w:after="0"/>
        <w:ind w:firstLine="709"/>
        <w:jc w:val="both"/>
        <w:rPr>
          <w:rFonts w:ascii="Calibri Light" w:hAnsi="Calibri Light" w:cs="Calibri Light" w:asciiTheme="majorAscii" w:hAnsiTheme="majorAscii" w:cstheme="majorAscii"/>
        </w:rPr>
      </w:pPr>
      <w:r w:rsidRPr="6FB22721" w:rsidR="4D4EAB33">
        <w:rPr>
          <w:rFonts w:ascii="Calibri Light" w:hAnsi="Calibri Light" w:cs="Calibri Light" w:asciiTheme="majorAscii" w:hAnsiTheme="majorAscii" w:cstheme="majorAscii"/>
        </w:rPr>
        <w:t>La défaisance est une technique financière permettant à une société d'éteindre son obligation à l'égard de ses créanciers en déléguant le service de la dette à un tiers.</w:t>
      </w:r>
    </w:p>
    <w:p w:rsidRPr="00BF6865" w:rsidR="00BF6865" w:rsidP="6FB22721" w:rsidRDefault="00BF6865" w14:paraId="55B32368" w14:textId="3543ABFC">
      <w:pPr>
        <w:spacing w:after="0"/>
        <w:ind w:firstLine="709"/>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La défaisance permet d'extraire un passif de son bilan et d'améliorer la présentation des comptes. En pratique, cela permet à une société émettrice d'un emprunt obligataire de l'extraire de son bilan sans le rembourser directement.</w:t>
      </w:r>
    </w:p>
    <w:p w:rsidRPr="00E930BE" w:rsidR="00000CA3" w:rsidP="6FB22721" w:rsidRDefault="00000CA3" w14:paraId="5F0236C0" w14:textId="77777777">
      <w:pPr>
        <w:spacing w:after="0"/>
        <w:ind w:firstLine="708"/>
        <w:jc w:val="both"/>
        <w:rPr>
          <w:rFonts w:ascii="Calibri Light" w:hAnsi="Calibri Light" w:cs="Calibri Light" w:asciiTheme="majorAscii" w:hAnsiTheme="majorAscii" w:cstheme="majorAscii"/>
        </w:rPr>
      </w:pPr>
    </w:p>
    <w:p w:rsidR="00BF6865" w:rsidP="6FB22721" w:rsidRDefault="00BF6865" w14:paraId="103E3D72" w14:textId="18BCBC50">
      <w:pPr>
        <w:spacing w:after="0"/>
        <w:ind w:left="372" w:firstLine="708"/>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2</w:t>
      </w:r>
      <w:r w:rsidRPr="6FB22721" w:rsidR="34D1A97D">
        <w:rPr>
          <w:rFonts w:ascii="Calibri Light" w:hAnsi="Calibri Light" w:cs="Calibri Light" w:asciiTheme="majorAscii" w:hAnsiTheme="majorAscii" w:cstheme="majorAscii"/>
        </w:rPr>
        <w:t xml:space="preserve">.1.1. </w:t>
      </w:r>
      <w:r w:rsidRPr="6FB22721" w:rsidR="169CBB45">
        <w:rPr>
          <w:rFonts w:ascii="Calibri Light" w:hAnsi="Calibri Light" w:cs="Calibri Light" w:asciiTheme="majorAscii" w:hAnsiTheme="majorAscii" w:cstheme="majorAscii"/>
        </w:rPr>
        <w:t>La mise en œuvre</w:t>
      </w:r>
    </w:p>
    <w:p w:rsidR="00BF6865" w:rsidP="6FB22721" w:rsidRDefault="00BF6865" w14:paraId="279B7745" w14:textId="77777777">
      <w:pPr>
        <w:spacing w:after="0"/>
        <w:jc w:val="both"/>
        <w:rPr>
          <w:rFonts w:ascii="Calibri Light" w:hAnsi="Calibri Light" w:cs="Calibri Light" w:asciiTheme="majorAscii" w:hAnsiTheme="majorAscii" w:cstheme="majorAscii"/>
        </w:rPr>
      </w:pPr>
    </w:p>
    <w:p w:rsidRPr="00BF6865" w:rsidR="00BF6865" w:rsidP="6FB22721" w:rsidRDefault="00BF6865" w14:paraId="783C1F14" w14:textId="6805FEB7">
      <w:pPr>
        <w:spacing w:after="0"/>
        <w:jc w:val="both"/>
        <w:rPr>
          <w:rFonts w:ascii="Calibri Light" w:hAnsi="Calibri Light" w:cs="Calibri Light" w:asciiTheme="majorAscii" w:hAnsiTheme="majorAscii" w:cstheme="majorAscii"/>
        </w:rPr>
      </w:pPr>
      <w:r>
        <w:rPr>
          <w:rFonts w:asciiTheme="majorHAnsi" w:hAnsiTheme="majorHAnsi" w:cstheme="majorHAnsi"/>
        </w:rPr>
        <w:tab/>
      </w:r>
      <w:r w:rsidRPr="6FB22721" w:rsidR="169CBB45">
        <w:rPr>
          <w:rFonts w:ascii="Calibri Light" w:hAnsi="Calibri Light" w:cs="Calibri Light" w:asciiTheme="majorAscii" w:hAnsiTheme="majorAscii" w:cstheme="majorAscii"/>
        </w:rPr>
        <w:t>La proc</w:t>
      </w:r>
      <w:r w:rsidRPr="6FB22721" w:rsidR="169CBB45">
        <w:rPr>
          <w:rFonts w:ascii="Calibri Light" w:hAnsi="Calibri Light" w:cs="Calibri Light" w:asciiTheme="majorAscii" w:hAnsiTheme="majorAscii" w:cstheme="majorAscii"/>
        </w:rPr>
        <w:t>édure est la suivante</w:t>
      </w:r>
      <w:r w:rsidRPr="6FB22721" w:rsidR="169CBB45">
        <w:rPr>
          <w:rFonts w:ascii="Calibri Light" w:hAnsi="Calibri Light" w:cs="Calibri Light" w:asciiTheme="majorAscii" w:hAnsiTheme="majorAscii" w:cstheme="majorAscii"/>
        </w:rPr>
        <w:t xml:space="preserve"> : </w:t>
      </w:r>
    </w:p>
    <w:p w:rsidRPr="00BF6865" w:rsidR="00BF6865" w:rsidP="6FB22721" w:rsidRDefault="00BF6865" w14:paraId="35812911" w14:textId="77777777">
      <w:pPr>
        <w:spacing w:after="0"/>
        <w:jc w:val="both"/>
        <w:rPr>
          <w:rFonts w:ascii="Calibri Light" w:hAnsi="Calibri Light" w:cs="Calibri Light" w:asciiTheme="majorAscii" w:hAnsiTheme="majorAscii" w:cstheme="majorAscii"/>
        </w:rPr>
      </w:pPr>
    </w:p>
    <w:p w:rsidRPr="00BF6865" w:rsidR="00BF6865" w:rsidP="6FB22721" w:rsidRDefault="00BF6865" w14:paraId="549CA893" w14:textId="3C22F3B9">
      <w:pPr>
        <w:spacing w:after="0"/>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 xml:space="preserve">• La société crée une entité ad hoc distincte pour la circonstance (le plus souvent sous </w:t>
      </w:r>
      <w:r w:rsidRPr="6FB22721" w:rsidR="169CBB45">
        <w:rPr>
          <w:rFonts w:ascii="Calibri Light" w:hAnsi="Calibri Light" w:cs="Calibri Light" w:asciiTheme="majorAscii" w:hAnsiTheme="majorAscii" w:cstheme="majorAscii"/>
        </w:rPr>
        <w:t xml:space="preserve">la forme d'un trust). </w:t>
      </w:r>
    </w:p>
    <w:p w:rsidRPr="00BF6865" w:rsidR="00BF6865" w:rsidP="6FB22721" w:rsidRDefault="00BF6865" w14:paraId="18FC04D1" w14:textId="77777777">
      <w:pPr>
        <w:spacing w:after="0"/>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 xml:space="preserve">• Elle lui transfère ensuite la dette et de la garantie afférente. </w:t>
      </w:r>
    </w:p>
    <w:p w:rsidRPr="00BF6865" w:rsidR="00BF6865" w:rsidP="6FB22721" w:rsidRDefault="00BF6865" w14:paraId="1751919B" w14:textId="77777777">
      <w:pPr>
        <w:spacing w:after="0"/>
        <w:jc w:val="both"/>
        <w:rPr>
          <w:rFonts w:ascii="Calibri Light" w:hAnsi="Calibri Light" w:cs="Calibri Light" w:asciiTheme="majorAscii" w:hAnsiTheme="majorAscii" w:cstheme="majorAscii"/>
        </w:rPr>
      </w:pPr>
    </w:p>
    <w:p w:rsidRPr="00027159" w:rsidR="000D48E4" w:rsidP="6FB22721" w:rsidRDefault="00BF6865" w14:paraId="662325A0" w14:textId="01DC134B">
      <w:pPr>
        <w:spacing w:after="0"/>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La garantie de l'endettement prend généralement la forme de liquidités ou de titres bien notés. L'entité ad hoc procède alors au paiement de la dette, notamment grâce aux intérêts produits par les titres qui lui ont été cédés à titre de sûreté. Par conséquent, la société émettrice demeure débitrice des obligataires</w:t>
      </w:r>
      <w:r w:rsidRPr="6FB22721" w:rsidR="169CBB45">
        <w:rPr>
          <w:rFonts w:ascii="Calibri Light" w:hAnsi="Calibri Light" w:cs="Calibri Light" w:asciiTheme="majorAscii" w:hAnsiTheme="majorAscii" w:cstheme="majorAscii"/>
        </w:rPr>
        <w:t>, puisque l'engagement est main</w:t>
      </w:r>
      <w:r w:rsidRPr="6FB22721" w:rsidR="169CBB45">
        <w:rPr>
          <w:rFonts w:ascii="Calibri Light" w:hAnsi="Calibri Light" w:cs="Calibri Light" w:asciiTheme="majorAscii" w:hAnsiTheme="majorAscii" w:cstheme="majorAscii"/>
        </w:rPr>
        <w:t xml:space="preserve">tenu, mais dans une structure hors bilan. </w:t>
      </w:r>
      <w:r w:rsidRPr="6FB22721" w:rsidR="34D1A97D">
        <w:rPr>
          <w:rFonts w:ascii="Calibri Light" w:hAnsi="Calibri Light" w:cs="Calibri Light" w:asciiTheme="majorAscii" w:hAnsiTheme="majorAscii" w:cstheme="majorAscii"/>
        </w:rPr>
        <w:t xml:space="preserve"> </w:t>
      </w:r>
    </w:p>
    <w:p w:rsidR="000D48E4" w:rsidP="6FB22721" w:rsidRDefault="000D48E4" w14:paraId="6BAF55DA" w14:textId="72DCE3A2">
      <w:pPr>
        <w:spacing w:after="0"/>
        <w:jc w:val="both"/>
        <w:rPr>
          <w:rFonts w:ascii="Calibri Light" w:hAnsi="Calibri Light" w:cs="Calibri Light" w:asciiTheme="majorAscii" w:hAnsiTheme="majorAscii" w:cstheme="majorAscii"/>
        </w:rPr>
      </w:pPr>
    </w:p>
    <w:p w:rsidR="00BF6865" w:rsidP="6FB22721" w:rsidRDefault="00BF6865" w14:paraId="368D0827" w14:textId="100ADE95">
      <w:pPr>
        <w:spacing w:after="0"/>
        <w:ind w:left="372" w:firstLine="708"/>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2</w:t>
      </w:r>
      <w:r w:rsidRPr="6FB22721" w:rsidR="169CBB45">
        <w:rPr>
          <w:rFonts w:ascii="Calibri Light" w:hAnsi="Calibri Light" w:cs="Calibri Light" w:asciiTheme="majorAscii" w:hAnsiTheme="majorAscii" w:cstheme="majorAscii"/>
        </w:rPr>
        <w:t>.1.</w:t>
      </w:r>
      <w:r w:rsidRPr="6FB22721" w:rsidR="169CBB45">
        <w:rPr>
          <w:rFonts w:ascii="Calibri Light" w:hAnsi="Calibri Light" w:cs="Calibri Light" w:asciiTheme="majorAscii" w:hAnsiTheme="majorAscii" w:cstheme="majorAscii"/>
        </w:rPr>
        <w:t>2</w:t>
      </w:r>
      <w:r w:rsidRPr="6FB22721" w:rsidR="169CBB45">
        <w:rPr>
          <w:rFonts w:ascii="Calibri Light" w:hAnsi="Calibri Light" w:cs="Calibri Light" w:asciiTheme="majorAscii" w:hAnsiTheme="majorAscii" w:cstheme="majorAscii"/>
        </w:rPr>
        <w:t xml:space="preserve">. </w:t>
      </w:r>
      <w:r w:rsidRPr="6FB22721" w:rsidR="169CBB45">
        <w:rPr>
          <w:rFonts w:ascii="Calibri Light" w:hAnsi="Calibri Light" w:cs="Calibri Light" w:asciiTheme="majorAscii" w:hAnsiTheme="majorAscii" w:cstheme="majorAscii"/>
        </w:rPr>
        <w:t>Les avantages de l’opération</w:t>
      </w:r>
    </w:p>
    <w:p w:rsidR="00BF6865" w:rsidP="6FB22721" w:rsidRDefault="00BF6865" w14:paraId="0C09B34D" w14:textId="6B305B26">
      <w:pPr>
        <w:spacing w:after="0"/>
        <w:jc w:val="both"/>
        <w:rPr>
          <w:rFonts w:ascii="Calibri Light" w:hAnsi="Calibri Light" w:cs="Calibri Light" w:asciiTheme="majorAscii" w:hAnsiTheme="majorAscii" w:cstheme="majorAscii"/>
        </w:rPr>
      </w:pPr>
    </w:p>
    <w:p w:rsidRPr="00BF6865" w:rsidR="00BF6865" w:rsidP="6FB22721" w:rsidRDefault="00BF6865" w14:paraId="04B059F3" w14:textId="2E7BDBB0">
      <w:pPr>
        <w:spacing w:after="0"/>
        <w:jc w:val="both"/>
        <w:rPr>
          <w:rFonts w:ascii="Calibri Light" w:hAnsi="Calibri Light" w:cs="Calibri Light" w:asciiTheme="majorAscii" w:hAnsiTheme="majorAscii" w:cstheme="majorAscii"/>
        </w:rPr>
      </w:pPr>
      <w:r>
        <w:rPr>
          <w:rFonts w:asciiTheme="majorHAnsi" w:hAnsiTheme="majorHAnsi" w:cstheme="majorHAnsi"/>
        </w:rPr>
        <w:tab/>
      </w:r>
      <w:r w:rsidRPr="6FB22721" w:rsidR="169CBB45">
        <w:rPr>
          <w:rFonts w:ascii="Calibri Light" w:hAnsi="Calibri Light" w:cs="Calibri Light" w:asciiTheme="majorAscii" w:hAnsiTheme="majorAscii" w:cstheme="majorAscii"/>
        </w:rPr>
        <w:t>Économiquement équivalente à un remboursement anticipé d'emprunt, la défaisance est intéressante pour les entreprises</w:t>
      </w:r>
      <w:r w:rsidRPr="6FB22721" w:rsidR="169CBB45">
        <w:rPr>
          <w:rFonts w:ascii="Calibri Light" w:hAnsi="Calibri Light" w:cs="Calibri Light" w:asciiTheme="majorAscii" w:hAnsiTheme="majorAscii" w:cstheme="majorAscii"/>
        </w:rPr>
        <w:t xml:space="preserve"> </w:t>
      </w:r>
      <w:r w:rsidRPr="6FB22721" w:rsidR="169CBB45">
        <w:rPr>
          <w:rFonts w:ascii="Calibri Light" w:hAnsi="Calibri Light" w:cs="Calibri Light" w:asciiTheme="majorAscii" w:hAnsiTheme="majorAscii" w:cstheme="majorAscii"/>
        </w:rPr>
        <w:t xml:space="preserve">: </w:t>
      </w:r>
    </w:p>
    <w:p w:rsidRPr="00BF6865" w:rsidR="00BF6865" w:rsidP="6FB22721" w:rsidRDefault="00BF6865" w14:paraId="0ABFA737" w14:textId="60A7EF3E">
      <w:pPr>
        <w:spacing w:after="0"/>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 ayant accumulé des disponibilités</w:t>
      </w:r>
      <w:r w:rsidRPr="6FB22721" w:rsidR="169CBB45">
        <w:rPr>
          <w:rFonts w:ascii="Calibri Light" w:hAnsi="Calibri Light" w:cs="Calibri Light" w:asciiTheme="majorAscii" w:hAnsiTheme="majorAscii" w:cstheme="majorAscii"/>
        </w:rPr>
        <w:t xml:space="preserve"> </w:t>
      </w:r>
      <w:r w:rsidRPr="6FB22721" w:rsidR="169CBB45">
        <w:rPr>
          <w:rFonts w:ascii="Calibri Light" w:hAnsi="Calibri Light" w:cs="Calibri Light" w:asciiTheme="majorAscii" w:hAnsiTheme="majorAscii" w:cstheme="majorAscii"/>
        </w:rPr>
        <w:t>;</w:t>
      </w:r>
    </w:p>
    <w:p w:rsidRPr="00BF6865" w:rsidR="00BF6865" w:rsidP="6FB22721" w:rsidRDefault="00BF6865" w14:paraId="1AA57B5D" w14:textId="1DEB9B49">
      <w:pPr>
        <w:spacing w:after="0"/>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 xml:space="preserve">- débitrices d'un emprunt dont elles veulent se dégager et qui souhaitent contourner plusieurs contraintes liées aux modalités « classiques » de remboursement d'une dette. </w:t>
      </w:r>
    </w:p>
    <w:p w:rsidRPr="00BF6865" w:rsidR="00BF6865" w:rsidP="6FB22721" w:rsidRDefault="00BF6865" w14:paraId="597A52B6" w14:textId="77777777">
      <w:pPr>
        <w:spacing w:after="0"/>
        <w:jc w:val="both"/>
        <w:rPr>
          <w:rFonts w:ascii="Calibri Light" w:hAnsi="Calibri Light" w:cs="Calibri Light" w:asciiTheme="majorAscii" w:hAnsiTheme="majorAscii" w:cstheme="majorAscii"/>
        </w:rPr>
      </w:pPr>
    </w:p>
    <w:p w:rsidRPr="00BF6865" w:rsidR="00BF6865" w:rsidP="6FB22721" w:rsidRDefault="00BF6865" w14:paraId="2A3E15D3" w14:textId="2D86FBEF">
      <w:pPr>
        <w:spacing w:after="0"/>
        <w:ind w:firstLine="708"/>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En effet</w:t>
      </w:r>
      <w:r w:rsidRPr="6FB22721" w:rsidR="169CBB45">
        <w:rPr>
          <w:rFonts w:ascii="Calibri Light" w:hAnsi="Calibri Light" w:cs="Calibri Light" w:asciiTheme="majorAscii" w:hAnsiTheme="majorAscii" w:cstheme="majorAscii"/>
        </w:rPr>
        <w:t xml:space="preserve"> </w:t>
      </w:r>
      <w:r w:rsidRPr="6FB22721" w:rsidR="169CBB45">
        <w:rPr>
          <w:rFonts w:ascii="Calibri Light" w:hAnsi="Calibri Light" w:cs="Calibri Light" w:asciiTheme="majorAscii" w:hAnsiTheme="majorAscii" w:cstheme="majorAscii"/>
        </w:rPr>
        <w:t>:</w:t>
      </w:r>
    </w:p>
    <w:p w:rsidRPr="00BF6865" w:rsidR="00BF6865" w:rsidP="6FB22721" w:rsidRDefault="00BF6865" w14:paraId="3DEF789D" w14:textId="38CFC165">
      <w:pPr>
        <w:spacing w:after="0"/>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 la clause de remboursement anticipé n'est pas toujours prévue</w:t>
      </w:r>
      <w:r w:rsidRPr="6FB22721" w:rsidR="169CBB45">
        <w:rPr>
          <w:rFonts w:ascii="Calibri Light" w:hAnsi="Calibri Light" w:cs="Calibri Light" w:asciiTheme="majorAscii" w:hAnsiTheme="majorAscii" w:cstheme="majorAscii"/>
        </w:rPr>
        <w:t xml:space="preserve"> </w:t>
      </w:r>
      <w:r w:rsidRPr="6FB22721" w:rsidR="169CBB45">
        <w:rPr>
          <w:rFonts w:ascii="Calibri Light" w:hAnsi="Calibri Light" w:cs="Calibri Light" w:asciiTheme="majorAscii" w:hAnsiTheme="majorAscii" w:cstheme="majorAscii"/>
        </w:rPr>
        <w:t>;</w:t>
      </w:r>
    </w:p>
    <w:p w:rsidRPr="00BF6865" w:rsidR="00BF6865" w:rsidP="6FB22721" w:rsidRDefault="00BF6865" w14:paraId="31D96B59" w14:textId="0A837A5D">
      <w:pPr>
        <w:spacing w:after="0"/>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 le coût de la clause de remboursement anticipé peut être significatif (fonction des termes du contrat)</w:t>
      </w:r>
      <w:r w:rsidRPr="6FB22721" w:rsidR="169CBB45">
        <w:rPr>
          <w:rFonts w:ascii="Calibri Light" w:hAnsi="Calibri Light" w:cs="Calibri Light" w:asciiTheme="majorAscii" w:hAnsiTheme="majorAscii" w:cstheme="majorAscii"/>
        </w:rPr>
        <w:t> ;</w:t>
      </w:r>
    </w:p>
    <w:p w:rsidRPr="00BF6865" w:rsidR="00BF6865" w:rsidP="6FB22721" w:rsidRDefault="00BF6865" w14:paraId="6EE6E803" w14:textId="3E1AF5D8">
      <w:pPr>
        <w:spacing w:after="0"/>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 xml:space="preserve">- la procédure de rachat de la dette sur le marché est longue et incertaine (les obligataires pouvant vouloir conserver leurs titres) ; </w:t>
      </w:r>
    </w:p>
    <w:p w:rsidRPr="00BF6865" w:rsidR="00BF6865" w:rsidP="6FB22721" w:rsidRDefault="00BF6865" w14:paraId="3925BA44" w14:textId="7551AA66">
      <w:pPr>
        <w:spacing w:after="0"/>
        <w:jc w:val="both"/>
        <w:rPr>
          <w:rFonts w:ascii="Calibri Light" w:hAnsi="Calibri Light" w:cs="Calibri Light" w:asciiTheme="majorAscii" w:hAnsiTheme="majorAscii" w:cstheme="majorAscii"/>
        </w:rPr>
      </w:pPr>
      <w:r w:rsidRPr="6FB22721" w:rsidR="169CBB45">
        <w:rPr>
          <w:rFonts w:ascii="Calibri Light" w:hAnsi="Calibri Light" w:cs="Calibri Light" w:asciiTheme="majorAscii" w:hAnsiTheme="majorAscii" w:cstheme="majorAscii"/>
        </w:rPr>
        <w:t>- dans le cas d'un lancement d'une offre publique d'</w:t>
      </w:r>
      <w:r w:rsidRPr="6FB22721" w:rsidR="169CBB45">
        <w:rPr>
          <w:rFonts w:ascii="Calibri Light" w:hAnsi="Calibri Light" w:cs="Calibri Light" w:asciiTheme="majorAscii" w:hAnsiTheme="majorAscii" w:cstheme="majorAscii"/>
        </w:rPr>
        <w:t>échange (OPE) contre des obliga</w:t>
      </w:r>
      <w:r w:rsidRPr="6FB22721" w:rsidR="169CBB45">
        <w:rPr>
          <w:rFonts w:ascii="Calibri Light" w:hAnsi="Calibri Light" w:cs="Calibri Light" w:asciiTheme="majorAscii" w:hAnsiTheme="majorAscii" w:cstheme="majorAscii"/>
        </w:rPr>
        <w:t>tions à caractéristiques différentes, ou même des actions, la procédure est d'autant plus longue, coûteuse et incertaine.</w:t>
      </w:r>
    </w:p>
    <w:p w:rsidR="00BF6865" w:rsidP="6FB22721" w:rsidRDefault="00BF6865" w14:paraId="1F15B152" w14:textId="002050D1">
      <w:pPr>
        <w:spacing w:after="0"/>
        <w:jc w:val="both"/>
        <w:rPr>
          <w:rFonts w:ascii="Calibri Light" w:hAnsi="Calibri Light" w:cs="Calibri Light" w:asciiTheme="majorAscii" w:hAnsiTheme="majorAscii" w:cstheme="majorAscii"/>
        </w:rPr>
      </w:pPr>
    </w:p>
    <w:p w:rsidRPr="00250911" w:rsidR="00250911" w:rsidP="6FB22721" w:rsidRDefault="00250911" w14:paraId="19DBED81" w14:textId="3C1C3365">
      <w:pPr>
        <w:spacing w:after="0"/>
        <w:ind w:firstLine="708"/>
        <w:jc w:val="both"/>
        <w:rPr>
          <w:rFonts w:ascii="Calibri Light" w:hAnsi="Calibri Light" w:cs="Calibri Light" w:asciiTheme="majorAscii" w:hAnsiTheme="majorAscii" w:cstheme="majorAscii"/>
        </w:rPr>
      </w:pPr>
      <w:r w:rsidRPr="6FB22721" w:rsidR="0B798E7D">
        <w:rPr>
          <w:rFonts w:ascii="Calibri Light" w:hAnsi="Calibri Light" w:cs="Calibri Light" w:asciiTheme="majorAscii" w:hAnsiTheme="majorAscii" w:cstheme="majorAscii"/>
        </w:rPr>
        <w:t>L'opération de défaisance permet également de gérer u</w:t>
      </w:r>
      <w:r w:rsidRPr="6FB22721" w:rsidR="0B798E7D">
        <w:rPr>
          <w:rFonts w:ascii="Calibri Light" w:hAnsi="Calibri Light" w:cs="Calibri Light" w:asciiTheme="majorAscii" w:hAnsiTheme="majorAscii" w:cstheme="majorAscii"/>
        </w:rPr>
        <w:t>n bilan, notamment car elle per</w:t>
      </w:r>
      <w:r w:rsidRPr="6FB22721" w:rsidR="0B798E7D">
        <w:rPr>
          <w:rFonts w:ascii="Calibri Light" w:hAnsi="Calibri Light" w:cs="Calibri Light" w:asciiTheme="majorAscii" w:hAnsiTheme="majorAscii" w:cstheme="majorAscii"/>
        </w:rPr>
        <w:t xml:space="preserve">met à une société: </w:t>
      </w:r>
    </w:p>
    <w:p w:rsidRPr="00250911" w:rsidR="00250911" w:rsidP="6FB22721" w:rsidRDefault="00250911" w14:paraId="0C9AB400" w14:textId="41EBF022">
      <w:pPr>
        <w:spacing w:after="0"/>
        <w:jc w:val="both"/>
        <w:rPr>
          <w:rFonts w:ascii="Calibri Light" w:hAnsi="Calibri Light" w:cs="Calibri Light" w:asciiTheme="majorAscii" w:hAnsiTheme="majorAscii" w:cstheme="majorAscii"/>
        </w:rPr>
      </w:pPr>
      <w:r w:rsidRPr="6FB22721" w:rsidR="0B798E7D">
        <w:rPr>
          <w:rFonts w:ascii="Calibri Light" w:hAnsi="Calibri Light" w:cs="Calibri Light" w:asciiTheme="majorAscii" w:hAnsiTheme="majorAscii" w:cstheme="majorAscii"/>
        </w:rPr>
        <w:t>- d'améliorer ses ratios de bilan: elle peut ainsi améliorer son rating au terme d'une opération qui aboutit à un nettoyage du bilan</w:t>
      </w:r>
      <w:r w:rsidRPr="6FB22721" w:rsidR="0B798E7D">
        <w:rPr>
          <w:rFonts w:ascii="Calibri Light" w:hAnsi="Calibri Light" w:cs="Calibri Light" w:asciiTheme="majorAscii" w:hAnsiTheme="majorAscii" w:cstheme="majorAscii"/>
        </w:rPr>
        <w:t xml:space="preserve"> </w:t>
      </w:r>
      <w:r w:rsidRPr="6FB22721" w:rsidR="0B798E7D">
        <w:rPr>
          <w:rFonts w:ascii="Calibri Light" w:hAnsi="Calibri Light" w:cs="Calibri Light" w:asciiTheme="majorAscii" w:hAnsiTheme="majorAscii" w:cstheme="majorAscii"/>
        </w:rPr>
        <w:t>;</w:t>
      </w:r>
    </w:p>
    <w:p w:rsidRPr="00250911" w:rsidR="00250911" w:rsidP="6FB22721" w:rsidRDefault="00250911" w14:paraId="3CA332B9" w14:textId="43C70914">
      <w:pPr>
        <w:spacing w:after="0"/>
        <w:jc w:val="both"/>
        <w:rPr>
          <w:rFonts w:ascii="Calibri Light" w:hAnsi="Calibri Light" w:cs="Calibri Light" w:asciiTheme="majorAscii" w:hAnsiTheme="majorAscii" w:cstheme="majorAscii"/>
        </w:rPr>
      </w:pPr>
      <w:r w:rsidRPr="6FB22721" w:rsidR="0B798E7D">
        <w:rPr>
          <w:rFonts w:ascii="Calibri Light" w:hAnsi="Calibri Light" w:cs="Calibri Light" w:asciiTheme="majorAscii" w:hAnsiTheme="majorAscii" w:cstheme="majorAscii"/>
        </w:rPr>
        <w:t xml:space="preserve">- </w:t>
      </w:r>
      <w:r w:rsidRPr="6FB22721" w:rsidR="7DC2CDF0">
        <w:rPr>
          <w:rFonts w:ascii="Calibri Light" w:hAnsi="Calibri Light" w:cs="Calibri Light" w:asciiTheme="majorAscii" w:hAnsiTheme="majorAscii" w:cstheme="majorAscii"/>
        </w:rPr>
        <w:t>d’ «</w:t>
      </w:r>
      <w:r w:rsidRPr="6FB22721" w:rsidR="0B798E7D">
        <w:rPr>
          <w:rFonts w:ascii="Calibri Light" w:hAnsi="Calibri Light" w:cs="Calibri Light" w:asciiTheme="majorAscii" w:hAnsiTheme="majorAscii" w:cstheme="majorAscii"/>
        </w:rPr>
        <w:t xml:space="preserve"> assainir</w:t>
      </w:r>
      <w:r w:rsidRPr="6FB22721" w:rsidR="0B798E7D">
        <w:rPr>
          <w:rFonts w:ascii="Calibri Light" w:hAnsi="Calibri Light" w:cs="Calibri Light" w:asciiTheme="majorAscii" w:hAnsiTheme="majorAscii" w:cstheme="majorAscii"/>
        </w:rPr>
        <w:t xml:space="preserve"> </w:t>
      </w:r>
      <w:r w:rsidRPr="6FB22721" w:rsidR="0B798E7D">
        <w:rPr>
          <w:rFonts w:ascii="Calibri Light" w:hAnsi="Calibri Light" w:cs="Calibri Light" w:asciiTheme="majorAscii" w:hAnsiTheme="majorAscii" w:cstheme="majorAscii"/>
        </w:rPr>
        <w:t>» le bilan, notamment dans le cadre d'un recours au marché financier</w:t>
      </w:r>
      <w:r w:rsidRPr="6FB22721" w:rsidR="0B798E7D">
        <w:rPr>
          <w:rFonts w:ascii="Calibri Light" w:hAnsi="Calibri Light" w:cs="Calibri Light" w:asciiTheme="majorAscii" w:hAnsiTheme="majorAscii" w:cstheme="majorAscii"/>
        </w:rPr>
        <w:t xml:space="preserve"> </w:t>
      </w:r>
      <w:r w:rsidRPr="6FB22721" w:rsidR="0B798E7D">
        <w:rPr>
          <w:rFonts w:ascii="Calibri Light" w:hAnsi="Calibri Light" w:cs="Calibri Light" w:asciiTheme="majorAscii" w:hAnsiTheme="majorAscii" w:cstheme="majorAscii"/>
        </w:rPr>
        <w:t>;</w:t>
      </w:r>
    </w:p>
    <w:p w:rsidRPr="00250911" w:rsidR="00250911" w:rsidP="6FB22721" w:rsidRDefault="00250911" w14:paraId="160E8B29" w14:textId="2128206B">
      <w:pPr>
        <w:spacing w:after="0"/>
        <w:jc w:val="both"/>
        <w:rPr>
          <w:rFonts w:ascii="Calibri Light" w:hAnsi="Calibri Light" w:cs="Calibri Light" w:asciiTheme="majorAscii" w:hAnsiTheme="majorAscii" w:cstheme="majorAscii"/>
        </w:rPr>
      </w:pPr>
      <w:r w:rsidRPr="6FB22721" w:rsidR="0B798E7D">
        <w:rPr>
          <w:rFonts w:ascii="Calibri Light" w:hAnsi="Calibri Light" w:cs="Calibri Light" w:asciiTheme="majorAscii" w:hAnsiTheme="majorAscii" w:cstheme="majorAscii"/>
        </w:rPr>
        <w:t>- d'optimiser le coût des ressources empruntées par rapport à leur maturité: la société</w:t>
      </w:r>
      <w:r w:rsidRPr="6FB22721" w:rsidR="0B798E7D">
        <w:rPr>
          <w:rFonts w:ascii="Calibri Light" w:hAnsi="Calibri Light" w:cs="Calibri Light" w:asciiTheme="majorAscii" w:hAnsiTheme="majorAscii" w:cstheme="majorAscii"/>
        </w:rPr>
        <w:t xml:space="preserve"> </w:t>
      </w:r>
      <w:r w:rsidRPr="6FB22721" w:rsidR="0B798E7D">
        <w:rPr>
          <w:rFonts w:ascii="Calibri Light" w:hAnsi="Calibri Light" w:cs="Calibri Light" w:asciiTheme="majorAscii" w:hAnsiTheme="majorAscii" w:cstheme="majorAscii"/>
        </w:rPr>
        <w:t>peut ainsi se débarrasser de dettes à long terme contractées à une époque de tau</w:t>
      </w:r>
      <w:r w:rsidRPr="6FB22721" w:rsidR="0B798E7D">
        <w:rPr>
          <w:rFonts w:ascii="Calibri Light" w:hAnsi="Calibri Light" w:cs="Calibri Light" w:asciiTheme="majorAscii" w:hAnsiTheme="majorAscii" w:cstheme="majorAscii"/>
        </w:rPr>
        <w:t>x d'in</w:t>
      </w:r>
      <w:r w:rsidRPr="6FB22721" w:rsidR="0B798E7D">
        <w:rPr>
          <w:rFonts w:ascii="Calibri Light" w:hAnsi="Calibri Light" w:cs="Calibri Light" w:asciiTheme="majorAscii" w:hAnsiTheme="majorAscii" w:cstheme="majorAscii"/>
        </w:rPr>
        <w:t xml:space="preserve">térêt élevés ou rembourser des dettes à long terme désormais proches de leur échéance. </w:t>
      </w:r>
    </w:p>
    <w:p w:rsidRPr="00250911" w:rsidR="00250911" w:rsidP="6FB22721" w:rsidRDefault="00250911" w14:paraId="46FD5C17" w14:textId="77777777">
      <w:pPr>
        <w:spacing w:after="0"/>
        <w:jc w:val="both"/>
        <w:rPr>
          <w:rFonts w:ascii="Calibri Light" w:hAnsi="Calibri Light" w:cs="Calibri Light" w:asciiTheme="majorAscii" w:hAnsiTheme="majorAscii" w:cstheme="majorAscii"/>
        </w:rPr>
      </w:pPr>
    </w:p>
    <w:p w:rsidRPr="00250911" w:rsidR="00250911" w:rsidP="6FB22721" w:rsidRDefault="00250911" w14:paraId="72C91912" w14:textId="1B707D2B">
      <w:pPr>
        <w:spacing w:after="0"/>
        <w:ind w:firstLine="708"/>
        <w:jc w:val="both"/>
        <w:rPr>
          <w:rFonts w:ascii="Calibri Light" w:hAnsi="Calibri Light" w:cs="Calibri Light" w:asciiTheme="majorAscii" w:hAnsiTheme="majorAscii" w:cstheme="majorAscii"/>
        </w:rPr>
      </w:pPr>
      <w:r w:rsidRPr="6FB22721" w:rsidR="0B798E7D">
        <w:rPr>
          <w:rFonts w:ascii="Calibri Light" w:hAnsi="Calibri Light" w:cs="Calibri Light" w:asciiTheme="majorAscii" w:hAnsiTheme="majorAscii" w:cstheme="majorAscii"/>
        </w:rPr>
        <w:t>En agissant sur le bilan, la défaisance induit des transformations qui peuvent biaiser les analyses financières fondées sur ce document.</w:t>
      </w:r>
    </w:p>
    <w:p w:rsidR="00BF6865" w:rsidP="6FB22721" w:rsidRDefault="00BF6865" w14:paraId="265942C1" w14:textId="1570CA27">
      <w:pPr>
        <w:spacing w:after="0"/>
        <w:jc w:val="both"/>
        <w:rPr>
          <w:rFonts w:ascii="Calibri Light" w:hAnsi="Calibri Light" w:cs="Calibri Light" w:asciiTheme="majorAscii" w:hAnsiTheme="majorAscii" w:cstheme="majorAscii"/>
        </w:rPr>
      </w:pPr>
    </w:p>
    <w:p w:rsidR="00250911" w:rsidP="6FB22721" w:rsidRDefault="00250911" w14:paraId="2307FDFB" w14:textId="04A7486D">
      <w:pPr>
        <w:spacing w:after="0"/>
        <w:jc w:val="both"/>
        <w:rPr>
          <w:rFonts w:ascii="Calibri Light" w:hAnsi="Calibri Light" w:cs="Calibri Light" w:asciiTheme="majorAscii" w:hAnsiTheme="majorAscii" w:cstheme="majorAscii"/>
        </w:rPr>
      </w:pPr>
    </w:p>
    <w:p w:rsidRPr="00250911" w:rsidR="00250911" w:rsidP="6FB22721" w:rsidRDefault="00250911" w14:paraId="20F91407" w14:textId="63C76AD9">
      <w:pPr>
        <w:pStyle w:val="Paragraphedeliste"/>
        <w:numPr>
          <w:ilvl w:val="1"/>
          <w:numId w:val="6"/>
        </w:numPr>
        <w:spacing w:after="0"/>
        <w:jc w:val="both"/>
        <w:rPr>
          <w:rFonts w:ascii="Calibri Light" w:hAnsi="Calibri Light" w:cs="Calibri Light" w:asciiTheme="majorAscii" w:hAnsiTheme="majorAscii" w:cstheme="majorAscii"/>
          <w:b w:val="1"/>
          <w:bCs w:val="1"/>
        </w:rPr>
      </w:pPr>
      <w:r w:rsidRPr="6FB22721" w:rsidR="0B798E7D">
        <w:rPr>
          <w:rFonts w:ascii="Calibri Light" w:hAnsi="Calibri Light" w:cs="Calibri Light" w:asciiTheme="majorAscii" w:hAnsiTheme="majorAscii" w:cstheme="majorAscii"/>
          <w:b w:val="1"/>
          <w:bCs w:val="1"/>
        </w:rPr>
        <w:t>La défaisance des éléments de l’actif</w:t>
      </w:r>
    </w:p>
    <w:p w:rsidRPr="00027159" w:rsidR="00250911" w:rsidP="6FB22721" w:rsidRDefault="00250911" w14:paraId="20922097" w14:textId="77777777">
      <w:pPr>
        <w:spacing w:after="0"/>
        <w:jc w:val="both"/>
        <w:rPr>
          <w:rFonts w:ascii="Calibri Light" w:hAnsi="Calibri Light" w:cs="Calibri Light" w:asciiTheme="majorAscii" w:hAnsiTheme="majorAscii" w:cstheme="majorAscii"/>
        </w:rPr>
      </w:pPr>
    </w:p>
    <w:p w:rsidR="000D48E4" w:rsidP="6FB22721" w:rsidRDefault="00250911" w14:paraId="21673A2A" w14:textId="668F7BD8">
      <w:pPr>
        <w:spacing w:after="0"/>
        <w:ind w:firstLine="708"/>
        <w:jc w:val="both"/>
        <w:rPr>
          <w:rFonts w:ascii="Calibri Light" w:hAnsi="Calibri Light" w:cs="Calibri Light" w:asciiTheme="majorAscii" w:hAnsiTheme="majorAscii" w:cstheme="majorAscii"/>
        </w:rPr>
      </w:pPr>
      <w:r w:rsidRPr="6FB22721" w:rsidR="0B798E7D">
        <w:rPr>
          <w:rFonts w:ascii="Calibri Light" w:hAnsi="Calibri Light" w:cs="Calibri Light" w:asciiTheme="majorAscii" w:hAnsiTheme="majorAscii" w:cstheme="majorAscii"/>
        </w:rPr>
        <w:t>La défaisance n'est pas un terme applicable à la seule cession de passifs (dettes). La défaisance (defeasance) est définie au journal Officiel comme « l'opération ayant pour but d'améliorer le bilan d'une entreprise en se défaisant, sur une entité distincte, d'actifs considérés comme compromi</w:t>
      </w:r>
      <w:r w:rsidRPr="6FB22721" w:rsidR="0B798E7D">
        <w:rPr>
          <w:rFonts w:ascii="Calibri Light" w:hAnsi="Calibri Light" w:cs="Calibri Light" w:asciiTheme="majorAscii" w:hAnsiTheme="majorAscii" w:cstheme="majorAscii"/>
        </w:rPr>
        <w:t>s en tout ou partie »</w:t>
      </w:r>
      <w:r w:rsidRPr="6FB22721" w:rsidR="0B798E7D">
        <w:rPr>
          <w:rFonts w:ascii="Calibri Light" w:hAnsi="Calibri Light" w:cs="Calibri Light" w:asciiTheme="majorAscii" w:hAnsiTheme="majorAscii" w:cstheme="majorAscii"/>
        </w:rPr>
        <w:t>. On parle aussi de cantonnement de créances en souffrance.</w:t>
      </w:r>
    </w:p>
    <w:p w:rsidR="00250911" w:rsidP="6FB22721" w:rsidRDefault="00250911" w14:paraId="298F0B33" w14:textId="6FAD756C">
      <w:pPr>
        <w:spacing w:after="0"/>
        <w:ind w:firstLine="708"/>
        <w:jc w:val="both"/>
        <w:rPr>
          <w:rFonts w:ascii="Calibri Light" w:hAnsi="Calibri Light" w:cs="Calibri Light" w:asciiTheme="majorAscii" w:hAnsiTheme="majorAscii" w:cstheme="majorAscii"/>
        </w:rPr>
      </w:pPr>
    </w:p>
    <w:p w:rsidR="00250911" w:rsidP="6FB22721" w:rsidRDefault="00250911" w14:paraId="6C7E9E87" w14:textId="3C23A949">
      <w:pPr>
        <w:spacing w:after="0"/>
        <w:ind w:firstLine="708"/>
        <w:jc w:val="both"/>
        <w:rPr>
          <w:rFonts w:ascii="Calibri Light" w:hAnsi="Calibri Light" w:cs="Calibri Light" w:asciiTheme="majorAscii" w:hAnsiTheme="majorAscii" w:cstheme="majorAscii"/>
        </w:rPr>
      </w:pPr>
      <w:r w:rsidRPr="6FB22721" w:rsidR="0B798E7D">
        <w:rPr>
          <w:rFonts w:ascii="Calibri Light" w:hAnsi="Calibri Light" w:cs="Calibri Light" w:asciiTheme="majorAscii" w:hAnsiTheme="majorAscii" w:cstheme="majorAscii"/>
        </w:rPr>
        <w:t>La société tierce, récipiendaire des actifs financiers et des dettes, est généralement appelée structure de défaisance ou de cantonnement.</w:t>
      </w:r>
    </w:p>
    <w:p w:rsidR="00250911" w:rsidP="6FB22721" w:rsidRDefault="00250911" w14:paraId="3F222013" w14:textId="7BF9EA9F">
      <w:pPr>
        <w:spacing w:after="0"/>
        <w:ind w:firstLine="708"/>
        <w:jc w:val="both"/>
        <w:rPr>
          <w:rFonts w:ascii="Calibri Light" w:hAnsi="Calibri Light" w:cs="Calibri Light" w:asciiTheme="majorAscii" w:hAnsiTheme="majorAscii" w:cstheme="majorAscii"/>
        </w:rPr>
      </w:pPr>
    </w:p>
    <w:p w:rsidR="00D66494" w:rsidP="6FB22721" w:rsidRDefault="00D66494" w14:paraId="3DAADC1C" w14:textId="5ECAEBDF">
      <w:pPr>
        <w:spacing w:after="0"/>
        <w:ind w:firstLine="708"/>
        <w:jc w:val="both"/>
        <w:rPr>
          <w:rFonts w:ascii="Calibri Light" w:hAnsi="Calibri Light" w:cs="Calibri Light" w:asciiTheme="majorAscii" w:hAnsiTheme="majorAscii" w:cstheme="majorAscii"/>
        </w:rPr>
      </w:pPr>
    </w:p>
    <w:p w:rsidR="00D66494" w:rsidP="6FB22721" w:rsidRDefault="00D66494" w14:paraId="29C7B1B7" w14:textId="6CF97BF0">
      <w:pPr>
        <w:spacing w:after="0"/>
        <w:ind w:firstLine="708"/>
        <w:jc w:val="both"/>
        <w:rPr>
          <w:rFonts w:ascii="Calibri Light" w:hAnsi="Calibri Light" w:cs="Calibri Light" w:asciiTheme="majorAscii" w:hAnsiTheme="majorAscii" w:cstheme="majorAscii"/>
        </w:rPr>
      </w:pPr>
    </w:p>
    <w:p w:rsidR="00D66494" w:rsidP="6FB22721" w:rsidRDefault="00D66494" w14:paraId="3A14AAD0" w14:textId="77777777">
      <w:pPr>
        <w:spacing w:after="0"/>
        <w:ind w:firstLine="708"/>
        <w:jc w:val="both"/>
        <w:rPr>
          <w:rFonts w:ascii="Calibri Light" w:hAnsi="Calibri Light" w:cs="Calibri Light" w:asciiTheme="majorAscii" w:hAnsiTheme="majorAscii" w:cstheme="majorAscii"/>
        </w:rPr>
      </w:pPr>
    </w:p>
    <w:p w:rsidRPr="00250911" w:rsidR="00250911" w:rsidP="6FB22721" w:rsidRDefault="00250911" w14:paraId="29EDD2F0" w14:textId="77777777">
      <w:pPr>
        <w:spacing w:after="0"/>
        <w:ind w:firstLine="708"/>
        <w:jc w:val="both"/>
        <w:rPr>
          <w:rFonts w:ascii="Calibri Light" w:hAnsi="Calibri Light" w:cs="Calibri Light" w:asciiTheme="majorAscii" w:hAnsiTheme="majorAscii" w:cstheme="majorAscii"/>
        </w:rPr>
      </w:pPr>
      <w:r w:rsidRPr="6FB22721" w:rsidR="0B798E7D">
        <w:rPr>
          <w:rFonts w:ascii="Calibri Light" w:hAnsi="Calibri Light" w:cs="Calibri Light" w:asciiTheme="majorAscii" w:hAnsiTheme="majorAscii" w:cstheme="majorAscii"/>
        </w:rPr>
        <w:t xml:space="preserve">Exemple </w:t>
      </w:r>
    </w:p>
    <w:p w:rsidRPr="00250911" w:rsidR="00250911" w:rsidP="6FB22721" w:rsidRDefault="00250911" w14:paraId="23C20F44" w14:textId="77777777">
      <w:pPr>
        <w:spacing w:after="0"/>
        <w:ind w:firstLine="708"/>
        <w:jc w:val="both"/>
        <w:rPr>
          <w:rFonts w:ascii="Calibri Light" w:hAnsi="Calibri Light" w:cs="Calibri Light" w:asciiTheme="majorAscii" w:hAnsiTheme="majorAscii" w:cstheme="majorAscii"/>
        </w:rPr>
      </w:pPr>
    </w:p>
    <w:p w:rsidRPr="00250911" w:rsidR="00250911" w:rsidP="6FB22721" w:rsidRDefault="00250911" w14:paraId="02A683AF" w14:textId="2CD66546">
      <w:pPr>
        <w:spacing w:after="0"/>
        <w:ind w:firstLine="708"/>
        <w:jc w:val="both"/>
        <w:rPr>
          <w:rFonts w:ascii="Calibri Light" w:hAnsi="Calibri Light" w:cs="Calibri Light" w:asciiTheme="majorAscii" w:hAnsiTheme="majorAscii" w:cstheme="majorAscii"/>
        </w:rPr>
      </w:pPr>
      <w:r w:rsidRPr="6FB22721" w:rsidR="0B798E7D">
        <w:rPr>
          <w:rFonts w:ascii="Calibri Light" w:hAnsi="Calibri Light" w:cs="Calibri Light" w:asciiTheme="majorAscii" w:hAnsiTheme="majorAscii" w:cstheme="majorAscii"/>
        </w:rPr>
        <w:t>La plus célèbre illustration de cantonnement a été celle du Crédit Lyonnais (LCL aujourd'hui). Le Consortium de réalisation (COR) - structure ad hoc chargée de gérer le passif du Crédit Lyonnais après la quasi-faillite de la banque en 1993 - a été créé afin de séparer les actifs et créances compromis de la partie considérée comme saine. Il a repris 28,3 Mds € d'actifs du groupe. Le COR a ensuite été cédé à</w:t>
      </w:r>
      <w:r w:rsidRPr="6FB22721" w:rsidR="0B798E7D">
        <w:rPr>
          <w:rFonts w:ascii="Calibri Light" w:hAnsi="Calibri Light" w:cs="Calibri Light" w:asciiTheme="majorAscii" w:hAnsiTheme="majorAscii" w:cstheme="majorAscii"/>
        </w:rPr>
        <w:t xml:space="preserve"> un établissement d'État, l'éta</w:t>
      </w:r>
      <w:r w:rsidRPr="6FB22721" w:rsidR="0B798E7D">
        <w:rPr>
          <w:rFonts w:ascii="Calibri Light" w:hAnsi="Calibri Light" w:cs="Calibri Light" w:asciiTheme="majorAscii" w:hAnsiTheme="majorAscii" w:cstheme="majorAscii"/>
        </w:rPr>
        <w:t xml:space="preserve">blissement public de financement et de restructuration (EPFR), créé également à cet effet. </w:t>
      </w:r>
    </w:p>
    <w:p w:rsidRPr="007D3566" w:rsidR="007D3566" w:rsidP="6FB22721" w:rsidRDefault="00250911" w14:paraId="65980BA9" w14:textId="29B087AE">
      <w:pPr>
        <w:spacing w:after="0"/>
        <w:ind w:firstLine="708"/>
        <w:jc w:val="both"/>
        <w:rPr>
          <w:rFonts w:ascii="Calibri Light" w:hAnsi="Calibri Light" w:cs="Calibri Light" w:asciiTheme="majorAscii" w:hAnsiTheme="majorAscii" w:cstheme="majorAscii"/>
        </w:rPr>
      </w:pPr>
      <w:r w:rsidRPr="6FB22721" w:rsidR="0B798E7D">
        <w:rPr>
          <w:rFonts w:ascii="Calibri Light" w:hAnsi="Calibri Light" w:cs="Calibri Light" w:asciiTheme="majorAscii" w:hAnsiTheme="majorAscii" w:cstheme="majorAscii"/>
        </w:rPr>
        <w:t>Au terme de l'opération, le Crédit Lyonnais s'est retrouvé avec un portefeuille assaini et, de son côté, l'État a récupéré un ensemble d'actifs e</w:t>
      </w:r>
      <w:r w:rsidRPr="6FB22721" w:rsidR="0B798E7D">
        <w:rPr>
          <w:rFonts w:ascii="Calibri Light" w:hAnsi="Calibri Light" w:cs="Calibri Light" w:asciiTheme="majorAscii" w:hAnsiTheme="majorAscii" w:cstheme="majorAscii"/>
        </w:rPr>
        <w:t>t de créances posant problème.</w:t>
      </w:r>
    </w:p>
    <w:sectPr w:rsidRPr="007D3566" w:rsidR="007D3566">
      <w:headerReference w:type="default" r:id="rId17"/>
      <w:footerReference w:type="default" r:id="rId18"/>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87CEA" w:rsidP="00C71335" w:rsidRDefault="00287CEA" w14:paraId="69060123" w14:textId="77777777">
      <w:pPr>
        <w:spacing w:after="0" w:line="240" w:lineRule="auto"/>
      </w:pPr>
      <w:r>
        <w:separator/>
      </w:r>
    </w:p>
  </w:endnote>
  <w:endnote w:type="continuationSeparator" w:id="0">
    <w:p w:rsidR="00287CEA" w:rsidP="00C71335" w:rsidRDefault="00287CEA" w14:paraId="477B8E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6258072"/>
      <w:docPartObj>
        <w:docPartGallery w:val="Page Numbers (Bottom of Page)"/>
        <w:docPartUnique/>
      </w:docPartObj>
    </w:sdtPr>
    <w:sdtEndPr/>
    <w:sdtContent>
      <w:p w:rsidR="00187123" w:rsidRDefault="00187123" w14:paraId="5334BD19" w14:textId="6AF817F0">
        <w:pPr>
          <w:pStyle w:val="Pieddepage"/>
          <w:jc w:val="right"/>
        </w:pPr>
        <w:r>
          <w:fldChar w:fldCharType="begin"/>
        </w:r>
        <w:r>
          <w:instrText>PAGE   \* MERGEFORMAT</w:instrText>
        </w:r>
        <w:r>
          <w:fldChar w:fldCharType="separate"/>
        </w:r>
        <w:r>
          <w:rPr>
            <w:noProof/>
          </w:rPr>
          <w:t>4</w:t>
        </w:r>
        <w:r>
          <w:fldChar w:fldCharType="end"/>
        </w:r>
      </w:p>
    </w:sdtContent>
  </w:sdt>
  <w:p w:rsidR="00F46B40" w:rsidRDefault="00F46B40" w14:paraId="78019CE5" w14:textId="5FA4E01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87CEA" w:rsidP="00C71335" w:rsidRDefault="00287CEA" w14:paraId="6CA604F6" w14:textId="77777777">
      <w:pPr>
        <w:spacing w:after="0" w:line="240" w:lineRule="auto"/>
      </w:pPr>
      <w:r>
        <w:separator/>
      </w:r>
    </w:p>
  </w:footnote>
  <w:footnote w:type="continuationSeparator" w:id="0">
    <w:p w:rsidR="00287CEA" w:rsidP="00C71335" w:rsidRDefault="00287CEA" w14:paraId="3BE87BF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6B40" w:rsidRDefault="00F46B40" w14:paraId="363DCDD2" w14:textId="77777777">
    <w:pPr>
      <w:pStyle w:val="En-tte"/>
    </w:pPr>
    <w:r>
      <w:t>DSCG</w:t>
    </w:r>
    <w:r>
      <w:tab/>
    </w:r>
    <w:r>
      <w:tab/>
    </w:r>
    <w:r>
      <w:t>Module 4 – Ingénierie Financière</w:t>
    </w:r>
  </w:p>
  <w:p w:rsidR="00F46B40" w:rsidP="00C71335" w:rsidRDefault="00F46B40" w14:paraId="7C0DCB6D" w14:textId="73B9CABD">
    <w:pPr>
      <w:pStyle w:val="En-tte"/>
    </w:pPr>
    <w:r>
      <w:tab/>
    </w:r>
    <w:r>
      <w:tab/>
    </w:r>
    <w:r>
      <w:t>Les opérations sur les dettes et les créances</w:t>
    </w:r>
  </w:p>
  <w:p w:rsidR="00F46B40" w:rsidRDefault="00F46B40" w14:paraId="38420225"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61B"/>
    <w:multiLevelType w:val="hybridMultilevel"/>
    <w:tmpl w:val="B32051F8"/>
    <w:lvl w:ilvl="0" w:tplc="AF3870B2">
      <w:start w:val="1"/>
      <w:numFmt w:val="bullet"/>
      <w:lvlText w:val="-"/>
      <w:lvlJc w:val="left"/>
      <w:pPr>
        <w:ind w:left="765" w:hanging="360"/>
      </w:pPr>
      <w:rPr>
        <w:rFonts w:hint="default" w:ascii="Calibri" w:hAnsi="Calibri" w:cs="Calibri" w:eastAsiaTheme="minorHAnsi"/>
      </w:rPr>
    </w:lvl>
    <w:lvl w:ilvl="1" w:tplc="040C0003" w:tentative="1">
      <w:start w:val="1"/>
      <w:numFmt w:val="bullet"/>
      <w:lvlText w:val="o"/>
      <w:lvlJc w:val="left"/>
      <w:pPr>
        <w:ind w:left="1485" w:hanging="360"/>
      </w:pPr>
      <w:rPr>
        <w:rFonts w:hint="default" w:ascii="Courier New" w:hAnsi="Courier New" w:cs="Courier New"/>
      </w:rPr>
    </w:lvl>
    <w:lvl w:ilvl="2" w:tplc="040C0005" w:tentative="1">
      <w:start w:val="1"/>
      <w:numFmt w:val="bullet"/>
      <w:lvlText w:val=""/>
      <w:lvlJc w:val="left"/>
      <w:pPr>
        <w:ind w:left="2205" w:hanging="360"/>
      </w:pPr>
      <w:rPr>
        <w:rFonts w:hint="default" w:ascii="Wingdings" w:hAnsi="Wingdings"/>
      </w:rPr>
    </w:lvl>
    <w:lvl w:ilvl="3" w:tplc="040C0001" w:tentative="1">
      <w:start w:val="1"/>
      <w:numFmt w:val="bullet"/>
      <w:lvlText w:val=""/>
      <w:lvlJc w:val="left"/>
      <w:pPr>
        <w:ind w:left="2925" w:hanging="360"/>
      </w:pPr>
      <w:rPr>
        <w:rFonts w:hint="default" w:ascii="Symbol" w:hAnsi="Symbol"/>
      </w:rPr>
    </w:lvl>
    <w:lvl w:ilvl="4" w:tplc="040C0003" w:tentative="1">
      <w:start w:val="1"/>
      <w:numFmt w:val="bullet"/>
      <w:lvlText w:val="o"/>
      <w:lvlJc w:val="left"/>
      <w:pPr>
        <w:ind w:left="3645" w:hanging="360"/>
      </w:pPr>
      <w:rPr>
        <w:rFonts w:hint="default" w:ascii="Courier New" w:hAnsi="Courier New" w:cs="Courier New"/>
      </w:rPr>
    </w:lvl>
    <w:lvl w:ilvl="5" w:tplc="040C0005" w:tentative="1">
      <w:start w:val="1"/>
      <w:numFmt w:val="bullet"/>
      <w:lvlText w:val=""/>
      <w:lvlJc w:val="left"/>
      <w:pPr>
        <w:ind w:left="4365" w:hanging="360"/>
      </w:pPr>
      <w:rPr>
        <w:rFonts w:hint="default" w:ascii="Wingdings" w:hAnsi="Wingdings"/>
      </w:rPr>
    </w:lvl>
    <w:lvl w:ilvl="6" w:tplc="040C0001" w:tentative="1">
      <w:start w:val="1"/>
      <w:numFmt w:val="bullet"/>
      <w:lvlText w:val=""/>
      <w:lvlJc w:val="left"/>
      <w:pPr>
        <w:ind w:left="5085" w:hanging="360"/>
      </w:pPr>
      <w:rPr>
        <w:rFonts w:hint="default" w:ascii="Symbol" w:hAnsi="Symbol"/>
      </w:rPr>
    </w:lvl>
    <w:lvl w:ilvl="7" w:tplc="040C0003" w:tentative="1">
      <w:start w:val="1"/>
      <w:numFmt w:val="bullet"/>
      <w:lvlText w:val="o"/>
      <w:lvlJc w:val="left"/>
      <w:pPr>
        <w:ind w:left="5805" w:hanging="360"/>
      </w:pPr>
      <w:rPr>
        <w:rFonts w:hint="default" w:ascii="Courier New" w:hAnsi="Courier New" w:cs="Courier New"/>
      </w:rPr>
    </w:lvl>
    <w:lvl w:ilvl="8" w:tplc="040C0005" w:tentative="1">
      <w:start w:val="1"/>
      <w:numFmt w:val="bullet"/>
      <w:lvlText w:val=""/>
      <w:lvlJc w:val="left"/>
      <w:pPr>
        <w:ind w:left="6525" w:hanging="360"/>
      </w:pPr>
      <w:rPr>
        <w:rFonts w:hint="default" w:ascii="Wingdings" w:hAnsi="Wingdings"/>
      </w:rPr>
    </w:lvl>
  </w:abstractNum>
  <w:abstractNum w:abstractNumId="1" w15:restartNumberingAfterBreak="0">
    <w:nsid w:val="0E813072"/>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 w15:restartNumberingAfterBreak="0">
    <w:nsid w:val="0FCD7064"/>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3" w15:restartNumberingAfterBreak="0">
    <w:nsid w:val="1B931525"/>
    <w:multiLevelType w:val="multilevel"/>
    <w:tmpl w:val="A6185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893C02"/>
    <w:multiLevelType w:val="hybridMultilevel"/>
    <w:tmpl w:val="40AEE880"/>
    <w:lvl w:ilvl="0" w:tplc="D8ACE3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1DD4E36"/>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6" w15:restartNumberingAfterBreak="0">
    <w:nsid w:val="251839E1"/>
    <w:multiLevelType w:val="hybridMultilevel"/>
    <w:tmpl w:val="B5ECA7A0"/>
    <w:lvl w:ilvl="0" w:tplc="AF3870B2">
      <w:start w:val="1"/>
      <w:numFmt w:val="bullet"/>
      <w:lvlText w:val="-"/>
      <w:lvlJc w:val="left"/>
      <w:pPr>
        <w:ind w:left="720" w:hanging="360"/>
      </w:pPr>
      <w:rPr>
        <w:rFonts w:hint="default" w:ascii="Calibri" w:hAnsi="Calibri" w:cs="Calibri" w:eastAsiaTheme="minorHAns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269613A8"/>
    <w:multiLevelType w:val="multilevel"/>
    <w:tmpl w:val="7842E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AE71A93"/>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9" w15:restartNumberingAfterBreak="0">
    <w:nsid w:val="2B257084"/>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0" w15:restartNumberingAfterBreak="0">
    <w:nsid w:val="2B8E338B"/>
    <w:multiLevelType w:val="multilevel"/>
    <w:tmpl w:val="66A061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DEA26E8"/>
    <w:multiLevelType w:val="multilevel"/>
    <w:tmpl w:val="BCBE37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A424328"/>
    <w:multiLevelType w:val="hybridMultilevel"/>
    <w:tmpl w:val="EE061DB0"/>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3AAF0DC5"/>
    <w:multiLevelType w:val="multilevel"/>
    <w:tmpl w:val="CD04C2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AFA5735"/>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5" w15:restartNumberingAfterBreak="0">
    <w:nsid w:val="3EF3238B"/>
    <w:multiLevelType w:val="multilevel"/>
    <w:tmpl w:val="A1D84948"/>
    <w:lvl w:ilvl="0">
      <w:start w:val="2"/>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1D307CD"/>
    <w:multiLevelType w:val="hybridMultilevel"/>
    <w:tmpl w:val="FCA8471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422F3407"/>
    <w:multiLevelType w:val="hybridMultilevel"/>
    <w:tmpl w:val="5A3E7800"/>
    <w:lvl w:ilvl="0" w:tplc="A16654CA">
      <w:start w:val="1"/>
      <w:numFmt w:val="bullet"/>
      <w:lvlText w:val="-"/>
      <w:lvlJc w:val="left"/>
      <w:pPr>
        <w:ind w:left="720" w:hanging="360"/>
      </w:pPr>
      <w:rPr>
        <w:rFonts w:hint="default" w:ascii="Calibri Light" w:hAnsi="Calibri Light" w:cs="Calibri Light"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4A5722AB"/>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9" w15:restartNumberingAfterBreak="0">
    <w:nsid w:val="4CC14C05"/>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0" w15:restartNumberingAfterBreak="0">
    <w:nsid w:val="534C629B"/>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1" w15:restartNumberingAfterBreak="0">
    <w:nsid w:val="53C854E7"/>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2" w15:restartNumberingAfterBreak="0">
    <w:nsid w:val="54823410"/>
    <w:multiLevelType w:val="hybridMultilevel"/>
    <w:tmpl w:val="55BEDA94"/>
    <w:lvl w:ilvl="0" w:tplc="530C4292">
      <w:start w:val="34"/>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3" w15:restartNumberingAfterBreak="0">
    <w:nsid w:val="60CD6A2D"/>
    <w:multiLevelType w:val="multilevel"/>
    <w:tmpl w:val="1E3087F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 w15:restartNumberingAfterBreak="0">
    <w:nsid w:val="660E052A"/>
    <w:multiLevelType w:val="hybridMultilevel"/>
    <w:tmpl w:val="58704C48"/>
    <w:lvl w:ilvl="0" w:tplc="E888551A">
      <w:start w:val="1"/>
      <w:numFmt w:val="bullet"/>
      <w:lvlText w:val="•"/>
      <w:lvlJc w:val="left"/>
      <w:pPr>
        <w:ind w:left="720" w:hanging="360"/>
      </w:pPr>
      <w:rPr>
        <w:rFonts w:hint="default" w:ascii="Candara" w:hAnsi="Candara"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5" w15:restartNumberingAfterBreak="0">
    <w:nsid w:val="719959F3"/>
    <w:multiLevelType w:val="hybridMultilevel"/>
    <w:tmpl w:val="BA9C6FCC"/>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26" w15:restartNumberingAfterBreak="0">
    <w:nsid w:val="74373192"/>
    <w:multiLevelType w:val="hybridMultilevel"/>
    <w:tmpl w:val="A18028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4774391"/>
    <w:multiLevelType w:val="multilevel"/>
    <w:tmpl w:val="88AE1A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6001DBA"/>
    <w:multiLevelType w:val="hybridMultilevel"/>
    <w:tmpl w:val="2856F4D2"/>
    <w:lvl w:ilvl="0" w:tplc="AF3870B2">
      <w:start w:val="1"/>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769F0B0D"/>
    <w:multiLevelType w:val="multilevel"/>
    <w:tmpl w:val="3D8C9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AB658C8"/>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31" w15:restartNumberingAfterBreak="0">
    <w:nsid w:val="7B2C23D1"/>
    <w:multiLevelType w:val="multilevel"/>
    <w:tmpl w:val="668EAB6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2"/>
  </w:num>
  <w:num w:numId="2">
    <w:abstractNumId w:val="10"/>
  </w:num>
  <w:num w:numId="3">
    <w:abstractNumId w:val="4"/>
  </w:num>
  <w:num w:numId="4">
    <w:abstractNumId w:val="31"/>
  </w:num>
  <w:num w:numId="5">
    <w:abstractNumId w:val="11"/>
  </w:num>
  <w:num w:numId="6">
    <w:abstractNumId w:val="14"/>
  </w:num>
  <w:num w:numId="7">
    <w:abstractNumId w:val="27"/>
  </w:num>
  <w:num w:numId="8">
    <w:abstractNumId w:val="7"/>
  </w:num>
  <w:num w:numId="9">
    <w:abstractNumId w:val="3"/>
  </w:num>
  <w:num w:numId="10">
    <w:abstractNumId w:val="25"/>
  </w:num>
  <w:num w:numId="11">
    <w:abstractNumId w:val="6"/>
  </w:num>
  <w:num w:numId="12">
    <w:abstractNumId w:val="24"/>
  </w:num>
  <w:num w:numId="13">
    <w:abstractNumId w:val="30"/>
  </w:num>
  <w:num w:numId="14">
    <w:abstractNumId w:val="0"/>
  </w:num>
  <w:num w:numId="15">
    <w:abstractNumId w:val="16"/>
  </w:num>
  <w:num w:numId="16">
    <w:abstractNumId w:val="15"/>
  </w:num>
  <w:num w:numId="17">
    <w:abstractNumId w:val="28"/>
  </w:num>
  <w:num w:numId="18">
    <w:abstractNumId w:val="12"/>
  </w:num>
  <w:num w:numId="19">
    <w:abstractNumId w:val="8"/>
  </w:num>
  <w:num w:numId="20">
    <w:abstractNumId w:val="17"/>
  </w:num>
  <w:num w:numId="21">
    <w:abstractNumId w:val="18"/>
  </w:num>
  <w:num w:numId="22">
    <w:abstractNumId w:val="21"/>
  </w:num>
  <w:num w:numId="23">
    <w:abstractNumId w:val="2"/>
  </w:num>
  <w:num w:numId="24">
    <w:abstractNumId w:val="20"/>
  </w:num>
  <w:num w:numId="25">
    <w:abstractNumId w:val="23"/>
  </w:num>
  <w:num w:numId="26">
    <w:abstractNumId w:val="19"/>
  </w:num>
  <w:num w:numId="27">
    <w:abstractNumId w:val="9"/>
  </w:num>
  <w:num w:numId="28">
    <w:abstractNumId w:val="1"/>
  </w:num>
  <w:num w:numId="29">
    <w:abstractNumId w:val="26"/>
  </w:num>
  <w:num w:numId="30">
    <w:abstractNumId w:val="5"/>
  </w:num>
  <w:num w:numId="31">
    <w:abstractNumId w:val="13"/>
  </w:num>
  <w:num w:numId="32">
    <w:abstractNumId w:val="2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335"/>
    <w:rsid w:val="00000CA3"/>
    <w:rsid w:val="00020215"/>
    <w:rsid w:val="00027159"/>
    <w:rsid w:val="000737CF"/>
    <w:rsid w:val="000752E6"/>
    <w:rsid w:val="000B7228"/>
    <w:rsid w:val="000D48E4"/>
    <w:rsid w:val="000E1F3E"/>
    <w:rsid w:val="0011724C"/>
    <w:rsid w:val="001524F3"/>
    <w:rsid w:val="00187123"/>
    <w:rsid w:val="001E0C8D"/>
    <w:rsid w:val="002037A2"/>
    <w:rsid w:val="00250911"/>
    <w:rsid w:val="00256ABB"/>
    <w:rsid w:val="00287CEA"/>
    <w:rsid w:val="002A54D4"/>
    <w:rsid w:val="002B5366"/>
    <w:rsid w:val="002D0098"/>
    <w:rsid w:val="002F043B"/>
    <w:rsid w:val="003228C3"/>
    <w:rsid w:val="00332BE5"/>
    <w:rsid w:val="00371748"/>
    <w:rsid w:val="003A69E4"/>
    <w:rsid w:val="00422995"/>
    <w:rsid w:val="00482A92"/>
    <w:rsid w:val="00486AA8"/>
    <w:rsid w:val="00492A27"/>
    <w:rsid w:val="004A0952"/>
    <w:rsid w:val="004E09D3"/>
    <w:rsid w:val="004E464B"/>
    <w:rsid w:val="00520F88"/>
    <w:rsid w:val="005233DB"/>
    <w:rsid w:val="00550227"/>
    <w:rsid w:val="00560CCE"/>
    <w:rsid w:val="005B471B"/>
    <w:rsid w:val="005F4328"/>
    <w:rsid w:val="0061312D"/>
    <w:rsid w:val="00616D38"/>
    <w:rsid w:val="00687C3A"/>
    <w:rsid w:val="00695549"/>
    <w:rsid w:val="00761053"/>
    <w:rsid w:val="007B51DC"/>
    <w:rsid w:val="007C40B7"/>
    <w:rsid w:val="007D3566"/>
    <w:rsid w:val="008629B8"/>
    <w:rsid w:val="00880E32"/>
    <w:rsid w:val="008927CC"/>
    <w:rsid w:val="008E3116"/>
    <w:rsid w:val="00915313"/>
    <w:rsid w:val="0091587E"/>
    <w:rsid w:val="009179AA"/>
    <w:rsid w:val="009233F1"/>
    <w:rsid w:val="009353DA"/>
    <w:rsid w:val="00962D6B"/>
    <w:rsid w:val="00982D5A"/>
    <w:rsid w:val="00997143"/>
    <w:rsid w:val="00997934"/>
    <w:rsid w:val="009A18F5"/>
    <w:rsid w:val="009C3C0C"/>
    <w:rsid w:val="00A3385C"/>
    <w:rsid w:val="00A5061D"/>
    <w:rsid w:val="00AD0600"/>
    <w:rsid w:val="00AD56D5"/>
    <w:rsid w:val="00B15488"/>
    <w:rsid w:val="00B248A9"/>
    <w:rsid w:val="00B24F62"/>
    <w:rsid w:val="00B534E5"/>
    <w:rsid w:val="00BA1157"/>
    <w:rsid w:val="00BB6DE2"/>
    <w:rsid w:val="00BC0F8A"/>
    <w:rsid w:val="00BC3C0A"/>
    <w:rsid w:val="00BD4B00"/>
    <w:rsid w:val="00BF6865"/>
    <w:rsid w:val="00C216A7"/>
    <w:rsid w:val="00C37BE3"/>
    <w:rsid w:val="00C47E6E"/>
    <w:rsid w:val="00C527C9"/>
    <w:rsid w:val="00C71335"/>
    <w:rsid w:val="00C808A7"/>
    <w:rsid w:val="00C871FC"/>
    <w:rsid w:val="00CA6F15"/>
    <w:rsid w:val="00CB602D"/>
    <w:rsid w:val="00CD3F2E"/>
    <w:rsid w:val="00CD6D13"/>
    <w:rsid w:val="00CF1CDA"/>
    <w:rsid w:val="00D017D5"/>
    <w:rsid w:val="00D14D8C"/>
    <w:rsid w:val="00D176F1"/>
    <w:rsid w:val="00D2225A"/>
    <w:rsid w:val="00D33CA3"/>
    <w:rsid w:val="00D66494"/>
    <w:rsid w:val="00D72970"/>
    <w:rsid w:val="00D81879"/>
    <w:rsid w:val="00DA0BB9"/>
    <w:rsid w:val="00DE3BCC"/>
    <w:rsid w:val="00E303A5"/>
    <w:rsid w:val="00E930BE"/>
    <w:rsid w:val="00EA1989"/>
    <w:rsid w:val="00EA3B37"/>
    <w:rsid w:val="00ED5124"/>
    <w:rsid w:val="00EF325D"/>
    <w:rsid w:val="00F0110D"/>
    <w:rsid w:val="00F174FB"/>
    <w:rsid w:val="00F20D27"/>
    <w:rsid w:val="00F24B28"/>
    <w:rsid w:val="00F27E07"/>
    <w:rsid w:val="00F46B40"/>
    <w:rsid w:val="00F500CA"/>
    <w:rsid w:val="00F70F6F"/>
    <w:rsid w:val="00FB1ECB"/>
    <w:rsid w:val="00FD77E9"/>
    <w:rsid w:val="00FE68BF"/>
    <w:rsid w:val="018AC76F"/>
    <w:rsid w:val="023B4E99"/>
    <w:rsid w:val="030AA799"/>
    <w:rsid w:val="0618C541"/>
    <w:rsid w:val="07BE2BB9"/>
    <w:rsid w:val="07E6D858"/>
    <w:rsid w:val="081BE0CD"/>
    <w:rsid w:val="08587A37"/>
    <w:rsid w:val="0A19A358"/>
    <w:rsid w:val="0B798E7D"/>
    <w:rsid w:val="11A7966E"/>
    <w:rsid w:val="11AB3521"/>
    <w:rsid w:val="153829E6"/>
    <w:rsid w:val="15569985"/>
    <w:rsid w:val="16070DEB"/>
    <w:rsid w:val="169CBB45"/>
    <w:rsid w:val="16C48149"/>
    <w:rsid w:val="19A921B7"/>
    <w:rsid w:val="1FBA5D31"/>
    <w:rsid w:val="2037F6AE"/>
    <w:rsid w:val="2055748A"/>
    <w:rsid w:val="2230726E"/>
    <w:rsid w:val="227A0F27"/>
    <w:rsid w:val="2474A8AA"/>
    <w:rsid w:val="269F55E0"/>
    <w:rsid w:val="2B8CF3FE"/>
    <w:rsid w:val="2BDB2073"/>
    <w:rsid w:val="2CF9CF69"/>
    <w:rsid w:val="2D237105"/>
    <w:rsid w:val="2FFB0D78"/>
    <w:rsid w:val="34D1A97D"/>
    <w:rsid w:val="3AB78CBE"/>
    <w:rsid w:val="3E9B33E0"/>
    <w:rsid w:val="3F2A8CA6"/>
    <w:rsid w:val="4006CBB4"/>
    <w:rsid w:val="42336558"/>
    <w:rsid w:val="4242BC9C"/>
    <w:rsid w:val="430C6273"/>
    <w:rsid w:val="49E6FA70"/>
    <w:rsid w:val="4D26C31E"/>
    <w:rsid w:val="4D4EAB33"/>
    <w:rsid w:val="4DFDA89B"/>
    <w:rsid w:val="4F2121E8"/>
    <w:rsid w:val="50727F78"/>
    <w:rsid w:val="511BB85A"/>
    <w:rsid w:val="51FB1467"/>
    <w:rsid w:val="52929905"/>
    <w:rsid w:val="54B06D5F"/>
    <w:rsid w:val="55F2A72F"/>
    <w:rsid w:val="571A3049"/>
    <w:rsid w:val="58ACBA94"/>
    <w:rsid w:val="5EF5A3A8"/>
    <w:rsid w:val="66C81319"/>
    <w:rsid w:val="6791B2DA"/>
    <w:rsid w:val="68527776"/>
    <w:rsid w:val="6876170B"/>
    <w:rsid w:val="68D3D7CC"/>
    <w:rsid w:val="69467514"/>
    <w:rsid w:val="6DD4EC5A"/>
    <w:rsid w:val="6F732D2F"/>
    <w:rsid w:val="6FB22721"/>
    <w:rsid w:val="7203E190"/>
    <w:rsid w:val="7396A96A"/>
    <w:rsid w:val="73A4438D"/>
    <w:rsid w:val="7DC2CDF0"/>
    <w:rsid w:val="7E99CF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76E32"/>
  <w15:chartTrackingRefBased/>
  <w15:docId w15:val="{78AB1A8F-58A6-4458-97CC-6E7AC7C834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2">
    <w:name w:val="heading 2"/>
    <w:basedOn w:val="Normal"/>
    <w:link w:val="Titre2Car"/>
    <w:uiPriority w:val="9"/>
    <w:qFormat/>
    <w:rsid w:val="00B248A9"/>
    <w:pPr>
      <w:spacing w:before="100" w:beforeAutospacing="1" w:after="100" w:afterAutospacing="1" w:line="240" w:lineRule="auto"/>
      <w:outlineLvl w:val="1"/>
    </w:pPr>
    <w:rPr>
      <w:rFonts w:ascii="Times New Roman" w:hAnsi="Times New Roman" w:eastAsia="Times New Roman" w:cs="Times New Roman"/>
      <w:b/>
      <w:bCs/>
      <w:sz w:val="36"/>
      <w:szCs w:val="36"/>
      <w:lang w:eastAsia="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C71335"/>
    <w:pPr>
      <w:tabs>
        <w:tab w:val="center" w:pos="4536"/>
        <w:tab w:val="right" w:pos="9072"/>
      </w:tabs>
      <w:spacing w:after="0" w:line="240" w:lineRule="auto"/>
    </w:pPr>
  </w:style>
  <w:style w:type="character" w:styleId="En-tteCar" w:customStyle="1">
    <w:name w:val="En-tête Car"/>
    <w:basedOn w:val="Policepardfaut"/>
    <w:link w:val="En-tte"/>
    <w:uiPriority w:val="99"/>
    <w:rsid w:val="00C71335"/>
  </w:style>
  <w:style w:type="paragraph" w:styleId="Pieddepage">
    <w:name w:val="footer"/>
    <w:basedOn w:val="Normal"/>
    <w:link w:val="PieddepageCar"/>
    <w:uiPriority w:val="99"/>
    <w:unhideWhenUsed/>
    <w:rsid w:val="00C71335"/>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C71335"/>
  </w:style>
  <w:style w:type="paragraph" w:styleId="Paragraphedeliste">
    <w:name w:val="List Paragraph"/>
    <w:basedOn w:val="Normal"/>
    <w:uiPriority w:val="34"/>
    <w:qFormat/>
    <w:rsid w:val="00CA6F15"/>
    <w:pPr>
      <w:ind w:left="720"/>
      <w:contextualSpacing/>
    </w:pPr>
  </w:style>
  <w:style w:type="paragraph" w:styleId="NormalWeb">
    <w:name w:val="Normal (Web)"/>
    <w:basedOn w:val="Normal"/>
    <w:uiPriority w:val="99"/>
    <w:semiHidden/>
    <w:unhideWhenUsed/>
    <w:rsid w:val="000D48E4"/>
    <w:pPr>
      <w:spacing w:before="100" w:beforeAutospacing="1" w:after="100" w:afterAutospacing="1" w:line="240" w:lineRule="auto"/>
    </w:pPr>
    <w:rPr>
      <w:rFonts w:ascii="Times New Roman" w:hAnsi="Times New Roman" w:eastAsia="Times New Roman" w:cs="Times New Roman"/>
      <w:sz w:val="24"/>
      <w:szCs w:val="24"/>
      <w:lang w:eastAsia="fr-FR"/>
    </w:rPr>
  </w:style>
  <w:style w:type="table" w:styleId="Grilledutableau">
    <w:name w:val="Table Grid"/>
    <w:basedOn w:val="TableauNormal"/>
    <w:uiPriority w:val="39"/>
    <w:rsid w:val="00CB602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2Car" w:customStyle="1">
    <w:name w:val="Titre 2 Car"/>
    <w:basedOn w:val="Policepardfaut"/>
    <w:link w:val="Titre2"/>
    <w:uiPriority w:val="9"/>
    <w:rsid w:val="00B248A9"/>
    <w:rPr>
      <w:rFonts w:ascii="Times New Roman" w:hAnsi="Times New Roman" w:eastAsia="Times New Roman" w:cs="Times New Roman"/>
      <w:b/>
      <w:bCs/>
      <w:sz w:val="36"/>
      <w:szCs w:val="36"/>
      <w:lang w:eastAsia="fr-FR"/>
    </w:rPr>
  </w:style>
  <w:style w:type="character" w:styleId="lev">
    <w:name w:val="Strong"/>
    <w:basedOn w:val="Policepardfaut"/>
    <w:uiPriority w:val="22"/>
    <w:qFormat/>
    <w:rsid w:val="00B248A9"/>
    <w:rPr>
      <w:b/>
      <w:bCs/>
    </w:rPr>
  </w:style>
  <w:style w:type="character" w:styleId="Lienhypertexte">
    <w:name w:val="Hyperlink"/>
    <w:basedOn w:val="Policepardfaut"/>
    <w:uiPriority w:val="99"/>
    <w:semiHidden/>
    <w:unhideWhenUsed/>
    <w:rsid w:val="00B248A9"/>
    <w:rPr>
      <w:color w:val="0000FF"/>
      <w:u w:val="single"/>
    </w:rPr>
  </w:style>
  <w:style w:type="character" w:styleId="Accentuation">
    <w:name w:val="Emphasis"/>
    <w:basedOn w:val="Policepardfaut"/>
    <w:uiPriority w:val="20"/>
    <w:qFormat/>
    <w:rsid w:val="00B248A9"/>
    <w:rPr>
      <w:i/>
      <w:iCs/>
    </w:rPr>
  </w:style>
  <w:style w:type="paragraph" w:styleId="Textedebulles">
    <w:name w:val="Balloon Text"/>
    <w:basedOn w:val="Normal"/>
    <w:link w:val="TextedebullesCar"/>
    <w:uiPriority w:val="99"/>
    <w:semiHidden/>
    <w:unhideWhenUsed/>
    <w:rsid w:val="00BC3C0A"/>
    <w:pPr>
      <w:spacing w:after="0" w:line="240" w:lineRule="auto"/>
    </w:pPr>
    <w:rPr>
      <w:rFonts w:ascii="Segoe UI" w:hAnsi="Segoe UI" w:cs="Segoe UI"/>
      <w:sz w:val="18"/>
      <w:szCs w:val="18"/>
    </w:rPr>
  </w:style>
  <w:style w:type="character" w:styleId="TextedebullesCar" w:customStyle="1">
    <w:name w:val="Texte de bulles Car"/>
    <w:basedOn w:val="Policepardfaut"/>
    <w:link w:val="Textedebulles"/>
    <w:uiPriority w:val="99"/>
    <w:semiHidden/>
    <w:rsid w:val="00BC3C0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327605">
      <w:bodyDiv w:val="1"/>
      <w:marLeft w:val="0"/>
      <w:marRight w:val="0"/>
      <w:marTop w:val="0"/>
      <w:marBottom w:val="0"/>
      <w:divBdr>
        <w:top w:val="none" w:sz="0" w:space="0" w:color="auto"/>
        <w:left w:val="none" w:sz="0" w:space="0" w:color="auto"/>
        <w:bottom w:val="none" w:sz="0" w:space="0" w:color="auto"/>
        <w:right w:val="none" w:sz="0" w:space="0" w:color="auto"/>
      </w:divBdr>
    </w:div>
    <w:div w:id="1774742057">
      <w:bodyDiv w:val="1"/>
      <w:marLeft w:val="0"/>
      <w:marRight w:val="0"/>
      <w:marTop w:val="0"/>
      <w:marBottom w:val="0"/>
      <w:divBdr>
        <w:top w:val="none" w:sz="0" w:space="0" w:color="auto"/>
        <w:left w:val="none" w:sz="0" w:space="0" w:color="auto"/>
        <w:bottom w:val="none" w:sz="0" w:space="0" w:color="auto"/>
        <w:right w:val="none" w:sz="0" w:space="0" w:color="auto"/>
      </w:divBdr>
      <w:divsChild>
        <w:div w:id="783381345">
          <w:marLeft w:val="0"/>
          <w:marRight w:val="0"/>
          <w:marTop w:val="0"/>
          <w:marBottom w:val="0"/>
          <w:divBdr>
            <w:top w:val="none" w:sz="0" w:space="0" w:color="auto"/>
            <w:left w:val="none" w:sz="0" w:space="0" w:color="auto"/>
            <w:bottom w:val="none" w:sz="0" w:space="0" w:color="auto"/>
            <w:right w:val="none" w:sz="0" w:space="0" w:color="auto"/>
          </w:divBdr>
          <w:divsChild>
            <w:div w:id="2093089284">
              <w:marLeft w:val="0"/>
              <w:marRight w:val="0"/>
              <w:marTop w:val="0"/>
              <w:marBottom w:val="0"/>
              <w:divBdr>
                <w:top w:val="none" w:sz="0" w:space="0" w:color="auto"/>
                <w:left w:val="none" w:sz="0" w:space="0" w:color="auto"/>
                <w:bottom w:val="none" w:sz="0" w:space="0" w:color="auto"/>
                <w:right w:val="none" w:sz="0" w:space="0" w:color="auto"/>
              </w:divBdr>
            </w:div>
            <w:div w:id="1432121889">
              <w:marLeft w:val="0"/>
              <w:marRight w:val="0"/>
              <w:marTop w:val="0"/>
              <w:marBottom w:val="0"/>
              <w:divBdr>
                <w:top w:val="none" w:sz="0" w:space="0" w:color="auto"/>
                <w:left w:val="none" w:sz="0" w:space="0" w:color="auto"/>
                <w:bottom w:val="none" w:sz="0" w:space="0" w:color="auto"/>
                <w:right w:val="none" w:sz="0" w:space="0" w:color="auto"/>
              </w:divBdr>
            </w:div>
            <w:div w:id="20521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8357">
      <w:bodyDiv w:val="1"/>
      <w:marLeft w:val="0"/>
      <w:marRight w:val="0"/>
      <w:marTop w:val="0"/>
      <w:marBottom w:val="0"/>
      <w:divBdr>
        <w:top w:val="none" w:sz="0" w:space="0" w:color="auto"/>
        <w:left w:val="none" w:sz="0" w:space="0" w:color="auto"/>
        <w:bottom w:val="none" w:sz="0" w:space="0" w:color="auto"/>
        <w:right w:val="none" w:sz="0" w:space="0" w:color="auto"/>
      </w:divBdr>
      <w:divsChild>
        <w:div w:id="1652295957">
          <w:marLeft w:val="0"/>
          <w:marRight w:val="0"/>
          <w:marTop w:val="0"/>
          <w:marBottom w:val="0"/>
          <w:divBdr>
            <w:top w:val="none" w:sz="0" w:space="0" w:color="auto"/>
            <w:left w:val="none" w:sz="0" w:space="0" w:color="auto"/>
            <w:bottom w:val="none" w:sz="0" w:space="0" w:color="auto"/>
            <w:right w:val="none" w:sz="0" w:space="0" w:color="auto"/>
          </w:divBdr>
        </w:div>
        <w:div w:id="1889030180">
          <w:marLeft w:val="0"/>
          <w:marRight w:val="0"/>
          <w:marTop w:val="0"/>
          <w:marBottom w:val="0"/>
          <w:divBdr>
            <w:top w:val="none" w:sz="0" w:space="0" w:color="auto"/>
            <w:left w:val="none" w:sz="0" w:space="0" w:color="auto"/>
            <w:bottom w:val="none" w:sz="0" w:space="0" w:color="auto"/>
            <w:right w:val="none" w:sz="0" w:space="0" w:color="auto"/>
          </w:divBdr>
        </w:div>
        <w:div w:id="1462309702">
          <w:marLeft w:val="0"/>
          <w:marRight w:val="0"/>
          <w:marTop w:val="0"/>
          <w:marBottom w:val="0"/>
          <w:divBdr>
            <w:top w:val="none" w:sz="0" w:space="0" w:color="auto"/>
            <w:left w:val="none" w:sz="0" w:space="0" w:color="auto"/>
            <w:bottom w:val="none" w:sz="0" w:space="0" w:color="auto"/>
            <w:right w:val="none" w:sz="0" w:space="0" w:color="auto"/>
          </w:divBdr>
          <w:divsChild>
            <w:div w:id="5131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3.jpe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2.jpeg"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lafinancepourtous.com/outils/dictionnaire/trillion/" TargetMode="External" Id="Radf6cb7c994a4eef" /><Relationship Type="http://schemas.openxmlformats.org/officeDocument/2006/relationships/hyperlink" Target="https://www.lafinancepourtous.com/outils/dictionnaire/billion/" TargetMode="External" Id="Rdf5fb59d9fe14b1c" /><Relationship Type="http://schemas.openxmlformats.org/officeDocument/2006/relationships/hyperlink" Target="https://www.lafinancepourtous.com/decryptages/marches-financiers/acteurs-de-la-finance/agences-de-notation/" TargetMode="External" Id="R17042852aead4505"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BDD19-6F6C-4334-AF8F-10064FFF68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9E1E2C-8F9B-488C-936A-F00B667BDE87}"/>
</file>

<file path=customXml/itemProps3.xml><?xml version="1.0" encoding="utf-8"?>
<ds:datastoreItem xmlns:ds="http://schemas.openxmlformats.org/officeDocument/2006/customXml" ds:itemID="{28781F4A-332F-4E4C-98C1-3FA0F2E28CDF}">
  <ds:schemaRefs>
    <ds:schemaRef ds:uri="http://schemas.microsoft.com/sharepoint/v3/contenttype/forms"/>
  </ds:schemaRefs>
</ds:datastoreItem>
</file>

<file path=customXml/itemProps4.xml><?xml version="1.0" encoding="utf-8"?>
<ds:datastoreItem xmlns:ds="http://schemas.openxmlformats.org/officeDocument/2006/customXml" ds:itemID="{A3871B81-4A55-4E70-84E5-DA3F504C0E6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HAMANN Xavier</dc:creator>
  <keywords/>
  <dc:description/>
  <lastModifiedBy>JASNOT Eloïse</lastModifiedBy>
  <revision>32</revision>
  <lastPrinted>2025-05-27T12:15:00.0000000Z</lastPrinted>
  <dcterms:created xsi:type="dcterms:W3CDTF">2019-11-29T15:22:00.0000000Z</dcterms:created>
  <dcterms:modified xsi:type="dcterms:W3CDTF">2026-06-24T09:43:09.4398721Z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