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11CB8" w14:textId="77777777" w:rsidR="008F4EE7" w:rsidRDefault="00C27F58">
      <w:pPr>
        <w:spacing w:before="157" w:after="157" w:line="270" w:lineRule="auto"/>
      </w:pPr>
      <w:bookmarkStart w:id="0" w:name="dscg_ue2_finance"/>
      <w:r>
        <w:rPr>
          <w:rFonts w:ascii="source serif 4" w:eastAsia="source serif 4" w:hAnsi="source serif 4" w:cs="source serif 4"/>
          <w:b/>
          <w:color w:val="000000"/>
          <w:sz w:val="39"/>
        </w:rPr>
        <w:t>DSCG UE2 Finance</w:t>
      </w:r>
      <w:bookmarkEnd w:id="0"/>
    </w:p>
    <w:p w14:paraId="71FECD12" w14:textId="77777777" w:rsidR="008F4EE7" w:rsidRDefault="00C27F58">
      <w:pPr>
        <w:spacing w:before="315" w:after="105" w:line="360" w:lineRule="auto"/>
        <w:ind w:left="-30"/>
      </w:pPr>
      <w:bookmarkStart w:id="1" w:name="bm_1_calcul_des_indicateurs_financiers"/>
      <w:r>
        <w:rPr>
          <w:rFonts w:ascii="source serif 4" w:eastAsia="source serif 4" w:hAnsi="source serif 4" w:cs="source serif 4"/>
          <w:b/>
          <w:color w:val="000000"/>
          <w:sz w:val="24"/>
        </w:rPr>
        <w:t>1. Calcul des indicateurs financiers</w:t>
      </w:r>
      <w:bookmarkEnd w:id="1"/>
    </w:p>
    <w:p w14:paraId="570E31BC" w14:textId="77777777" w:rsidR="008F4EE7" w:rsidRDefault="00C27F58">
      <w:pPr>
        <w:spacing w:before="315" w:after="105" w:line="360" w:lineRule="auto"/>
        <w:ind w:left="-30"/>
      </w:pPr>
      <w:bookmarkStart w:id="2" w:name="marge_d_ebitda"/>
      <w:r>
        <w:rPr>
          <w:rFonts w:ascii="source serif 4" w:eastAsia="source serif 4" w:hAnsi="source serif 4" w:cs="source serif 4"/>
          <w:b/>
          <w:color w:val="000000"/>
          <w:sz w:val="24"/>
        </w:rPr>
        <w:t>Marge d’EBITDA</w:t>
      </w:r>
      <w:bookmarkEnd w:id="2"/>
    </w:p>
    <w:p w14:paraId="5696DF6C" w14:textId="77777777" w:rsidR="008F4EE7" w:rsidRDefault="00C27F58">
      <w:pPr>
        <w:spacing w:after="210" w:line="360" w:lineRule="auto"/>
      </w:pPr>
      <m:oMathPara>
        <m:oMath>
          <m:r>
            <m:rPr>
              <m:nor/>
            </m:rPr>
            <w:rPr>
              <w:color w:val="000000"/>
            </w:rPr>
            <m:t>Marge d</m:t>
          </m:r>
          <m:r>
            <m:rPr>
              <m:nor/>
            </m:rPr>
            <w:rPr>
              <w:color w:val="000000"/>
            </w:rPr>
            <m:t>’</m:t>
          </m:r>
          <m:r>
            <m:rPr>
              <m:nor/>
            </m:rPr>
            <w:rPr>
              <w:color w:val="000000"/>
            </w:rPr>
            <m:t>EBITDA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=9,0%</m:t>
          </m:r>
        </m:oMath>
      </m:oMathPara>
    </w:p>
    <w:p w14:paraId="7506222D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D’après l’annexe 2, une marge comprise entre 8 % et moins de 11 % donne une </w:t>
      </w:r>
      <w:r>
        <w:rPr>
          <w:rFonts w:ascii="source serif 4" w:eastAsia="source serif 4" w:hAnsi="source serif 4" w:cs="source serif 4"/>
          <w:b/>
          <w:color w:val="000000"/>
        </w:rPr>
        <w:t>note de 3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75A006D" w14:textId="77777777" w:rsidR="008F4EE7" w:rsidRDefault="00C27F58">
      <w:pPr>
        <w:spacing w:before="315" w:after="105" w:line="360" w:lineRule="auto"/>
        <w:ind w:left="-30"/>
      </w:pPr>
      <w:bookmarkStart w:id="3" w:name="dette_nette_ebitda"/>
      <w:r>
        <w:rPr>
          <w:rFonts w:ascii="source serif 4" w:eastAsia="source serif 4" w:hAnsi="source serif 4" w:cs="source serif 4"/>
          <w:b/>
          <w:color w:val="000000"/>
          <w:sz w:val="24"/>
        </w:rPr>
        <w:t>Dette nette / EBITDA</w:t>
      </w:r>
      <w:bookmarkEnd w:id="3"/>
    </w:p>
    <w:p w14:paraId="22CF149D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Dette nette = 6 300 - 900 = </w:t>
      </w:r>
      <w:r>
        <w:rPr>
          <w:rFonts w:ascii="source serif 4" w:eastAsia="source serif 4" w:hAnsi="source serif 4" w:cs="source serif 4"/>
          <w:b/>
          <w:color w:val="000000"/>
        </w:rPr>
        <w:t>5 400 k€</w:t>
      </w:r>
    </w:p>
    <w:p w14:paraId="7D569BA8" w14:textId="77777777" w:rsidR="008F4EE7" w:rsidRDefault="00C27F58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Dette nette</m:t>
              </m:r>
            </m:num>
            <m:den>
              <m:r>
                <m:rPr>
                  <m:nor/>
                </m:rPr>
                <w:rPr>
                  <w:color w:val="000000"/>
                </w:rPr>
                <m:t>EBITDA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=2,50</m:t>
          </m:r>
        </m:oMath>
      </m:oMathPara>
    </w:p>
    <w:p w14:paraId="7E9E66F3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Un ratio inférieur ou égal à 2,5 donne une </w:t>
      </w:r>
      <w:r>
        <w:rPr>
          <w:rFonts w:ascii="source serif 4" w:eastAsia="source serif 4" w:hAnsi="source serif 4" w:cs="source serif 4"/>
          <w:b/>
          <w:color w:val="000000"/>
        </w:rPr>
        <w:t>note de 4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DE08046" w14:textId="77777777" w:rsidR="008F4EE7" w:rsidRDefault="00C27F58">
      <w:pPr>
        <w:spacing w:before="315" w:after="105" w:line="360" w:lineRule="auto"/>
        <w:ind w:left="-30"/>
      </w:pPr>
      <w:bookmarkStart w:id="4" w:name="couverture_des_intérêts"/>
      <w:r>
        <w:rPr>
          <w:rFonts w:ascii="source serif 4" w:eastAsia="source serif 4" w:hAnsi="source serif 4" w:cs="source serif 4"/>
          <w:b/>
          <w:color w:val="000000"/>
          <w:sz w:val="24"/>
        </w:rPr>
        <w:t>Couverture des intérêts</w:t>
      </w:r>
      <w:bookmarkEnd w:id="4"/>
    </w:p>
    <w:p w14:paraId="48A5CAFB" w14:textId="77777777" w:rsidR="008F4EE7" w:rsidRDefault="00C27F58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EBITDA</m:t>
              </m:r>
            </m:num>
            <m:den>
              <m:r>
                <m:rPr>
                  <m:nor/>
                </m:rPr>
                <w:rPr>
                  <w:color w:val="000000"/>
                </w:rPr>
                <m:t>C</m:t>
              </m:r>
              <m:r>
                <m:rPr>
                  <m:nor/>
                </m:rPr>
                <w:rPr>
                  <w:color w:val="000000"/>
                </w:rPr>
                <m:t>harges d</m:t>
              </m:r>
              <m:r>
                <m:rPr>
                  <m:nor/>
                </m:rPr>
                <w:rPr>
                  <w:color w:val="000000"/>
                </w:rPr>
                <m:t>’</m:t>
              </m:r>
              <m:r>
                <m:rPr>
                  <m:nor/>
                </m:rPr>
                <w:rPr>
                  <w:color w:val="000000"/>
                </w:rPr>
                <m:t>int</m:t>
              </m:r>
              <m:r>
                <m:rPr>
                  <m:nor/>
                </m:rPr>
                <w:rPr>
                  <w:color w:val="000000"/>
                </w:rPr>
                <m:t>é</m:t>
              </m:r>
              <m:r>
                <m:rPr>
                  <m:nor/>
                </m:rPr>
                <w:rPr>
                  <w:color w:val="000000"/>
                </w:rPr>
                <m:t>r</m:t>
              </m:r>
              <m:r>
                <m:rPr>
                  <m:nor/>
                </m:rPr>
                <w:rPr>
                  <w:color w:val="000000"/>
                </w:rPr>
                <m:t>ê</m:t>
              </m:r>
              <m:r>
                <m:rPr>
                  <m:nor/>
                </m:rPr>
                <w:rPr>
                  <w:color w:val="000000"/>
                </w:rPr>
                <m:t>ts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360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=6,0</m:t>
          </m:r>
        </m:oMath>
      </m:oMathPara>
    </w:p>
    <w:p w14:paraId="1B68D8F3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Une couverture comprise entre 6 et moins de 8 donne une </w:t>
      </w:r>
      <w:r>
        <w:rPr>
          <w:rFonts w:ascii="source serif 4" w:eastAsia="source serif 4" w:hAnsi="source serif 4" w:cs="source serif 4"/>
          <w:b/>
          <w:color w:val="000000"/>
        </w:rPr>
        <w:t>note de 4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057ACFC" w14:textId="77777777" w:rsidR="008F4EE7" w:rsidRDefault="00C27F58">
      <w:pPr>
        <w:spacing w:before="315" w:after="105" w:line="360" w:lineRule="auto"/>
        <w:ind w:left="-30"/>
      </w:pPr>
      <w:bookmarkStart w:id="5" w:name="liquidité_générale"/>
      <w:r>
        <w:rPr>
          <w:rFonts w:ascii="source serif 4" w:eastAsia="source serif 4" w:hAnsi="source serif 4" w:cs="source serif 4"/>
          <w:b/>
          <w:color w:val="000000"/>
          <w:sz w:val="24"/>
        </w:rPr>
        <w:t>Liquidité générale</w:t>
      </w:r>
      <w:bookmarkEnd w:id="5"/>
    </w:p>
    <w:p w14:paraId="5E93F6B1" w14:textId="77777777" w:rsidR="008F4EE7" w:rsidRDefault="00C27F58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Actif circulant</m:t>
              </m:r>
            </m:num>
            <m:den>
              <m:r>
                <m:rPr>
                  <m:nor/>
                </m:rPr>
                <w:rPr>
                  <w:color w:val="000000"/>
                </w:rPr>
                <m:t>Passif circulant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=1,50</m:t>
          </m:r>
        </m:oMath>
      </m:oMathPara>
    </w:p>
    <w:p w14:paraId="6D6BD883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Une liquidité comprise entre 1,5 et moins de 1,8 donne une </w:t>
      </w:r>
      <w:r>
        <w:rPr>
          <w:rFonts w:ascii="source serif 4" w:eastAsia="source serif 4" w:hAnsi="source serif 4" w:cs="source serif 4"/>
          <w:b/>
          <w:color w:val="000000"/>
        </w:rPr>
        <w:t>note de 4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D5E0F3A" w14:textId="77777777" w:rsidR="008F4EE7" w:rsidRDefault="00C27F58">
      <w:pPr>
        <w:spacing w:before="315" w:after="105" w:line="360" w:lineRule="auto"/>
        <w:ind w:left="-30"/>
      </w:pPr>
      <w:bookmarkStart w:id="6" w:name="autonomie_financière"/>
      <w:r>
        <w:rPr>
          <w:rFonts w:ascii="source serif 4" w:eastAsia="source serif 4" w:hAnsi="source serif 4" w:cs="source serif 4"/>
          <w:b/>
          <w:color w:val="000000"/>
          <w:sz w:val="24"/>
        </w:rPr>
        <w:t>Autonomie financière</w:t>
      </w:r>
      <w:bookmarkEnd w:id="6"/>
    </w:p>
    <w:p w14:paraId="7C7B04CD" w14:textId="77777777" w:rsidR="008F4EE7" w:rsidRDefault="00C27F58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Capitaux pro</m:t>
              </m:r>
              <m:r>
                <m:rPr>
                  <m:nor/>
                </m:rPr>
                <w:rPr>
                  <w:color w:val="000000"/>
                </w:rPr>
                <m:t>pres</m:t>
              </m:r>
            </m:num>
            <m:den>
              <m:r>
                <m:rPr>
                  <m:nor/>
                </m:rPr>
                <w:rPr>
                  <w:color w:val="000000"/>
                </w:rPr>
                <m:t>Total bilan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=32,65%</m:t>
          </m:r>
        </m:oMath>
      </m:oMathPara>
    </w:p>
    <w:p w14:paraId="1674196C" w14:textId="72DF7A90" w:rsidR="008F4EE7" w:rsidRDefault="00C27F5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Une autonomie financière comprise entre 32 % et moins de 40 % donne une </w:t>
      </w:r>
      <w:r>
        <w:rPr>
          <w:rFonts w:ascii="source serif 4" w:eastAsia="source serif 4" w:hAnsi="source serif 4" w:cs="source serif 4"/>
          <w:b/>
          <w:color w:val="000000"/>
        </w:rPr>
        <w:t>note de 4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26DC82C" w14:textId="77777777" w:rsidR="00C27F58" w:rsidRDefault="00C27F58">
      <w:pPr>
        <w:spacing w:after="210" w:line="360" w:lineRule="auto"/>
      </w:pPr>
    </w:p>
    <w:p w14:paraId="7EFFFBE7" w14:textId="77777777" w:rsidR="008F4EE7" w:rsidRDefault="00C27F58">
      <w:pPr>
        <w:spacing w:before="315" w:after="105" w:line="360" w:lineRule="auto"/>
        <w:ind w:left="-30"/>
      </w:pPr>
      <w:bookmarkStart w:id="7" w:name="bm_2_appréciation_des_critères_qu_5e9a84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2. Appréciation des critères qualitatifs</w:t>
      </w:r>
      <w:bookmarkEnd w:id="7"/>
    </w:p>
    <w:p w14:paraId="3D6FCB8C" w14:textId="77777777" w:rsidR="008F4EE7" w:rsidRDefault="00C27F58">
      <w:pPr>
        <w:spacing w:before="315" w:after="105" w:line="360" w:lineRule="auto"/>
        <w:ind w:left="-30"/>
      </w:pPr>
      <w:bookmarkStart w:id="8" w:name="taille_et_résilience_de_l_entreprise"/>
      <w:r>
        <w:rPr>
          <w:rFonts w:ascii="source serif 4" w:eastAsia="source serif 4" w:hAnsi="source serif 4" w:cs="source serif 4"/>
          <w:b/>
          <w:color w:val="000000"/>
          <w:sz w:val="24"/>
        </w:rPr>
        <w:t>Taille et résilience de l’entreprise</w:t>
      </w:r>
      <w:bookmarkEnd w:id="8"/>
    </w:p>
    <w:p w14:paraId="04E092CE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Proposition de note : 2 / 5</w:t>
      </w:r>
    </w:p>
    <w:p w14:paraId="366C8D41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Justification :</w:t>
      </w:r>
    </w:p>
    <w:p w14:paraId="7D73B4BA" w14:textId="77777777" w:rsidR="008F4EE7" w:rsidRDefault="00C27F58">
      <w:pPr>
        <w:numPr>
          <w:ilvl w:val="0"/>
          <w:numId w:val="1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l’entreprise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reste une P</w:t>
      </w:r>
      <w:r>
        <w:rPr>
          <w:rFonts w:ascii="source serif 4" w:eastAsia="source serif 4" w:hAnsi="source serif 4" w:cs="source serif 4"/>
          <w:color w:val="000000"/>
        </w:rPr>
        <w:t xml:space="preserve">ME de </w:t>
      </w:r>
      <w:r>
        <w:rPr>
          <w:rFonts w:ascii="source serif 4" w:eastAsia="source serif 4" w:hAnsi="source serif 4" w:cs="source serif 4"/>
          <w:b/>
          <w:color w:val="000000"/>
        </w:rPr>
        <w:t>38 salariés</w:t>
      </w:r>
      <w:r>
        <w:rPr>
          <w:rFonts w:ascii="source serif 4" w:eastAsia="source serif 4" w:hAnsi="source serif 4" w:cs="source serif 4"/>
          <w:color w:val="000000"/>
        </w:rPr>
        <w:t xml:space="preserve"> ;</w:t>
      </w:r>
    </w:p>
    <w:p w14:paraId="5AE933A9" w14:textId="77777777" w:rsidR="008F4EE7" w:rsidRDefault="00C27F58">
      <w:pPr>
        <w:numPr>
          <w:ilvl w:val="0"/>
          <w:numId w:val="1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les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trois principaux clients représentent </w:t>
      </w:r>
      <w:r>
        <w:rPr>
          <w:rFonts w:ascii="source serif 4" w:eastAsia="source serif 4" w:hAnsi="source serif 4" w:cs="source serif 4"/>
          <w:b/>
          <w:color w:val="000000"/>
        </w:rPr>
        <w:t>58 %</w:t>
      </w:r>
      <w:r>
        <w:rPr>
          <w:rFonts w:ascii="source serif 4" w:eastAsia="source serif 4" w:hAnsi="source serif 4" w:cs="source serif 4"/>
          <w:color w:val="000000"/>
        </w:rPr>
        <w:t xml:space="preserve"> du chiffre d’affaires ;</w:t>
      </w:r>
    </w:p>
    <w:p w14:paraId="3F6FD068" w14:textId="77777777" w:rsidR="008F4EE7" w:rsidRDefault="00C27F58">
      <w:pPr>
        <w:numPr>
          <w:ilvl w:val="0"/>
          <w:numId w:val="1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l’activité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est essentiellement concentrée sur le marché français ;</w:t>
      </w:r>
    </w:p>
    <w:p w14:paraId="3F9B02D8" w14:textId="77777777" w:rsidR="008F4EE7" w:rsidRDefault="00C27F58">
      <w:pPr>
        <w:numPr>
          <w:ilvl w:val="0"/>
          <w:numId w:val="1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la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petite taille accroît la vulnérabilité en cas de choc commercial ou opérationnel.</w:t>
      </w:r>
    </w:p>
    <w:p w14:paraId="38C8E2E0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Cette situation correspond à une petite structure présentant une dépendance marquée.</w:t>
      </w:r>
    </w:p>
    <w:p w14:paraId="0DB46D04" w14:textId="77777777" w:rsidR="008F4EE7" w:rsidRDefault="00C27F58">
      <w:pPr>
        <w:spacing w:before="315" w:after="105" w:line="360" w:lineRule="auto"/>
        <w:ind w:left="-30"/>
      </w:pPr>
      <w:bookmarkStart w:id="9" w:name="gouvernance_et_qualité_du_pilotage"/>
      <w:r>
        <w:rPr>
          <w:rFonts w:ascii="source serif 4" w:eastAsia="source serif 4" w:hAnsi="source serif 4" w:cs="source serif 4"/>
          <w:b/>
          <w:color w:val="000000"/>
          <w:sz w:val="24"/>
        </w:rPr>
        <w:t>Gouvernance et qualité du pilotage</w:t>
      </w:r>
      <w:bookmarkEnd w:id="9"/>
    </w:p>
    <w:p w14:paraId="5DC6EA6C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Proposition de note : 3 / 5</w:t>
      </w:r>
    </w:p>
    <w:p w14:paraId="331C2560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Justification :</w:t>
      </w:r>
    </w:p>
    <w:p w14:paraId="59D29C2E" w14:textId="77777777" w:rsidR="008F4EE7" w:rsidRDefault="00C27F58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présenc</w:t>
      </w:r>
      <w:r>
        <w:rPr>
          <w:rFonts w:ascii="source serif 4" w:eastAsia="source serif 4" w:hAnsi="source serif 4" w:cs="source serif 4"/>
          <w:color w:val="000000"/>
        </w:rPr>
        <w:t>e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d’un responsable administratif et financier ;</w:t>
      </w:r>
    </w:p>
    <w:p w14:paraId="7FBE7569" w14:textId="77777777" w:rsidR="008F4EE7" w:rsidRDefault="00C27F58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production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régulière de tableaux de bord ;</w:t>
      </w:r>
    </w:p>
    <w:p w14:paraId="48AB4224" w14:textId="77777777" w:rsidR="008F4EE7" w:rsidRDefault="00C27F58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en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revanche, forte concentration du capital et des décisions autour du fondateur ;</w:t>
      </w:r>
    </w:p>
    <w:p w14:paraId="6D1548CD" w14:textId="77777777" w:rsidR="008F4EE7" w:rsidRDefault="00C27F58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absence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de comité stratégique formalisé ;</w:t>
      </w:r>
    </w:p>
    <w:p w14:paraId="6496C5A0" w14:textId="77777777" w:rsidR="008F4EE7" w:rsidRDefault="00C27F58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absence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de plan de succession.</w:t>
      </w:r>
    </w:p>
    <w:p w14:paraId="07286D5C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La gouver</w:t>
      </w:r>
      <w:r>
        <w:rPr>
          <w:rFonts w:ascii="source serif 4" w:eastAsia="source serif 4" w:hAnsi="source serif 4" w:cs="source serif 4"/>
          <w:color w:val="000000"/>
        </w:rPr>
        <w:t>nance apparaît correcte mais encore perfectible.</w:t>
      </w:r>
    </w:p>
    <w:p w14:paraId="34F81AEB" w14:textId="77777777" w:rsidR="008F4EE7" w:rsidRDefault="00C27F58">
      <w:pPr>
        <w:spacing w:before="315" w:after="105" w:line="360" w:lineRule="auto"/>
        <w:ind w:left="-30"/>
      </w:pPr>
      <w:bookmarkStart w:id="10" w:name="facteurs_extra_financiers"/>
      <w:r>
        <w:rPr>
          <w:rFonts w:ascii="source serif 4" w:eastAsia="source serif 4" w:hAnsi="source serif 4" w:cs="source serif 4"/>
          <w:b/>
          <w:color w:val="000000"/>
          <w:sz w:val="24"/>
        </w:rPr>
        <w:t>Facteurs extra-financiers</w:t>
      </w:r>
      <w:bookmarkEnd w:id="10"/>
    </w:p>
    <w:p w14:paraId="2D2D8190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Proposition de note : 3 / 5</w:t>
      </w:r>
    </w:p>
    <w:p w14:paraId="45D04322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Justification :</w:t>
      </w:r>
    </w:p>
    <w:p w14:paraId="61AC56AD" w14:textId="77777777" w:rsidR="008F4EE7" w:rsidRDefault="00C27F58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éléments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favorables : baisse de la consommation d’électricité, faible turnover, accord d’intéressement ;</w:t>
      </w:r>
    </w:p>
    <w:p w14:paraId="2B861732" w14:textId="77777777" w:rsidR="008F4EE7" w:rsidRDefault="00C27F58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points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de vigilance : troubles </w:t>
      </w:r>
      <w:proofErr w:type="spellStart"/>
      <w:r>
        <w:rPr>
          <w:rFonts w:ascii="source serif 4" w:eastAsia="source serif 4" w:hAnsi="source serif 4" w:cs="source serif 4"/>
          <w:color w:val="000000"/>
        </w:rPr>
        <w:t>m</w:t>
      </w:r>
      <w:r>
        <w:rPr>
          <w:rFonts w:ascii="source serif 4" w:eastAsia="source serif 4" w:hAnsi="source serif 4" w:cs="source serif 4"/>
          <w:color w:val="000000"/>
        </w:rPr>
        <w:t>usculo-squelettiques</w:t>
      </w:r>
      <w:proofErr w:type="spellEnd"/>
      <w:r>
        <w:rPr>
          <w:rFonts w:ascii="source serif 4" w:eastAsia="source serif 4" w:hAnsi="source serif 4" w:cs="source serif 4"/>
          <w:color w:val="000000"/>
        </w:rPr>
        <w:t>, dépendance à un fournisseur unique pour 65 % des composants, absence d’objectifs chiffrés complets sur les émissions indirectes.</w:t>
      </w:r>
    </w:p>
    <w:p w14:paraId="5234A5AA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La situation traduit des efforts réels, mais encore incomplets.</w:t>
      </w:r>
    </w:p>
    <w:p w14:paraId="48C4560E" w14:textId="77777777" w:rsidR="008F4EE7" w:rsidRDefault="00C27F58">
      <w:pPr>
        <w:spacing w:before="315" w:after="105" w:line="360" w:lineRule="auto"/>
        <w:ind w:left="-30"/>
      </w:pPr>
      <w:bookmarkStart w:id="11" w:name="bm_3_tableau_de_synthèse_des_notes"/>
      <w:r>
        <w:rPr>
          <w:rFonts w:ascii="source serif 4" w:eastAsia="source serif 4" w:hAnsi="source serif 4" w:cs="source serif 4"/>
          <w:b/>
          <w:color w:val="000000"/>
          <w:sz w:val="24"/>
        </w:rPr>
        <w:t>3. Tableau de synthèse des notes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44"/>
        <w:gridCol w:w="669"/>
        <w:gridCol w:w="1225"/>
        <w:gridCol w:w="1402"/>
      </w:tblGrid>
      <w:tr w:rsidR="008F4EE7" w14:paraId="3B80B7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6351F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Critère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0BE86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A19D5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Pondération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2DE396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 pondérée</w:t>
            </w:r>
          </w:p>
        </w:tc>
      </w:tr>
      <w:tr w:rsidR="008F4EE7" w14:paraId="49D4C2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9EF2D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Rentabilité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9680B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9278A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20 %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0EC628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0,60</w:t>
            </w:r>
          </w:p>
        </w:tc>
      </w:tr>
      <w:tr w:rsidR="008F4EE7" w14:paraId="08DEAE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2443B0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Structure d’endettement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572CE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227B3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20 %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C9C6DB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0,80</w:t>
            </w:r>
          </w:p>
        </w:tc>
      </w:tr>
      <w:tr w:rsidR="008F4EE7" w14:paraId="06DD19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00AFF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Couverture des intérêts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2C4E8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8E42D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15 %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F681C4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0,60</w:t>
            </w:r>
          </w:p>
        </w:tc>
      </w:tr>
      <w:tr w:rsidR="008F4EE7" w14:paraId="4712C5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60F12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Liquidité générale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D12F0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C3C29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9CA27F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0,40</w:t>
            </w:r>
          </w:p>
        </w:tc>
      </w:tr>
      <w:tr w:rsidR="008F4EE7" w14:paraId="4C0081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C6733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Autonomie financière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FD463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3B109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AB5C4B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0,40</w:t>
            </w:r>
          </w:p>
        </w:tc>
      </w:tr>
      <w:tr w:rsidR="008F4EE7" w14:paraId="697961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B171F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Taille et résilience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2DB39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1072E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4D31B9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0,20</w:t>
            </w:r>
          </w:p>
        </w:tc>
      </w:tr>
      <w:tr w:rsidR="008F4EE7" w14:paraId="0328E9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8BDC59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Gouvernance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132E0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98E9F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7,5 %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C13C09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0,225</w:t>
            </w:r>
          </w:p>
        </w:tc>
      </w:tr>
      <w:tr w:rsidR="008F4EE7" w14:paraId="42E2EF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98BD4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Facteurs extra-financiers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63922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A9428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7,5 %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B2B552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0,225</w:t>
            </w:r>
          </w:p>
        </w:tc>
      </w:tr>
      <w:tr w:rsidR="008F4EE7" w14:paraId="47AA70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C340F" w14:textId="77777777" w:rsidR="008F4EE7" w:rsidRDefault="00C27F58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5D4FA" w14:textId="77777777" w:rsidR="008F4EE7" w:rsidRDefault="008F4EE7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85722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100 %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2384CD" w14:textId="77777777" w:rsidR="008F4EE7" w:rsidRDefault="00C27F58">
            <w:pPr>
              <w:spacing w:line="360" w:lineRule="auto"/>
              <w:jc w:val="right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3,45</w:t>
            </w:r>
          </w:p>
        </w:tc>
      </w:tr>
    </w:tbl>
    <w:p w14:paraId="70BC4197" w14:textId="77777777" w:rsidR="008F4EE7" w:rsidRDefault="008F4EE7"/>
    <w:p w14:paraId="012D2EDA" w14:textId="77777777" w:rsidR="008F4EE7" w:rsidRDefault="00C27F58">
      <w:pPr>
        <w:spacing w:before="315" w:after="105" w:line="360" w:lineRule="auto"/>
        <w:ind w:left="-30"/>
      </w:pPr>
      <w:bookmarkStart w:id="12" w:name="bm_4_détermination_de_la_notation_finale"/>
      <w:r>
        <w:rPr>
          <w:rFonts w:ascii="source serif 4" w:eastAsia="source serif 4" w:hAnsi="source serif 4" w:cs="source serif 4"/>
          <w:b/>
          <w:color w:val="000000"/>
          <w:sz w:val="24"/>
        </w:rPr>
        <w:t>4. Détermination de la notation finale</w:t>
      </w:r>
      <w:bookmarkEnd w:id="12"/>
    </w:p>
    <w:p w14:paraId="3D6B1160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Barème de correspondance proposé 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1"/>
        <w:gridCol w:w="1330"/>
      </w:tblGrid>
      <w:tr w:rsidR="008F4EE7" w14:paraId="3BC906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661D9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 globale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649C31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Notation</w:t>
            </w:r>
          </w:p>
        </w:tc>
      </w:tr>
      <w:tr w:rsidR="008F4EE7" w14:paraId="3645E7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1A83B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4,50 à 5,00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9FB741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AAA</w:t>
            </w:r>
          </w:p>
        </w:tc>
      </w:tr>
      <w:tr w:rsidR="008F4EE7" w14:paraId="6B0F03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287CA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4,00 à 4,49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B0147E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AA</w:t>
            </w:r>
          </w:p>
        </w:tc>
      </w:tr>
      <w:tr w:rsidR="008F4EE7" w14:paraId="6B929D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4D456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3,50 à 3,99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22BBFC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</w:t>
            </w:r>
          </w:p>
        </w:tc>
      </w:tr>
      <w:tr w:rsidR="008F4EE7" w14:paraId="26CD0E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186CB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3,00 à 3,49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BD1B4C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BBB</w:t>
            </w:r>
          </w:p>
        </w:tc>
      </w:tr>
      <w:tr w:rsidR="008F4EE7" w14:paraId="53A2B7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9A592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2,50 à 2,99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11A2E4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BB</w:t>
            </w:r>
          </w:p>
        </w:tc>
      </w:tr>
      <w:tr w:rsidR="008F4EE7" w14:paraId="182434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6FAA8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Moins de 2,50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7AC6AB" w14:textId="77777777" w:rsidR="008F4EE7" w:rsidRDefault="00C27F5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 ou inférieur</w:t>
            </w:r>
          </w:p>
        </w:tc>
      </w:tr>
    </w:tbl>
    <w:p w14:paraId="3FEFF388" w14:textId="77777777" w:rsidR="008F4EE7" w:rsidRDefault="008F4EE7"/>
    <w:p w14:paraId="735E8EAE" w14:textId="1207E4D8" w:rsidR="008F4EE7" w:rsidRDefault="00C27F5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Avec une note globale de </w:t>
      </w:r>
      <w:r>
        <w:rPr>
          <w:rFonts w:ascii="source serif 4" w:eastAsia="source serif 4" w:hAnsi="source serif 4" w:cs="source serif 4"/>
          <w:b/>
          <w:color w:val="000000"/>
        </w:rPr>
        <w:t>3,45 / 5</w:t>
      </w:r>
      <w:r>
        <w:rPr>
          <w:rFonts w:ascii="source serif 4" w:eastAsia="source serif 4" w:hAnsi="source serif 4" w:cs="source serif 4"/>
          <w:color w:val="000000"/>
        </w:rPr>
        <w:t xml:space="preserve">, l’entreprise obtient une </w:t>
      </w:r>
      <w:r>
        <w:rPr>
          <w:rFonts w:ascii="source serif 4" w:eastAsia="source serif 4" w:hAnsi="source serif 4" w:cs="source serif 4"/>
          <w:b/>
          <w:color w:val="000000"/>
        </w:rPr>
        <w:t>notation BBB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3E2FCB9" w14:textId="065606F9" w:rsidR="00C27F58" w:rsidRDefault="00C27F5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</w:p>
    <w:p w14:paraId="2D562772" w14:textId="77777777" w:rsidR="00C27F58" w:rsidRDefault="00C27F58">
      <w:pPr>
        <w:spacing w:after="210" w:line="360" w:lineRule="auto"/>
      </w:pPr>
    </w:p>
    <w:p w14:paraId="0D94A718" w14:textId="0B133DF4" w:rsidR="008F4EE7" w:rsidRDefault="00C27F58">
      <w:pPr>
        <w:spacing w:before="315" w:after="105" w:line="360" w:lineRule="auto"/>
        <w:ind w:left="-30"/>
      </w:pPr>
      <w:bookmarkStart w:id="13" w:name="bm_5_proposition_de_conclusion_rédigée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 xml:space="preserve">5. </w:t>
      </w:r>
      <w:bookmarkEnd w:id="13"/>
      <w:r>
        <w:rPr>
          <w:rFonts w:ascii="source serif 4" w:eastAsia="source serif 4" w:hAnsi="source serif 4" w:cs="source serif 4"/>
          <w:b/>
          <w:color w:val="000000"/>
          <w:sz w:val="24"/>
        </w:rPr>
        <w:t>Conclusion</w:t>
      </w:r>
    </w:p>
    <w:p w14:paraId="1ADAFD31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ALPHATEC présente un profil financier globalement satisfaisant. Les ratios de liquidité, de couverture des intérêt</w:t>
      </w:r>
      <w:r>
        <w:rPr>
          <w:rFonts w:ascii="source serif 4" w:eastAsia="source serif 4" w:hAnsi="source serif 4" w:cs="source serif 4"/>
          <w:color w:val="000000"/>
        </w:rPr>
        <w:t>s, d’autonomie financière et d’endettement sont convenables, même si la rentabilité reste seulement moyenne.</w:t>
      </w:r>
    </w:p>
    <w:p w14:paraId="5E30007D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La note finale est toutefois pénalisée par la </w:t>
      </w:r>
      <w:r>
        <w:rPr>
          <w:rFonts w:ascii="source serif 4" w:eastAsia="source serif 4" w:hAnsi="source serif 4" w:cs="source serif 4"/>
          <w:b/>
          <w:color w:val="000000"/>
        </w:rPr>
        <w:t>taille réduite de l’entreprise</w:t>
      </w:r>
      <w:r>
        <w:rPr>
          <w:rFonts w:ascii="source serif 4" w:eastAsia="source serif 4" w:hAnsi="source serif 4" w:cs="source serif 4"/>
          <w:color w:val="000000"/>
        </w:rPr>
        <w:t>, la concentration de la clientèle, la dépendance à un fournisseur maje</w:t>
      </w:r>
      <w:r>
        <w:rPr>
          <w:rFonts w:ascii="source serif 4" w:eastAsia="source serif 4" w:hAnsi="source serif 4" w:cs="source serif 4"/>
          <w:color w:val="000000"/>
        </w:rPr>
        <w:t>ur et une gouvernance encore très centralisée autour du fondateur. Les éléments extra-financiers sont plutôt encourageants, mais ils ne suffisent pas à compenser entièrement ces fragilités.</w:t>
      </w:r>
    </w:p>
    <w:p w14:paraId="728FA462" w14:textId="77777777" w:rsidR="008F4EE7" w:rsidRDefault="00C27F5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En conséquence, une </w:t>
      </w:r>
      <w:r>
        <w:rPr>
          <w:rFonts w:ascii="source serif 4" w:eastAsia="source serif 4" w:hAnsi="source serif 4" w:cs="source serif 4"/>
          <w:b/>
          <w:color w:val="000000"/>
        </w:rPr>
        <w:t>notation BBB</w:t>
      </w:r>
      <w:r>
        <w:rPr>
          <w:rFonts w:ascii="source serif 4" w:eastAsia="source serif 4" w:hAnsi="source serif 4" w:cs="source serif 4"/>
          <w:color w:val="000000"/>
        </w:rPr>
        <w:t xml:space="preserve"> peut être retenue : l’entreprise </w:t>
      </w:r>
      <w:r>
        <w:rPr>
          <w:rFonts w:ascii="source serif 4" w:eastAsia="source serif 4" w:hAnsi="source serif 4" w:cs="source serif 4"/>
          <w:color w:val="000000"/>
        </w:rPr>
        <w:t>apparaît solvable, mais son risque demeure sensible à plusieurs facteurs de concentration et à des enjeux de résilience.</w:t>
      </w:r>
    </w:p>
    <w:p w14:paraId="29249E20" w14:textId="7C3C6F5C" w:rsidR="008F4EE7" w:rsidRDefault="008F4EE7" w:rsidP="00C27F58">
      <w:pPr>
        <w:spacing w:before="105" w:after="105" w:line="360" w:lineRule="auto"/>
      </w:pPr>
    </w:p>
    <w:sectPr w:rsidR="008F4EE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813C3"/>
    <w:multiLevelType w:val="hybridMultilevel"/>
    <w:tmpl w:val="BDF03050"/>
    <w:lvl w:ilvl="0" w:tplc="C360E2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6C60AC">
      <w:numFmt w:val="decimal"/>
      <w:lvlText w:val=""/>
      <w:lvlJc w:val="left"/>
    </w:lvl>
    <w:lvl w:ilvl="2" w:tplc="0CF6ACD2">
      <w:numFmt w:val="decimal"/>
      <w:lvlText w:val=""/>
      <w:lvlJc w:val="left"/>
    </w:lvl>
    <w:lvl w:ilvl="3" w:tplc="76B20634">
      <w:numFmt w:val="decimal"/>
      <w:lvlText w:val=""/>
      <w:lvlJc w:val="left"/>
    </w:lvl>
    <w:lvl w:ilvl="4" w:tplc="38EE718E">
      <w:numFmt w:val="decimal"/>
      <w:lvlText w:val=""/>
      <w:lvlJc w:val="left"/>
    </w:lvl>
    <w:lvl w:ilvl="5" w:tplc="B0402E44">
      <w:numFmt w:val="decimal"/>
      <w:lvlText w:val=""/>
      <w:lvlJc w:val="left"/>
    </w:lvl>
    <w:lvl w:ilvl="6" w:tplc="42308E88">
      <w:numFmt w:val="decimal"/>
      <w:lvlText w:val=""/>
      <w:lvlJc w:val="left"/>
    </w:lvl>
    <w:lvl w:ilvl="7" w:tplc="9DBE27D2">
      <w:numFmt w:val="decimal"/>
      <w:lvlText w:val=""/>
      <w:lvlJc w:val="left"/>
    </w:lvl>
    <w:lvl w:ilvl="8" w:tplc="22626930">
      <w:numFmt w:val="decimal"/>
      <w:lvlText w:val=""/>
      <w:lvlJc w:val="left"/>
    </w:lvl>
  </w:abstractNum>
  <w:abstractNum w:abstractNumId="1" w15:restartNumberingAfterBreak="0">
    <w:nsid w:val="4DD94249"/>
    <w:multiLevelType w:val="hybridMultilevel"/>
    <w:tmpl w:val="38BCFE80"/>
    <w:lvl w:ilvl="0" w:tplc="17B4B3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5EBD84">
      <w:numFmt w:val="decimal"/>
      <w:lvlText w:val=""/>
      <w:lvlJc w:val="left"/>
    </w:lvl>
    <w:lvl w:ilvl="2" w:tplc="F086DC1A">
      <w:numFmt w:val="decimal"/>
      <w:lvlText w:val=""/>
      <w:lvlJc w:val="left"/>
    </w:lvl>
    <w:lvl w:ilvl="3" w:tplc="5738899C">
      <w:numFmt w:val="decimal"/>
      <w:lvlText w:val=""/>
      <w:lvlJc w:val="left"/>
    </w:lvl>
    <w:lvl w:ilvl="4" w:tplc="D05836BC">
      <w:numFmt w:val="decimal"/>
      <w:lvlText w:val=""/>
      <w:lvlJc w:val="left"/>
    </w:lvl>
    <w:lvl w:ilvl="5" w:tplc="5CFE0FB6">
      <w:numFmt w:val="decimal"/>
      <w:lvlText w:val=""/>
      <w:lvlJc w:val="left"/>
    </w:lvl>
    <w:lvl w:ilvl="6" w:tplc="0D446A48">
      <w:numFmt w:val="decimal"/>
      <w:lvlText w:val=""/>
      <w:lvlJc w:val="left"/>
    </w:lvl>
    <w:lvl w:ilvl="7" w:tplc="C61A76BC">
      <w:numFmt w:val="decimal"/>
      <w:lvlText w:val=""/>
      <w:lvlJc w:val="left"/>
    </w:lvl>
    <w:lvl w:ilvl="8" w:tplc="65DAF2EE">
      <w:numFmt w:val="decimal"/>
      <w:lvlText w:val=""/>
      <w:lvlJc w:val="left"/>
    </w:lvl>
  </w:abstractNum>
  <w:abstractNum w:abstractNumId="2" w15:restartNumberingAfterBreak="0">
    <w:nsid w:val="651C4006"/>
    <w:multiLevelType w:val="hybridMultilevel"/>
    <w:tmpl w:val="CEF0501A"/>
    <w:lvl w:ilvl="0" w:tplc="8ACE6F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A4E174">
      <w:numFmt w:val="decimal"/>
      <w:lvlText w:val=""/>
      <w:lvlJc w:val="left"/>
    </w:lvl>
    <w:lvl w:ilvl="2" w:tplc="D1B24E54">
      <w:numFmt w:val="decimal"/>
      <w:lvlText w:val=""/>
      <w:lvlJc w:val="left"/>
    </w:lvl>
    <w:lvl w:ilvl="3" w:tplc="720A7BF2">
      <w:numFmt w:val="decimal"/>
      <w:lvlText w:val=""/>
      <w:lvlJc w:val="left"/>
    </w:lvl>
    <w:lvl w:ilvl="4" w:tplc="84B21A1A">
      <w:numFmt w:val="decimal"/>
      <w:lvlText w:val=""/>
      <w:lvlJc w:val="left"/>
    </w:lvl>
    <w:lvl w:ilvl="5" w:tplc="AD9CE5C0">
      <w:numFmt w:val="decimal"/>
      <w:lvlText w:val=""/>
      <w:lvlJc w:val="left"/>
    </w:lvl>
    <w:lvl w:ilvl="6" w:tplc="812ABB40">
      <w:numFmt w:val="decimal"/>
      <w:lvlText w:val=""/>
      <w:lvlJc w:val="left"/>
    </w:lvl>
    <w:lvl w:ilvl="7" w:tplc="05C0E9CC">
      <w:numFmt w:val="decimal"/>
      <w:lvlText w:val=""/>
      <w:lvlJc w:val="left"/>
    </w:lvl>
    <w:lvl w:ilvl="8" w:tplc="D596942C">
      <w:numFmt w:val="decimal"/>
      <w:lvlText w:val=""/>
      <w:lvlJc w:val="left"/>
    </w:lvl>
  </w:abstractNum>
  <w:abstractNum w:abstractNumId="3" w15:restartNumberingAfterBreak="0">
    <w:nsid w:val="6AE94CE6"/>
    <w:multiLevelType w:val="hybridMultilevel"/>
    <w:tmpl w:val="90163A7E"/>
    <w:lvl w:ilvl="0" w:tplc="7CF0A4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3E4A8C">
      <w:numFmt w:val="decimal"/>
      <w:lvlText w:val=""/>
      <w:lvlJc w:val="left"/>
    </w:lvl>
    <w:lvl w:ilvl="2" w:tplc="6DEEC160">
      <w:numFmt w:val="decimal"/>
      <w:lvlText w:val=""/>
      <w:lvlJc w:val="left"/>
    </w:lvl>
    <w:lvl w:ilvl="3" w:tplc="167AA054">
      <w:numFmt w:val="decimal"/>
      <w:lvlText w:val=""/>
      <w:lvlJc w:val="left"/>
    </w:lvl>
    <w:lvl w:ilvl="4" w:tplc="2AD4700C">
      <w:numFmt w:val="decimal"/>
      <w:lvlText w:val=""/>
      <w:lvlJc w:val="left"/>
    </w:lvl>
    <w:lvl w:ilvl="5" w:tplc="E1BEEB86">
      <w:numFmt w:val="decimal"/>
      <w:lvlText w:val=""/>
      <w:lvlJc w:val="left"/>
    </w:lvl>
    <w:lvl w:ilvl="6" w:tplc="F8464B6A">
      <w:numFmt w:val="decimal"/>
      <w:lvlText w:val=""/>
      <w:lvlJc w:val="left"/>
    </w:lvl>
    <w:lvl w:ilvl="7" w:tplc="B0B45C38">
      <w:numFmt w:val="decimal"/>
      <w:lvlText w:val=""/>
      <w:lvlJc w:val="left"/>
    </w:lvl>
    <w:lvl w:ilvl="8" w:tplc="2C82E48E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EE7"/>
    <w:rsid w:val="008F4EE7"/>
    <w:rsid w:val="00C2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78CF5"/>
  <w15:docId w15:val="{2EE6EAFE-2C50-4AE5-82DA-0A9CA0D9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EBE5C4808DA43A9869E2FB4CBAEE6" ma:contentTypeVersion="7" ma:contentTypeDescription="Crée un document." ma:contentTypeScope="" ma:versionID="ec721a2edeaa82f3477cdde480af55d6">
  <xsd:schema xmlns:xsd="http://www.w3.org/2001/XMLSchema" xmlns:xs="http://www.w3.org/2001/XMLSchema" xmlns:p="http://schemas.microsoft.com/office/2006/metadata/properties" xmlns:ns2="db156d11-c3e3-4b36-ab5f-95cf67435334" targetNamespace="http://schemas.microsoft.com/office/2006/metadata/properties" ma:root="true" ma:fieldsID="fd7344f9c87efa8fad3e8380aa9239b8" ns2:_="">
    <xsd:import namespace="db156d11-c3e3-4b36-ab5f-95cf67435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56d11-c3e3-4b36-ab5f-95cf674353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9BC425-309C-4BD5-9B1A-635E651FD8A6}"/>
</file>

<file path=customXml/itemProps2.xml><?xml version="1.0" encoding="utf-8"?>
<ds:datastoreItem xmlns:ds="http://schemas.openxmlformats.org/officeDocument/2006/customXml" ds:itemID="{CE3B9E9D-8B85-40BA-B38B-12492584C9DA}"/>
</file>

<file path=customXml/itemProps3.xml><?xml version="1.0" encoding="utf-8"?>
<ds:datastoreItem xmlns:ds="http://schemas.openxmlformats.org/officeDocument/2006/customXml" ds:itemID="{E2E48077-2D72-4213-BF43-4B4D0BEDF1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528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HAMANN Xavier</cp:lastModifiedBy>
  <cp:revision>2</cp:revision>
  <cp:lastPrinted>2026-07-07T07:10:00Z</cp:lastPrinted>
  <dcterms:created xsi:type="dcterms:W3CDTF">2026-07-07T07:05:00Z</dcterms:created>
  <dcterms:modified xsi:type="dcterms:W3CDTF">2026-07-07T07:12:00Z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0x0101009CDEBE5C4808DA43A9869E2FB4CBAEE6</vt:lpwstr>
  </property>
</Properties>
</file>