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pPr>
      <w:r w:rsidDel="00000000" w:rsidR="00000000" w:rsidRPr="00000000">
        <w:rPr>
          <w:rtl w:val="0"/>
        </w:rPr>
        <w:t xml:space="preserve">Tilastokeskuksen mukaan koko kaupan myynti kasvoi elokuussa 6,7 prosenttia vuoden 2016 elokuusta.Tukkukaupan myynti kasvoi kaupan toimialoista eniten, kaikkiaan 9,8 prosenttia.Vähittäiskaupan toimialoista myynti kasvoi päivittäistavarakaupassa 4,1 prosenttia, kun taas tavaratalokaupassa myynti supistui 0,7 prosenttia vuoden 2016 elokuusta. (http://tilastokeskus.fi/til/klv/)</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rPr/>
      </w:pPr>
      <w:r w:rsidDel="00000000" w:rsidR="00000000" w:rsidRPr="00000000">
        <w:rPr>
          <w:rtl w:val="0"/>
        </w:rPr>
        <w:t xml:space="preserve">Suomessa päivittäistavarakauppa on keskittynyt S-ryhmän ja Keskon ympärille. Päivittäistavarakauppa Ry:n tekemän markkinaosuustutkimuksen mukaan markkinaosuudet jakautuvat seuraavasti päivittäistavarakaupassa vuonna 2016. (</w:t>
      </w:r>
      <w:hyperlink r:id="rId6">
        <w:r w:rsidDel="00000000" w:rsidR="00000000" w:rsidRPr="00000000">
          <w:rPr>
            <w:color w:val="1155cc"/>
            <w:u w:val="single"/>
            <w:rtl w:val="0"/>
          </w:rPr>
          <w:t xml:space="preserve">http://www.pty.fi/julkaisut/tilastot/</w:t>
        </w:r>
      </w:hyperlink>
      <w:r w:rsidDel="00000000" w:rsidR="00000000" w:rsidRPr="00000000">
        <w:rPr>
          <w:rtl w:val="0"/>
        </w:rPr>
        <w:t xml:space="preserve">)</w:t>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rPr/>
      </w:pPr>
      <w:r w:rsidDel="00000000" w:rsidR="00000000" w:rsidRPr="00000000">
        <w:rPr>
          <w:rtl w:val="0"/>
        </w:rPr>
      </w:r>
    </w:p>
    <w:p w:rsidR="00000000" w:rsidDel="00000000" w:rsidP="00000000" w:rsidRDefault="00000000" w:rsidRPr="00000000" w14:paraId="00000006">
      <w:pPr>
        <w:pageBreakBefore w:val="0"/>
        <w:spacing w:line="360" w:lineRule="auto"/>
        <w:rPr/>
      </w:pPr>
      <w:r w:rsidDel="00000000" w:rsidR="00000000" w:rsidRPr="00000000">
        <w:rPr>
          <w:rtl w:val="0"/>
        </w:rPr>
      </w:r>
    </w:p>
    <w:tbl>
      <w:tblPr>
        <w:tblStyle w:val="Table1"/>
        <w:tblW w:w="8940.0" w:type="dxa"/>
        <w:jc w:val="left"/>
        <w:tblLayout w:type="fixed"/>
        <w:tblLook w:val="0600"/>
      </w:tblPr>
      <w:tblGrid>
        <w:gridCol w:w="3360"/>
        <w:gridCol w:w="2805"/>
        <w:gridCol w:w="2775"/>
        <w:tblGridChange w:id="0">
          <w:tblGrid>
            <w:gridCol w:w="3360"/>
            <w:gridCol w:w="2805"/>
            <w:gridCol w:w="2775"/>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331.2" w:lineRule="auto"/>
              <w:jc w:val="center"/>
              <w:rPr/>
            </w:pPr>
            <w:r w:rsidDel="00000000" w:rsidR="00000000" w:rsidRPr="00000000">
              <w:rPr>
                <w:rtl w:val="0"/>
              </w:rPr>
              <w:t xml:space="preserve">Ryhmä</w:t>
            </w:r>
          </w:p>
        </w:tc>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331.2" w:lineRule="auto"/>
              <w:jc w:val="center"/>
              <w:rPr/>
            </w:pPr>
            <w:r w:rsidDel="00000000" w:rsidR="00000000" w:rsidRPr="00000000">
              <w:rPr>
                <w:rtl w:val="0"/>
              </w:rPr>
              <w:t xml:space="preserve">Markkinaosuus %</w:t>
            </w:r>
          </w:p>
        </w:tc>
        <w:tc>
          <w:tcPr>
            <w:tcMar>
              <w:top w:w="100.0" w:type="dxa"/>
              <w:left w:w="100.0" w:type="dxa"/>
              <w:bottom w:w="100.0" w:type="dxa"/>
              <w:right w:w="100.0" w:type="dxa"/>
            </w:tcMar>
            <w:vAlign w:val="top"/>
          </w:tcPr>
          <w:p w:rsidR="00000000" w:rsidDel="00000000" w:rsidP="00000000" w:rsidRDefault="00000000" w:rsidRPr="00000000" w14:paraId="00000009">
            <w:pPr>
              <w:pageBreakBefore w:val="0"/>
              <w:spacing w:line="331.2" w:lineRule="auto"/>
              <w:jc w:val="center"/>
              <w:rPr/>
            </w:pPr>
            <w:r w:rsidDel="00000000" w:rsidR="00000000" w:rsidRPr="00000000">
              <w:rPr>
                <w:rtl w:val="0"/>
              </w:rPr>
              <w:t xml:space="preserve">Pt-myynti (milj. €)</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pageBreakBefore w:val="0"/>
              <w:spacing w:line="331.2" w:lineRule="auto"/>
              <w:rPr/>
            </w:pPr>
            <w:r w:rsidDel="00000000" w:rsidR="00000000" w:rsidRPr="00000000">
              <w:rPr>
                <w:rtl w:val="0"/>
              </w:rPr>
              <w:t xml:space="preserve">S-ryhmä</w:t>
            </w:r>
          </w:p>
        </w:tc>
        <w:tc>
          <w:tcPr>
            <w:tcMar>
              <w:top w:w="100.0" w:type="dxa"/>
              <w:left w:w="100.0" w:type="dxa"/>
              <w:bottom w:w="100.0" w:type="dxa"/>
              <w:right w:w="100.0" w:type="dxa"/>
            </w:tcMar>
            <w:vAlign w:val="top"/>
          </w:tcPr>
          <w:p w:rsidR="00000000" w:rsidDel="00000000" w:rsidP="00000000" w:rsidRDefault="00000000" w:rsidRPr="00000000" w14:paraId="0000000B">
            <w:pPr>
              <w:pageBreakBefore w:val="0"/>
              <w:spacing w:line="331.2" w:lineRule="auto"/>
              <w:rPr/>
            </w:pPr>
            <w:r w:rsidDel="00000000" w:rsidR="00000000" w:rsidRPr="00000000">
              <w:rPr>
                <w:rtl w:val="0"/>
              </w:rPr>
              <w:t xml:space="preserve">47,2 %</w:t>
            </w:r>
          </w:p>
        </w:tc>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331.2" w:lineRule="auto"/>
              <w:rPr/>
            </w:pPr>
            <w:r w:rsidDel="00000000" w:rsidR="00000000" w:rsidRPr="00000000">
              <w:rPr>
                <w:rtl w:val="0"/>
              </w:rPr>
              <w:t xml:space="preserve">7 896</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pageBreakBefore w:val="0"/>
              <w:spacing w:line="331.2" w:lineRule="auto"/>
              <w:rPr/>
            </w:pPr>
            <w:r w:rsidDel="00000000" w:rsidR="00000000" w:rsidRPr="00000000">
              <w:rPr>
                <w:rtl w:val="0"/>
              </w:rPr>
              <w:t xml:space="preserve">K-ryhmä</w:t>
            </w:r>
          </w:p>
        </w:tc>
        <w:tc>
          <w:tcPr>
            <w:tcMar>
              <w:top w:w="100.0" w:type="dxa"/>
              <w:left w:w="100.0" w:type="dxa"/>
              <w:bottom w:w="100.0" w:type="dxa"/>
              <w:right w:w="100.0" w:type="dxa"/>
            </w:tcMar>
            <w:vAlign w:val="top"/>
          </w:tcPr>
          <w:p w:rsidR="00000000" w:rsidDel="00000000" w:rsidP="00000000" w:rsidRDefault="00000000" w:rsidRPr="00000000" w14:paraId="0000000E">
            <w:pPr>
              <w:pageBreakBefore w:val="0"/>
              <w:spacing w:line="331.2" w:lineRule="auto"/>
              <w:rPr/>
            </w:pPr>
            <w:r w:rsidDel="00000000" w:rsidR="00000000" w:rsidRPr="00000000">
              <w:rPr>
                <w:rtl w:val="0"/>
              </w:rPr>
              <w:t xml:space="preserve">36,2 %</w:t>
            </w:r>
          </w:p>
        </w:tc>
        <w:tc>
          <w:tcPr>
            <w:tcMar>
              <w:top w:w="100.0" w:type="dxa"/>
              <w:left w:w="100.0" w:type="dxa"/>
              <w:bottom w:w="100.0" w:type="dxa"/>
              <w:right w:w="100.0" w:type="dxa"/>
            </w:tcMar>
            <w:vAlign w:val="top"/>
          </w:tcPr>
          <w:p w:rsidR="00000000" w:rsidDel="00000000" w:rsidP="00000000" w:rsidRDefault="00000000" w:rsidRPr="00000000" w14:paraId="0000000F">
            <w:pPr>
              <w:pageBreakBefore w:val="0"/>
              <w:spacing w:line="331.2" w:lineRule="auto"/>
              <w:rPr/>
            </w:pPr>
            <w:r w:rsidDel="00000000" w:rsidR="00000000" w:rsidRPr="00000000">
              <w:rPr>
                <w:rtl w:val="0"/>
              </w:rPr>
              <w:t xml:space="preserve">6 055</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331.2" w:lineRule="auto"/>
              <w:rPr/>
            </w:pPr>
            <w:r w:rsidDel="00000000" w:rsidR="00000000" w:rsidRPr="00000000">
              <w:rPr>
                <w:rtl w:val="0"/>
              </w:rPr>
              <w:t xml:space="preserve">Lidl Suomi Ky*</w:t>
            </w:r>
          </w:p>
        </w:tc>
        <w:tc>
          <w:tcPr>
            <w:tcMar>
              <w:top w:w="100.0" w:type="dxa"/>
              <w:left w:w="100.0" w:type="dxa"/>
              <w:bottom w:w="100.0" w:type="dxa"/>
              <w:right w:w="100.0" w:type="dxa"/>
            </w:tcMar>
            <w:vAlign w:val="top"/>
          </w:tcPr>
          <w:p w:rsidR="00000000" w:rsidDel="00000000" w:rsidP="00000000" w:rsidRDefault="00000000" w:rsidRPr="00000000" w14:paraId="00000011">
            <w:pPr>
              <w:pageBreakBefore w:val="0"/>
              <w:spacing w:line="331.2" w:lineRule="auto"/>
              <w:rPr/>
            </w:pPr>
            <w:r w:rsidDel="00000000" w:rsidR="00000000" w:rsidRPr="00000000">
              <w:rPr>
                <w:rtl w:val="0"/>
              </w:rPr>
              <w:t xml:space="preserve">9,3 %</w:t>
            </w:r>
          </w:p>
        </w:tc>
        <w:tc>
          <w:tcPr>
            <w:tcMar>
              <w:top w:w="100.0" w:type="dxa"/>
              <w:left w:w="100.0" w:type="dxa"/>
              <w:bottom w:w="100.0" w:type="dxa"/>
              <w:right w:w="100.0" w:type="dxa"/>
            </w:tcMar>
            <w:vAlign w:val="top"/>
          </w:tcPr>
          <w:p w:rsidR="00000000" w:rsidDel="00000000" w:rsidP="00000000" w:rsidRDefault="00000000" w:rsidRPr="00000000" w14:paraId="00000012">
            <w:pPr>
              <w:pageBreakBefore w:val="0"/>
              <w:spacing w:line="331.2" w:lineRule="auto"/>
              <w:rPr/>
            </w:pPr>
            <w:r w:rsidDel="00000000" w:rsidR="00000000" w:rsidRPr="00000000">
              <w:rPr>
                <w:rtl w:val="0"/>
              </w:rPr>
              <w:t xml:space="preserve">1 551</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pageBreakBefore w:val="0"/>
              <w:spacing w:line="331.2" w:lineRule="auto"/>
              <w:rPr/>
            </w:pPr>
            <w:r w:rsidDel="00000000" w:rsidR="00000000" w:rsidRPr="00000000">
              <w:rPr>
                <w:rtl w:val="0"/>
              </w:rPr>
              <w:t xml:space="preserve">Suomen Lähikauppa Oy</w:t>
            </w:r>
          </w:p>
          <w:p w:rsidR="00000000" w:rsidDel="00000000" w:rsidP="00000000" w:rsidRDefault="00000000" w:rsidRPr="00000000" w14:paraId="00000014">
            <w:pPr>
              <w:pageBreakBefore w:val="0"/>
              <w:spacing w:line="331.2" w:lineRule="auto"/>
              <w:rPr/>
            </w:pPr>
            <w:r w:rsidDel="00000000" w:rsidR="00000000" w:rsidRPr="00000000">
              <w:rPr>
                <w:rtl w:val="0"/>
              </w:rPr>
              <w:t xml:space="preserve">(11.4.2016 asti)</w:t>
            </w:r>
          </w:p>
        </w:tc>
        <w:tc>
          <w:tcPr>
            <w:tcMar>
              <w:top w:w="100.0" w:type="dxa"/>
              <w:left w:w="100.0" w:type="dxa"/>
              <w:bottom w:w="100.0" w:type="dxa"/>
              <w:right w:w="100.0" w:type="dxa"/>
            </w:tcMar>
            <w:vAlign w:val="top"/>
          </w:tcPr>
          <w:p w:rsidR="00000000" w:rsidDel="00000000" w:rsidP="00000000" w:rsidRDefault="00000000" w:rsidRPr="00000000" w14:paraId="00000015">
            <w:pPr>
              <w:pageBreakBefore w:val="0"/>
              <w:spacing w:line="331.2" w:lineRule="auto"/>
              <w:rPr/>
            </w:pPr>
            <w:r w:rsidDel="00000000" w:rsidR="00000000" w:rsidRPr="00000000">
              <w:rPr>
                <w:rtl w:val="0"/>
              </w:rPr>
              <w:t xml:space="preserve">1,5 %</w:t>
            </w:r>
          </w:p>
        </w:tc>
        <w:tc>
          <w:tcPr>
            <w:tcMar>
              <w:top w:w="100.0" w:type="dxa"/>
              <w:left w:w="100.0" w:type="dxa"/>
              <w:bottom w:w="100.0" w:type="dxa"/>
              <w:right w:w="100.0" w:type="dxa"/>
            </w:tcMar>
            <w:vAlign w:val="top"/>
          </w:tcPr>
          <w:p w:rsidR="00000000" w:rsidDel="00000000" w:rsidP="00000000" w:rsidRDefault="00000000" w:rsidRPr="00000000" w14:paraId="00000016">
            <w:pPr>
              <w:pageBreakBefore w:val="0"/>
              <w:spacing w:line="331.2" w:lineRule="auto"/>
              <w:rPr/>
            </w:pPr>
            <w:r w:rsidDel="00000000" w:rsidR="00000000" w:rsidRPr="00000000">
              <w:rPr>
                <w:rtl w:val="0"/>
              </w:rPr>
              <w:t xml:space="preserve">249</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spacing w:line="331.2" w:lineRule="auto"/>
              <w:rPr/>
            </w:pPr>
            <w:r w:rsidDel="00000000" w:rsidR="00000000" w:rsidRPr="00000000">
              <w:rPr>
                <w:rtl w:val="0"/>
              </w:rPr>
              <w:t xml:space="preserve">Tokmanni-konserni*</w:t>
            </w:r>
          </w:p>
        </w:tc>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331.2" w:lineRule="auto"/>
              <w:rPr/>
            </w:pPr>
            <w:r w:rsidDel="00000000" w:rsidR="00000000" w:rsidRPr="00000000">
              <w:rPr>
                <w:rtl w:val="0"/>
              </w:rPr>
              <w:t xml:space="preserve">1,7 %</w:t>
            </w:r>
          </w:p>
        </w:tc>
        <w:tc>
          <w:tcPr>
            <w:tcMar>
              <w:top w:w="100.0" w:type="dxa"/>
              <w:left w:w="100.0" w:type="dxa"/>
              <w:bottom w:w="100.0" w:type="dxa"/>
              <w:right w:w="100.0" w:type="dxa"/>
            </w:tcMar>
            <w:vAlign w:val="top"/>
          </w:tcPr>
          <w:p w:rsidR="00000000" w:rsidDel="00000000" w:rsidP="00000000" w:rsidRDefault="00000000" w:rsidRPr="00000000" w14:paraId="00000019">
            <w:pPr>
              <w:pageBreakBefore w:val="0"/>
              <w:spacing w:line="331.2" w:lineRule="auto"/>
              <w:rPr/>
            </w:pPr>
            <w:r w:rsidDel="00000000" w:rsidR="00000000" w:rsidRPr="00000000">
              <w:rPr>
                <w:rtl w:val="0"/>
              </w:rPr>
              <w:t xml:space="preserve">276***</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pageBreakBefore w:val="0"/>
              <w:spacing w:line="331.2" w:lineRule="auto"/>
              <w:rPr/>
            </w:pPr>
            <w:r w:rsidDel="00000000" w:rsidR="00000000" w:rsidRPr="00000000">
              <w:rPr>
                <w:rtl w:val="0"/>
              </w:rPr>
              <w:t xml:space="preserve">Stockmann*</w:t>
            </w:r>
          </w:p>
        </w:tc>
        <w:tc>
          <w:tcPr>
            <w:tcMar>
              <w:top w:w="100.0" w:type="dxa"/>
              <w:left w:w="100.0" w:type="dxa"/>
              <w:bottom w:w="100.0" w:type="dxa"/>
              <w:right w:w="100.0" w:type="dxa"/>
            </w:tcMar>
            <w:vAlign w:val="top"/>
          </w:tcPr>
          <w:p w:rsidR="00000000" w:rsidDel="00000000" w:rsidP="00000000" w:rsidRDefault="00000000" w:rsidRPr="00000000" w14:paraId="0000001B">
            <w:pPr>
              <w:pageBreakBefore w:val="0"/>
              <w:spacing w:line="331.2" w:lineRule="auto"/>
              <w:rPr/>
            </w:pPr>
            <w:r w:rsidDel="00000000" w:rsidR="00000000" w:rsidRPr="00000000">
              <w:rPr>
                <w:rtl w:val="0"/>
              </w:rPr>
              <w:t xml:space="preserve">1,0 %</w:t>
            </w:r>
          </w:p>
        </w:tc>
        <w:tc>
          <w:tcPr>
            <w:tcMar>
              <w:top w:w="100.0" w:type="dxa"/>
              <w:left w:w="100.0" w:type="dxa"/>
              <w:bottom w:w="100.0" w:type="dxa"/>
              <w:right w:w="100.0" w:type="dxa"/>
            </w:tcMar>
            <w:vAlign w:val="top"/>
          </w:tcPr>
          <w:p w:rsidR="00000000" w:rsidDel="00000000" w:rsidP="00000000" w:rsidRDefault="00000000" w:rsidRPr="00000000" w14:paraId="0000001C">
            <w:pPr>
              <w:pageBreakBefore w:val="0"/>
              <w:spacing w:line="331.2" w:lineRule="auto"/>
              <w:rPr/>
            </w:pPr>
            <w:r w:rsidDel="00000000" w:rsidR="00000000" w:rsidRPr="00000000">
              <w:rPr>
                <w:rtl w:val="0"/>
              </w:rPr>
              <w:t xml:space="preserve">165</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spacing w:line="331.2" w:lineRule="auto"/>
              <w:rPr/>
            </w:pPr>
            <w:r w:rsidDel="00000000" w:rsidR="00000000" w:rsidRPr="00000000">
              <w:rPr>
                <w:rtl w:val="0"/>
              </w:rPr>
              <w:t xml:space="preserve">M-ketju*</w:t>
            </w:r>
          </w:p>
        </w:tc>
        <w:tc>
          <w:tcPr>
            <w:tcMar>
              <w:top w:w="100.0" w:type="dxa"/>
              <w:left w:w="100.0" w:type="dxa"/>
              <w:bottom w:w="100.0" w:type="dxa"/>
              <w:right w:w="100.0" w:type="dxa"/>
            </w:tcMar>
            <w:vAlign w:val="top"/>
          </w:tcPr>
          <w:p w:rsidR="00000000" w:rsidDel="00000000" w:rsidP="00000000" w:rsidRDefault="00000000" w:rsidRPr="00000000" w14:paraId="0000001E">
            <w:pPr>
              <w:pageBreakBefore w:val="0"/>
              <w:spacing w:line="331.2" w:lineRule="auto"/>
              <w:rPr/>
            </w:pPr>
            <w:r w:rsidDel="00000000" w:rsidR="00000000" w:rsidRPr="00000000">
              <w:rPr>
                <w:rtl w:val="0"/>
              </w:rPr>
              <w:t xml:space="preserve">0,6 %</w:t>
            </w:r>
          </w:p>
        </w:tc>
        <w:tc>
          <w:tcPr>
            <w:tcMar>
              <w:top w:w="100.0" w:type="dxa"/>
              <w:left w:w="100.0" w:type="dxa"/>
              <w:bottom w:w="100.0" w:type="dxa"/>
              <w:right w:w="100.0" w:type="dxa"/>
            </w:tcMar>
            <w:vAlign w:val="top"/>
          </w:tcPr>
          <w:p w:rsidR="00000000" w:rsidDel="00000000" w:rsidP="00000000" w:rsidRDefault="00000000" w:rsidRPr="00000000" w14:paraId="0000001F">
            <w:pPr>
              <w:pageBreakBefore w:val="0"/>
              <w:spacing w:line="331.2" w:lineRule="auto"/>
              <w:rPr/>
            </w:pPr>
            <w:r w:rsidDel="00000000" w:rsidR="00000000" w:rsidRPr="00000000">
              <w:rPr>
                <w:rtl w:val="0"/>
              </w:rPr>
              <w:t xml:space="preserve">93**</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pageBreakBefore w:val="0"/>
              <w:spacing w:line="331.2" w:lineRule="auto"/>
              <w:rPr/>
            </w:pPr>
            <w:r w:rsidDel="00000000" w:rsidR="00000000" w:rsidRPr="00000000">
              <w:rPr>
                <w:rtl w:val="0"/>
              </w:rPr>
              <w:t xml:space="preserve">Minimani*</w:t>
            </w:r>
          </w:p>
        </w:tc>
        <w:tc>
          <w:tcPr>
            <w:tcMar>
              <w:top w:w="100.0" w:type="dxa"/>
              <w:left w:w="100.0" w:type="dxa"/>
              <w:bottom w:w="100.0" w:type="dxa"/>
              <w:right w:w="100.0" w:type="dxa"/>
            </w:tcMar>
            <w:vAlign w:val="top"/>
          </w:tcPr>
          <w:p w:rsidR="00000000" w:rsidDel="00000000" w:rsidP="00000000" w:rsidRDefault="00000000" w:rsidRPr="00000000" w14:paraId="00000021">
            <w:pPr>
              <w:pageBreakBefore w:val="0"/>
              <w:spacing w:line="331.2" w:lineRule="auto"/>
              <w:rPr/>
            </w:pPr>
            <w:r w:rsidDel="00000000" w:rsidR="00000000" w:rsidRPr="00000000">
              <w:rPr>
                <w:rtl w:val="0"/>
              </w:rPr>
              <w:t xml:space="preserve">0,6 %</w:t>
            </w:r>
          </w:p>
        </w:tc>
        <w:tc>
          <w:tcPr>
            <w:tcMar>
              <w:top w:w="100.0" w:type="dxa"/>
              <w:left w:w="100.0" w:type="dxa"/>
              <w:bottom w:w="100.0" w:type="dxa"/>
              <w:right w:w="100.0" w:type="dxa"/>
            </w:tcMar>
            <w:vAlign w:val="top"/>
          </w:tcPr>
          <w:p w:rsidR="00000000" w:rsidDel="00000000" w:rsidP="00000000" w:rsidRDefault="00000000" w:rsidRPr="00000000" w14:paraId="00000022">
            <w:pPr>
              <w:pageBreakBefore w:val="0"/>
              <w:spacing w:line="331.2" w:lineRule="auto"/>
              <w:rPr/>
            </w:pPr>
            <w:r w:rsidDel="00000000" w:rsidR="00000000" w:rsidRPr="00000000">
              <w:rPr>
                <w:rtl w:val="0"/>
              </w:rPr>
              <w:t xml:space="preserve">93</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spacing w:line="331.2" w:lineRule="auto"/>
              <w:rPr/>
            </w:pPr>
            <w:r w:rsidDel="00000000" w:rsidR="00000000" w:rsidRPr="00000000">
              <w:rPr>
                <w:rtl w:val="0"/>
              </w:rPr>
              <w:t xml:space="preserve">Muut yksityiset*</w:t>
            </w:r>
          </w:p>
        </w:tc>
        <w:tc>
          <w:tcPr>
            <w:tcMar>
              <w:top w:w="100.0" w:type="dxa"/>
              <w:left w:w="100.0" w:type="dxa"/>
              <w:bottom w:w="100.0" w:type="dxa"/>
              <w:right w:w="100.0" w:type="dxa"/>
            </w:tcMar>
            <w:vAlign w:val="top"/>
          </w:tcPr>
          <w:p w:rsidR="00000000" w:rsidDel="00000000" w:rsidP="00000000" w:rsidRDefault="00000000" w:rsidRPr="00000000" w14:paraId="00000024">
            <w:pPr>
              <w:pageBreakBefore w:val="0"/>
              <w:spacing w:line="331.2" w:lineRule="auto"/>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25">
            <w:pPr>
              <w:pageBreakBefore w:val="0"/>
              <w:spacing w:line="331.2" w:lineRule="auto"/>
              <w:rPr/>
            </w:pPr>
            <w:r w:rsidDel="00000000" w:rsidR="00000000" w:rsidRPr="00000000">
              <w:rPr>
                <w:rtl w:val="0"/>
              </w:rPr>
              <w:t xml:space="preserve">360</w:t>
            </w:r>
          </w:p>
          <w:p w:rsidR="00000000" w:rsidDel="00000000" w:rsidP="00000000" w:rsidRDefault="00000000" w:rsidRPr="00000000" w14:paraId="00000026">
            <w:pPr>
              <w:pageBreakBefore w:val="0"/>
              <w:spacing w:line="331.2" w:lineRule="auto"/>
              <w:rPr/>
            </w:pPr>
            <w:r w:rsidDel="00000000" w:rsidR="00000000" w:rsidRPr="00000000">
              <w:rPr>
                <w:rtl w:val="0"/>
              </w:rPr>
            </w:r>
          </w:p>
          <w:p w:rsidR="00000000" w:rsidDel="00000000" w:rsidP="00000000" w:rsidRDefault="00000000" w:rsidRPr="00000000" w14:paraId="00000027">
            <w:pPr>
              <w:pageBreakBefore w:val="0"/>
              <w:spacing w:line="331.2" w:lineRule="auto"/>
              <w:rPr/>
            </w:pPr>
            <w:r w:rsidDel="00000000" w:rsidR="00000000" w:rsidRPr="00000000">
              <w:rPr>
                <w:rtl w:val="0"/>
              </w:rPr>
            </w:r>
          </w:p>
          <w:p w:rsidR="00000000" w:rsidDel="00000000" w:rsidP="00000000" w:rsidRDefault="00000000" w:rsidRPr="00000000" w14:paraId="00000028">
            <w:pPr>
              <w:pageBreakBefore w:val="0"/>
              <w:spacing w:line="331.2" w:lineRule="auto"/>
              <w:rPr/>
            </w:pPr>
            <w:r w:rsidDel="00000000" w:rsidR="00000000" w:rsidRPr="00000000">
              <w:rPr>
                <w:rtl w:val="0"/>
              </w:rPr>
            </w:r>
          </w:p>
          <w:p w:rsidR="00000000" w:rsidDel="00000000" w:rsidP="00000000" w:rsidRDefault="00000000" w:rsidRPr="00000000" w14:paraId="00000029">
            <w:pPr>
              <w:pageBreakBefore w:val="0"/>
              <w:spacing w:line="331.2" w:lineRule="auto"/>
              <w:rPr/>
            </w:pPr>
            <w:r w:rsidDel="00000000" w:rsidR="00000000" w:rsidRPr="00000000">
              <w:rPr>
                <w:rtl w:val="0"/>
              </w:rPr>
            </w:r>
          </w:p>
        </w:tc>
      </w:tr>
    </w:tbl>
    <w:p w:rsidR="00000000" w:rsidDel="00000000" w:rsidP="00000000" w:rsidRDefault="00000000" w:rsidRPr="00000000" w14:paraId="0000002A">
      <w:pPr>
        <w:pageBreakBefore w:val="0"/>
        <w:spacing w:line="331.2" w:lineRule="auto"/>
        <w:rPr>
          <w:i w:val="1"/>
        </w:rPr>
      </w:pPr>
      <w:r w:rsidDel="00000000" w:rsidR="00000000" w:rsidRPr="00000000">
        <w:rPr>
          <w:rtl w:val="0"/>
        </w:rPr>
        <w:t xml:space="preserve">Kohdemarkkinat ovat laajat ja hajanaiset, ja Tokmannin kilpailuympäristö ulottuu suorista kilpailijoista, kuten hypermarketeista ja muista halpakaupoista, tavarataloihin ja muihin epäsuoriin kilpailijoihin, kuten verkko- ja erikoiskauppoihin eri tuoteryhmissä. </w:t>
      </w:r>
      <w:r w:rsidDel="00000000" w:rsidR="00000000" w:rsidRPr="00000000">
        <w:rPr>
          <w:i w:val="1"/>
          <w:rtl w:val="0"/>
        </w:rPr>
        <w:t xml:space="preserve">(</w:t>
      </w:r>
      <w:hyperlink r:id="rId7">
        <w:r w:rsidDel="00000000" w:rsidR="00000000" w:rsidRPr="00000000">
          <w:rPr>
            <w:i w:val="1"/>
            <w:color w:val="1155cc"/>
            <w:u w:val="single"/>
            <w:rtl w:val="0"/>
          </w:rPr>
          <w:t xml:space="preserve">https://ir.tokmanni.fi/fi/tokmanni-as-an-investment/operating-environment</w:t>
        </w:r>
      </w:hyperlink>
      <w:r w:rsidDel="00000000" w:rsidR="00000000" w:rsidRPr="00000000">
        <w:rPr>
          <w:i w:val="1"/>
          <w:rtl w:val="0"/>
        </w:rPr>
        <w:t xml:space="preserve">)</w:t>
      </w:r>
    </w:p>
    <w:p w:rsidR="00000000" w:rsidDel="00000000" w:rsidP="00000000" w:rsidRDefault="00000000" w:rsidRPr="00000000" w14:paraId="0000002B">
      <w:pPr>
        <w:pageBreakBefore w:val="0"/>
        <w:spacing w:line="331.2" w:lineRule="auto"/>
        <w:rPr>
          <w:i w:val="1"/>
        </w:rPr>
      </w:pPr>
      <w:r w:rsidDel="00000000" w:rsidR="00000000" w:rsidRPr="00000000">
        <w:rPr>
          <w:rtl w:val="0"/>
        </w:rPr>
      </w:r>
    </w:p>
    <w:p w:rsidR="00000000" w:rsidDel="00000000" w:rsidP="00000000" w:rsidRDefault="00000000" w:rsidRPr="00000000" w14:paraId="0000002C">
      <w:pPr>
        <w:pageBreakBefore w:val="0"/>
        <w:spacing w:line="331.2" w:lineRule="auto"/>
        <w:rPr/>
      </w:pPr>
      <w:r w:rsidDel="00000000" w:rsidR="00000000" w:rsidRPr="00000000">
        <w:rPr>
          <w:rtl w:val="0"/>
        </w:rPr>
        <w:t xml:space="preserve">Tokmanni käyttää strategian pohjana Cost leadership-mallia, tämä näkyy esimerkiksi siinä että he kutsuvat itseään halpatavaraketjuksi. </w:t>
      </w:r>
    </w:p>
    <w:p w:rsidR="00000000" w:rsidDel="00000000" w:rsidP="00000000" w:rsidRDefault="00000000" w:rsidRPr="00000000" w14:paraId="0000002D">
      <w:pPr>
        <w:pageBreakBefore w:val="0"/>
        <w:spacing w:line="331.2" w:lineRule="auto"/>
        <w:rPr>
          <w:b w:val="1"/>
          <w:i w:val="1"/>
        </w:rPr>
      </w:pPr>
      <w:r w:rsidDel="00000000" w:rsidR="00000000" w:rsidRPr="00000000">
        <w:rPr>
          <w:rtl w:val="0"/>
        </w:rPr>
      </w:r>
    </w:p>
    <w:p w:rsidR="00000000" w:rsidDel="00000000" w:rsidP="00000000" w:rsidRDefault="00000000" w:rsidRPr="00000000" w14:paraId="0000002E">
      <w:pPr>
        <w:pageBreakBefore w:val="0"/>
        <w:spacing w:line="331.2" w:lineRule="auto"/>
        <w:rPr>
          <w:b w:val="1"/>
        </w:rPr>
      </w:pPr>
      <w:r w:rsidDel="00000000" w:rsidR="00000000" w:rsidRPr="00000000">
        <w:rPr>
          <w:b w:val="1"/>
          <w:rtl w:val="0"/>
        </w:rPr>
        <w:t xml:space="preserve">Uusien kilpailijoiden uhka</w:t>
      </w:r>
    </w:p>
    <w:p w:rsidR="00000000" w:rsidDel="00000000" w:rsidP="00000000" w:rsidRDefault="00000000" w:rsidRPr="00000000" w14:paraId="0000002F">
      <w:pPr>
        <w:pageBreakBefore w:val="0"/>
        <w:numPr>
          <w:ilvl w:val="0"/>
          <w:numId w:val="2"/>
        </w:numPr>
        <w:spacing w:line="331.2" w:lineRule="auto"/>
        <w:ind w:left="2160" w:hanging="360"/>
        <w:rPr/>
      </w:pPr>
      <w:r w:rsidDel="00000000" w:rsidR="00000000" w:rsidRPr="00000000">
        <w:rPr>
          <w:rtl w:val="0"/>
        </w:rPr>
        <w:t xml:space="preserve">KV-uudet kilpailijat</w:t>
      </w:r>
    </w:p>
    <w:p w:rsidR="00000000" w:rsidDel="00000000" w:rsidP="00000000" w:rsidRDefault="00000000" w:rsidRPr="00000000" w14:paraId="00000030">
      <w:pPr>
        <w:pageBreakBefore w:val="0"/>
        <w:numPr>
          <w:ilvl w:val="0"/>
          <w:numId w:val="2"/>
        </w:numPr>
        <w:spacing w:line="331.2" w:lineRule="auto"/>
        <w:ind w:left="2160" w:hanging="360"/>
        <w:rPr>
          <w:u w:val="none"/>
        </w:rPr>
      </w:pPr>
      <w:r w:rsidDel="00000000" w:rsidR="00000000" w:rsidRPr="00000000">
        <w:rPr>
          <w:rtl w:val="0"/>
        </w:rPr>
        <w:t xml:space="preserve">Vanhojen kilpailijoiden kasvu tai heidän uudelleen keskittyminen</w:t>
      </w:r>
    </w:p>
    <w:p w:rsidR="00000000" w:rsidDel="00000000" w:rsidP="00000000" w:rsidRDefault="00000000" w:rsidRPr="00000000" w14:paraId="00000031">
      <w:pPr>
        <w:pageBreakBefore w:val="0"/>
        <w:numPr>
          <w:ilvl w:val="0"/>
          <w:numId w:val="2"/>
        </w:numPr>
        <w:spacing w:line="331.2" w:lineRule="auto"/>
        <w:ind w:left="2160" w:hanging="360"/>
        <w:rPr>
          <w:u w:val="none"/>
        </w:rPr>
      </w:pPr>
      <w:r w:rsidDel="00000000" w:rsidR="00000000" w:rsidRPr="00000000">
        <w:rPr>
          <w:rtl w:val="0"/>
        </w:rPr>
        <w:t xml:space="preserve">Tokmanilla skaalaetua suhteessa paikallisiin halpahallimyymälöihin. Vahva läsnäolo keskisuurilla ja suurilla paikkakunnilla asukasluku (yli 15 000 asukkaan paikkakunnat</w:t>
      </w:r>
    </w:p>
    <w:p w:rsidR="00000000" w:rsidDel="00000000" w:rsidP="00000000" w:rsidRDefault="00000000" w:rsidRPr="00000000" w14:paraId="00000032">
      <w:pPr>
        <w:pageBreakBefore w:val="0"/>
        <w:numPr>
          <w:ilvl w:val="0"/>
          <w:numId w:val="2"/>
        </w:numPr>
        <w:spacing w:line="331.2" w:lineRule="auto"/>
        <w:ind w:left="2160" w:hanging="360"/>
        <w:rPr>
          <w:u w:val="none"/>
        </w:rPr>
      </w:pPr>
      <w:r w:rsidDel="00000000" w:rsidR="00000000" w:rsidRPr="00000000">
        <w:rPr>
          <w:rtl w:val="0"/>
        </w:rPr>
        <w:t xml:space="preserve">Kuitenkin myymälöiden lisääminen nostaa myös kuluja huomattavasti. </w:t>
      </w:r>
    </w:p>
    <w:p w:rsidR="00000000" w:rsidDel="00000000" w:rsidP="00000000" w:rsidRDefault="00000000" w:rsidRPr="00000000" w14:paraId="00000033">
      <w:pPr>
        <w:pageBreakBefore w:val="0"/>
        <w:numPr>
          <w:ilvl w:val="1"/>
          <w:numId w:val="2"/>
        </w:numPr>
        <w:spacing w:line="331.2" w:lineRule="auto"/>
        <w:ind w:left="2880" w:hanging="360"/>
        <w:rPr>
          <w:u w:val="none"/>
        </w:rPr>
      </w:pPr>
      <w:r w:rsidDel="00000000" w:rsidR="00000000" w:rsidRPr="00000000">
        <w:rPr>
          <w:rtl w:val="0"/>
        </w:rPr>
        <w:t xml:space="preserve">lisäkapasiteetti jakelussa</w:t>
      </w:r>
    </w:p>
    <w:p w:rsidR="00000000" w:rsidDel="00000000" w:rsidP="00000000" w:rsidRDefault="00000000" w:rsidRPr="00000000" w14:paraId="00000034">
      <w:pPr>
        <w:pageBreakBefore w:val="0"/>
        <w:numPr>
          <w:ilvl w:val="1"/>
          <w:numId w:val="2"/>
        </w:numPr>
        <w:spacing w:line="331.2" w:lineRule="auto"/>
        <w:ind w:left="2880" w:hanging="360"/>
        <w:rPr>
          <w:u w:val="none"/>
        </w:rPr>
      </w:pPr>
      <w:r w:rsidDel="00000000" w:rsidR="00000000" w:rsidRPr="00000000">
        <w:rPr>
          <w:rtl w:val="0"/>
        </w:rPr>
        <w:t xml:space="preserve">uuden myymälän kiinteät kustannukset</w:t>
      </w:r>
    </w:p>
    <w:p w:rsidR="00000000" w:rsidDel="00000000" w:rsidP="00000000" w:rsidRDefault="00000000" w:rsidRPr="00000000" w14:paraId="00000035">
      <w:pPr>
        <w:pageBreakBefore w:val="0"/>
        <w:spacing w:line="331.2" w:lineRule="auto"/>
        <w:rPr>
          <w:b w:val="1"/>
        </w:rPr>
      </w:pPr>
      <w:r w:rsidDel="00000000" w:rsidR="00000000" w:rsidRPr="00000000">
        <w:rPr>
          <w:b w:val="1"/>
          <w:rtl w:val="0"/>
        </w:rPr>
        <w:t xml:space="preserve">Uhka korvaaville tuotteille</w:t>
      </w:r>
    </w:p>
    <w:p w:rsidR="00000000" w:rsidDel="00000000" w:rsidP="00000000" w:rsidRDefault="00000000" w:rsidRPr="00000000" w14:paraId="00000036">
      <w:pPr>
        <w:pageBreakBefore w:val="0"/>
        <w:numPr>
          <w:ilvl w:val="0"/>
          <w:numId w:val="1"/>
        </w:numPr>
        <w:spacing w:line="331.2" w:lineRule="auto"/>
        <w:ind w:left="2160" w:hanging="360"/>
        <w:rPr/>
      </w:pPr>
      <w:r w:rsidDel="00000000" w:rsidR="00000000" w:rsidRPr="00000000">
        <w:rPr>
          <w:rtl w:val="0"/>
        </w:rPr>
        <w:t xml:space="preserve">Vahva uhka, kilpailu päivittäistavarakaupassa kovaa. Toimialalla Tokmannia isompia toimijoita, tämän lisäksi useita pienempiä paikallisia halpatavarakauppoja</w:t>
      </w:r>
    </w:p>
    <w:p w:rsidR="00000000" w:rsidDel="00000000" w:rsidP="00000000" w:rsidRDefault="00000000" w:rsidRPr="00000000" w14:paraId="00000037">
      <w:pPr>
        <w:pageBreakBefore w:val="0"/>
        <w:spacing w:line="331.2" w:lineRule="auto"/>
        <w:rPr>
          <w:b w:val="1"/>
        </w:rPr>
      </w:pPr>
      <w:r w:rsidDel="00000000" w:rsidR="00000000" w:rsidRPr="00000000">
        <w:rPr>
          <w:rtl w:val="0"/>
        </w:rPr>
      </w:r>
    </w:p>
    <w:p w:rsidR="00000000" w:rsidDel="00000000" w:rsidP="00000000" w:rsidRDefault="00000000" w:rsidRPr="00000000" w14:paraId="00000038">
      <w:pPr>
        <w:pageBreakBefore w:val="0"/>
        <w:spacing w:line="331.2" w:lineRule="auto"/>
        <w:rPr>
          <w:b w:val="1"/>
        </w:rPr>
      </w:pPr>
      <w:r w:rsidDel="00000000" w:rsidR="00000000" w:rsidRPr="00000000">
        <w:rPr>
          <w:b w:val="1"/>
          <w:rtl w:val="0"/>
        </w:rPr>
        <w:t xml:space="preserve">Ostajien neuvotteluvoima</w:t>
      </w:r>
    </w:p>
    <w:p w:rsidR="00000000" w:rsidDel="00000000" w:rsidP="00000000" w:rsidRDefault="00000000" w:rsidRPr="00000000" w14:paraId="00000039">
      <w:pPr>
        <w:pageBreakBefore w:val="0"/>
        <w:numPr>
          <w:ilvl w:val="0"/>
          <w:numId w:val="4"/>
        </w:numPr>
        <w:spacing w:line="331.2" w:lineRule="auto"/>
        <w:ind w:left="2160" w:hanging="360"/>
        <w:rPr/>
      </w:pPr>
      <w:r w:rsidDel="00000000" w:rsidR="00000000" w:rsidRPr="00000000">
        <w:rPr>
          <w:rtl w:val="0"/>
        </w:rPr>
        <w:t xml:space="preserve">VAHVA, markkina-asema perustuu paljolti tavoitettavuuteen ja brändimielikuvaan halpuudesta. </w:t>
      </w:r>
    </w:p>
    <w:p w:rsidR="00000000" w:rsidDel="00000000" w:rsidP="00000000" w:rsidRDefault="00000000" w:rsidRPr="00000000" w14:paraId="0000003A">
      <w:pPr>
        <w:pageBreakBefore w:val="0"/>
        <w:spacing w:line="331.2" w:lineRule="auto"/>
        <w:rPr>
          <w:b w:val="1"/>
        </w:rPr>
      </w:pPr>
      <w:r w:rsidDel="00000000" w:rsidR="00000000" w:rsidRPr="00000000">
        <w:rPr>
          <w:rtl w:val="0"/>
        </w:rPr>
      </w:r>
    </w:p>
    <w:p w:rsidR="00000000" w:rsidDel="00000000" w:rsidP="00000000" w:rsidRDefault="00000000" w:rsidRPr="00000000" w14:paraId="0000003B">
      <w:pPr>
        <w:pageBreakBefore w:val="0"/>
        <w:spacing w:line="331.2" w:lineRule="auto"/>
        <w:rPr>
          <w:b w:val="1"/>
        </w:rPr>
      </w:pPr>
      <w:r w:rsidDel="00000000" w:rsidR="00000000" w:rsidRPr="00000000">
        <w:rPr>
          <w:b w:val="1"/>
          <w:rtl w:val="0"/>
        </w:rPr>
        <w:t xml:space="preserve">Toimittajien neuvotteluvoima</w:t>
      </w:r>
    </w:p>
    <w:p w:rsidR="00000000" w:rsidDel="00000000" w:rsidP="00000000" w:rsidRDefault="00000000" w:rsidRPr="00000000" w14:paraId="0000003C">
      <w:pPr>
        <w:pageBreakBefore w:val="0"/>
        <w:numPr>
          <w:ilvl w:val="0"/>
          <w:numId w:val="3"/>
        </w:numPr>
        <w:spacing w:line="331.2" w:lineRule="auto"/>
        <w:ind w:left="2160" w:hanging="360"/>
        <w:rPr/>
      </w:pPr>
      <w:r w:rsidDel="00000000" w:rsidR="00000000" w:rsidRPr="00000000">
        <w:rPr>
          <w:rtl w:val="0"/>
        </w:rPr>
        <w:t xml:space="preserve">VAHVA. Suhteellisen pieni toimija kansainvälisesti vrt esim Unilever. Myös Suomen päivittäistavaramarkkinoilla vahvempia toimijoita, jotka voivat haastaa Tokmannin neuvotteluissa tavarantoimittajien kanssa.</w:t>
      </w:r>
    </w:p>
    <w:p w:rsidR="00000000" w:rsidDel="00000000" w:rsidP="00000000" w:rsidRDefault="00000000" w:rsidRPr="00000000" w14:paraId="0000003D">
      <w:pPr>
        <w:pageBreakBefore w:val="0"/>
        <w:spacing w:line="331.2" w:lineRule="auto"/>
        <w:rPr/>
      </w:pPr>
      <w:r w:rsidDel="00000000" w:rsidR="00000000" w:rsidRPr="00000000">
        <w:rPr>
          <w:rtl w:val="0"/>
        </w:rPr>
      </w:r>
    </w:p>
    <w:p w:rsidR="00000000" w:rsidDel="00000000" w:rsidP="00000000" w:rsidRDefault="00000000" w:rsidRPr="00000000" w14:paraId="0000003E">
      <w:pPr>
        <w:pageBreakBefore w:val="0"/>
        <w:spacing w:line="431.99999999999994" w:lineRule="auto"/>
        <w:rPr/>
      </w:pPr>
      <w:r w:rsidDel="00000000" w:rsidR="00000000" w:rsidRPr="00000000">
        <w:rPr>
          <w:rtl w:val="0"/>
        </w:rPr>
        <w:t xml:space="preserve">Päivittäistavarakauppa on hyvin kilpailtu markkina. Markkinat kuitenkin muuttuvat koko ajan ja uutta kilpailua syntyy markkinoille. Tokmannin markkinaosuus on hieman alle 2 %. Näin ollen Tokmanni voi joutua kovenevaan kilpailuun mikäli joku suuremman markkinaosuuden omaavista haluaa haastaa Tokmannin hintakilpailuun. Tokmanni pyrkii erottumaan juuri kilpailijoistaan alhaisemmalla hintatasolla. Tokmannilla on laaja myymäläverkosto, mutta tämä ei kuitenkaan anna kilpailuetua, sillä niin on myös suuremman markkinaosuuden omaavilla. Tokmanni on siis selvä haastaja suhteessa pääkilpailijoihinsa S-ryhmään, K-ryhmään ja Lidl.</w:t>
      </w:r>
    </w:p>
    <w:p w:rsidR="00000000" w:rsidDel="00000000" w:rsidP="00000000" w:rsidRDefault="00000000" w:rsidRPr="00000000" w14:paraId="0000003F">
      <w:pPr>
        <w:pageBreakBefore w:val="0"/>
        <w:spacing w:line="431.99999999999994" w:lineRule="auto"/>
        <w:ind w:firstLine="720"/>
        <w:rPr/>
      </w:pPr>
      <w:r w:rsidDel="00000000" w:rsidR="00000000" w:rsidRPr="00000000">
        <w:rPr>
          <w:rtl w:val="0"/>
        </w:rPr>
        <w:t xml:space="preserve">Uutta kilpailua voi syntyä mikäli Suomen päivittäistavaramarkkinoille tulee uusi kansainvälinen kilpailija. Toisaalta pitää muistaa, että koko logistiikkaketjun rakentaminen Suomeen, jossa on vähän asukkaita suhteessa pinta-alaan, rajoittaa uusien kilpailijoiden uhkaa ns. kivijalkamyymälä konseptissa.  Toisaalta Tokmannia pienempi ketju voi lähteä laajenemaan esimerkiksi liittoutumisen kautta, lisäten näin kilpailua markkinoilla. Pienemmän ketjun ostaminen voisi olla ratkaisu myös jollekin kansainväliselle toimijalle. Verkkokaupan voidaan tietyissä määrin nähdä uhkana Tokmanille. Tokmanilla on oma verkkokauppa, mutta pääsääntöisesti tuotteet joita Tokmannilla on tarjolla on hinnaltaan ja tarpeelta sellaisia, että asiakas ei välttämättä koe saavansa suurta lisäarvoa netin kautta ostettaessa. Vaan ostaa mielummin tavaran samantien tarpeen syntyessä kivijalkakaupasta.</w:t>
      </w:r>
    </w:p>
    <w:p w:rsidR="00000000" w:rsidDel="00000000" w:rsidP="00000000" w:rsidRDefault="00000000" w:rsidRPr="00000000" w14:paraId="00000040">
      <w:pPr>
        <w:pageBreakBefore w:val="0"/>
        <w:spacing w:line="431.99999999999994" w:lineRule="auto"/>
        <w:ind w:firstLine="720"/>
        <w:rPr>
          <w:color w:val="ff0000"/>
        </w:rPr>
      </w:pPr>
      <w:r w:rsidDel="00000000" w:rsidR="00000000" w:rsidRPr="00000000">
        <w:rPr>
          <w:rtl w:val="0"/>
        </w:rPr>
        <w:t xml:space="preserve">Tokmanni pyrkii laajenemaan uusille paikkakunnille ja paremmille ostopaikoille. Skaalaetuja pohdittaessa on kuitenkin huomioitava, että jokainen uusi myymälä vaatii enemmän logistiikkaketjulta ja nostaa näin logistiikka ketjun kuluja. Skaalaetuja Tokmanni pyrkii löytäämään yhtäläisestä myymäläkonseptista.</w:t>
      </w:r>
      <w:r w:rsidDel="00000000" w:rsidR="00000000" w:rsidRPr="00000000">
        <w:rPr>
          <w:color w:val="ff0000"/>
          <w:rtl w:val="0"/>
        </w:rPr>
        <w:t xml:space="preserve"> (LISÄÄ SKAALAETUJA)</w:t>
      </w:r>
    </w:p>
    <w:p w:rsidR="00000000" w:rsidDel="00000000" w:rsidP="00000000" w:rsidRDefault="00000000" w:rsidRPr="00000000" w14:paraId="00000041">
      <w:pPr>
        <w:pageBreakBefore w:val="0"/>
        <w:spacing w:line="431.99999999999994" w:lineRule="auto"/>
        <w:ind w:firstLine="720"/>
        <w:rPr/>
      </w:pPr>
      <w:r w:rsidDel="00000000" w:rsidR="00000000" w:rsidRPr="00000000">
        <w:rPr>
          <w:rtl w:val="0"/>
        </w:rPr>
        <w:t xml:space="preserve">Tokmannin kannalta haastavaa on sen pieni koko. Listautumisella Pörssiin yhtiö pyrki hankkimaan lisää pääomia kasvattaa ketjua. Ketju on kuitenkin vielä pieni niin suomalaisilla markkinoilla kuin myös neuvotellessa kansainvälisten alihankkijoiden kanssa myytävistä tuotteista. Tokmanni ostaa myytäviä tuotteita useilta eri toimijoilta muun muassa yksi maailma isoimmista päivittäistavararoiden tuottajista Unilever.</w:t>
      </w:r>
    </w:p>
    <w:p w:rsidR="00000000" w:rsidDel="00000000" w:rsidP="00000000" w:rsidRDefault="00000000" w:rsidRPr="00000000" w14:paraId="00000042">
      <w:pPr>
        <w:pageBreakBefore w:val="0"/>
        <w:spacing w:line="431.99999999999994" w:lineRule="auto"/>
        <w:ind w:firstLine="720"/>
        <w:rPr/>
      </w:pPr>
      <w:r w:rsidDel="00000000" w:rsidR="00000000" w:rsidRPr="00000000">
        <w:rPr>
          <w:rtl w:val="0"/>
        </w:rPr>
        <w:t xml:space="preserve">Tokmannin on pyrkinyt rakentamaan kilpailuetunsa kuluttajien silmissä mielikuvaan edullisuudesta ja helposta tavoitettavuudesta ympäri Suomen. Strategia kuitenkin antaa vahvan neuvotteluaseman kuluttajille suhteessa Tokmanniin. Mikäli tuotteet eivät ole tarpeeksi edullisia, voi mielikuva helposti murentua.</w:t>
      </w:r>
    </w:p>
    <w:p w:rsidR="00000000" w:rsidDel="00000000" w:rsidP="00000000" w:rsidRDefault="00000000" w:rsidRPr="00000000" w14:paraId="00000043">
      <w:pPr>
        <w:pageBreakBefore w:val="0"/>
        <w:spacing w:line="331.2" w:lineRule="auto"/>
        <w:rPr/>
      </w:pPr>
      <w:r w:rsidDel="00000000" w:rsidR="00000000" w:rsidRPr="00000000">
        <w:rPr>
          <w:rtl w:val="0"/>
        </w:rPr>
      </w:r>
    </w:p>
    <w:p w:rsidR="00000000" w:rsidDel="00000000" w:rsidP="00000000" w:rsidRDefault="00000000" w:rsidRPr="00000000" w14:paraId="00000044">
      <w:pPr>
        <w:pageBreakBefore w:val="0"/>
        <w:spacing w:line="331.2" w:lineRule="auto"/>
        <w:rPr>
          <w:b w:val="1"/>
        </w:rPr>
      </w:pPr>
      <w:r w:rsidDel="00000000" w:rsidR="00000000" w:rsidRPr="00000000">
        <w:rPr>
          <w:rtl w:val="0"/>
        </w:rPr>
      </w:r>
    </w:p>
    <w:p w:rsidR="00000000" w:rsidDel="00000000" w:rsidP="00000000" w:rsidRDefault="00000000" w:rsidRPr="00000000" w14:paraId="00000045">
      <w:pPr>
        <w:pageBreakBefore w:val="0"/>
        <w:spacing w:line="331.2" w:lineRule="auto"/>
        <w:rPr>
          <w:b w:val="1"/>
        </w:rPr>
      </w:pPr>
      <w:r w:rsidDel="00000000" w:rsidR="00000000" w:rsidRPr="00000000">
        <w:rPr>
          <w:rtl w:val="0"/>
        </w:rPr>
      </w:r>
    </w:p>
    <w:p w:rsidR="00000000" w:rsidDel="00000000" w:rsidP="00000000" w:rsidRDefault="00000000" w:rsidRPr="00000000" w14:paraId="00000046">
      <w:pPr>
        <w:pageBreakBefore w:val="0"/>
        <w:spacing w:line="331.2" w:lineRule="auto"/>
        <w:rPr/>
      </w:pPr>
      <w:r w:rsidDel="00000000" w:rsidR="00000000" w:rsidRPr="00000000">
        <w:rPr>
          <w:rtl w:val="0"/>
        </w:rPr>
      </w:r>
    </w:p>
    <w:p w:rsidR="00000000" w:rsidDel="00000000" w:rsidP="00000000" w:rsidRDefault="00000000" w:rsidRPr="00000000" w14:paraId="00000047">
      <w:pPr>
        <w:pageBreakBefore w:val="0"/>
        <w:spacing w:line="331.2" w:lineRule="auto"/>
        <w:rPr/>
      </w:pPr>
      <w:r w:rsidDel="00000000" w:rsidR="00000000" w:rsidRPr="00000000">
        <w:rPr>
          <w:rtl w:val="0"/>
        </w:rPr>
      </w:r>
    </w:p>
    <w:p w:rsidR="00000000" w:rsidDel="00000000" w:rsidP="00000000" w:rsidRDefault="00000000" w:rsidRPr="00000000" w14:paraId="00000048">
      <w:pPr>
        <w:pageBreakBefore w:val="0"/>
        <w:spacing w:line="360" w:lineRule="auto"/>
        <w:rPr/>
      </w:pPr>
      <w:r w:rsidDel="00000000" w:rsidR="00000000" w:rsidRPr="00000000">
        <w:rPr>
          <w:rtl w:val="0"/>
        </w:rPr>
      </w:r>
    </w:p>
    <w:p w:rsidR="00000000" w:rsidDel="00000000" w:rsidP="00000000" w:rsidRDefault="00000000" w:rsidRPr="00000000" w14:paraId="00000049">
      <w:pPr>
        <w:pageBreakBefore w:val="0"/>
        <w:spacing w:line="360" w:lineRule="auto"/>
        <w:rPr/>
      </w:pPr>
      <w:r w:rsidDel="00000000" w:rsidR="00000000" w:rsidRPr="00000000">
        <w:rPr>
          <w:rtl w:val="0"/>
        </w:rPr>
      </w:r>
    </w:p>
    <w:p w:rsidR="00000000" w:rsidDel="00000000" w:rsidP="00000000" w:rsidRDefault="00000000" w:rsidRPr="00000000" w14:paraId="0000004A">
      <w:pPr>
        <w:pageBreakBefore w:val="0"/>
        <w:spacing w:line="360" w:lineRule="auto"/>
        <w:rPr/>
      </w:pPr>
      <w:r w:rsidDel="00000000" w:rsidR="00000000" w:rsidRPr="00000000">
        <w:rPr>
          <w:rtl w:val="0"/>
        </w:rPr>
      </w:r>
    </w:p>
    <w:p w:rsidR="00000000" w:rsidDel="00000000" w:rsidP="00000000" w:rsidRDefault="00000000" w:rsidRPr="00000000" w14:paraId="0000004B">
      <w:pPr>
        <w:pageBreakBefore w:val="0"/>
        <w:spacing w:line="360" w:lineRule="auto"/>
        <w:rPr/>
      </w:pPr>
      <w:r w:rsidDel="00000000" w:rsidR="00000000" w:rsidRPr="00000000">
        <w:rPr>
          <w:rtl w:val="0"/>
        </w:rPr>
      </w:r>
    </w:p>
    <w:p w:rsidR="00000000" w:rsidDel="00000000" w:rsidP="00000000" w:rsidRDefault="00000000" w:rsidRPr="00000000" w14:paraId="0000004C">
      <w:pPr>
        <w:pageBreakBefore w:val="0"/>
        <w:spacing w:line="360" w:lineRule="auto"/>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ty.fi/julkaisut/tilastot/" TargetMode="External"/><Relationship Id="rId7" Type="http://schemas.openxmlformats.org/officeDocument/2006/relationships/hyperlink" Target="https://ir.tokmanni.fi/fi/tokmanni-as-an-investment/operat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