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ageBreakBefore w:val="0"/>
        <w:spacing w:after="360" w:before="720" w:lineRule="auto"/>
        <w:ind w:left="860" w:firstLine="0"/>
        <w:rPr>
          <w:b w:val="1"/>
          <w:i w:val="1"/>
          <w:color w:val="000000"/>
          <w:sz w:val="22"/>
          <w:szCs w:val="22"/>
        </w:rPr>
      </w:pPr>
      <w:bookmarkStart w:colFirst="0" w:colLast="0" w:name="_495wlef5qmlv" w:id="0"/>
      <w:bookmarkEnd w:id="0"/>
      <w:r w:rsidDel="00000000" w:rsidR="00000000" w:rsidRPr="00000000">
        <w:rPr>
          <w:b w:val="1"/>
          <w:i w:val="1"/>
          <w:color w:val="000000"/>
          <w:sz w:val="22"/>
          <w:szCs w:val="22"/>
          <w:rtl w:val="0"/>
        </w:rPr>
        <w:t xml:space="preserve">1.1.1</w:t>
      </w:r>
      <w:r w:rsidDel="00000000" w:rsidR="00000000" w:rsidRPr="00000000">
        <w:rPr>
          <w:b w:val="1"/>
          <w:color w:val="000000"/>
          <w:sz w:val="26"/>
          <w:szCs w:val="26"/>
          <w:rtl w:val="0"/>
        </w:rPr>
        <w:t xml:space="preserve">           </w:t>
      </w:r>
      <w:r w:rsidDel="00000000" w:rsidR="00000000" w:rsidRPr="00000000">
        <w:rPr>
          <w:b w:val="1"/>
          <w:i w:val="1"/>
          <w:color w:val="000000"/>
          <w:sz w:val="22"/>
          <w:szCs w:val="22"/>
          <w:rtl w:val="0"/>
        </w:rPr>
        <w:t xml:space="preserve">arvostamis-, tulouttamis-, ja kulukirjaamiskäytännöt</w:t>
      </w:r>
    </w:p>
    <w:p w:rsidR="00000000" w:rsidDel="00000000" w:rsidP="00000000" w:rsidRDefault="00000000" w:rsidRPr="00000000" w14:paraId="00000002">
      <w:pPr>
        <w:pageBreakBefore w:val="0"/>
        <w:spacing w:line="331.2" w:lineRule="auto"/>
        <w:ind w:firstLine="720"/>
        <w:rPr/>
      </w:pPr>
      <w:r w:rsidDel="00000000" w:rsidR="00000000" w:rsidRPr="00000000">
        <w:rPr>
          <w:rtl w:val="0"/>
        </w:rPr>
        <w:t xml:space="preserve">Tokmanni käyttää mielestäni arvostamisen osalta neutraalia arvostamisen menetelmää. Tilinpäätöksen laatimisperiaatteiden mukaan. Näin ollen en näe tarpeellisena tehdä suurempia oikaisuja käyttöomaisuuden tai vaihto-omaisuuden arvostamiseen. Esimerkiksi vaihto-omaisuuden arvostamisessa Tokmanni käyttää joko hankintamenoa tai nettorealisointiarvoa sen mukaan, kumpi arvoista on alempi. Hankitamenot määritellään painotetun keskihinnan menetelmällä. Keskiarvon käyttäminen voi synnyttää arvonmäärittelyyn kuitenkin ongelman, mikäli ostetun hyödykkeen hinta nousee huomattavasti tilikauden aikana, tällöin kulujen kasvu ei täysimääräisesti kirjaudu taseeseen. Nettorealisointiarvo on tavanomaisessa liiketoiminnassa saatava arvioitu myyntihinta, josta on vähennetty arvioidut tuotteen menot ja arvioidut myynnin toteutumiseksi välttämättömät menot. Nettorealisointiarvo sisältää huomattavasti arviointia ja näin ollen arvoissa voi olla eroavaisuutta todellisiin arvoihin verrattuna. </w:t>
      </w:r>
    </w:p>
    <w:p w:rsidR="00000000" w:rsidDel="00000000" w:rsidP="00000000" w:rsidRDefault="00000000" w:rsidRPr="00000000" w14:paraId="00000003">
      <w:pPr>
        <w:pageBreakBefore w:val="0"/>
        <w:spacing w:line="331.2" w:lineRule="auto"/>
        <w:ind w:firstLine="720"/>
        <w:rPr/>
      </w:pPr>
      <w:r w:rsidDel="00000000" w:rsidR="00000000" w:rsidRPr="00000000">
        <w:rPr>
          <w:rtl w:val="0"/>
        </w:rPr>
        <w:t xml:space="preserve">Päivittäistavarakauppaa harjoittavan yrityksen kohdalla on tärkeää arvostamisen kannalta kuinka yritys käsittelee tuotteita jotka eivät ole menneet kaupaksi. Tokmanni luokittelee  vaihto‐omaisuuteen kuuluvat nimikkeet eri ryhmiin niiden kiertoaikojen perusteella ja hitaimmin kiertävistä tuotteista kirjataan arvonalentumistappiot. Arvonalentumiskirjausten tekeminen edellyttää harkinnan käyttöä ja arvioita esimerkiksi tuotteiden tulevasta kysynnästä. Näiden arvioiden muutokset voivat vaikuttaa vaihto‐omaisuuden arvostamiseen tulevilla kausilla. </w:t>
      </w:r>
    </w:p>
    <w:p w:rsidR="00000000" w:rsidDel="00000000" w:rsidP="00000000" w:rsidRDefault="00000000" w:rsidRPr="00000000" w14:paraId="00000004">
      <w:pPr>
        <w:pageBreakBefore w:val="0"/>
        <w:spacing w:line="331.2" w:lineRule="auto"/>
        <w:ind w:firstLine="720"/>
        <w:rPr/>
      </w:pPr>
      <w:r w:rsidDel="00000000" w:rsidR="00000000" w:rsidRPr="00000000">
        <w:rPr>
          <w:rtl w:val="0"/>
        </w:rPr>
        <w:t xml:space="preserve">Aineettoman ja aineellisten käyttöomaisuushyödykkeiden arvostamisen kohdata en löytänyt mitään poikkeavaa. Poistot tehdään tasapoistoin ja poistoajat vaihtelevat omaisuuden arvioiden vaikutusajan mukaan. Myyntivoitot ja tappiot kirjataan tulosvaikutteisesti ja ne esitetään liiketoiminnan muissa tuotoissa ja kuluissa. </w:t>
      </w:r>
    </w:p>
    <w:p w:rsidR="00000000" w:rsidDel="00000000" w:rsidP="00000000" w:rsidRDefault="00000000" w:rsidRPr="00000000" w14:paraId="00000005">
      <w:pPr>
        <w:pageBreakBefore w:val="0"/>
        <w:spacing w:line="331.2" w:lineRule="auto"/>
        <w:ind w:left="0" w:firstLine="720"/>
        <w:rPr/>
      </w:pPr>
      <w:r w:rsidDel="00000000" w:rsidR="00000000" w:rsidRPr="00000000">
        <w:rPr>
          <w:rtl w:val="0"/>
        </w:rPr>
        <w:t xml:space="preserve"> Liikevaihtoon luetaan tavaroiden myynti ja liikevaihtoa laskettaessa myyntituottoja oikaistaan välillisillä veroilla sekä myynnin oikaisuerillä. Tuotot tavaroiden myynnistä kirjataan, kun tavaroiden omistamiseen liittyvät merkittävät riskit, edut ja määräysvalta ovat siirtyneet ostajalle ja on todennäköistä, että myyntiin liittyvä taloudellinen hyöty koituu konsernille. Suurin osa myynnistä on käteis- ja luottokorttimyyntiä, joten myyntituottojen tuloutus tapahtuu tuotteiden luovutuksen yhteydessä. Liiketoiminnan muut tuotot sisältävät pääasiassa vuokra- ja palvelumyyntituottoja. Tokmannin kohdalla tulouttamisperiaatteet eivät aiheuta oikaisuvaatimuksia analyyseihin, sillä myynti tapahtuu pitkälti käteiskauppana, eikä myyntiin sisälly luotolle myyntiä.  </w:t>
      </w:r>
    </w:p>
    <w:p w:rsidR="00000000" w:rsidDel="00000000" w:rsidP="00000000" w:rsidRDefault="00000000" w:rsidRPr="00000000" w14:paraId="00000006">
      <w:pPr>
        <w:pageBreakBefore w:val="0"/>
        <w:spacing w:line="331.2" w:lineRule="auto"/>
        <w:rPr/>
      </w:pPr>
      <w:r w:rsidDel="00000000" w:rsidR="00000000" w:rsidRPr="00000000">
        <w:rPr>
          <w:rtl w:val="0"/>
        </w:rPr>
      </w:r>
    </w:p>
    <w:p w:rsidR="00000000" w:rsidDel="00000000" w:rsidP="00000000" w:rsidRDefault="00000000" w:rsidRPr="00000000" w14:paraId="00000007">
      <w:pPr>
        <w:pageBreakBefore w:val="0"/>
        <w:spacing w:line="331.2" w:lineRule="auto"/>
        <w:rPr/>
      </w:pPr>
      <w:r w:rsidDel="00000000" w:rsidR="00000000" w:rsidRPr="00000000">
        <w:rPr>
          <w:rtl w:val="0"/>
        </w:rPr>
      </w:r>
    </w:p>
    <w:p w:rsidR="00000000" w:rsidDel="00000000" w:rsidP="00000000" w:rsidRDefault="00000000" w:rsidRPr="00000000" w14:paraId="00000008">
      <w:pPr>
        <w:pageBreakBefore w:val="0"/>
        <w:spacing w:line="331.2" w:lineRule="auto"/>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