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Tämä tilinpäätös on laadittu kansainvälisten tilinpäätösstandardien (International Financial Reporting Standards, IFRS) mukaisesti, ja sitä laadittaessa on noudatettu 31.12.2016 voimassa olevia IAS- ja IFRSstandardeja sekä SIC- ja IFRIC-tulkintoja. Kansainvälisillä tilinpäätösstandardeilla tarkoitetaan Suomen kirjanpitolaissa ja sen nojalla annetuissa säännöksissä EU:n asetuksessa (EY) N:o 1606/2002 säädetyn menettelyn mukaisesti EU:ssa sovellettaviksi hyväksyttyjä standardeja ja niistä annettuja tulkintoja. Konsernitilinpäätöksen liitetiedot ovat myös suomalaisten, IFRS-säännöksiä täydentävien kirjanpito- ja yhteisölainsäädännön vaatimusten mukaiset.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Konserni harjoittaa tukku-, vähittäis- ja erikoistavarakauppaa. Liikevaihtoon luetaan tavaroiden myynti ja liikevaihtoa laskettaessa myyntituottoja oikaistaan välillisillä veroilla sekä myynnin oikaisuerillä. Tuotot tavaroiden myynnistä kirjataan, kun tavaroiden omistamiseen liittyvät merkittävät riskit, edut ja määräysvalta ovat siirtyneet ostajalle ja on todennäköistä, että myyntiin liittyvä taloudellinen hyöty koituu konsernille. Suurin osa myynnistä on käteis- ja luottokorttimyyntiä, joten myyntituottojen tuloutus tapahtuu tuotteiden luovutuksen yhteydessä. Liiketoiminnan muut tuotot sisältävät pääasiassa vuokra- ja palvelumyyntituottoja.</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Tilinpäätöstiedot perustuvat alkuperäisiin hankintamenoihin, jollei laatimisperiaatteissa ole muuta kerrottu. Konsernitilinpäätös on esitetty euroina, joka on konsernin emoyhtiön toiminta- ja esittämisvaluutta.</w:t>
      </w:r>
    </w:p>
    <w:p w:rsidR="00000000" w:rsidDel="00000000" w:rsidP="00000000" w:rsidRDefault="00000000" w:rsidRPr="00000000" w14:paraId="00000007">
      <w:pPr>
        <w:pageBreakBefore w:val="0"/>
        <w:rPr/>
      </w:pPr>
      <w:r w:rsidDel="00000000" w:rsidR="00000000" w:rsidRPr="00000000">
        <w:rPr>
          <w:rtl w:val="0"/>
        </w:rPr>
        <w:t xml:space="preserve">Tilinpäätöstiedot esitetään miljoonina euroina, ellei muuta ole todettu. </w:t>
      </w:r>
    </w:p>
    <w:p w:rsidR="00000000" w:rsidDel="00000000" w:rsidP="00000000" w:rsidRDefault="00000000" w:rsidRPr="00000000" w14:paraId="00000008">
      <w:pPr>
        <w:pageBreakBefore w:val="0"/>
        <w:rPr/>
      </w:pP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t xml:space="preserve">Konsernin johto tekee harkintaan perustuvia ratkaisuja, jotka koskevat tilinpäätöksen laatimisperiaatteiden valintaa ja niiden soveltamista. Johto on käyttänyt harkintaa tilinpäätöksen laatimisperiaatteiden soveltamisessa liittyen vaihto-omaisuuden arvostukseen ja vuokrasopimusten luokitteluun. Tietoa harkintaan perustuvista ratkaisuista esitetään kohdassa ”Johdon harkintaa edellyttävät laatimisperiaatteet ja arvioihin liittyvät keskeiset epävarmuustekijät”.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Konsernitilinpäätös sisältää emoyhtiön, Tokmanni Group Oyj:n, lisäksi tytäryhtiöt, joissa konsernilla on määräysvalta. Määräysvallan katsotaan syntyvän, kun konserni olemalla osallisena yhteisössä altistuu yhteisön muuttuvalle tuotolle tai konserni on oikeutettu sen muuttuvaan tuottoon ja konserni pystyy vaikuttamaan tähän tuottoon käyttämällä yhteisöä koskevaa valtaansa. Käytännössä määräysvalta syntyy yleensä silloin, kun konserni omistaa yli puolet tytäryhtiön äänivallasta. Hankitut tytäryhtiöt on yhdistelty konsernitilinpäätökseen siitä ajankohdasta lähtien, jona konserni on saanut määräysvallan ja ne yhdistellään konsernitilinpäätökseen siihen saakka, kun määräysvalta lakkaa. </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pPr>
      <w:r w:rsidDel="00000000" w:rsidR="00000000" w:rsidRPr="00000000">
        <w:rPr>
          <w:rtl w:val="0"/>
        </w:rPr>
        <w:t xml:space="preserve">Konsernin sisäiset liiketapahtumat, saamiset ja velat, realisoitumattomat voitot ja sisäinen voitonjako on eliminoitu konsernitilinpäätöstä laadittaessa. Realisoitumattomia tappioita ei eliminoida, mikäli tappio aiheutuu omaisuuserän arvon alentumisesta.  </w:t>
      </w:r>
    </w:p>
    <w:p w:rsidR="00000000" w:rsidDel="00000000" w:rsidP="00000000" w:rsidRDefault="00000000" w:rsidRPr="00000000" w14:paraId="0000000E">
      <w:pPr>
        <w:pageBreakBefore w:val="0"/>
        <w:rPr/>
      </w:pP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t xml:space="preserve">Keskinäinen osakkeenomistus konsernissa eliminoidaan hankintamenetelmää käyttäen. Luovutettu vastike ja hankitun yrityksen yksilöitävissä olevat varat sekä vastattavaksi otetut velat arvostetaan hankintahetken käypään arvoon. Hankintaan liittyvät menot kirjataan kuluksi, pois lukien vieraan tai oman pääoman ehtoisten arvopapereiden liikkeeseen laskusta aiheutuneet kulut. Luovutettu vastike ei sisällä hankinnasta erillisenä käsiteltäviä liiketoimia, joiden vaikutus huomioidaan hankinnan yhteydessä tulosvaikutteisesti. Konsernissa ei ollut määräysvallattomien omistajien osuuksia 31.12.2016 eikä 31.12.2015. Tytäryhtiöiden hankinnoista sekä liiketoimintakaupasta syntyneen liikearvon käsittelytapa kuvataan jäljempänä laatimisperiaatteiden kohdassa ”Liikearvo”.</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t xml:space="preserve">Vaihto-omaisuus</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Vaihto-omaisuus arvostetaan hankintamenoon tai nettorealisointiarvoon sen mukaan, kumpi näistä on alempi. Hankintameno määritetään painotetun keskihinnan menetelmää käyttäen. Valmiiden tuotteiden hankintamenoon luetaan kaikki ostomenot mukaan lukien välittömät kuljetus- ja käsittelymenot sekä muut menot. Nettorealisointiarvo on tavanomaisessa liiketoiminnassa saatava arvioitu myyntihinta, josta on vähennetty arvioidut tuotteen menot ja arvioidut myynnin toteutumiseksi välttämättömät menot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Konsernin vaihto‐omaisuuteen kuuluvat nimikkeet luokitellaan eri ryhmiin niiden kiertoaikojen perusteella ja hitaimmin kiertävistä tuotteista kirjataan arvonalentumistappiot. Arvonalentumiskirjausten tekeminen edellyttää harkinnan käyttöä ja arvioita esimerkiksi tuotteiden tulevasta kysynnästä. Näiden arvioiden muutokset voivat vaikuttaa vaihto‐omaisuuden arvostamiseen tulevilla kausilla.</w:t>
      </w:r>
    </w:p>
    <w:p w:rsidR="00000000" w:rsidDel="00000000" w:rsidP="00000000" w:rsidRDefault="00000000" w:rsidRPr="00000000" w14:paraId="00000016">
      <w:pPr>
        <w:pageBreakBefore w:val="0"/>
        <w:rPr/>
      </w:pP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Liikearvon arvonalentumistestaus</w:t>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t xml:space="preserve">Arvonalentumistestauksessa konserni joutuu arvioimaan viitteitä arvonalentumisista käyttäen hyväksi sekä sisäisiä ja ulkoisia tietolähteitä. Konsernin johdon on tehtävä arvioita analysoidessaan näistä lähteistä saatavia tietoja ja tehdessään johtopäätöksiä. Määrittäessään käyttöarvoa konserni tekee arvioita tulevasta markkinakehityksestä, kuten kasvuvauhdista ja kannattavuudesta. Vaikutuksiltaan merkittävimpiä arvioiden perustana olevia tekijöitä ovat keskimääräinen liikevoittotaso (EBIT/liikevaihto) ja diskonttauskorko. Näiden oletusten muutokset voivat vaikuttaa olennaisesti arvioituihin tulevaisuudessa kertyviin rahavirtoihin. Liitetietojen kohdassa 10 Liikearvo on esitetty lisätietoja kerrytettävissä olevan rahamäärän herkkyydestä käytettyjen oletusten muutoksille.</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t xml:space="preserve">Aineelliset käyttöomaisuushyödykkeet</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Aineelliset käyttöomaisuushyödykkeet muodostuvat maaalueista, rakennuksista ja niihin liittyvistä perusparannusmenoista sekä koneista ja kalustosta. Aineelliset käyttöomaisuushyödykkeet on arvostettu</w:t>
      </w:r>
    </w:p>
    <w:p w:rsidR="00000000" w:rsidDel="00000000" w:rsidP="00000000" w:rsidRDefault="00000000" w:rsidRPr="00000000" w14:paraId="0000001E">
      <w:pPr>
        <w:pageBreakBefore w:val="0"/>
        <w:rPr/>
      </w:pPr>
      <w:r w:rsidDel="00000000" w:rsidR="00000000" w:rsidRPr="00000000">
        <w:rPr>
          <w:rtl w:val="0"/>
        </w:rPr>
        <w:t xml:space="preserve">taseessa hankintamenoon vähennettynä kertyneillä poistoilla sekä mahdollisilla arvonalentumistappioilla.</w:t>
      </w:r>
    </w:p>
    <w:p w:rsidR="00000000" w:rsidDel="00000000" w:rsidP="00000000" w:rsidRDefault="00000000" w:rsidRPr="00000000" w14:paraId="0000001F">
      <w:pPr>
        <w:pageBreakBefore w:val="0"/>
        <w:rPr/>
      </w:pPr>
      <w:r w:rsidDel="00000000" w:rsidR="00000000" w:rsidRPr="00000000">
        <w:rPr>
          <w:rtl w:val="0"/>
        </w:rPr>
        <w:t xml:space="preserve"> </w:t>
      </w:r>
    </w:p>
    <w:p w:rsidR="00000000" w:rsidDel="00000000" w:rsidP="00000000" w:rsidRDefault="00000000" w:rsidRPr="00000000" w14:paraId="00000020">
      <w:pPr>
        <w:pageBreakBefore w:val="0"/>
        <w:rPr/>
      </w:pPr>
      <w:r w:rsidDel="00000000" w:rsidR="00000000" w:rsidRPr="00000000">
        <w:rPr>
          <w:rtl w:val="0"/>
        </w:rPr>
        <w:t xml:space="preserve">Hyödykkeistä, lukuun ottamatta maa-alueita, tehdään tasapoistot arvioidun taloudellisen vaikutusajan kuluessa, maa-alueista ei tehdä poistoja. Poistojen tekeminen aloitetaan, kun omaisuuserä on valmis käytettäväksi ja kun se pystyy toimimaan johdon tarkoittamalla tavalla. Kun aineellinen käyttöomaisuushyödyke luokitellaan myytävänä olevaksi IFRS 5 Myytävänä olevat pitkäaikaiset omaisuuserät ja lopetetut toiminnot standardin mukaisesti, poistoja ei enää kirjata. </w:t>
      </w:r>
    </w:p>
    <w:p w:rsidR="00000000" w:rsidDel="00000000" w:rsidP="00000000" w:rsidRDefault="00000000" w:rsidRPr="00000000" w14:paraId="00000021">
      <w:pPr>
        <w:pageBreakBefore w:val="0"/>
        <w:rPr/>
      </w:pPr>
      <w:r w:rsidDel="00000000" w:rsidR="00000000" w:rsidRPr="00000000">
        <w:rPr>
          <w:rtl w:val="0"/>
        </w:rPr>
        <w:t xml:space="preserve"> </w:t>
      </w:r>
    </w:p>
    <w:p w:rsidR="00000000" w:rsidDel="00000000" w:rsidP="00000000" w:rsidRDefault="00000000" w:rsidRPr="00000000" w14:paraId="00000022">
      <w:pPr>
        <w:pageBreakBefore w:val="0"/>
        <w:rPr/>
      </w:pPr>
      <w:r w:rsidDel="00000000" w:rsidR="00000000" w:rsidRPr="00000000">
        <w:rPr>
          <w:rtl w:val="0"/>
        </w:rPr>
        <w:t xml:space="preserve">Arvioidut taloudelliset vaikutusajat ovat seuraavat:</w:t>
      </w:r>
    </w:p>
    <w:p w:rsidR="00000000" w:rsidDel="00000000" w:rsidP="00000000" w:rsidRDefault="00000000" w:rsidRPr="00000000" w14:paraId="00000023">
      <w:pPr>
        <w:pageBreakBefore w:val="0"/>
        <w:rPr/>
      </w:pPr>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t xml:space="preserve">Rakennukset ja rakennelmat 15  vuotta Koneet ja kalusto 5 vuotta</w:t>
      </w:r>
    </w:p>
    <w:p w:rsidR="00000000" w:rsidDel="00000000" w:rsidP="00000000" w:rsidRDefault="00000000" w:rsidRPr="00000000" w14:paraId="00000025">
      <w:pPr>
        <w:pageBreakBefore w:val="0"/>
        <w:rPr/>
      </w:pPr>
      <w:r w:rsidDel="00000000" w:rsidR="00000000" w:rsidRPr="00000000">
        <w:rPr>
          <w:rtl w:val="0"/>
        </w:rPr>
        <w:t xml:space="preserve"> </w:t>
      </w:r>
    </w:p>
    <w:p w:rsidR="00000000" w:rsidDel="00000000" w:rsidP="00000000" w:rsidRDefault="00000000" w:rsidRPr="00000000" w14:paraId="00000026">
      <w:pPr>
        <w:pageBreakBefore w:val="0"/>
        <w:rPr/>
      </w:pPr>
      <w:r w:rsidDel="00000000" w:rsidR="00000000" w:rsidRPr="00000000">
        <w:rPr>
          <w:rtl w:val="0"/>
        </w:rPr>
        <w:t xml:space="preserve">Aineellisten käyttöomaisuushyödykkeiden käytöstä poistamisesta ja luovutuksista syntyvät myyntivoitot ja tappiot kirjataan tulosvaikutteisesti ja ne esitetään liiketoiminnan muissa tuotoissa tai kuluissa. Myyntivoitto tai -tappio määritetään myyntihinnan ja jäljellä olevan hankintamenon erotuksena. Aineellisten käyttöomaisuushyödykkeiden normaalit korjaus-, huolto- ja ylläpitomenot kirjataan kuluiksi tuloslaskelmaan sillä kaudella, jonka aikana ne toteutuvat.</w:t>
      </w:r>
    </w:p>
    <w:p w:rsidR="00000000" w:rsidDel="00000000" w:rsidP="00000000" w:rsidRDefault="00000000" w:rsidRPr="00000000" w14:paraId="00000027">
      <w:pPr>
        <w:pageBreakBefore w:val="0"/>
        <w:rPr/>
      </w:pPr>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t xml:space="preserve">Omaisuuserän jäännösarvo, taloudellinen vaikutusaika ja poistomenetelmä tarkistetaan vähintään jokaisen tilikauden lopussa ja tarvittaessa oikaistaan kuvaamaan taloudellisen hyödyn odotuksissa tapahtuneita muutoksia.</w:t>
      </w:r>
    </w:p>
    <w:p w:rsidR="00000000" w:rsidDel="00000000" w:rsidP="00000000" w:rsidRDefault="00000000" w:rsidRPr="00000000" w14:paraId="00000029">
      <w:pPr>
        <w:pageBreakBefore w:val="0"/>
        <w:rPr/>
      </w:pPr>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rtl w:val="0"/>
        </w:rPr>
        <w:t xml:space="preserve">Aineettomat hyödykkeet</w:t>
      </w:r>
    </w:p>
    <w:p w:rsidR="00000000" w:rsidDel="00000000" w:rsidP="00000000" w:rsidRDefault="00000000" w:rsidRPr="00000000" w14:paraId="0000002B">
      <w:pPr>
        <w:pageBreakBefore w:val="0"/>
        <w:rPr/>
      </w:pPr>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rtl w:val="0"/>
        </w:rPr>
        <w:t xml:space="preserve">Liikearvo</w:t>
      </w:r>
    </w:p>
    <w:p w:rsidR="00000000" w:rsidDel="00000000" w:rsidP="00000000" w:rsidRDefault="00000000" w:rsidRPr="00000000" w14:paraId="0000002D">
      <w:pPr>
        <w:pageBreakBefore w:val="0"/>
        <w:rPr/>
      </w:pPr>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t xml:space="preserve">Liiketoimintojen yhdistymisestä syntyvä liikearvo kirjataan määrään jolla luovutettu vastike, määräysvallattomien omistajien osuus hankinnan kohteesta ja aiemmin omistettu osuus yhteen laskettuina ylittävät hankitun nettovarallisuuden käyvän arvon. Ennen 1.1.2013 tapahtuneiden liiketoimintojen yhdistymisistä syntynyt liikearvo vastaa aiemman suomalaisen tilinpäätösnormiston mukaista kirjanpitoarvoa, jota on käytetty IFRS 1 -standardin mukaisena oletushankintamenona.</w:t>
      </w:r>
    </w:p>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Liikearvoista ei kirjata poistoja, vaan ne testataan mahdollisen arvonalentumisen varalta vuosittain ja lisäksi aina, kun on viitteitä arvonalentumisesta. Liikearvo arvostetaan IFRS- siirtymän yhteydessä määritettyyn oletushankintamenoon vähennettynä arvonalentumisilla.</w:t>
      </w:r>
    </w:p>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t xml:space="preserve">Muut aineettomat hyödykkeet</w:t>
      </w:r>
    </w:p>
    <w:p w:rsidR="00000000" w:rsidDel="00000000" w:rsidP="00000000" w:rsidRDefault="00000000" w:rsidRPr="00000000" w14:paraId="00000033">
      <w:pPr>
        <w:pageBreakBefore w:val="0"/>
        <w:rPr/>
      </w:pPr>
      <w:r w:rsidDel="00000000" w:rsidR="00000000" w:rsidRPr="00000000">
        <w:rPr>
          <w:rtl w:val="0"/>
        </w:rPr>
        <w:t xml:space="preserve"> </w:t>
      </w:r>
    </w:p>
    <w:p w:rsidR="00000000" w:rsidDel="00000000" w:rsidP="00000000" w:rsidRDefault="00000000" w:rsidRPr="00000000" w14:paraId="00000034">
      <w:pPr>
        <w:pageBreakBefore w:val="0"/>
        <w:rPr/>
      </w:pPr>
      <w:r w:rsidDel="00000000" w:rsidR="00000000" w:rsidRPr="00000000">
        <w:rPr>
          <w:rtl w:val="0"/>
        </w:rPr>
        <w:t xml:space="preserve">Aineeton hyödyke merkitään taseeseen alun perin hankintamenoon siinä tapauksessa, että hankintameno on määritettävissä luotettavasti ja on todennäköistä, että omaisuuserästä johtuva odotettavissa oleva taloudellinen hyöty koituu konsernin hyväksi. Konsernin muut aineettomat hyödykkeet koostuvat pääasiassa ITohjelmista ja lisensseistä. Ne arvostetaan hankintamenoon vähennettyinä poistoilla ja arvonalentumistappioilla. Hankintameno muodostuu</w:t>
      </w:r>
    </w:p>
    <w:p w:rsidR="00000000" w:rsidDel="00000000" w:rsidP="00000000" w:rsidRDefault="00000000" w:rsidRPr="00000000" w14:paraId="00000035">
      <w:pPr>
        <w:pageBreakBefore w:val="0"/>
        <w:rPr/>
      </w:pPr>
      <w:r w:rsidDel="00000000" w:rsidR="00000000" w:rsidRPr="00000000">
        <w:rPr>
          <w:rtl w:val="0"/>
        </w:rPr>
        <w:t xml:space="preserve">19</w:t>
      </w:r>
    </w:p>
    <w:p w:rsidR="00000000" w:rsidDel="00000000" w:rsidP="00000000" w:rsidRDefault="00000000" w:rsidRPr="00000000" w14:paraId="00000036">
      <w:pPr>
        <w:pageBreakBefore w:val="0"/>
        <w:rPr/>
      </w:pPr>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tl w:val="0"/>
        </w:rPr>
        <w:t xml:space="preserve">ostohinnasta ja kaikista niistä menoista, jotka välittömästi johtuvat hyödykkeen saattamisesta valmiiksi käyttötarkoitustaan varten.</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Aineettomista hyödykkeistä, joilla on rajallinen taloudellinen vaikutusaika, kirjataan tasapoistot niiden tunnetun tai arvioidun taloudellisen vaikutusajan kuluessa. Määräaikaan sidotut aineettomat hyödykkeet kirjataan poistoina kuluiksi sopimuskauden kuluessa. Poistojen kirjaaminen lopetetaan silloin, kun aineeton hyödyke luokitellaan myytävänä olevaksi. Muiden aineettomien hyödykkeiden poistoaika on keskimäärin viisi vuotta.</w:t>
      </w:r>
    </w:p>
    <w:p w:rsidR="00000000" w:rsidDel="00000000" w:rsidP="00000000" w:rsidRDefault="00000000" w:rsidRPr="00000000" w14:paraId="0000003A">
      <w:pPr>
        <w:pageBreakBefore w:val="0"/>
        <w:rPr/>
      </w:pPr>
      <w:r w:rsidDel="00000000" w:rsidR="00000000" w:rsidRPr="00000000">
        <w:rPr>
          <w:rtl w:val="0"/>
        </w:rPr>
        <w:t xml:space="preserve"> </w:t>
      </w:r>
    </w:p>
    <w:p w:rsidR="00000000" w:rsidDel="00000000" w:rsidP="00000000" w:rsidRDefault="00000000" w:rsidRPr="00000000" w14:paraId="0000003B">
      <w:pPr>
        <w:pageBreakBefore w:val="0"/>
        <w:rPr/>
      </w:pPr>
      <w:r w:rsidDel="00000000" w:rsidR="00000000" w:rsidRPr="00000000">
        <w:rPr>
          <w:rtl w:val="0"/>
        </w:rPr>
        <w:t xml:space="preserve">Arvioidut taloudelliset vaikutusajat ja jäännösarvot tarkistetaan vähintään jokaisen tilikauden päättymispäivänä, ja jos ne eroavat merkittävästi aikaisemmista arvioista, poistoaikoja muutetaan vastaavasti.</w:t>
      </w:r>
    </w:p>
    <w:p w:rsidR="00000000" w:rsidDel="00000000" w:rsidP="00000000" w:rsidRDefault="00000000" w:rsidRPr="00000000" w14:paraId="0000003C">
      <w:pPr>
        <w:pageBreakBefore w:val="0"/>
        <w:rPr/>
      </w:pPr>
      <w:r w:rsidDel="00000000" w:rsidR="00000000" w:rsidRPr="00000000">
        <w:rPr>
          <w:rtl w:val="0"/>
        </w:rPr>
        <w:t xml:space="preserve"> </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