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ZENITH CORPORATION</w:t>
      </w:r>
    </w:p>
    <w:p>
      <w:pPr>
        <w:jc w:val="center"/>
      </w:pPr>
      <w:r>
        <w:rPr>
          <w:b/>
          <w:sz w:val="28"/>
        </w:rPr>
        <w:t>Global Business Travel &amp; Entertainment Expenses Policy</w:t>
      </w:r>
    </w:p>
    <w:p>
      <w:r>
        <w:t>Policy Number: ZEN-TRAVEL-2025-01</w:t>
      </w:r>
    </w:p>
    <w:p>
      <w:r>
        <w:t>Classification: GLOBAL - APPLIES TO ALL REGIONS</w:t>
      </w:r>
    </w:p>
    <w:p>
      <w:r>
        <w:t>Effective Date: January 1, 2025</w:t>
      </w:r>
    </w:p>
    <w:p/>
    <w:p>
      <w:pPr>
        <w:pStyle w:val="Heading2"/>
      </w:pPr>
      <w:r>
        <w:rPr>
          <w:b/>
          <w:sz w:val="24"/>
        </w:rPr>
        <w:t xml:space="preserve">EXECUTIVE SUMMARY. </w:t>
      </w:r>
    </w:p>
    <w:p>
      <w:r>
        <w:t>This policy governs business travel and entertainment expenses for all Zenith Corporation employees worldwide. This policy works in conjunction with the Global Entertainment &amp; Client Relations Policy and regional addendums.</w:t>
      </w:r>
    </w:p>
    <w:p>
      <w:pPr>
        <w:pStyle w:val="Heading2"/>
      </w:pPr>
      <w:r>
        <w:rPr>
          <w:b/>
          <w:sz w:val="24"/>
        </w:rPr>
        <w:t>1. ENTERTAINMENT EXPENSE CATEGORIES</w:t>
      </w:r>
    </w:p>
    <w:p>
      <w:r>
        <w:t>Section 1.1 Categories</w:t>
      </w:r>
    </w:p>
    <w:p>
      <w:pPr>
        <w:pStyle w:val="ListBullet"/>
      </w:pPr>
      <w:r>
        <w:t>Entertainment expenses are categorized as:</w:t>
        <w:br/>
        <w:t>- Client Entertainment: Meals and activities with external clients</w:t>
        <w:br/>
        <w:t>- Team Building: Internal employee activities</w:t>
        <w:br/>
        <w:t>- Business Development: Prospecting and networking</w:t>
        <w:br/>
        <w:t>- Relationship Maintenance: Ongoing client engagement</w:t>
      </w:r>
    </w:p>
    <w:p>
      <w:pPr>
        <w:pStyle w:val="Heading2"/>
      </w:pPr>
      <w:r>
        <w:rPr>
          <w:b/>
          <w:sz w:val="24"/>
        </w:rPr>
        <w:t>2. APPROVAL MATRIX</w:t>
      </w:r>
    </w:p>
    <w:p>
      <w:r>
        <w:t>Section 2.1 Global Approval Requirements</w:t>
      </w:r>
    </w:p>
    <w:p>
      <w:pPr>
        <w:pStyle w:val="ListBullet"/>
      </w:pPr>
      <w:r>
        <w:t>Under USD 100: No approval required</w:t>
        <w:br/>
        <w:t>USD 100-500: Manager approval required</w:t>
        <w:br/>
        <w:t>USD 500-1,500: Director approval required</w:t>
        <w:br/>
        <w:t>USD 1,500-5,000: VP approval required</w:t>
        <w:br/>
        <w:t>Over USD 5,000: C-Suite approval (CFO or CEO)</w:t>
      </w:r>
    </w:p>
    <w:p>
      <w:r>
        <w:t>Section 2.2 APAC Region Exception</w:t>
      </w:r>
    </w:p>
    <w:p>
      <w:r>
        <w:rPr>
          <w:b/>
          <w:color w:val="FF0000"/>
        </w:rPr>
        <w:t>In Asia-Pacific region, the following modifications apply:</w:t>
        <w:br/>
        <w:t>- Under USD 300 requires Manager approval (vs. no approval globally)</w:t>
        <w:br/>
        <w:t>- USD 300-1,000 requires VP approval (vs. Manager globally)</w:t>
        <w:br/>
        <w:t>- ALL APAC expenses require Finance pre-approval regardless of amount</w:t>
      </w:r>
    </w:p>
    <w:p>
      <w:pPr>
        <w:pStyle w:val="Heading2"/>
      </w:pPr>
      <w:r>
        <w:rPr>
          <w:b/>
          <w:sz w:val="24"/>
        </w:rPr>
        <w:t>3. NON-REIMBURSABLE ITEMS</w:t>
      </w:r>
    </w:p>
    <w:p>
      <w:r>
        <w:t>Section 3.1 Prohibited Expenses</w:t>
      </w:r>
    </w:p>
    <w:p>
      <w:pPr>
        <w:pStyle w:val="ListBullet"/>
      </w:pPr>
      <w:r>
        <w:t>The following are never reimbursable:</w:t>
        <w:br/>
        <w:t>- Personal entertainment (movies, concerts for self only)</w:t>
        <w:br/>
        <w:t>- Alcohol for personal consumption (only in business meal context)</w:t>
        <w:br/>
        <w:t>- Activities that violate regional addendums</w:t>
        <w:br/>
        <w:t>- Expenses at prohibited venues</w:t>
        <w:br/>
        <w:t>- Spousal or family member entertainment</w:t>
        <w:br/>
        <w:t>- Gambling losses</w:t>
      </w:r>
    </w:p>
    <w:p>
      <w:pPr>
        <w:pStyle w:val="Heading2"/>
      </w:pPr>
      <w:r>
        <w:rPr>
          <w:b/>
          <w:sz w:val="24"/>
        </w:rPr>
        <w:t>4. COMPLIANCE WITH ANTI-CORRUPTION LAWS</w:t>
      </w:r>
    </w:p>
    <w:p>
      <w:r>
        <w:t>Section 4.1 FCPA Compliance</w:t>
      </w:r>
    </w:p>
    <w:p>
      <w:pPr>
        <w:pStyle w:val="ListBullet"/>
      </w:pPr>
      <w:r>
        <w:t>All entertainment must comply with:</w:t>
        <w:br/>
        <w:t>- Foreign Corrupt Practices Act (FCPA)</w:t>
        <w:br/>
        <w:t>- UK Bribery Act</w:t>
        <w:br/>
        <w:t>- Local anti-corruption laws</w:t>
        <w:br/>
        <w:t>- Zenith Code of Conduct</w:t>
      </w:r>
    </w:p>
    <w:p>
      <w:pPr>
        <w:pStyle w:val="Heading2"/>
      </w:pPr>
      <w:r>
        <w:rPr>
          <w:b/>
          <w:sz w:val="24"/>
        </w:rPr>
        <w:t>5. REGIONAL POLICY INTEGRATION</w:t>
      </w:r>
    </w:p>
    <w:p>
      <w:r>
        <w:t>Section 5.1 Regional Addendums</w:t>
      </w:r>
    </w:p>
    <w:p>
      <w:pPr>
        <w:pStyle w:val="ListBullet"/>
      </w:pPr>
      <w:r>
        <w:t>Where regional addendums exist, they take precedence:</w:t>
        <w:br/>
        <w:t>- Asia-Pacific addendum supersedes this policy on prohibited activities</w:t>
        <w:br/>
        <w:t>- Regional restrictions are MORE restrictive than global policy</w:t>
        <w:br/>
        <w:t>- Employees must follow most restrictive applicable policy</w:t>
      </w:r>
    </w:p>
    <w:p>
      <w:r>
        <w:rPr>
          <w:b/>
        </w:rPr>
        <w:t>CRITICAL EXAMPLE:</w:t>
        <w:br/>
        <w:t>- Karaoke is not mentioned in this policy (implicitly permitted globally)</w:t>
        <w:br/>
        <w:t>- APAC addendum explicitly prohibits karaoke in APAC</w:t>
        <w:br/>
        <w:t>- Therefore: Karaoke is permitted globally but PROHIBITED in APAC</w:t>
        <w:br/>
        <w:t>- Similarly: Karaoke is permitted in Germany (not in APAC scope)</w:t>
      </w:r>
    </w:p>
    <w:p/>
    <w:p>
      <w:pPr>
        <w:pStyle w:val="Heading2"/>
      </w:pPr>
      <w:r>
        <w:rPr>
          <w:b/>
          <w:sz w:val="24"/>
        </w:rPr>
        <w:t>6. DOCUMENTATION AND RECEIPT REQUIREMENTS</w:t>
      </w:r>
    </w:p>
    <w:p>
      <w:r>
        <w:t>Section 6.1 Required Documentation</w:t>
      </w:r>
    </w:p>
    <w:p>
      <w:pPr>
        <w:pStyle w:val="ListBullet"/>
      </w:pPr>
      <w:r>
        <w:t>All expenses must include:</w:t>
        <w:br/>
        <w:t>- Receipt or invoice</w:t>
        <w:br/>
        <w:t>- Business purpose (2-3 sentences minimum)</w:t>
        <w:br/>
        <w:t>- Client name and organization</w:t>
        <w:br/>
        <w:t>- Date and location of entertainment</w:t>
        <w:br/>
        <w:t>- All attendees (names and titles)</w:t>
        <w:br/>
        <w:t>- Employee name and department</w:t>
      </w:r>
    </w:p>
    <w:p/>
    <w:p>
      <w:r>
        <w:t>Policy Approval:</w:t>
      </w:r>
    </w:p>
    <w:p>
      <w:r>
        <w:t>Global CFO: Robert Chen</w:t>
      </w:r>
    </w:p>
    <w:p>
      <w:r>
        <w:t>Global Chief Compliance Officer: Sarah Mitchell</w:t>
      </w:r>
    </w:p>
    <w:p>
      <w:r>
        <w:t>CEO: Margaret Williams</w:t>
      </w:r>
    </w:p>
    <w:p/>
    <w:p>
      <w:r>
        <w:t>Effective Date: January 1, 2025</w:t>
      </w:r>
    </w:p>
    <w:p>
      <w:r>
        <w:t>Next Review: January 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