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ZENITH CORPORATION</w:t>
      </w:r>
    </w:p>
    <w:p>
      <w:pPr>
        <w:jc w:val="center"/>
      </w:pPr>
      <w:r>
        <w:rPr>
          <w:b/>
          <w:sz w:val="28"/>
        </w:rPr>
        <w:t>Global Entertainment &amp; Client Relations Policy</w:t>
      </w:r>
    </w:p>
    <w:p>
      <w:r>
        <w:t>Effective Date: January 1, 2025</w:t>
      </w:r>
    </w:p>
    <w:p>
      <w:r>
        <w:t>Policy Number: ZEN-CLP-2025-01</w:t>
      </w:r>
    </w:p>
    <w:p>
      <w:r>
        <w:t>Classification: GLOBAL - APPLIES TO ALL REGIONS</w:t>
      </w:r>
    </w:p>
    <w:p/>
    <w:p>
      <w:pPr>
        <w:pStyle w:val="Heading2"/>
      </w:pPr>
      <w:r>
        <w:rPr>
          <w:b/>
          <w:sz w:val="24"/>
        </w:rPr>
        <w:t xml:space="preserve">EXECUTIVE SUMMARY. </w:t>
      </w:r>
    </w:p>
    <w:p>
      <w:r>
        <w:t>This policy establishes standards for employee engagement with clients in social and entertainment settings. All Zenith employees are authorized to conduct client entertainment within the parameters established by this policy. This policy applies to all geographic regions worldwide unless superseded by regional addendums.</w:t>
      </w:r>
    </w:p>
    <w:p>
      <w:pPr>
        <w:pStyle w:val="Heading2"/>
      </w:pPr>
      <w:r>
        <w:rPr>
          <w:b/>
          <w:sz w:val="24"/>
        </w:rPr>
        <w:t>1. SCOPE AND APPLICABILITY</w:t>
      </w:r>
    </w:p>
    <w:p>
      <w:r>
        <w:t>Section 1.1 Geographic Scope: GLOBAL</w:t>
      </w:r>
    </w:p>
    <w:p>
      <w:pPr>
        <w:pStyle w:val="ListBullet"/>
      </w:pPr>
      <w:r>
        <w:t>This policy applies to all employees, contractors, and representatives of Zenith Corporation worldwide, including:</w:t>
        <w:br/>
        <w:t>- North America (USA, Canada, Mexico)</w:t>
        <w:br/>
        <w:t>- Europe (EU and non-EU countries)</w:t>
        <w:br/>
        <w:t>- Asia-Pacific Region</w:t>
        <w:br/>
        <w:t>- Middle East</w:t>
        <w:br/>
        <w:t>- Africa</w:t>
        <w:br/>
        <w:t>- All other geographies</w:t>
      </w:r>
    </w:p>
    <w:p>
      <w:r>
        <w:t>Section 1.2 Authorization Level: Standard employee approval authority</w:t>
      </w:r>
    </w:p>
    <w:p>
      <w:pPr>
        <w:pStyle w:val="ListBullet"/>
      </w:pPr>
      <w:r>
        <w:t>- Employees may approve entertainment activities up to USD 500 per event</w:t>
        <w:br/>
        <w:t>- Managers may approve up to USD 1,500 per event</w:t>
        <w:br/>
        <w:t>- Director approval required for USD 1,500-5,000</w:t>
        <w:br/>
        <w:t>- VP approval required for USD 5,000+</w:t>
      </w:r>
    </w:p>
    <w:p>
      <w:pPr>
        <w:pStyle w:val="Heading2"/>
      </w:pPr>
      <w:r>
        <w:rPr>
          <w:b/>
          <w:sz w:val="24"/>
        </w:rPr>
        <w:t>2. PERMITTED ENTERTAINMENT ACTIVITIES</w:t>
      </w:r>
    </w:p>
    <w:p>
      <w:r>
        <w:t>The following entertainment activities are explicitly PERMITTED under this global policy:</w:t>
      </w:r>
    </w:p>
    <w:p>
      <w:r>
        <w:t>Section 2.1 Dining &amp; Beverages</w:t>
      </w:r>
    </w:p>
    <w:p>
      <w:pPr>
        <w:pStyle w:val="ListBullet"/>
      </w:pPr>
      <w:r>
        <w:t>- Restaurant meals (any cuisine type)</w:t>
        <w:br/>
        <w:t>- Cocktail bars and lounges</w:t>
        <w:br/>
        <w:t>- Wine and spirits tastings</w:t>
        <w:br/>
        <w:t>- Coffee and tea venues</w:t>
        <w:br/>
        <w:t>- Hotel dining experiences</w:t>
      </w:r>
    </w:p>
    <w:p>
      <w:r>
        <w:t>Section 2.2 Sports &amp; Recreation</w:t>
      </w:r>
    </w:p>
    <w:p>
      <w:pPr>
        <w:pStyle w:val="ListBullet"/>
      </w:pPr>
      <w:r>
        <w:t>- Golf outings</w:t>
        <w:br/>
        <w:t>- Tennis facilities</w:t>
        <w:br/>
        <w:t>- Basketball courts</w:t>
        <w:br/>
        <w:t>- Swimming facilities</w:t>
        <w:br/>
        <w:t>- Ski resorts</w:t>
        <w:br/>
        <w:t>- Water sports (boating, sailing)</w:t>
      </w:r>
    </w:p>
    <w:p>
      <w:r>
        <w:t>Section 2.3 Cultural Activities</w:t>
      </w:r>
    </w:p>
    <w:p>
      <w:pPr>
        <w:pStyle w:val="ListBullet"/>
      </w:pPr>
      <w:r>
        <w:t>- Theater and performing arts</w:t>
        <w:br/>
        <w:t>- Museums and galleries</w:t>
        <w:br/>
        <w:t>- Movie theaters</w:t>
        <w:br/>
        <w:t>- Concert venues</w:t>
        <w:br/>
        <w:t>- Historical site tours</w:t>
        <w:br/>
        <w:t>- Art festivals</w:t>
      </w:r>
    </w:p>
    <w:p>
      <w:r>
        <w:t>Section 2.4 Business Meals</w:t>
      </w:r>
    </w:p>
    <w:p>
      <w:pPr>
        <w:pStyle w:val="ListBullet"/>
      </w:pPr>
      <w:r>
        <w:t>- Breakfast meetings</w:t>
        <w:br/>
        <w:t>- Lunch meetings</w:t>
        <w:br/>
        <w:t>- Dinner meetings</w:t>
        <w:br/>
        <w:t>- Team lunches</w:t>
        <w:br/>
        <w:t>- Client appreciation events</w:t>
      </w:r>
    </w:p>
    <w:p>
      <w:pPr>
        <w:pStyle w:val="Heading2"/>
      </w:pPr>
      <w:r>
        <w:rPr>
          <w:b/>
          <w:sz w:val="24"/>
        </w:rPr>
        <w:t>3. RESTRICTED ACTIVITIES (REQUIRES SPECIAL APPROVAL)</w:t>
      </w:r>
    </w:p>
    <w:p>
      <w:r>
        <w:t>The following activities are NOT automatically approved and require explicit manager/director approval:</w:t>
      </w:r>
    </w:p>
    <w:p>
      <w:r>
        <w:t>Section 3.1 High-Cost Events</w:t>
      </w:r>
    </w:p>
    <w:p>
      <w:pPr>
        <w:pStyle w:val="ListBullet"/>
      </w:pPr>
      <w:r>
        <w:t>- Events exceeding USD 500 per person require manager pre-approval</w:t>
        <w:br/>
        <w:t>- Events exceeding USD 1,500 per person require VP approval</w:t>
        <w:br/>
        <w:t>- Luxury resort entertainment requires budget approval</w:t>
      </w:r>
    </w:p>
    <w:p>
      <w:r>
        <w:t>Section 3.2 Overnight Activities</w:t>
      </w:r>
    </w:p>
    <w:p>
      <w:pPr>
        <w:pStyle w:val="ListBullet"/>
      </w:pPr>
      <w:r>
        <w:t>- Multi-day entertainment events</w:t>
        <w:br/>
        <w:t>- Resort stays beyond standard business travel</w:t>
        <w:br/>
        <w:t>- Adventure tourism activities</w:t>
      </w:r>
    </w:p>
    <w:p>
      <w:pPr>
        <w:pStyle w:val="Heading2"/>
      </w:pPr>
      <w:r>
        <w:rPr>
          <w:b/>
          <w:sz w:val="24"/>
        </w:rPr>
        <w:t>4. EXPENSES AND REIMBURSEMENT</w:t>
      </w:r>
    </w:p>
    <w:p>
      <w:r>
        <w:t>Section 4.1 Reimbursable Expenses</w:t>
      </w:r>
    </w:p>
    <w:p>
      <w:pPr>
        <w:pStyle w:val="ListBullet"/>
      </w:pPr>
      <w:r>
        <w:t>- Meal costs: 100% reimbursable per policy limits</w:t>
        <w:br/>
        <w:t>- Tickets and entrance fees: 100% reimbursable</w:t>
        <w:br/>
        <w:t>- Transportation to entertainment: 100% reimbursable</w:t>
        <w:br/>
        <w:t>- Gratuities: 20% of pre-tax total (standard rates)</w:t>
      </w:r>
    </w:p>
    <w:p>
      <w:pPr>
        <w:pStyle w:val="Heading2"/>
      </w:pPr>
      <w:r>
        <w:rPr>
          <w:b/>
          <w:sz w:val="24"/>
        </w:rPr>
        <w:t>5. DOCUMENTATION REQUIREMENTS</w:t>
      </w:r>
    </w:p>
    <w:p>
      <w:r>
        <w:t>All entertainment expenses must include:</w:t>
      </w:r>
    </w:p>
    <w:p>
      <w:pPr>
        <w:pStyle w:val="ListBullet"/>
      </w:pPr>
      <w:r>
        <w:t>- Date of activity</w:t>
        <w:br/>
        <w:t>- Client name and organization</w:t>
        <w:br/>
        <w:t>- Business purpose</w:t>
        <w:br/>
        <w:t>- Amount spent</w:t>
        <w:br/>
        <w:t>- Attendees (names and roles)</w:t>
        <w:br/>
        <w:t>- Receipt or invoice</w:t>
      </w:r>
    </w:p>
    <w:p/>
    <w:p>
      <w:r>
        <w:t>Policy Approval:</w:t>
      </w:r>
    </w:p>
    <w:p>
      <w:r>
        <w:t>Global Chief Compliance Officer: Sarah Mitchell</w:t>
      </w:r>
    </w:p>
    <w:p>
      <w:r>
        <w:t>Global CFO: Robert Chen</w:t>
      </w:r>
    </w:p>
    <w:p>
      <w:r>
        <w:t>CEO: Margaret Williams</w:t>
      </w:r>
    </w:p>
    <w:p/>
    <w:p>
      <w:r>
        <w:t>Last Revised: January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