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ZENITH CORPORATION</w:t>
      </w:r>
    </w:p>
    <w:p>
      <w:pPr>
        <w:jc w:val="center"/>
      </w:pPr>
      <w:r>
        <w:rPr>
          <w:b/>
          <w:sz w:val="24"/>
        </w:rPr>
        <w:t>Asia-Pacific Region: Prohibited High-Risk Entertainment Activities</w:t>
      </w:r>
    </w:p>
    <w:p>
      <w:pPr>
        <w:jc w:val="center"/>
      </w:pPr>
      <w:r>
        <w:rPr>
          <w:i/>
          <w:sz w:val="22"/>
        </w:rPr>
        <w:t>Regional Addendum to Global Entertainment Policy</w:t>
      </w:r>
    </w:p>
    <w:p>
      <w:r>
        <w:t>Effective Date: January 1, 2025</w:t>
      </w:r>
    </w:p>
    <w:p>
      <w:r>
        <w:t>Policy Number: ZEN-CLP-APAC-2025-01</w:t>
      </w:r>
    </w:p>
    <w:p>
      <w:r>
        <w:t>Geographic Scope: ASIA-PACIFIC REGION ONLY</w:t>
      </w:r>
    </w:p>
    <w:p/>
    <w:p>
      <w:pPr>
        <w:pStyle w:val="Heading2"/>
      </w:pPr>
      <w:r>
        <w:rPr>
          <w:b/>
          <w:sz w:val="24"/>
        </w:rPr>
        <w:t xml:space="preserve">EXECUTIVE SUMMARY. </w:t>
      </w:r>
    </w:p>
    <w:p>
      <w:r>
        <w:t>This addendum modifies the Global Entertainment &amp; Client Relations Policy specifically for the Asia-Pacific region. Due to regulatory, cultural, and business-specific considerations in APAC, certain entertainment activities are PROHIBITED in this region, even though they may be permitted globally.</w:t>
      </w:r>
    </w:p>
    <w:p>
      <w:r>
        <w:rPr>
          <w:b/>
          <w:color w:val="FF0000"/>
        </w:rPr>
        <w:t>CRITICAL: This addendum applies ONLY to the following APAC countries:</w:t>
        <w:br/>
        <w:t>- China (PRC)</w:t>
        <w:br/>
        <w:t>- Japan</w:t>
        <w:br/>
        <w:t>- South Korea</w:t>
        <w:br/>
        <w:t>- Taiwan</w:t>
        <w:br/>
        <w:t>- Vietnam</w:t>
        <w:br/>
        <w:t>- Indonesia</w:t>
        <w:br/>
        <w:t>- Thailand</w:t>
        <w:br/>
        <w:t>- Malaysia</w:t>
        <w:br/>
        <w:t>- Philippines</w:t>
        <w:br/>
        <w:t>- Singapore</w:t>
      </w:r>
    </w:p>
    <w:p/>
    <w:p>
      <w:r>
        <w:rPr>
          <w:b/>
        </w:rPr>
        <w:t>This addendum does NOT apply to: Europe, North America, Middle East, Africa, or any other non-APAC regions.</w:t>
      </w:r>
    </w:p>
    <w:p/>
    <w:p>
      <w:pPr>
        <w:pStyle w:val="Heading2"/>
      </w:pPr>
      <w:r>
        <w:rPr>
          <w:b/>
          <w:sz w:val="24"/>
        </w:rPr>
        <w:t>1. PROHIBITED ENTERTAINMENT ACTIVITIES IN APAC REGION</w:t>
      </w:r>
    </w:p>
    <w:p>
      <w:r>
        <w:t>Section 1.1 Explicitly Prohibited Activities</w:t>
      </w:r>
    </w:p>
    <w:p>
      <w:r>
        <w:t>The following entertainment activities are STRICTLY PROHIBITED in the Asia-Pacific region:</w:t>
      </w:r>
    </w:p>
    <w:p>
      <w:r>
        <w:t>Section 1.1.1 Karaoke Venues</w:t>
      </w:r>
    </w:p>
    <w:p>
      <w:pPr>
        <w:pStyle w:val="ListBullet"/>
      </w:pPr>
      <w:r>
        <w:t>- Private karaoke bars</w:t>
        <w:br/>
        <w:t>- Karaoke lounges</w:t>
        <w:br/>
        <w:t>- Entertainment complexes featuring karaoke</w:t>
        <w:br/>
        <w:t>- Establishment of any type where karaoke is primary activity</w:t>
      </w:r>
    </w:p>
    <w:p>
      <w:r>
        <w:t>Reason for Prohibition: APAC regulatory environment. Certain karaoke establishments in the region operate under questionable legal structures and may involve improper inducements. Zenith employees must avoid any appearance of impropriety.</w:t>
      </w:r>
    </w:p>
    <w:p>
      <w:r>
        <w:t>Prohibited in: China, Japan, South Korea, Vietnam, Indonesia, Thailand, Malaysia</w:t>
      </w:r>
    </w:p>
    <w:p>
      <w:r>
        <w:t>NOT Prohibited in: Europe, Americas, Middle East, Africa</w:t>
      </w:r>
    </w:p>
    <w:p>
      <w:r>
        <w:t>Section 1.1.2 Nightclub Entertainment (Late-Night)</w:t>
      </w:r>
    </w:p>
    <w:p>
      <w:pPr>
        <w:pStyle w:val="ListBullet"/>
      </w:pPr>
      <w:r>
        <w:t>- Nightclubs and dance clubs</w:t>
        <w:br/>
        <w:t>- Discotheques with adult entertainment</w:t>
        <w:br/>
        <w:t>- Late-night entertainment venues (operating after 11 PM as primary business)</w:t>
      </w:r>
    </w:p>
    <w:p>
      <w:r>
        <w:t>Reason for Prohibition: Regulatory risk and business conduct standards in APAC.</w:t>
      </w:r>
    </w:p>
    <w:p>
      <w:r>
        <w:t>Prohibited in: China, Japan, South Korea, Vietnam, Indonesia, Thailand</w:t>
      </w:r>
    </w:p>
    <w:p>
      <w:r>
        <w:t>Section 1.1.3 Hostess Bars and Adult Entertainment Establishments</w:t>
      </w:r>
    </w:p>
    <w:p>
      <w:pPr>
        <w:pStyle w:val="ListBullet"/>
      </w:pPr>
      <w:r>
        <w:t>- Any venue with hostess services</w:t>
        <w:br/>
        <w:t>- Adult entertainment venues</w:t>
        <w:br/>
        <w:t>- Escort service coordination</w:t>
        <w:br/>
        <w:t>- Any activity involving hired companions for entertainment</w:t>
      </w:r>
    </w:p>
    <w:p>
      <w:r>
        <w:t>Reason for Prohibition: Anti-bribery and improper inducement policies. APAC regulatory environment has stricter requirements around this.</w:t>
      </w:r>
    </w:p>
    <w:p>
      <w:r>
        <w:t>Section 1.1.4 Gambling Facilities</w:t>
      </w:r>
    </w:p>
    <w:p>
      <w:pPr>
        <w:pStyle w:val="ListBullet"/>
      </w:pPr>
      <w:r>
        <w:t>- Casinos</w:t>
        <w:br/>
        <w:t>- Gambling establishments</w:t>
        <w:br/>
        <w:t>- Gaming venues</w:t>
        <w:br/>
        <w:t>- Betting parlors</w:t>
      </w:r>
    </w:p>
    <w:p>
      <w:r>
        <w:t>Reason for Prohibition: Compliance with FCPA and regional anti-corruption standards.</w:t>
      </w:r>
    </w:p>
    <w:p>
      <w:r>
        <w:t>Prohibited in: China, Vietnam, Indonesia, Malaysia</w:t>
      </w:r>
    </w:p>
    <w:p/>
    <w:p>
      <w:pPr>
        <w:pStyle w:val="Heading2"/>
      </w:pPr>
      <w:r>
        <w:rPr>
          <w:b/>
          <w:sz w:val="24"/>
        </w:rPr>
        <w:t>2. PERMITTED ACTIVITIES IN APAC REGION</w:t>
      </w:r>
    </w:p>
    <w:p>
      <w:r>
        <w:t>The following activities ARE permitted in APAC (per Global Policy):</w:t>
      </w:r>
    </w:p>
    <w:p>
      <w:pPr>
        <w:pStyle w:val="ListBullet"/>
      </w:pPr>
      <w:r>
        <w:t>- Fine dining restaurants</w:t>
        <w:br/>
        <w:t>- Golf outings (courses approved by Finance)</w:t>
        <w:br/>
        <w:t>- Museum visits and cultural events</w:t>
        <w:br/>
        <w:t>- Theater and performing arts</w:t>
        <w:br/>
        <w:t>- Hotel business dining</w:t>
        <w:br/>
        <w:t>- Team activities (sports, recreational facilities)</w:t>
        <w:br/>
        <w:t>- Business conferences and seminars</w:t>
      </w:r>
    </w:p>
    <w:p/>
    <w:p>
      <w:pPr>
        <w:pStyle w:val="Heading2"/>
      </w:pPr>
      <w:r>
        <w:rPr>
          <w:b/>
          <w:sz w:val="24"/>
        </w:rPr>
        <w:t>3. VIOLATIONS IN APAC REGION</w:t>
      </w:r>
    </w:p>
    <w:p>
      <w:r>
        <w:t>Section 3.1 APAC-Specific Enforcement</w:t>
      </w:r>
    </w:p>
    <w:p>
      <w:pPr>
        <w:pStyle w:val="ListBullet"/>
      </w:pPr>
      <w:r>
        <w:t>Violations of this APAC addendum carry enhanced penalties:</w:t>
        <w:br/>
        <w:t>- First violation: Mandatory retraining + written warning + loss of entertainment authority</w:t>
        <w:br/>
        <w:t>- Second violation: Suspension of business entertainment privileges + mandatory investigation</w:t>
        <w:br/>
        <w:t>- Third violation: Disciplinary action up to immediate termination</w:t>
      </w:r>
    </w:p>
    <w:p>
      <w:r>
        <w:t>Reason: Heightened compliance risk in region requires strict enforcement.</w:t>
      </w:r>
    </w:p>
    <w:p/>
    <w:p>
      <w:r>
        <w:rPr>
          <w:b/>
          <w:color w:val="FF0000"/>
        </w:rPr>
        <w:t>SCOPE REMINDER: This addendum applies ONLY to Asia-Pacific countries: China, Japan, South Korea, Taiwan, Vietnam, Indonesia, Thailand, Malaysia, Philippines, Singapore</w:t>
      </w:r>
    </w:p>
    <w:p/>
    <w:p>
      <w:r>
        <w:t>Approval Authority:</w:t>
      </w:r>
    </w:p>
    <w:p>
      <w:r>
        <w:t>APAC Regional President: David Liu</w:t>
      </w:r>
    </w:p>
    <w:p>
      <w:r>
        <w:t>APAC Regional Compliance Officer: Jennifer Wong</w:t>
      </w:r>
    </w:p>
    <w:p>
      <w:r>
        <w:t>Global Chief Compliance Officer: Sarah Mitchell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