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RKi mangler som interessent i visionsdokument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Persondataloven mangler også i vis.dok.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Featureliste er tynd.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Mangler: biler, bruger, kunde, salgschef accept.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Use-case diagram: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Manglende bil register og CRUD dertil (Snak med Hans)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Manglende CRUD til kunde og bruger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use-case navne skal på bydeform og være korte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Få aktører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Datamodel: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Bil eksisterer i datamodel men er ikke repræsenteret andre steder.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Hold sprogkonvention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Formel usecases: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Vedhold systemnavn (FFT eller FFS)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Hyppighed er relativt?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Små usecases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Manglende forudsætning i rentesats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Domænemodel: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Muligt at der er mere end 1 salgschef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Operationskontrakt: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Bibehold navne på use-cases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